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学校（小学）致广大家长的资助政策宣传信</w:t>
      </w:r>
    </w:p>
    <w:p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ascii="宋体" w:eastAsia="宋体"/>
          <w:spacing w:val="6"/>
          <w:szCs w:val="21"/>
        </w:rPr>
        <w:t>原</w:t>
      </w:r>
      <w:r>
        <w:rPr>
          <w:rFonts w:hint="eastAsia" w:ascii="宋体" w:eastAsia="宋体"/>
          <w:spacing w:val="6"/>
          <w:szCs w:val="21"/>
        </w:rPr>
        <w:t>建档立卡贫困家庭学生资助政策和其它贫困家庭学生资助政策两类，具体内容如下：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建档立卡贫困家庭学生资助政策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建档立卡贫困家庭学生（已脱贫仍享受政策学生）；在我区就读的区外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建档立卡贫困家庭学生。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</w:t>
      </w:r>
      <w:r>
        <w:rPr>
          <w:rFonts w:hint="eastAsia" w:ascii="宋体" w:eastAsia="宋体"/>
          <w:bCs/>
          <w:spacing w:val="6"/>
          <w:szCs w:val="21"/>
        </w:rPr>
        <w:t>免除学杂费、免费提供教科书，补助寄宿生生活费每年1000元（仅限在学校住宿的贫困学生），享受四类非寄宿生生活补助每年500元（针对非寄宿生），补助午餐费（仅限在学校用餐的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建档立卡学生），免校服费（仅限有校服的学校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建档立卡学生）。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二、其它贫困家庭学生资助政策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除免除学杂费、免费提供教科书外，还有：</w:t>
      </w:r>
    </w:p>
    <w:p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1、寄宿生生活费，资助对象为家庭经济困难学生，优先资助经民政、残联等部门认定的孤儿、烈士子女、城乡低保和城乡特困救助供养范围的家庭子女、家庭经济困难的残疾学生和残疾家庭学生、单亲家庭经济困难学生以及因突发事件导致家庭经济特别困难学生，资助标准为每年1000元（仅限在学校住宿的贫困学生）。</w:t>
      </w:r>
    </w:p>
    <w:p>
      <w:pPr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2、非寄宿生生活补助，只针对非寄宿学生中建档立卡贫困家庭学生、农村低保家庭学生、农村特困救助供养学生（含孤儿）、家庭经济困难残疾学生</w:t>
      </w:r>
      <w:r>
        <w:rPr>
          <w:rFonts w:hint="eastAsia" w:ascii="宋体"/>
          <w:bCs/>
          <w:spacing w:val="6"/>
          <w:szCs w:val="21"/>
          <w:lang w:eastAsia="zh-CN"/>
        </w:rPr>
        <w:t>（</w:t>
      </w:r>
      <w:r>
        <w:rPr>
          <w:rFonts w:hint="eastAsia" w:ascii="宋体"/>
          <w:bCs/>
          <w:spacing w:val="6"/>
          <w:szCs w:val="21"/>
          <w:lang w:val="en-US" w:eastAsia="zh-CN"/>
        </w:rPr>
        <w:t>学生本人有残疾证</w:t>
      </w:r>
      <w:bookmarkStart w:id="0" w:name="_GoBack"/>
      <w:bookmarkEnd w:id="0"/>
      <w:r>
        <w:rPr>
          <w:rFonts w:hint="eastAsia" w:ascii="宋体"/>
          <w:bCs/>
          <w:spacing w:val="6"/>
          <w:szCs w:val="21"/>
          <w:lang w:eastAsia="zh-CN"/>
        </w:rPr>
        <w:t>）</w:t>
      </w:r>
      <w:r>
        <w:rPr>
          <w:rFonts w:hint="eastAsia" w:ascii="宋体" w:eastAsia="宋体"/>
          <w:bCs/>
          <w:spacing w:val="6"/>
          <w:szCs w:val="21"/>
        </w:rPr>
        <w:t>四类学生，资助标准为每年500元。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相信您已了解我校的资助政策，如果您的孩子符合相关条件，请在开学后及时联系我校并按要求提交材料。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中心校咨询电话：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学生资助管理中心咨询电话：0315－8196091</w:t>
      </w:r>
    </w:p>
    <w:p>
      <w:pPr>
        <w:pBdr>
          <w:bottom w:val="single" w:color="auto" w:sz="6" w:space="0"/>
        </w:pBdr>
        <w:adjustRightInd w:val="0"/>
        <w:snapToGrid w:val="0"/>
        <w:spacing w:line="400" w:lineRule="exact"/>
        <w:ind w:firstLine="5145" w:firstLineChars="24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>
      <w:pPr>
        <w:pBdr>
          <w:bottom w:val="single" w:color="auto" w:sz="6" w:space="0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9060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ascii="宋体" w:eastAsia="宋体"/>
                <w:szCs w:val="21"/>
              </w:rPr>
              <w:t>原</w:t>
            </w:r>
            <w:r>
              <w:rPr>
                <w:rFonts w:hint="eastAsia" w:ascii="宋体" w:eastAsia="宋体"/>
                <w:szCs w:val="21"/>
              </w:rPr>
              <w:t>建档立卡贫困家庭；我的家庭_______（填“是”或“否”）其他贫困家庭。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>
      <w:pPr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907" w:right="1531" w:bottom="90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1EBA48D8"/>
    <w:rsid w:val="657901A5"/>
    <w:rsid w:val="7C576E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026CF931-B505-4ECA-958D-39CDC620BF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1</Pages>
  <Words>0</Words>
  <Characters>845</Characters>
  <Lines>0</Lines>
  <Paragraphs>20</Paragraphs>
  <TotalTime>144</TotalTime>
  <ScaleCrop>false</ScaleCrop>
  <LinksUpToDate>false</LinksUpToDate>
  <CharactersWithSpaces>1127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2023-09-21T08:56:12Z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6FA1765C0AB74B4AB731C813E319E0AF_12</vt:lpwstr>
  </property>
</Properties>
</file>