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F9F9F9"/>
          <w:kern w:val="0"/>
          <w:sz w:val="36"/>
          <w:szCs w:val="36"/>
          <w:lang w:eastAsia="zh-CN"/>
        </w:rPr>
      </w:pPr>
      <w:r>
        <w:fldChar w:fldCharType="begin"/>
      </w:r>
      <w:r>
        <w:instrText xml:space="preserve"> HYPERLINK "http://www.yqjy.com:802/upload/document/1187584172125/4.doc" </w:instrText>
      </w:r>
      <w:r>
        <w:fldChar w:fldCharType="separate"/>
      </w:r>
      <w:r>
        <w:rPr>
          <w:rFonts w:ascii="宋体" w:hAnsi="宋体"/>
          <w:b/>
          <w:bCs/>
          <w:sz w:val="36"/>
          <w:szCs w:val="36"/>
        </w:rPr>
        <w:t>《</w:t>
      </w:r>
      <w:r>
        <w:rPr>
          <w:rFonts w:hint="eastAsia" w:ascii="宋体" w:hAnsi="宋体"/>
          <w:b/>
          <w:bCs/>
          <w:sz w:val="36"/>
          <w:szCs w:val="36"/>
        </w:rPr>
        <w:t>丰南</w:t>
      </w:r>
      <w:r>
        <w:rPr>
          <w:rFonts w:ascii="宋体" w:hAnsi="宋体"/>
          <w:b/>
          <w:bCs/>
          <w:sz w:val="36"/>
          <w:szCs w:val="36"/>
        </w:rPr>
        <w:t>区</w:t>
      </w:r>
      <w:r>
        <w:rPr>
          <w:rFonts w:hint="eastAsia" w:ascii="宋体" w:hAnsi="宋体"/>
          <w:b/>
          <w:bCs/>
          <w:sz w:val="36"/>
          <w:szCs w:val="36"/>
        </w:rPr>
        <w:t>教育局乡镇成人学校十</w:t>
      </w:r>
      <w:r>
        <w:rPr>
          <w:rFonts w:ascii="宋体" w:hAnsi="宋体"/>
          <w:b/>
          <w:bCs/>
          <w:sz w:val="36"/>
          <w:szCs w:val="36"/>
        </w:rPr>
        <w:t>星</w:t>
      </w:r>
      <w:r>
        <w:rPr>
          <w:rFonts w:hint="eastAsia" w:ascii="宋体" w:hAnsi="宋体"/>
          <w:b/>
          <w:bCs/>
          <w:sz w:val="36"/>
          <w:szCs w:val="36"/>
        </w:rPr>
        <w:t>级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管理</w:t>
      </w:r>
      <w:r>
        <w:rPr>
          <w:rFonts w:ascii="宋体" w:hAnsi="宋体"/>
          <w:b/>
          <w:bCs/>
          <w:sz w:val="36"/>
          <w:szCs w:val="36"/>
        </w:rPr>
        <w:t>》</w:t>
      </w:r>
      <w:r>
        <w:rPr>
          <w:rFonts w:ascii="宋体" w:hAnsi="宋体"/>
          <w:b/>
          <w:bCs/>
          <w:sz w:val="36"/>
          <w:szCs w:val="36"/>
        </w:rPr>
        <w:fldChar w:fldCharType="end"/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(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试行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843"/>
        <w:gridCol w:w="5954"/>
        <w:gridCol w:w="1417"/>
        <w:gridCol w:w="70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星级项目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二级指标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管理</w:t>
            </w:r>
            <w:r>
              <w:rPr>
                <w:rFonts w:hint="eastAsia"/>
                <w:b/>
                <w:bCs/>
                <w:sz w:val="24"/>
              </w:rPr>
              <w:t>细则及赋分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管理</w:t>
            </w:r>
            <w:r>
              <w:rPr>
                <w:rFonts w:hint="eastAsia"/>
                <w:b/>
                <w:bCs/>
                <w:sz w:val="24"/>
              </w:rPr>
              <w:t>方法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党建工作星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10分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A1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政治功能    </w:t>
            </w: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3分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B1党组织作用发挥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1、党组织功能定位和职责任务清晰，党组织领导的校长负责制落实到位，班子结构合理，职责分工明确。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、认真落实议事决策规则，重大问题实行集体讨论决定。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B2领导班子建设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1、注重政治建设，经常开展理论学习。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、定期研究部署党建和思想政治工作，定期研究意识形态工作，有计划有目标。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、按要求规范定期换届。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B3主体责任落实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1、完善党建工作责任体系，党组织书记负总责、其他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党组织成员认真履行“一岗双责”，各种制度机制健全，建设一支风清气正、廉洁自律的党组织队伍。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2、党支部书记由1年以上党龄的教学、科研和管理骨干担任。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A2          党员队伍  </w:t>
            </w: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4分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B4发展党员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1、发展党员工作有计划，严格按照上级组织部门党员发展标准和规定程序操作。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、认真落实区委教育工委提出的“三培养”，即：把优秀教师培养成党员，把优秀党员教师培养成教学骨干，把优秀的党员骨干教师培养成学校领导班子成员。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B5教育培训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1、严格落实民主生活会、组织生活会、民主评议党员、“三会一课”、“5+x主题党日活动”、“党章学习日”等组织生活制度，党员参与率90%以上。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、认真学习党的路线、方针、政策及决议，利用红色资源经常性开展党员思想政治工作教育，党员带头参加学习培训。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B6党务机构和人员配置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1、设置党务机构，专职党务干部配备到位，专兼职党务干部业务培训、交流、使用、激励等制度完善。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、无非党员从事党务工作的情况。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B7团队学习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1、党政密切配合，党组织主要负责人、班子成员经常沟通思想，交流意见，互通情况。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2、理论学习中心组每月开展专题学习研讨，并按照部署制定学习计划开展交流研讨。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3、党员干部和广大教职工每日利用学习强国平台进行线上学习，并要求完成当日任务。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A3         堡垒建设   </w:t>
            </w: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2分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B8党建工作规范化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1、党建工作制度汇编成册，档案、台帐记录详实，各类文件分类归档齐全。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、《党支部手册》使用规范，各项内容记录详实。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B9党建阵地建设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1、按照“有标识标牌、有党旗党徽、有规章制度、有办公桌椅、有档案橱柜、有电教设备、有报刊杂志、有工作台账、有宣传栏板、有专人负责”的“十有”标准，规范党员活动室。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2、定期组织党员开展活动。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         统战群团工作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B10群团一体化工作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加强党对群团工作领导，工会、妇联、共青团、少先队与党建工作同步推进，不出现重大舆情事件，坚定维护好学校的安全稳定。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查阅资料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实地查看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队伍建设星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干部队伍建设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班子学习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学校每位领导干部读书笔记每学年均不少于60篇。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1分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班子任课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1、校长任课达标准课时1/4，中层干部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除后勤校长、主任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达标准课时1/3。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5分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2、每学期校长及至少一名中层干部给教师讲过示范课。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5分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班子听课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按开学初核定标准核算，个人得分=实际听课节数÷标准听课节数×5，听课得分=领导干部总分÷领导干部人数。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1分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“一培一”工程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“一培一”工程制定单独的培养计划，培养过程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听课、评课、交流、参加培训、心得体会、个人总结等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有详实的痕迹，既有培训人的又有被培养人的，培养成效显著。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1分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A2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教师队伍建设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6分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师德建设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1、师德建设围绕学校实际明确主题，突出本校特色；有操作性强的实施方案，有规范详实的师德建设档案。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6分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        2、坚持师德学习常态化，每学期至少开展一次学先进教师事迹、教师法制教育和心理健康教育等活动。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6分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3、开展“三诺”活动，每学期教师与学校、学生家长签订承诺书；组织家长、学生对教师师德行为进行问卷评价，将评价结果纳入业绩考核和绩效分配。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4分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r>
              <w:rPr>
                <w:rFonts w:hint="eastAsia" w:ascii="仿宋" w:hAnsi="仿宋" w:eastAsia="仿宋"/>
                <w:sz w:val="24"/>
              </w:rPr>
              <w:t>4、建立师德领导干部巡查和入户调查制度，有活动的记录，随时掌握教师师德建设情况。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4分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、有体罚学生、有偿家教、道德败坏、教学事故以及其它严重违规违纪行为并造成严重影响的，师德建设记零分。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  <w:p>
            <w:r>
              <w:rPr>
                <w:rFonts w:hint="eastAsia" w:ascii="仿宋" w:hAnsi="仿宋" w:eastAsia="仿宋"/>
                <w:sz w:val="24"/>
              </w:rPr>
              <w:t>座谈教师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6岗位管理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1、严格控制非教学人员比例，初中不高于10%、小学不高于6%。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                2、教师任课平均工作量达到标准课时量，各岗位人员工作分工合理，无浪费人力问题。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4分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3、切实发挥教代会或全体教师会作用，实施民主治校。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  <w:p>
            <w:r>
              <w:rPr>
                <w:rFonts w:hint="eastAsia" w:ascii="仿宋" w:hAnsi="仿宋" w:eastAsia="仿宋"/>
                <w:sz w:val="24"/>
              </w:rPr>
              <w:t>座谈教师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7业绩考核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1、考核方案征求教师意见，并经教代会讨论通过，有规范的民主讨论档案。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2、考核过程规范,有详实的过程档案，家长和学生对教师职业道德测评为必备资料。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4分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3、考核过程公正、透明，并及时将考核结果公示。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B8绩效分配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1、绩效分配方案符合“多劳多得”的原则，体现工作的质和量，做到重岗重薪。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5分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2、绩效分配程序合理，公正、公开、公平，激励效果明显。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5分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bidi="ar"/>
              </w:rPr>
              <w:t>B9培训交流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1、学校指定专业理论学习读本，并开展集体学习日、交流报告会等专题活动。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2、学校每学年组织一次业务考试,有试卷、成绩表,并将其结果纳入业绩考核和绩效分配。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1分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3、学校组织教师个人制定自身发展规划，在实践中有具体措施行为，效果明显。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4、学校积极组织本校教师到先进学校学习培训、教学交流，城区学校积极选派骨干教师到农村学校授课指导，发挥典型带动作用。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0.</w:t>
            </w:r>
            <w:r>
              <w:rPr>
                <w:rFonts w:hint="eastAsia" w:ascii="仿宋" w:hAnsi="仿宋" w:eastAsia="仿宋"/>
                <w:sz w:val="24"/>
              </w:rPr>
              <w:t>4分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查阅资料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环境育人星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绿化卫生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 w:cs="宋体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绿化美化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校园绿化，花、绿植种类多，有层次感。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现场查看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B2</w:t>
            </w:r>
            <w:r>
              <w:rPr>
                <w:rFonts w:hint="eastAsia" w:ascii="楷体" w:hAnsi="楷体" w:eastAsia="楷体"/>
                <w:sz w:val="24"/>
              </w:rPr>
              <w:t>卫生质量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校园内卫生环境干净,开展卫生宣传教育和防控。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A2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文化特色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B3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环境文化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校园文化内容选择上有深度、有广度、成体系；教育性与艺术性紧密结合，有一定文化品位，力求体现学校个性。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B4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活动文化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围绕本地特点开展系列文化活动，有计划、有评比、有总结，彰显学校文化特色。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B5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课程文化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有主题文化型课程，课程体现地域特色。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阵地建设星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规范镇村两级成人学校,提高农村成人教育办学条件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B1</w:t>
            </w:r>
            <w:r>
              <w:rPr>
                <w:rFonts w:hint="eastAsia" w:ascii="楷体" w:hAnsi="楷体" w:eastAsia="楷体"/>
                <w:sz w:val="24"/>
              </w:rPr>
              <w:t>四室完备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按学校类别四室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教室，展室，图书室，微机室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完备,功能齐全。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现场查看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 w:cs="宋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教育氛围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学校合理硬化、美化,成人教育氛围浓厚，有主题鲜明的成人教育标语或橱窗宣传栏。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B3</w:t>
            </w:r>
            <w:r>
              <w:rPr>
                <w:rFonts w:hint="eastAsia" w:ascii="楷体" w:hAnsi="楷体" w:eastAsia="楷体"/>
                <w:sz w:val="24"/>
              </w:rPr>
              <w:t>网络建设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落实成人学校网络建设,教师办公室电脑及微机室电脑能上网。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设备设施星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按各校类别配齐教学设备设施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B1</w:t>
            </w:r>
            <w:r>
              <w:rPr>
                <w:rFonts w:hint="eastAsia" w:ascii="楷体" w:hAnsi="楷体" w:eastAsia="楷体"/>
                <w:sz w:val="24"/>
              </w:rPr>
              <w:t>设施完备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教学培训和社区教育活动所需设施完备，具有培训所需的电教设施和社区教育活动所需的场地和器材。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现场查看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 w:cs="宋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使用制度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教学设备、活动器材及图书利用率高，并有相关的规范使用制度和使用记录。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B3</w:t>
            </w:r>
            <w:r>
              <w:rPr>
                <w:rFonts w:hint="eastAsia" w:ascii="楷体" w:hAnsi="楷体" w:eastAsia="楷体"/>
                <w:sz w:val="24"/>
              </w:rPr>
              <w:t>计算机应用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配备计算机并联网，有发布信息的专栏和咨询服务记录。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教学教研星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积极组织参加教研活动，有成效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全员教研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全体干部教师能全部参加教研组所有活动，教研活动5次以上，教师个人能力有提高。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现场查看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参加活动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年内每位教师都积极参加区级以上优质课及优秀教研论文评比活动。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培训实效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教研活动形式灵活，结合当地实际开展培训有实效，教研有专题有成果。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档案清晰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教研档案类别清晰、详实，管理规范。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新型农民培养星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组织机构和管理制度健全，能够按照教学计划完成培养任务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管理机构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有分工明确的管理机构。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1分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学员座谈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制度完善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学员考勤、管理制度完善。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1分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教学组织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有效组织教学，学员平均到课率80%以上。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实训教学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能有效按照教学计划组织实训教学。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3分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管理档案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教学管理档案资料齐全，符合上级要求。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转移培训星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落实政府各项活动，积极主动参与阳光工程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组织机构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有与政府文件配套的计划和相应的组织机构，有农村劳动力基本统计资料，有劳动力转移的长远规划和年度计划。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调查走访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培训活动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组织阳光工程技能培训活动。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档案齐全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建立完善的培训台历，有名单、有跟踪档案，培训档案齐全。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培训效果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培训效果突出，完成劳动力转移任务，能带动本地农业经济发展。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社区教育星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10分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依托成人学校开展社区教育活动，为农村两个文明建设服务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整体规划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有发展当地社区教育活动的整体规划。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志愿者队伍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有较高专业素质的社区志愿者队伍。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活动计划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有社区教育机构、各项活动有计划。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社区活动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能开展形式多样的社区活动，有活动的各种音像资料。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教育网络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有辐射村民学校和社区的教育网络。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办学效益星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0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ascii="宋体" w:hAnsi="宋体"/>
                <w:sz w:val="24"/>
              </w:rPr>
              <w:t>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成人学校做到双赢，社会评价高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办学效果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学校办学有较强的辐射能力，在社会上有一定的知名度，能扶持一批专业户，建有固定的联系村和联系户。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查看资料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调查走访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管理规范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学校基地实体管理规范，能发挥示范作用。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引进良种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年内引进新品种2项以上，至少一项成功项目，并有创收。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信息上报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年内报送5篇以上信息。至少有一篇在区级以上刊发。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B</w:t>
            </w:r>
            <w:r>
              <w:rPr>
                <w:rFonts w:ascii="楷体" w:hAnsi="楷体" w:eastAsia="楷体"/>
                <w:sz w:val="24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经验推广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能大面积推广引进成功品种，效益突出。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2分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widowControl/>
        <w:adjustRightInd w:val="0"/>
        <w:snapToGrid w:val="0"/>
        <w:spacing w:line="560" w:lineRule="exact"/>
        <w:jc w:val="center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6190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ZDllYjcyZGMzNzBmZjhjZDEwNDhiN2UwNDFlMmUifQ=="/>
  </w:docVars>
  <w:rsids>
    <w:rsidRoot w:val="0025393F"/>
    <w:rsid w:val="0002684F"/>
    <w:rsid w:val="00026D16"/>
    <w:rsid w:val="0002750F"/>
    <w:rsid w:val="000458F6"/>
    <w:rsid w:val="00050AD1"/>
    <w:rsid w:val="0006449E"/>
    <w:rsid w:val="00072C3C"/>
    <w:rsid w:val="000823B4"/>
    <w:rsid w:val="0008464E"/>
    <w:rsid w:val="000D6A6A"/>
    <w:rsid w:val="000F5089"/>
    <w:rsid w:val="00124851"/>
    <w:rsid w:val="001407E8"/>
    <w:rsid w:val="001462E7"/>
    <w:rsid w:val="00190603"/>
    <w:rsid w:val="00194231"/>
    <w:rsid w:val="00197722"/>
    <w:rsid w:val="001A007E"/>
    <w:rsid w:val="001A2C3C"/>
    <w:rsid w:val="001B2228"/>
    <w:rsid w:val="001C0879"/>
    <w:rsid w:val="001D4C1F"/>
    <w:rsid w:val="001D74B7"/>
    <w:rsid w:val="001E6D78"/>
    <w:rsid w:val="00221D74"/>
    <w:rsid w:val="0022620E"/>
    <w:rsid w:val="0023522B"/>
    <w:rsid w:val="0024220A"/>
    <w:rsid w:val="0025393F"/>
    <w:rsid w:val="00256C1E"/>
    <w:rsid w:val="00257B2F"/>
    <w:rsid w:val="00280444"/>
    <w:rsid w:val="00293692"/>
    <w:rsid w:val="002A643E"/>
    <w:rsid w:val="002B40B8"/>
    <w:rsid w:val="002C00FF"/>
    <w:rsid w:val="002C1285"/>
    <w:rsid w:val="002C6E63"/>
    <w:rsid w:val="002D2C2B"/>
    <w:rsid w:val="002D3BBE"/>
    <w:rsid w:val="002D41EB"/>
    <w:rsid w:val="002E25BD"/>
    <w:rsid w:val="002F0182"/>
    <w:rsid w:val="003037C7"/>
    <w:rsid w:val="003042A6"/>
    <w:rsid w:val="003103E0"/>
    <w:rsid w:val="0032507C"/>
    <w:rsid w:val="00334A73"/>
    <w:rsid w:val="00351124"/>
    <w:rsid w:val="0035129D"/>
    <w:rsid w:val="00365D7C"/>
    <w:rsid w:val="00366B66"/>
    <w:rsid w:val="00367EB4"/>
    <w:rsid w:val="00377203"/>
    <w:rsid w:val="003A2021"/>
    <w:rsid w:val="003B76DE"/>
    <w:rsid w:val="003C3AD6"/>
    <w:rsid w:val="003F0A2C"/>
    <w:rsid w:val="003F552A"/>
    <w:rsid w:val="004103D8"/>
    <w:rsid w:val="00416EAF"/>
    <w:rsid w:val="00423C08"/>
    <w:rsid w:val="004322FF"/>
    <w:rsid w:val="00437850"/>
    <w:rsid w:val="00450C90"/>
    <w:rsid w:val="00451876"/>
    <w:rsid w:val="0045790C"/>
    <w:rsid w:val="004623AA"/>
    <w:rsid w:val="00482F0A"/>
    <w:rsid w:val="004B4397"/>
    <w:rsid w:val="004C2EFC"/>
    <w:rsid w:val="004C568F"/>
    <w:rsid w:val="004C77F0"/>
    <w:rsid w:val="004C7AF8"/>
    <w:rsid w:val="004D2CAC"/>
    <w:rsid w:val="004D34B9"/>
    <w:rsid w:val="004D49F7"/>
    <w:rsid w:val="004E507C"/>
    <w:rsid w:val="004F4E53"/>
    <w:rsid w:val="005073F0"/>
    <w:rsid w:val="005075AE"/>
    <w:rsid w:val="0051435D"/>
    <w:rsid w:val="0051716E"/>
    <w:rsid w:val="00525356"/>
    <w:rsid w:val="00526EC7"/>
    <w:rsid w:val="00531B2F"/>
    <w:rsid w:val="00542B0A"/>
    <w:rsid w:val="005544BD"/>
    <w:rsid w:val="00557C0B"/>
    <w:rsid w:val="00563EA5"/>
    <w:rsid w:val="00573E70"/>
    <w:rsid w:val="00576B1D"/>
    <w:rsid w:val="0058073E"/>
    <w:rsid w:val="005C2E91"/>
    <w:rsid w:val="005D12AB"/>
    <w:rsid w:val="00601629"/>
    <w:rsid w:val="0061398B"/>
    <w:rsid w:val="006242BA"/>
    <w:rsid w:val="00634399"/>
    <w:rsid w:val="00640399"/>
    <w:rsid w:val="006575E1"/>
    <w:rsid w:val="00666421"/>
    <w:rsid w:val="006B2162"/>
    <w:rsid w:val="006D6405"/>
    <w:rsid w:val="0072007C"/>
    <w:rsid w:val="00725618"/>
    <w:rsid w:val="00727BBB"/>
    <w:rsid w:val="00763C76"/>
    <w:rsid w:val="00777CFD"/>
    <w:rsid w:val="00780168"/>
    <w:rsid w:val="00783E38"/>
    <w:rsid w:val="00797038"/>
    <w:rsid w:val="007A4BA2"/>
    <w:rsid w:val="007B0B8E"/>
    <w:rsid w:val="007C3D18"/>
    <w:rsid w:val="007D119C"/>
    <w:rsid w:val="007D290E"/>
    <w:rsid w:val="007E4663"/>
    <w:rsid w:val="00825A26"/>
    <w:rsid w:val="00833D17"/>
    <w:rsid w:val="00837ECC"/>
    <w:rsid w:val="008454BC"/>
    <w:rsid w:val="00846394"/>
    <w:rsid w:val="0085232B"/>
    <w:rsid w:val="00855AA1"/>
    <w:rsid w:val="0086073F"/>
    <w:rsid w:val="00862A3D"/>
    <w:rsid w:val="00863B2D"/>
    <w:rsid w:val="00891F5F"/>
    <w:rsid w:val="008974EA"/>
    <w:rsid w:val="008A1011"/>
    <w:rsid w:val="008C15A2"/>
    <w:rsid w:val="008E3791"/>
    <w:rsid w:val="00903A48"/>
    <w:rsid w:val="0091699E"/>
    <w:rsid w:val="0092358E"/>
    <w:rsid w:val="0092430F"/>
    <w:rsid w:val="00941285"/>
    <w:rsid w:val="00944493"/>
    <w:rsid w:val="009509D1"/>
    <w:rsid w:val="009529BE"/>
    <w:rsid w:val="00967520"/>
    <w:rsid w:val="00984CFE"/>
    <w:rsid w:val="009922B3"/>
    <w:rsid w:val="0099550C"/>
    <w:rsid w:val="00997506"/>
    <w:rsid w:val="009B6DA7"/>
    <w:rsid w:val="009C1259"/>
    <w:rsid w:val="009D5911"/>
    <w:rsid w:val="00A02037"/>
    <w:rsid w:val="00A13C1D"/>
    <w:rsid w:val="00A14B69"/>
    <w:rsid w:val="00A1657A"/>
    <w:rsid w:val="00A25687"/>
    <w:rsid w:val="00A305E3"/>
    <w:rsid w:val="00A4152B"/>
    <w:rsid w:val="00A6590D"/>
    <w:rsid w:val="00A71AA7"/>
    <w:rsid w:val="00A721BF"/>
    <w:rsid w:val="00A8375D"/>
    <w:rsid w:val="00AA44CD"/>
    <w:rsid w:val="00AA66E7"/>
    <w:rsid w:val="00AB3EEC"/>
    <w:rsid w:val="00AC6EF9"/>
    <w:rsid w:val="00AF276B"/>
    <w:rsid w:val="00AF417F"/>
    <w:rsid w:val="00B12885"/>
    <w:rsid w:val="00B13B3D"/>
    <w:rsid w:val="00B22E24"/>
    <w:rsid w:val="00B30EED"/>
    <w:rsid w:val="00B36DD9"/>
    <w:rsid w:val="00B534A1"/>
    <w:rsid w:val="00B83B87"/>
    <w:rsid w:val="00BA7F3D"/>
    <w:rsid w:val="00BB2DA9"/>
    <w:rsid w:val="00BD1064"/>
    <w:rsid w:val="00BE0F93"/>
    <w:rsid w:val="00BE5A75"/>
    <w:rsid w:val="00BF54BF"/>
    <w:rsid w:val="00C07B2E"/>
    <w:rsid w:val="00C11D44"/>
    <w:rsid w:val="00C32752"/>
    <w:rsid w:val="00C43748"/>
    <w:rsid w:val="00C46508"/>
    <w:rsid w:val="00C67C0F"/>
    <w:rsid w:val="00C8787D"/>
    <w:rsid w:val="00CB7D19"/>
    <w:rsid w:val="00CF04A1"/>
    <w:rsid w:val="00CF48FE"/>
    <w:rsid w:val="00D10505"/>
    <w:rsid w:val="00D143A7"/>
    <w:rsid w:val="00D20E92"/>
    <w:rsid w:val="00D528FC"/>
    <w:rsid w:val="00D6373F"/>
    <w:rsid w:val="00D775F5"/>
    <w:rsid w:val="00D811AE"/>
    <w:rsid w:val="00D86775"/>
    <w:rsid w:val="00D94618"/>
    <w:rsid w:val="00DB3D3A"/>
    <w:rsid w:val="00DC6434"/>
    <w:rsid w:val="00DD5927"/>
    <w:rsid w:val="00DD5D68"/>
    <w:rsid w:val="00DD60D9"/>
    <w:rsid w:val="00DF22D8"/>
    <w:rsid w:val="00E12377"/>
    <w:rsid w:val="00E21917"/>
    <w:rsid w:val="00E230C1"/>
    <w:rsid w:val="00E43ABC"/>
    <w:rsid w:val="00E47955"/>
    <w:rsid w:val="00E924F2"/>
    <w:rsid w:val="00EA1645"/>
    <w:rsid w:val="00EA1C1D"/>
    <w:rsid w:val="00EA2FB9"/>
    <w:rsid w:val="00ED191E"/>
    <w:rsid w:val="00EF4C4C"/>
    <w:rsid w:val="00F11E0B"/>
    <w:rsid w:val="00F1711B"/>
    <w:rsid w:val="00F33BD8"/>
    <w:rsid w:val="00F444F9"/>
    <w:rsid w:val="00F802EF"/>
    <w:rsid w:val="00F82A32"/>
    <w:rsid w:val="00F86DA8"/>
    <w:rsid w:val="00FA3092"/>
    <w:rsid w:val="00FD3C77"/>
    <w:rsid w:val="00FE0D82"/>
    <w:rsid w:val="00FE785E"/>
    <w:rsid w:val="31F1246C"/>
    <w:rsid w:val="63EF7165"/>
    <w:rsid w:val="757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0388-BC13-44C7-B7DC-27B2E1B52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3858</Words>
  <Characters>4074</Characters>
  <Lines>38</Lines>
  <Paragraphs>10</Paragraphs>
  <TotalTime>4</TotalTime>
  <ScaleCrop>false</ScaleCrop>
  <LinksUpToDate>false</LinksUpToDate>
  <CharactersWithSpaces>4704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成鹏</cp:lastModifiedBy>
  <cp:lastPrinted>2022-09-14T13:37:00Z</cp:lastPrinted>
  <dcterms:modified xsi:type="dcterms:W3CDTF">2024-04-15T03:21:11Z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754F9B5DF9FF4D72B84F047FFCBC7E2D</vt:lpwstr>
  </property>
</Properties>
</file>