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center"/>
        <w:rPr>
          <w:rFonts w:hint="eastAsia" w:ascii="黑体" w:hAnsi="黑体" w:eastAsia="黑体" w:cs="黑体"/>
          <w:kern w:val="0"/>
          <w:sz w:val="32"/>
          <w:szCs w:val="32"/>
        </w:rPr>
      </w:pPr>
      <w:bookmarkStart w:id="2" w:name="_GoBack"/>
      <w:bookmarkEnd w:id="2"/>
    </w:p>
    <w:p>
      <w:pPr>
        <w:widowControl/>
        <w:spacing w:line="560" w:lineRule="exact"/>
        <w:jc w:val="center"/>
        <w:textAlignment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唐山市生态环境局</w:t>
      </w:r>
    </w:p>
    <w:p>
      <w:pPr>
        <w:widowControl/>
        <w:spacing w:line="560" w:lineRule="exact"/>
        <w:jc w:val="center"/>
        <w:textAlignment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行政处罚自由裁量权裁量标准（试行）</w:t>
      </w:r>
    </w:p>
    <w:p>
      <w:pPr>
        <w:widowControl/>
        <w:spacing w:line="560" w:lineRule="exact"/>
        <w:jc w:val="center"/>
        <w:textAlignment w:val="center"/>
        <w:rPr>
          <w:rFonts w:hint="eastAsia" w:ascii="方正小标宋_GBK" w:hAnsi="方正小标宋_GBK" w:eastAsia="方正小标宋_GBK" w:cs="方正小标宋_GBK"/>
          <w:kern w:val="0"/>
          <w:sz w:val="44"/>
          <w:szCs w:val="44"/>
        </w:rPr>
      </w:pPr>
    </w:p>
    <w:p>
      <w:pPr>
        <w:spacing w:line="532"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第一条  </w:t>
      </w:r>
      <w:r>
        <w:rPr>
          <w:rFonts w:hint="eastAsia" w:ascii="仿宋_GB2312" w:hAnsi="Times New Roman" w:eastAsia="仿宋_GB2312"/>
          <w:sz w:val="32"/>
          <w:szCs w:val="32"/>
        </w:rPr>
        <w:t>为推进依法行政，规范行政处罚裁量权的行使，根据《中华人民共和国行政处罚法》《生态环境行政处罚办法》《河北省行政裁量权基准制定和管理办法》《河北省生态环境行政处罚自由裁量权裁量基准》以及有关法律、法规和规章的规定，结合实际情况，制定本标准。</w:t>
      </w:r>
    </w:p>
    <w:p>
      <w:pPr>
        <w:spacing w:line="532"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第二条  </w:t>
      </w:r>
      <w:r>
        <w:rPr>
          <w:rFonts w:hint="eastAsia" w:ascii="仿宋_GB2312" w:hAnsi="Times New Roman" w:eastAsia="仿宋_GB2312"/>
          <w:sz w:val="32"/>
          <w:szCs w:val="32"/>
        </w:rPr>
        <w:t>《唐山市生态环境行政处罚自由裁量权裁量标准（试行）》(以下简称《裁量标准》)适用于唐山市生态环境系统实施行政处罚的案件。</w:t>
      </w:r>
    </w:p>
    <w:p>
      <w:pPr>
        <w:spacing w:line="532"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第三条  </w:t>
      </w:r>
      <w:r>
        <w:rPr>
          <w:rFonts w:hint="eastAsia" w:ascii="仿宋_GB2312" w:hAnsi="Times New Roman" w:eastAsia="仿宋_GB2312"/>
          <w:sz w:val="32"/>
          <w:szCs w:val="32"/>
        </w:rPr>
        <w:t>实施行政处罚裁自由裁量应遵循以下原则：</w:t>
      </w:r>
    </w:p>
    <w:p>
      <w:pPr>
        <w:spacing w:line="532"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（一）合法原则。行政处罚自由裁量权应当在法律、法规、规章确定的裁量条件、种类、范围、幅度内行使。</w:t>
      </w:r>
    </w:p>
    <w:p>
      <w:pPr>
        <w:spacing w:line="532"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（二）合理原则。行使行政处罚自由裁量权，应当符合立法目的，充分考虑、全面衡量地区经济社会发展状况、执法对象情况、危害后果等相关因素，所采取的措施和手段应当必要适当。</w:t>
      </w:r>
    </w:p>
    <w:p>
      <w:pPr>
        <w:spacing w:line="532"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（三）过罚相当原则。行使行政处罚自由裁量权，必须以事实为依据，处罚种类和幅度应当与当事人违法过错程度相适应，与环境违法行为的性质、情节以及社会危害程度相当。</w:t>
      </w:r>
    </w:p>
    <w:p>
      <w:pPr>
        <w:spacing w:line="532"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公开、公正原则。行使行政处罚自由裁量权，应当向社会公开裁量标准，向当事人告知裁量所基于的事实、理由、依据等内容；应当平等对待行政管理相对人，公平、公正实施处罚，对事实、性质、情节、后果相同的情况应当给予相同的处理。</w:t>
      </w:r>
    </w:p>
    <w:p>
      <w:pPr>
        <w:spacing w:line="560"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第四条  </w:t>
      </w:r>
      <w:r>
        <w:rPr>
          <w:rFonts w:hint="eastAsia" w:ascii="仿宋_GB2312" w:eastAsia="仿宋_GB2312"/>
          <w:sz w:val="32"/>
          <w:szCs w:val="32"/>
        </w:rPr>
        <w:t>行政处罚裁量标准采用百分比模式，根据违法行为设定的裁量因素，按照不同的情节和危害程度确定各项裁量因素的百分值。</w:t>
      </w:r>
      <w:r>
        <w:rPr>
          <w:rFonts w:hint="eastAsia" w:ascii="仿宋_GB2312" w:hAnsi="Times New Roman" w:eastAsia="仿宋_GB2312"/>
          <w:sz w:val="32"/>
          <w:szCs w:val="32"/>
        </w:rPr>
        <w:t>行使环境行政处罚裁量权，应当综合、全面考虑以下情节：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（一）违法行为造成的环境污染、生态破坏以及社会影响；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（二）违法行为当事人的主观过错程度；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（三）违法行为的具体方式或者手段；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（四）违法行为持续的时间；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（五）违法行为危害的具体对象；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（六）当事人是初次违法还是再次违法；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违法行为当事人改正违法行为的态度和所采取的改正措施及效果。</w:t>
      </w:r>
    </w:p>
    <w:p>
      <w:pPr>
        <w:spacing w:line="560"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第五条 </w:t>
      </w:r>
      <w:r>
        <w:rPr>
          <w:rFonts w:ascii="黑体" w:hAnsi="Times New Roman" w:eastAsia="黑体"/>
          <w:sz w:val="32"/>
          <w:szCs w:val="32"/>
        </w:rPr>
        <w:t xml:space="preserve"> </w:t>
      </w:r>
      <w:r>
        <w:rPr>
          <w:rFonts w:hint="eastAsia" w:ascii="仿宋_GB2312" w:hAnsi="Times New Roman" w:eastAsia="仿宋_GB2312"/>
          <w:sz w:val="32"/>
          <w:szCs w:val="32"/>
        </w:rPr>
        <w:t>生态环境部门裁定处罚金额时，首先确定裁量方式中各项要素的百分值，再进行累加，然后乘以违法行为最高法定罚款上限，最后得出具体的罚款金额（罚款金额=百分值之和×最高法定罚款上限）。</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有法定最低罚款金额的情况下，按照裁量方式得出具体的罚款金额低于法定罚款金额的，以法定最低罚款金额为限。</w:t>
      </w:r>
    </w:p>
    <w:p>
      <w:pPr>
        <w:spacing w:line="560"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第六条  </w:t>
      </w:r>
      <w:r>
        <w:rPr>
          <w:rFonts w:hint="eastAsia" w:ascii="仿宋_GB2312" w:hAnsi="Times New Roman" w:eastAsia="仿宋_GB2312"/>
          <w:sz w:val="32"/>
          <w:szCs w:val="32"/>
        </w:rPr>
        <w:t>有下列情形之一的，可以从重处罚：</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（一）两年内因同类环境违法行为被处罚3次(含3次)以上的;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（二）重污染天气预警期间违法排放大气污染物的;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（三）在案件查处中对执法人员进行威胁、辱骂、殴打、恐吓或者打击报复的;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（四）环境违法行为造成跨行政区域环境污染的: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（五）环境违法行为引起不良社会反响的;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（六）其他具有从重情节的。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对符合从重处罚条件的案件，经行政执法机构集体研究讨论后，可以在裁量表裁定的基础上增加一定的百分值，但增加的罚款金额一般不超过违法行为最高法定罚款上限的30%。从重处罚后处罚的金额应以最高的法定罚款金额为限。</w:t>
      </w:r>
    </w:p>
    <w:p>
      <w:pPr>
        <w:spacing w:line="560"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第七条</w:t>
      </w:r>
      <w:r>
        <w:rPr>
          <w:rFonts w:hint="eastAsia" w:ascii="仿宋_GB2312" w:hAnsi="Times New Roman" w:eastAsia="仿宋_GB2312"/>
          <w:sz w:val="32"/>
          <w:szCs w:val="32"/>
        </w:rPr>
        <w:t xml:space="preserve">  有下列情形之一的，应当依法从轻或者减轻处罚：</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（一）主动消除或者减轻生态环境违法行为危害后果的；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（二）受他人胁迫或者诱骗实施生态环境违法行为的；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（三）主动供述生态环境主管部门尚未掌握的生态环境违法行为的；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（四）配合生态环境主管部门查处生态环境违法行为有立功表现的；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（五）法律、法规、规章规定其他应当从轻或者减轻行政处罚的。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对符合从轻或者减轻处罚条件的案件，行政执法机构集体研究讨论后，在裁量表裁定的基础上减少一定百分值，减少的罚款金额一般不超过违法行为最高法定罚款上限的20%，且从轻处罚后的罚款金额以最低的法定罚款金额为限。</w:t>
      </w:r>
    </w:p>
    <w:p>
      <w:pPr>
        <w:spacing w:line="560" w:lineRule="exact"/>
        <w:ind w:firstLine="640" w:firstLineChars="200"/>
        <w:rPr>
          <w:rFonts w:hint="eastAsia" w:ascii="仿宋_GB2312" w:hAnsi="Times New Roman" w:eastAsia="仿宋_GB2312"/>
          <w:sz w:val="32"/>
          <w:szCs w:val="32"/>
        </w:rPr>
      </w:pPr>
      <w:r>
        <w:rPr>
          <w:rFonts w:hint="eastAsia" w:ascii="黑体" w:hAnsi="黑体" w:eastAsia="黑体"/>
          <w:sz w:val="32"/>
          <w:szCs w:val="32"/>
        </w:rPr>
        <w:t xml:space="preserve">第八条  </w:t>
      </w:r>
      <w:r>
        <w:rPr>
          <w:rFonts w:hint="eastAsia" w:ascii="仿宋_GB2312" w:hAnsi="Times New Roman" w:eastAsia="仿宋_GB2312"/>
          <w:sz w:val="32"/>
          <w:szCs w:val="32"/>
        </w:rPr>
        <w:t>违法行为轻微并及时改正，没有造成危害后果的，不予行政处罚。初次违法且危害后果轻微并及时改正的，可以不予行政处罚。</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当事人有证据足以证明没有主观过错的，不予行政处罚。法律、行政法规另有规定的，从其规定。</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对当事人的违法行为依法不予行政处罚的，生态环境部门应当对当事人进行教育。</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不予行政处罚的情形参照《唐山市生态环境轻微违法行为不予行政处罚事项清单》。</w:t>
      </w:r>
    </w:p>
    <w:p>
      <w:pPr>
        <w:spacing w:line="560" w:lineRule="exact"/>
        <w:ind w:firstLine="640" w:firstLineChars="200"/>
        <w:rPr>
          <w:rFonts w:hint="eastAsia" w:ascii="仿宋_GB2312" w:hAnsi="Times New Roman" w:eastAsia="仿宋_GB2312"/>
          <w:sz w:val="32"/>
          <w:szCs w:val="32"/>
        </w:rPr>
      </w:pPr>
      <w:r>
        <w:rPr>
          <w:rFonts w:hint="eastAsia" w:ascii="黑体" w:hAnsi="黑体" w:eastAsia="黑体"/>
          <w:bCs/>
          <w:sz w:val="32"/>
          <w:szCs w:val="32"/>
        </w:rPr>
        <w:t xml:space="preserve">第九条  </w:t>
      </w:r>
      <w:r>
        <w:rPr>
          <w:rFonts w:hint="eastAsia" w:ascii="仿宋_GB2312" w:hAnsi="Times New Roman" w:eastAsia="仿宋_GB2312"/>
          <w:sz w:val="32"/>
          <w:szCs w:val="32"/>
        </w:rPr>
        <w:t>不予行政处罚案件按照以下程序实施：</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对生态环境违法行为应当依法全面、客观、公正调查取证。生态环境部门调查发现符合立案条件的环境违法行为，应当立案并依法开展调查取证。对于符合不予行政处罚条件的，应当在调查终结后提出不予行政处罚的理由、证据和建议。</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（二）对符合不予行政处罚条件的环境违法行为，生态环境部门应当加强督促指导，确保环境违法行为整改到位。</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（三）对于当场能够及时改正的不予行政处罚问题，要留存影像资料，记录整改过程，同时督促当事人签署《承诺书》，防止类似问题再次出现，做好资料归档备案。</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（四）对现场检查时环境违法行为未立即整改到位的，生态环境部门应当下达《责令改正违法行为决定书》，责令当事人限期改正环境违法行为，并督促当事人现场签署承诺书，合理确定改正期限。</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对于需要一定整改期限的不予行政处罚问题，要严格履行立案调查程序，依照法定权限和程序执法，规范行使行政处罚自由裁量权，经集体研究讨论后作出不予行政处罚决定，阐明不予行政处罚的事实、证据、依据和理由。</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（五）生态环境部门应当按照行政执法全过程记录的要求，做好调查取证、集体审议过程的记录，做好违法行为证据和案件审批过程记录等案卷材料的整理归档工作，确保有据可查。</w:t>
      </w:r>
    </w:p>
    <w:p>
      <w:pPr>
        <w:spacing w:line="560" w:lineRule="exact"/>
        <w:ind w:firstLine="640" w:firstLineChars="200"/>
        <w:rPr>
          <w:rFonts w:hint="eastAsia" w:ascii="仿宋_GB2312" w:hAnsi="Times New Roman" w:eastAsia="仿宋_GB2312"/>
          <w:bCs/>
          <w:sz w:val="32"/>
          <w:szCs w:val="32"/>
        </w:rPr>
      </w:pPr>
      <w:r>
        <w:rPr>
          <w:rFonts w:hint="eastAsia" w:ascii="黑体" w:hAnsi="黑体" w:eastAsia="黑体"/>
          <w:bCs/>
          <w:sz w:val="32"/>
          <w:szCs w:val="32"/>
        </w:rPr>
        <w:t xml:space="preserve">第十条  </w:t>
      </w:r>
      <w:r>
        <w:rPr>
          <w:rFonts w:hint="eastAsia" w:ascii="仿宋_GB2312" w:hAnsi="Times New Roman" w:eastAsia="仿宋_GB2312"/>
          <w:bCs/>
          <w:sz w:val="32"/>
          <w:szCs w:val="32"/>
        </w:rPr>
        <w:t>环境违法行为对社会影响或生态破坏的程度主要从以下几个方面判定：</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（一）环境违法行为是否造成跨行政区域环境污染；</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（二）环境违法行为是否引起不良社会反响造成群众举报投诉；</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（三）环境违法行为是否造成舆论影响；</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（四）污染物排放去向是否为一、二类功能区或饮用水水源保护区或Ⅰ、Ⅱ、Ⅲ类水体；</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（五）企业的规模大小、经济承受度；</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（六）是否造成土壤、植被、水体、景观等生态环境污染或破坏；</w:t>
      </w:r>
    </w:p>
    <w:p>
      <w:pPr>
        <w:spacing w:line="560" w:lineRule="exact"/>
        <w:ind w:firstLine="640" w:firstLineChars="200"/>
        <w:rPr>
          <w:rFonts w:hint="eastAsia" w:ascii="仿宋_GB2312" w:hAnsi="Times New Roman" w:eastAsia="仿宋_GB2312"/>
          <w:bCs/>
          <w:sz w:val="32"/>
          <w:szCs w:val="32"/>
        </w:rPr>
      </w:pPr>
      <w:r>
        <w:rPr>
          <w:rFonts w:hint="eastAsia" w:ascii="仿宋_GB2312" w:hAnsi="Times New Roman" w:eastAsia="仿宋_GB2312"/>
          <w:bCs/>
          <w:sz w:val="32"/>
          <w:szCs w:val="32"/>
        </w:rPr>
        <w:t>（七）其他造成社会影响或生态破坏的情形。</w:t>
      </w:r>
    </w:p>
    <w:p>
      <w:pPr>
        <w:spacing w:line="560" w:lineRule="exact"/>
        <w:ind w:firstLine="640" w:firstLineChars="200"/>
        <w:rPr>
          <w:rFonts w:hint="eastAsia" w:ascii="仿宋_GB2312" w:hAnsi="Times New Roman" w:eastAsia="仿宋_GB2312"/>
          <w:sz w:val="32"/>
          <w:szCs w:val="32"/>
        </w:rPr>
      </w:pPr>
      <w:r>
        <w:rPr>
          <w:rFonts w:hint="eastAsia" w:ascii="黑体" w:hAnsi="黑体" w:eastAsia="黑体"/>
          <w:bCs/>
          <w:sz w:val="32"/>
          <w:szCs w:val="32"/>
        </w:rPr>
        <w:t xml:space="preserve">第十一条  </w:t>
      </w:r>
      <w:r>
        <w:rPr>
          <w:rFonts w:hint="eastAsia" w:ascii="仿宋_GB2312" w:hAnsi="Times New Roman" w:eastAsia="仿宋_GB2312"/>
          <w:sz w:val="32"/>
          <w:szCs w:val="32"/>
        </w:rPr>
        <w:t>同一时期内，对违法事实的性质、情节及社会危害程度相类似的同一类型案件，行使行政处罚自由裁量权时，适用的法律依据、处罚种类及幅度应当基本相同。</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同时具有从重、从轻情节的，应综合考虑，根据主要情节适用处罚。对不予行政处罚、从轻或者减轻行政处罚、从重行政处罚的，应当在案卷中附具理由。</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同一违法行为，不得给予两次以上罚款的行政处罚。同一违法行为违反多个法律规范应当给予罚款处罚的，按照罚款数额高的规定执行。</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实施两个以上环境违法行为，且违法行为之间存在必然牵连关系的，应当选择处罚较重的违法行为予以认定，并给予处罚。</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实施两个以上环境违法行为，且违法行为之间不存在必然牵连关系的，应当对每个违法行为分别依法给予相应处罚。</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执法人员在案件调查取证时，应当全面调取有关环境违法行为和情节的证据，在提交环境行政处罚案件调查材料前，应当在作出行政处罚决定前对违法整改情况及时开展复查，根据裁量方式提出行政处罚的具体建议，经集体讨论确定最终罚款金额。</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违法频次是指被处罚主体一年内所有生态环境违法行为的被处罚次数。</w:t>
      </w:r>
      <w:r>
        <w:rPr>
          <w:rFonts w:ascii="仿宋_GB2312" w:hAnsi="Times New Roman" w:eastAsia="仿宋_GB2312"/>
          <w:sz w:val="32"/>
          <w:szCs w:val="32"/>
        </w:rPr>
        <w:t>一年内</w:t>
      </w:r>
      <w:r>
        <w:rPr>
          <w:rFonts w:hint="eastAsia" w:ascii="仿宋_GB2312" w:hAnsi="Times New Roman" w:eastAsia="仿宋_GB2312"/>
          <w:sz w:val="32"/>
          <w:szCs w:val="32"/>
        </w:rPr>
        <w:t>被</w:t>
      </w:r>
      <w:r>
        <w:rPr>
          <w:rFonts w:ascii="仿宋_GB2312" w:hAnsi="Times New Roman" w:eastAsia="仿宋_GB2312"/>
          <w:sz w:val="32"/>
          <w:szCs w:val="32"/>
        </w:rPr>
        <w:t>处罚主体</w:t>
      </w:r>
      <w:r>
        <w:rPr>
          <w:rFonts w:hint="eastAsia" w:ascii="仿宋_GB2312" w:hAnsi="Times New Roman" w:eastAsia="仿宋_GB2312"/>
          <w:sz w:val="32"/>
          <w:szCs w:val="32"/>
        </w:rPr>
        <w:t>的</w:t>
      </w:r>
      <w:r>
        <w:rPr>
          <w:rFonts w:ascii="仿宋_GB2312" w:hAnsi="Times New Roman" w:eastAsia="仿宋_GB2312"/>
          <w:sz w:val="32"/>
          <w:szCs w:val="32"/>
        </w:rPr>
        <w:t>违法次数，</w:t>
      </w:r>
      <w:r>
        <w:rPr>
          <w:rFonts w:hint="eastAsia" w:ascii="仿宋_GB2312" w:hAnsi="Times New Roman" w:eastAsia="仿宋_GB2312"/>
          <w:sz w:val="32"/>
          <w:szCs w:val="32"/>
        </w:rPr>
        <w:t>计算起始日期从</w:t>
      </w:r>
      <w:r>
        <w:rPr>
          <w:rFonts w:ascii="仿宋_GB2312" w:hAnsi="Times New Roman" w:eastAsia="仿宋_GB2312"/>
          <w:sz w:val="32"/>
          <w:szCs w:val="32"/>
        </w:rPr>
        <w:t>违法行为发生之日起计算</w:t>
      </w:r>
      <w:r>
        <w:rPr>
          <w:rFonts w:hint="eastAsia" w:ascii="仿宋_GB2312" w:hAnsi="Times New Roman" w:eastAsia="仿宋_GB2312"/>
          <w:sz w:val="32"/>
          <w:szCs w:val="32"/>
        </w:rPr>
        <w:t>。</w:t>
      </w:r>
    </w:p>
    <w:p>
      <w:pPr>
        <w:tabs>
          <w:tab w:val="center" w:pos="4742"/>
        </w:tabs>
        <w:spacing w:line="560"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第十二条  </w:t>
      </w:r>
      <w:r>
        <w:rPr>
          <w:rFonts w:hint="eastAsia" w:ascii="仿宋_GB2312" w:hAnsi="Times New Roman" w:eastAsia="仿宋_GB2312"/>
          <w:sz w:val="32"/>
          <w:szCs w:val="32"/>
        </w:rPr>
        <w:t>在告知当事人环境行政处罚有关违法事实、证据、处罚依据时，应一并告知行政处罚裁量权的适用依据及其陈述申辩权利。当事人陈述申辩时对处罚裁量适用提出异议的，应当对异议情况进行核查并对合理意见予以采纳，不得因当事人的陈述申辩而加重处罚。</w:t>
      </w:r>
    </w:p>
    <w:p>
      <w:pPr>
        <w:tabs>
          <w:tab w:val="center" w:pos="4742"/>
        </w:tabs>
        <w:spacing w:line="560" w:lineRule="exact"/>
        <w:ind w:firstLine="640" w:firstLineChars="200"/>
        <w:rPr>
          <w:rFonts w:hint="eastAsia" w:ascii="仿宋_GB2312" w:hAnsi="Times New Roman" w:eastAsia="仿宋_GB2312"/>
          <w:sz w:val="32"/>
          <w:szCs w:val="32"/>
        </w:rPr>
      </w:pPr>
      <w:r>
        <w:rPr>
          <w:rFonts w:hint="eastAsia" w:ascii="黑体" w:hAnsi="Times New Roman" w:eastAsia="黑体"/>
          <w:sz w:val="32"/>
          <w:szCs w:val="32"/>
        </w:rPr>
        <w:t xml:space="preserve">第十三条  </w:t>
      </w:r>
      <w:r>
        <w:rPr>
          <w:rFonts w:hint="eastAsia" w:ascii="仿宋_GB2312" w:hAnsi="Times New Roman" w:eastAsia="仿宋_GB2312"/>
          <w:sz w:val="32"/>
          <w:szCs w:val="32"/>
        </w:rPr>
        <w:t>作出行政处罚决定时，应当在处罚决定书中载明行政处罚裁量的适用依据和理由，以及对当事人关于裁量的陈述申辩意见的采纳情况和理由。</w:t>
      </w:r>
    </w:p>
    <w:p>
      <w:pPr>
        <w:tabs>
          <w:tab w:val="center" w:pos="4742"/>
        </w:tabs>
        <w:spacing w:line="560" w:lineRule="exact"/>
        <w:ind w:firstLine="640" w:firstLineChars="200"/>
        <w:rPr>
          <w:rFonts w:hint="eastAsia" w:ascii="仿宋_GB2312" w:hAnsi="仿宋_GB2312" w:eastAsia="仿宋_GB2312" w:cs="仿宋_GB2312"/>
          <w:sz w:val="32"/>
          <w:szCs w:val="32"/>
        </w:rPr>
      </w:pPr>
      <w:r>
        <w:rPr>
          <w:rFonts w:hint="eastAsia" w:ascii="黑体" w:hAnsi="Times New Roman" w:eastAsia="黑体"/>
          <w:sz w:val="32"/>
          <w:szCs w:val="32"/>
        </w:rPr>
        <w:t xml:space="preserve">第十四条  </w:t>
      </w:r>
      <w:r>
        <w:rPr>
          <w:rFonts w:hint="eastAsia" w:ascii="仿宋_GB2312" w:hAnsi="仿宋_GB2312" w:eastAsia="仿宋_GB2312" w:cs="仿宋_GB2312"/>
          <w:sz w:val="32"/>
          <w:szCs w:val="32"/>
        </w:rPr>
        <w:t>生态环境部门要严格落实“双随机、一公开”监管工作规定，对照问题线索，一次性检查到位，切实减少对企业正常生产经营活动的干扰。严禁随意开展未经批准的执法活动，杜绝随意执法、多头执法、重复执法等行为，提高执法规范性。</w:t>
      </w:r>
    </w:p>
    <w:p>
      <w:pPr>
        <w:tabs>
          <w:tab w:val="center" w:pos="4742"/>
        </w:tabs>
        <w:spacing w:line="560" w:lineRule="exact"/>
        <w:ind w:firstLine="640" w:firstLineChars="200"/>
        <w:rPr>
          <w:rFonts w:hint="eastAsia" w:ascii="仿宋_GB2312" w:hAnsi="仿宋_GB2312" w:eastAsia="仿宋_GB2312" w:cs="仿宋_GB2312"/>
          <w:sz w:val="32"/>
          <w:szCs w:val="32"/>
        </w:rPr>
      </w:pPr>
      <w:r>
        <w:rPr>
          <w:rFonts w:hint="eastAsia" w:ascii="黑体" w:hAnsi="Times New Roman" w:eastAsia="黑体"/>
          <w:sz w:val="32"/>
          <w:szCs w:val="32"/>
        </w:rPr>
        <w:t xml:space="preserve">第十五条  </w:t>
      </w:r>
      <w:r>
        <w:rPr>
          <w:rFonts w:hint="eastAsia" w:ascii="仿宋_GB2312" w:hAnsi="Times New Roman" w:eastAsia="仿宋_GB2312"/>
          <w:sz w:val="32"/>
          <w:szCs w:val="32"/>
        </w:rPr>
        <w:t>法律、法规和规章对环境行政处罚裁量权另有规定的，</w:t>
      </w:r>
      <w:r>
        <w:rPr>
          <w:rFonts w:hint="eastAsia" w:ascii="仿宋_GB2312" w:hAnsi="仿宋_GB2312" w:eastAsia="仿宋_GB2312" w:cs="仿宋_GB2312"/>
          <w:sz w:val="32"/>
          <w:szCs w:val="32"/>
        </w:rPr>
        <w:t>从其规定。</w:t>
      </w:r>
    </w:p>
    <w:p>
      <w:pPr>
        <w:tabs>
          <w:tab w:val="center" w:pos="4742"/>
        </w:tabs>
        <w:spacing w:line="56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sz w:val="32"/>
          <w:szCs w:val="32"/>
        </w:rPr>
        <w:t>未列入本裁量标准的环境违法行为，参照本裁量标准制定的通用裁量表综合裁量。</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黑体" w:hAnsi="Times New Roman" w:eastAsia="黑体"/>
          <w:sz w:val="32"/>
          <w:szCs w:val="32"/>
        </w:rPr>
        <w:t>第十六条</w:t>
      </w:r>
      <w:r>
        <w:rPr>
          <w:rFonts w:hint="eastAsia" w:ascii="仿宋_GB2312" w:hAnsi="Times New Roman" w:eastAsia="仿宋_GB2312"/>
          <w:sz w:val="32"/>
          <w:szCs w:val="32"/>
        </w:rPr>
        <w:t xml:space="preserve">  本裁量标准自印发之日起施行，有效期五年。《关于印发〈唐山市生态环境局环境行政处罚自由裁量权裁量标准（试行）〉的通知》（唐环发〔2021〕13号）同时废止。</w:t>
      </w:r>
    </w:p>
    <w:p>
      <w:pPr>
        <w:widowControl/>
        <w:tabs>
          <w:tab w:val="left" w:pos="2860"/>
        </w:tabs>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widowControl/>
        <w:jc w:val="center"/>
        <w:textAlignment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目  录</w:t>
      </w:r>
    </w:p>
    <w:p>
      <w:pPr>
        <w:widowControl/>
        <w:jc w:val="center"/>
        <w:textAlignment w:val="center"/>
        <w:rPr>
          <w:rFonts w:hint="eastAsia" w:ascii="仿宋_GB2312" w:hAnsi="仿宋_GB2312" w:eastAsia="仿宋_GB2312" w:cs="仿宋_GB2312"/>
          <w:kern w:val="0"/>
          <w:sz w:val="32"/>
          <w:szCs w:val="32"/>
        </w:rPr>
      </w:pPr>
    </w:p>
    <w:p>
      <w:pPr>
        <w:widowControl/>
        <w:tabs>
          <w:tab w:val="right" w:leader="dot" w:pos="8820"/>
        </w:tabs>
        <w:spacing w:line="360" w:lineRule="auto"/>
        <w:jc w:val="center"/>
        <w:textAlignment w:val="center"/>
        <w:rPr>
          <w:rFonts w:hint="eastAsia" w:ascii="仿宋_GB2312" w:hAnsi="仿宋_GB2312" w:eastAsia="仿宋_GB2312" w:cs="仿宋_GB2312"/>
          <w:kern w:val="0"/>
          <w:sz w:val="32"/>
          <w:szCs w:val="32"/>
        </w:rPr>
      </w:pPr>
    </w:p>
    <w:p>
      <w:pPr>
        <w:widowControl/>
        <w:numPr>
          <w:ilvl w:val="0"/>
          <w:numId w:val="1"/>
        </w:numPr>
        <w:tabs>
          <w:tab w:val="right" w:leader="dot" w:pos="9030"/>
        </w:tabs>
        <w:spacing w:line="360" w:lineRule="auto"/>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环评类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1</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（二）排污许可管理类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12</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（三）大气类</w:t>
      </w:r>
      <w:r>
        <w:rPr>
          <w:rFonts w:hint="eastAsia" w:ascii="仿宋_GB2312" w:hAnsi="仿宋_GB2312" w:eastAsia="仿宋_GB2312" w:cs="仿宋_GB2312"/>
          <w:kern w:val="0"/>
          <w:sz w:val="32"/>
          <w:szCs w:val="32"/>
        </w:rPr>
        <w:tab/>
      </w:r>
      <w:r>
        <w:rPr>
          <w:rFonts w:ascii="仿宋_GB2312" w:hAnsi="仿宋_GB2312" w:eastAsia="仿宋_GB2312" w:cs="仿宋_GB2312"/>
          <w:kern w:val="0"/>
          <w:sz w:val="32"/>
          <w:szCs w:val="32"/>
        </w:rPr>
        <w:t>39</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（四）水  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9</w:t>
      </w:r>
      <w:r>
        <w:rPr>
          <w:rFonts w:ascii="仿宋_GB2312" w:hAnsi="仿宋_GB2312" w:eastAsia="仿宋_GB2312" w:cs="仿宋_GB2312"/>
          <w:kern w:val="0"/>
          <w:sz w:val="32"/>
          <w:szCs w:val="32"/>
        </w:rPr>
        <w:t>0</w:t>
      </w:r>
    </w:p>
    <w:p>
      <w:pPr>
        <w:widowControl/>
        <w:tabs>
          <w:tab w:val="right" w:leader="dot" w:pos="9030"/>
        </w:tabs>
        <w:spacing w:line="360" w:lineRule="auto"/>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（五）土壤类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120</w:t>
      </w:r>
    </w:p>
    <w:p>
      <w:pPr>
        <w:widowControl/>
        <w:tabs>
          <w:tab w:val="right" w:leader="dot" w:pos="9030"/>
        </w:tabs>
        <w:spacing w:line="360" w:lineRule="auto"/>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（六）固废类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4</w:t>
      </w:r>
    </w:p>
    <w:p>
      <w:pPr>
        <w:widowControl/>
        <w:tabs>
          <w:tab w:val="right" w:leader="dot" w:pos="9030"/>
        </w:tabs>
        <w:spacing w:line="360" w:lineRule="auto"/>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（七）噪声类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201</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（八）海洋类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209</w:t>
      </w:r>
    </w:p>
    <w:p>
      <w:pPr>
        <w:widowControl/>
        <w:tabs>
          <w:tab w:val="right" w:leader="dot" w:pos="9030"/>
        </w:tabs>
        <w:spacing w:line="360" w:lineRule="auto"/>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（九）辐射类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211</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（十）其他类</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239</w:t>
      </w:r>
    </w:p>
    <w:p>
      <w:pPr>
        <w:widowControl/>
        <w:tabs>
          <w:tab w:val="right" w:leader="dot" w:pos="9030"/>
        </w:tabs>
        <w:spacing w:line="360" w:lineRule="auto"/>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（十一）唐山市大气污染防治若干规定</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272</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（十二）唐山市集中式饮用水水源地保护管理条例</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286</w:t>
      </w:r>
    </w:p>
    <w:p>
      <w:pPr>
        <w:widowControl/>
        <w:tabs>
          <w:tab w:val="right" w:leader="dot" w:pos="9030"/>
        </w:tabs>
        <w:spacing w:line="360" w:lineRule="auto"/>
        <w:jc w:val="lef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（十三）唐山市生态环境保护条例</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290</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（十四）通用裁量表</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295</w:t>
      </w:r>
    </w:p>
    <w:p>
      <w:pPr>
        <w:widowControl/>
        <w:tabs>
          <w:tab w:val="right" w:leader="dot" w:pos="9030"/>
        </w:tabs>
        <w:spacing w:line="360" w:lineRule="auto"/>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（十五）唐山市生态环境轻微违法行为不予行政处罚事项清单</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296</w:t>
      </w:r>
    </w:p>
    <w:p>
      <w:pPr>
        <w:widowControl/>
        <w:jc w:val="left"/>
        <w:textAlignment w:val="center"/>
        <w:rPr>
          <w:rFonts w:ascii="仿宋_GB2312" w:hAnsi="仿宋_GB2312" w:eastAsia="仿宋_GB2312" w:cs="仿宋_GB2312"/>
          <w:kern w:val="0"/>
          <w:sz w:val="32"/>
          <w:szCs w:val="32"/>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spacing w:line="560" w:lineRule="exact"/>
        <w:jc w:val="center"/>
        <w:textAlignment w:val="center"/>
        <w:rPr>
          <w:rFonts w:hint="eastAsia" w:ascii="方正小标宋简体" w:hAnsi="方正小标宋简体" w:eastAsia="方正小标宋简体" w:cs="方正小标宋简体"/>
          <w:kern w:val="0"/>
          <w:sz w:val="40"/>
          <w:szCs w:val="40"/>
        </w:rPr>
        <w:sectPr>
          <w:pgSz w:w="11906" w:h="16838"/>
          <w:pgMar w:top="1429" w:right="1417" w:bottom="1247" w:left="1417" w:header="0" w:footer="958" w:gutter="0"/>
          <w:pgNumType w:fmt="numberInDash"/>
          <w:cols w:space="720" w:num="1"/>
        </w:sectPr>
      </w:pPr>
    </w:p>
    <w:tbl>
      <w:tblPr>
        <w:tblStyle w:val="9"/>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769"/>
        <w:gridCol w:w="793"/>
        <w:gridCol w:w="342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9" w:hRule="atLeast"/>
        </w:trPr>
        <w:tc>
          <w:tcPr>
            <w:tcW w:w="9050" w:type="dxa"/>
            <w:gridSpan w:val="5"/>
            <w:noWrap w:val="0"/>
            <w:vAlign w:val="center"/>
          </w:tcPr>
          <w:p>
            <w:pPr>
              <w:widowControl/>
              <w:spacing w:line="560" w:lineRule="exact"/>
              <w:jc w:val="center"/>
              <w:textAlignment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0" w:hRule="atLeast"/>
        </w:trPr>
        <w:tc>
          <w:tcPr>
            <w:tcW w:w="146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81"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1469"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81" w:type="dxa"/>
            <w:gridSpan w:val="4"/>
            <w:noWrap w:val="0"/>
            <w:vAlign w:val="center"/>
          </w:tcPr>
          <w:p>
            <w:pPr>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建设单位未依法报批建设项目环境影响报告书、报告表，或者未依照规定重新报批或者报请重新审核环境影响报告书、报告表，擅自开工建设的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146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81" w:type="dxa"/>
            <w:gridSpan w:val="4"/>
            <w:noWrap w:val="0"/>
            <w:vAlign w:val="center"/>
          </w:tcPr>
          <w:p>
            <w:pPr>
              <w:adjustRightInd w:val="0"/>
              <w:snapToGrid w:val="0"/>
              <w:spacing w:line="34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《中华人民共和国环境影响评价法》</w:t>
            </w: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第二十二条 第一款 </w:t>
            </w:r>
            <w:r>
              <w:rPr>
                <w:rFonts w:hint="eastAsia" w:ascii="仿宋_GB2312" w:hAnsi="仿宋_GB2312" w:eastAsia="仿宋_GB2312" w:cs="仿宋_GB2312"/>
                <w:sz w:val="24"/>
                <w:szCs w:val="32"/>
              </w:rPr>
              <w:t>建设项目的环境影响报告书、报告表，由建设单位按照国务院的规定报有审批权的生态环境主管部门审批。</w:t>
            </w: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第二十四条</w:t>
            </w:r>
            <w:r>
              <w:rPr>
                <w:rFonts w:hint="eastAsia" w:ascii="仿宋_GB2312" w:hAnsi="仿宋_GB2312" w:eastAsia="仿宋_GB2312" w:cs="仿宋_GB2312"/>
                <w:sz w:val="24"/>
                <w:szCs w:val="32"/>
              </w:rPr>
              <w:t xml:space="preserve"> 建设项目的环境影响评价文件经批准后，建设项目的性质、规模、地点、采用的生产工艺或者防治污染、防止生态破坏的措施发生重大变动的，建设单位应当重新报批建设项目的环境影响评价文件。</w:t>
            </w: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第二十五条</w:t>
            </w:r>
            <w:r>
              <w:rPr>
                <w:rFonts w:hint="eastAsia" w:ascii="仿宋_GB2312" w:hAnsi="仿宋_GB2312" w:eastAsia="仿宋_GB2312" w:cs="仿宋_GB2312"/>
                <w:sz w:val="24"/>
                <w:szCs w:val="32"/>
              </w:rPr>
              <w:t xml:space="preserve"> 建设项目的环境影响评价文件未依法经审批部门审查或者审查后未予批准的，建设单位不得开工建设。</w:t>
            </w:r>
          </w:p>
          <w:p>
            <w:pPr>
              <w:adjustRightInd w:val="0"/>
              <w:snapToGrid w:val="0"/>
              <w:spacing w:line="340" w:lineRule="exact"/>
              <w:jc w:val="left"/>
              <w:rPr>
                <w:rFonts w:hint="eastAsia" w:ascii="仿宋_GB2312" w:hAnsi="仿宋_GB2312" w:eastAsia="仿宋_GB2312" w:cs="仿宋_GB2312"/>
                <w:sz w:val="24"/>
                <w:szCs w:val="32"/>
              </w:rPr>
            </w:pP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《中华人民共和国环境影响评价法》</w:t>
            </w:r>
          </w:p>
          <w:p>
            <w:pPr>
              <w:adjustRightInd w:val="0"/>
              <w:snapToGrid w:val="0"/>
              <w:spacing w:line="34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第三十一条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建设项目环境影响报告书、报告表未经批准或者未经原审批部门重新审核同意，建设单位擅自开工建设的，依照前款的规定处罚、处分。</w:t>
            </w:r>
          </w:p>
          <w:p>
            <w:pPr>
              <w:adjustRightInd w:val="0"/>
              <w:snapToGrid w:val="0"/>
              <w:spacing w:line="340" w:lineRule="exact"/>
              <w:jc w:val="left"/>
              <w:rPr>
                <w:rFonts w:hint="eastAsia" w:ascii="仿宋_GB2312" w:hAnsi="仿宋_GB2312" w:eastAsia="仿宋_GB2312" w:cs="仿宋_GB2312"/>
                <w:sz w:val="24"/>
                <w:szCs w:val="32"/>
              </w:rPr>
            </w:pPr>
          </w:p>
          <w:p>
            <w:pPr>
              <w:adjustRightInd w:val="0"/>
              <w:snapToGrid w:val="0"/>
              <w:spacing w:line="34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《河北省生态环境保护条例》</w:t>
            </w: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第七十一条 第一款</w:t>
            </w:r>
            <w:r>
              <w:rPr>
                <w:rFonts w:hint="eastAsia" w:ascii="仿宋_GB2312" w:hAnsi="仿宋_GB2312" w:eastAsia="仿宋_GB2312" w:cs="仿宋_GB2312"/>
                <w:sz w:val="24"/>
                <w:szCs w:val="32"/>
              </w:rPr>
              <w:t xml:space="preserve"> 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p>
            <w:pPr>
              <w:adjustRightInd w:val="0"/>
              <w:snapToGrid w:val="0"/>
              <w:spacing w:line="34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建设项目环境影响报告书、报告表未经批准或者未经原审批部门重新审核同意，建设单位擅自开工建设的，依照前款的规定处罚、处分。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403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5" w:hRule="atLeast"/>
        </w:trPr>
        <w:tc>
          <w:tcPr>
            <w:tcW w:w="146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6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2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59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5" w:hRule="atLeast"/>
        </w:trPr>
        <w:tc>
          <w:tcPr>
            <w:tcW w:w="1469"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769" w:type="dxa"/>
            <w:vMerge w:val="restart"/>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424" w:type="dxa"/>
            <w:noWrap w:val="0"/>
            <w:vAlign w:val="center"/>
          </w:tcPr>
          <w:p>
            <w:pPr>
              <w:jc w:val="left"/>
              <w:rPr>
                <w:rFonts w:hint="eastAsia" w:ascii="仿宋_GB2312" w:hAnsi="仿宋_GB2312" w:eastAsia="仿宋_GB2312" w:cs="仿宋_GB2312"/>
                <w:b/>
                <w:bCs/>
                <w:sz w:val="22"/>
                <w:szCs w:val="28"/>
              </w:rPr>
            </w:pPr>
            <w:r>
              <w:rPr>
                <w:rFonts w:hint="eastAsia" w:ascii="仿宋_GB2312" w:hAnsi="仿宋_GB2312" w:eastAsia="仿宋_GB2312" w:cs="仿宋_GB2312"/>
                <w:sz w:val="24"/>
                <w:szCs w:val="32"/>
              </w:rPr>
              <w:t>填报环境影响报告表的建设项目</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5" w:hRule="atLeast"/>
        </w:trPr>
        <w:tc>
          <w:tcPr>
            <w:tcW w:w="1469" w:type="dxa"/>
            <w:vMerge w:val="continue"/>
            <w:noWrap w:val="0"/>
            <w:vAlign w:val="center"/>
          </w:tcPr>
          <w:p>
            <w:pPr>
              <w:jc w:val="center"/>
              <w:rPr>
                <w:rFonts w:hint="eastAsia" w:ascii="仿宋_GB2312" w:hAnsi="仿宋_GB2312" w:eastAsia="仿宋_GB2312" w:cs="仿宋_GB2312"/>
                <w:b/>
                <w:bCs/>
                <w:sz w:val="24"/>
              </w:rPr>
            </w:pPr>
          </w:p>
        </w:tc>
        <w:tc>
          <w:tcPr>
            <w:tcW w:w="1769"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24"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编制环境影响报告书的建设项目</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5" w:hRule="atLeast"/>
        </w:trPr>
        <w:tc>
          <w:tcPr>
            <w:tcW w:w="1469" w:type="dxa"/>
            <w:vMerge w:val="continue"/>
            <w:noWrap w:val="0"/>
            <w:vAlign w:val="center"/>
          </w:tcPr>
          <w:p>
            <w:pPr>
              <w:jc w:val="center"/>
              <w:rPr>
                <w:rFonts w:hint="eastAsia" w:ascii="仿宋_GB2312" w:hAnsi="仿宋_GB2312" w:eastAsia="仿宋_GB2312" w:cs="仿宋_GB2312"/>
                <w:b/>
                <w:bCs/>
                <w:sz w:val="24"/>
              </w:rPr>
            </w:pPr>
          </w:p>
        </w:tc>
        <w:tc>
          <w:tcPr>
            <w:tcW w:w="1769" w:type="dxa"/>
            <w:vMerge w:val="restart"/>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sz w:val="24"/>
                <w:szCs w:val="32"/>
              </w:rPr>
              <w:t>建设生产情况</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424" w:type="dxa"/>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已开工建设但主体工程未建成的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7" w:hRule="atLeast"/>
        </w:trPr>
        <w:tc>
          <w:tcPr>
            <w:tcW w:w="1469" w:type="dxa"/>
            <w:vMerge w:val="continue"/>
            <w:noWrap w:val="0"/>
            <w:vAlign w:val="center"/>
          </w:tcPr>
          <w:p>
            <w:pPr>
              <w:jc w:val="center"/>
              <w:rPr>
                <w:rFonts w:hint="eastAsia" w:ascii="仿宋_GB2312" w:hAnsi="仿宋_GB2312" w:eastAsia="仿宋_GB2312" w:cs="仿宋_GB2312"/>
                <w:b/>
                <w:bCs/>
                <w:sz w:val="24"/>
              </w:rPr>
            </w:pPr>
          </w:p>
        </w:tc>
        <w:tc>
          <w:tcPr>
            <w:tcW w:w="1769"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424" w:type="dxa"/>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主体工程已建成但尚未投入生产或者使用的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7" w:hRule="atLeast"/>
        </w:trPr>
        <w:tc>
          <w:tcPr>
            <w:tcW w:w="1469" w:type="dxa"/>
            <w:vMerge w:val="continue"/>
            <w:noWrap w:val="0"/>
            <w:vAlign w:val="center"/>
          </w:tcPr>
          <w:p>
            <w:pPr>
              <w:jc w:val="center"/>
              <w:rPr>
                <w:rFonts w:hint="eastAsia" w:ascii="仿宋_GB2312" w:hAnsi="仿宋_GB2312" w:eastAsia="仿宋_GB2312" w:cs="仿宋_GB2312"/>
                <w:b/>
                <w:bCs/>
                <w:sz w:val="24"/>
              </w:rPr>
            </w:pPr>
          </w:p>
        </w:tc>
        <w:tc>
          <w:tcPr>
            <w:tcW w:w="1769"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424"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主体工程已投入生产或者使用的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92" w:hRule="atLeast"/>
        </w:trPr>
        <w:tc>
          <w:tcPr>
            <w:tcW w:w="146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69"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24"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18" w:hRule="atLeast"/>
        </w:trPr>
        <w:tc>
          <w:tcPr>
            <w:tcW w:w="146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9"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24" w:type="dxa"/>
            <w:noWrap w:val="0"/>
            <w:vAlign w:val="top"/>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146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69" w:type="dxa"/>
            <w:vMerge w:val="restart"/>
            <w:tcBorders>
              <w:left w:val="single" w:color="auto"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是否及时整改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24"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及时停止建设的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 w:hRule="atLeast"/>
        </w:trPr>
        <w:tc>
          <w:tcPr>
            <w:tcW w:w="146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9"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24"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拒不停止建设的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1" w:hRule="atLeast"/>
        </w:trPr>
        <w:tc>
          <w:tcPr>
            <w:tcW w:w="146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6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24"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4" w:hRule="atLeast"/>
        </w:trPr>
        <w:tc>
          <w:tcPr>
            <w:tcW w:w="1469" w:type="dxa"/>
            <w:vMerge w:val="continue"/>
            <w:noWrap w:val="0"/>
            <w:vAlign w:val="center"/>
          </w:tcPr>
          <w:p>
            <w:pPr>
              <w:jc w:val="center"/>
              <w:rPr>
                <w:rFonts w:hint="eastAsia" w:ascii="仿宋_GB2312" w:hAnsi="仿宋_GB2312" w:eastAsia="仿宋_GB2312" w:cs="仿宋_GB2312"/>
                <w:b/>
                <w:bCs/>
                <w:sz w:val="24"/>
                <w:szCs w:val="32"/>
              </w:rPr>
            </w:pPr>
          </w:p>
        </w:tc>
        <w:tc>
          <w:tcPr>
            <w:tcW w:w="1769"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424"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59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spacing w:before="75" w:line="334" w:lineRule="auto"/>
        <w:ind w:left="119" w:firstLine="1"/>
        <w:rPr>
          <w:rFonts w:ascii="宋体" w:hAnsi="宋体" w:cs="宋体"/>
          <w:sz w:val="23"/>
          <w:szCs w:val="23"/>
        </w:rPr>
      </w:pPr>
      <w:r>
        <w:rPr>
          <w:rFonts w:ascii="宋体" w:hAnsi="宋体" w:cs="宋体"/>
          <w:b/>
          <w:bCs/>
          <w:spacing w:val="6"/>
          <w:sz w:val="23"/>
          <w:szCs w:val="23"/>
        </w:rPr>
        <w:t>注：</w:t>
      </w:r>
      <w:r>
        <w:rPr>
          <w:rFonts w:ascii="宋体" w:hAnsi="宋体" w:cs="宋体"/>
          <w:spacing w:val="6"/>
          <w:sz w:val="23"/>
          <w:szCs w:val="23"/>
        </w:rPr>
        <w:t>本裁量规则计算方法  罚款金额＝建设项目总投资额×</w:t>
      </w:r>
      <w:r>
        <w:rPr>
          <w:rFonts w:ascii="仿宋_GB2312" w:eastAsia="仿宋_GB2312" w:cs="Calibri"/>
          <w:spacing w:val="8"/>
          <w:position w:val="1"/>
          <w:sz w:val="23"/>
          <w:szCs w:val="23"/>
        </w:rPr>
        <w:t>1-5%</w:t>
      </w:r>
      <w:r>
        <w:rPr>
          <w:rFonts w:eastAsia="Calibri" w:cs="Calibri"/>
          <w:spacing w:val="6"/>
          <w:sz w:val="23"/>
          <w:szCs w:val="23"/>
        </w:rPr>
        <w:t xml:space="preserve"> </w:t>
      </w:r>
      <w:r>
        <w:rPr>
          <w:rFonts w:ascii="宋体" w:hAnsi="宋体" w:cs="宋体"/>
          <w:spacing w:val="6"/>
          <w:sz w:val="23"/>
          <w:szCs w:val="23"/>
        </w:rPr>
        <w:t>(由总百分值确定)</w:t>
      </w:r>
      <w:r>
        <w:rPr>
          <w:rFonts w:ascii="宋体" w:hAnsi="宋体" w:cs="宋体"/>
          <w:spacing w:val="4"/>
          <w:sz w:val="23"/>
          <w:szCs w:val="23"/>
        </w:rPr>
        <w:t>，</w:t>
      </w:r>
      <w:r>
        <w:rPr>
          <w:rFonts w:ascii="宋体" w:hAnsi="宋体" w:cs="宋体"/>
          <w:spacing w:val="6"/>
          <w:sz w:val="23"/>
          <w:szCs w:val="23"/>
        </w:rPr>
        <w:t>但罚款金额不能低于建设项目总投资额的</w:t>
      </w:r>
      <w:r>
        <w:rPr>
          <w:rFonts w:ascii="仿宋_GB2312" w:eastAsia="仿宋_GB2312" w:cs="Calibri"/>
          <w:spacing w:val="8"/>
          <w:position w:val="1"/>
          <w:sz w:val="23"/>
          <w:szCs w:val="23"/>
        </w:rPr>
        <w:t>1%</w:t>
      </w:r>
      <w:r>
        <w:rPr>
          <w:rFonts w:ascii="仿宋_GB2312" w:eastAsia="仿宋_GB2312" w:cs="Calibri"/>
          <w:spacing w:val="8"/>
          <w:position w:val="1"/>
          <w:sz w:val="20"/>
          <w:szCs w:val="20"/>
        </w:rPr>
        <w:t>。</w:t>
      </w:r>
    </w:p>
    <w:p>
      <w:pPr>
        <w:spacing w:line="28" w:lineRule="exact"/>
      </w:pPr>
    </w:p>
    <w:tbl>
      <w:tblPr>
        <w:tblStyle w:val="9"/>
        <w:tblW w:w="7323" w:type="dxa"/>
        <w:tblInd w:w="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2"/>
        <w:gridCol w:w="3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542" w:type="dxa"/>
            <w:noWrap w:val="0"/>
            <w:vAlign w:val="top"/>
          </w:tcPr>
          <w:p>
            <w:pPr>
              <w:spacing w:before="104" w:line="228" w:lineRule="auto"/>
              <w:ind w:left="1362"/>
              <w:rPr>
                <w:rFonts w:ascii="宋体" w:hAnsi="宋体" w:cs="宋体"/>
                <w:b/>
                <w:bCs/>
                <w:sz w:val="20"/>
                <w:szCs w:val="20"/>
              </w:rPr>
            </w:pPr>
            <w:r>
              <w:rPr>
                <w:rFonts w:ascii="宋体" w:hAnsi="宋体" w:cs="宋体"/>
                <w:b/>
                <w:bCs/>
                <w:spacing w:val="7"/>
                <w:sz w:val="20"/>
                <w:szCs w:val="20"/>
              </w:rPr>
              <w:t>总百分值</w:t>
            </w:r>
          </w:p>
        </w:tc>
        <w:tc>
          <w:tcPr>
            <w:tcW w:w="3781" w:type="dxa"/>
            <w:noWrap w:val="0"/>
            <w:vAlign w:val="top"/>
          </w:tcPr>
          <w:p>
            <w:pPr>
              <w:spacing w:before="104" w:line="228" w:lineRule="auto"/>
              <w:ind w:left="1483"/>
              <w:rPr>
                <w:rFonts w:ascii="宋体" w:hAnsi="宋体" w:cs="宋体"/>
                <w:b/>
                <w:bCs/>
                <w:sz w:val="20"/>
                <w:szCs w:val="20"/>
              </w:rPr>
            </w:pPr>
            <w:r>
              <w:rPr>
                <w:rFonts w:ascii="宋体" w:hAnsi="宋体" w:cs="宋体"/>
                <w:b/>
                <w:bCs/>
                <w:spacing w:val="7"/>
                <w:sz w:val="20"/>
                <w:szCs w:val="20"/>
              </w:rPr>
              <w:t>罚</w:t>
            </w:r>
            <w:r>
              <w:rPr>
                <w:rFonts w:ascii="宋体" w:hAnsi="宋体" w:cs="宋体"/>
                <w:b/>
                <w:bCs/>
                <w:spacing w:val="6"/>
                <w:sz w:val="20"/>
                <w:szCs w:val="20"/>
              </w:rPr>
              <w:t>款金额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542" w:type="dxa"/>
            <w:noWrap w:val="0"/>
            <w:vAlign w:val="top"/>
          </w:tcPr>
          <w:p>
            <w:pPr>
              <w:spacing w:before="63" w:line="280" w:lineRule="exact"/>
              <w:ind w:left="1184"/>
              <w:rPr>
                <w:rFonts w:ascii="仿宋_GB2312" w:eastAsia="仿宋_GB2312" w:cs="Calibri"/>
                <w:sz w:val="20"/>
                <w:szCs w:val="20"/>
              </w:rPr>
            </w:pPr>
            <w:r>
              <w:rPr>
                <w:rFonts w:ascii="仿宋_GB2312" w:hAnsi="宋体" w:eastAsia="仿宋_GB2312" w:cs="宋体"/>
                <w:spacing w:val="9"/>
                <w:position w:val="1"/>
                <w:sz w:val="20"/>
                <w:szCs w:val="20"/>
              </w:rPr>
              <w:t>百</w:t>
            </w:r>
            <w:r>
              <w:rPr>
                <w:rFonts w:ascii="仿宋_GB2312" w:hAnsi="宋体" w:eastAsia="仿宋_GB2312" w:cs="宋体"/>
                <w:spacing w:val="5"/>
                <w:position w:val="1"/>
                <w:sz w:val="20"/>
                <w:szCs w:val="20"/>
              </w:rPr>
              <w:t>分值≤</w:t>
            </w:r>
            <w:r>
              <w:rPr>
                <w:rFonts w:ascii="仿宋_GB2312" w:eastAsia="仿宋_GB2312" w:cs="Calibri"/>
                <w:spacing w:val="5"/>
                <w:position w:val="1"/>
                <w:sz w:val="20"/>
                <w:szCs w:val="20"/>
              </w:rPr>
              <w:t>20%</w:t>
            </w:r>
          </w:p>
        </w:tc>
        <w:tc>
          <w:tcPr>
            <w:tcW w:w="3781" w:type="dxa"/>
            <w:noWrap w:val="0"/>
            <w:vAlign w:val="top"/>
          </w:tcPr>
          <w:p>
            <w:pPr>
              <w:spacing w:before="63" w:line="280"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ascii="仿宋_GB2312" w:eastAsia="仿宋_GB2312" w:cs="Calibri"/>
                <w:spacing w:val="8"/>
                <w:position w:val="1"/>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542" w:type="dxa"/>
            <w:noWrap w:val="0"/>
            <w:vAlign w:val="top"/>
          </w:tcPr>
          <w:p>
            <w:pPr>
              <w:spacing w:before="68" w:line="279" w:lineRule="exact"/>
              <w:ind w:left="894"/>
              <w:rPr>
                <w:rFonts w:ascii="仿宋_GB2312" w:eastAsia="仿宋_GB2312" w:cs="Calibri"/>
                <w:sz w:val="20"/>
                <w:szCs w:val="20"/>
              </w:rPr>
            </w:pPr>
            <w:r>
              <w:rPr>
                <w:rFonts w:ascii="仿宋_GB2312" w:eastAsia="仿宋_GB2312" w:cs="Calibri"/>
                <w:spacing w:val="8"/>
                <w:position w:val="1"/>
                <w:sz w:val="20"/>
                <w:szCs w:val="20"/>
              </w:rPr>
              <w:t>2</w:t>
            </w:r>
            <w:r>
              <w:rPr>
                <w:rFonts w:ascii="仿宋_GB2312" w:eastAsia="仿宋_GB2312" w:cs="Calibri"/>
                <w:spacing w:val="6"/>
                <w:position w:val="1"/>
                <w:sz w:val="20"/>
                <w:szCs w:val="20"/>
              </w:rPr>
              <w:t>0%</w:t>
            </w:r>
            <w:r>
              <w:rPr>
                <w:rFonts w:ascii="仿宋_GB2312" w:hAnsi="宋体" w:eastAsia="仿宋_GB2312" w:cs="宋体"/>
                <w:spacing w:val="6"/>
                <w:position w:val="1"/>
                <w:sz w:val="20"/>
                <w:szCs w:val="20"/>
              </w:rPr>
              <w:t>＜百分值≤</w:t>
            </w:r>
            <w:r>
              <w:rPr>
                <w:rFonts w:ascii="仿宋_GB2312" w:eastAsia="仿宋_GB2312" w:cs="Calibri"/>
                <w:spacing w:val="6"/>
                <w:position w:val="1"/>
                <w:sz w:val="20"/>
                <w:szCs w:val="20"/>
              </w:rPr>
              <w:t>40%</w:t>
            </w:r>
          </w:p>
        </w:tc>
        <w:tc>
          <w:tcPr>
            <w:tcW w:w="3781" w:type="dxa"/>
            <w:noWrap w:val="0"/>
            <w:vAlign w:val="top"/>
          </w:tcPr>
          <w:p>
            <w:pPr>
              <w:spacing w:before="68" w:line="279"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ascii="仿宋_GB2312" w:eastAsia="仿宋_GB2312" w:cs="Calibri"/>
                <w:spacing w:val="8"/>
                <w:position w:val="1"/>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542" w:type="dxa"/>
            <w:noWrap w:val="0"/>
            <w:vAlign w:val="top"/>
          </w:tcPr>
          <w:p>
            <w:pPr>
              <w:spacing w:before="66" w:line="280" w:lineRule="exact"/>
              <w:ind w:left="888"/>
              <w:rPr>
                <w:rFonts w:ascii="仿宋_GB2312" w:eastAsia="仿宋_GB2312" w:cs="Calibri"/>
                <w:sz w:val="20"/>
                <w:szCs w:val="20"/>
              </w:rPr>
            </w:pPr>
            <w:r>
              <w:rPr>
                <w:rFonts w:ascii="仿宋_GB2312" w:eastAsia="仿宋_GB2312" w:cs="Calibri"/>
                <w:spacing w:val="7"/>
                <w:position w:val="1"/>
                <w:sz w:val="20"/>
                <w:szCs w:val="20"/>
              </w:rPr>
              <w:t>40%</w:t>
            </w:r>
            <w:r>
              <w:rPr>
                <w:rFonts w:ascii="仿宋_GB2312" w:hAnsi="宋体" w:eastAsia="仿宋_GB2312" w:cs="宋体"/>
                <w:spacing w:val="7"/>
                <w:position w:val="1"/>
                <w:sz w:val="20"/>
                <w:szCs w:val="20"/>
              </w:rPr>
              <w:t>＜百分值≤</w:t>
            </w:r>
            <w:r>
              <w:rPr>
                <w:rFonts w:ascii="仿宋_GB2312" w:eastAsia="仿宋_GB2312" w:cs="Calibri"/>
                <w:spacing w:val="7"/>
                <w:position w:val="1"/>
                <w:sz w:val="20"/>
                <w:szCs w:val="20"/>
              </w:rPr>
              <w:t>60</w:t>
            </w:r>
            <w:r>
              <w:rPr>
                <w:rFonts w:ascii="仿宋_GB2312" w:eastAsia="仿宋_GB2312" w:cs="Calibri"/>
                <w:spacing w:val="5"/>
                <w:position w:val="1"/>
                <w:sz w:val="20"/>
                <w:szCs w:val="20"/>
              </w:rPr>
              <w:t>%</w:t>
            </w:r>
          </w:p>
        </w:tc>
        <w:tc>
          <w:tcPr>
            <w:tcW w:w="3781" w:type="dxa"/>
            <w:noWrap w:val="0"/>
            <w:vAlign w:val="top"/>
          </w:tcPr>
          <w:p>
            <w:pPr>
              <w:spacing w:before="66" w:line="280"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ascii="仿宋_GB2312" w:eastAsia="仿宋_GB2312" w:cs="Calibri"/>
                <w:spacing w:val="8"/>
                <w:position w:val="1"/>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542" w:type="dxa"/>
            <w:noWrap w:val="0"/>
            <w:vAlign w:val="top"/>
          </w:tcPr>
          <w:p>
            <w:pPr>
              <w:spacing w:before="68" w:line="280" w:lineRule="exact"/>
              <w:ind w:left="894"/>
              <w:rPr>
                <w:rFonts w:ascii="仿宋_GB2312" w:eastAsia="仿宋_GB2312" w:cs="Calibri"/>
                <w:sz w:val="20"/>
                <w:szCs w:val="20"/>
              </w:rPr>
            </w:pPr>
            <w:r>
              <w:rPr>
                <w:rFonts w:ascii="仿宋_GB2312" w:eastAsia="仿宋_GB2312" w:cs="Calibri"/>
                <w:spacing w:val="9"/>
                <w:position w:val="1"/>
                <w:sz w:val="20"/>
                <w:szCs w:val="20"/>
              </w:rPr>
              <w:t>6</w:t>
            </w:r>
            <w:r>
              <w:rPr>
                <w:rFonts w:ascii="仿宋_GB2312" w:eastAsia="仿宋_GB2312" w:cs="Calibri"/>
                <w:spacing w:val="6"/>
                <w:position w:val="1"/>
                <w:sz w:val="20"/>
                <w:szCs w:val="20"/>
              </w:rPr>
              <w:t>0%</w:t>
            </w:r>
            <w:r>
              <w:rPr>
                <w:rFonts w:ascii="仿宋_GB2312" w:hAnsi="宋体" w:eastAsia="仿宋_GB2312" w:cs="宋体"/>
                <w:spacing w:val="6"/>
                <w:position w:val="1"/>
                <w:sz w:val="20"/>
                <w:szCs w:val="20"/>
              </w:rPr>
              <w:t>＜百分值≤</w:t>
            </w:r>
            <w:r>
              <w:rPr>
                <w:rFonts w:ascii="仿宋_GB2312" w:eastAsia="仿宋_GB2312" w:cs="Calibri"/>
                <w:spacing w:val="6"/>
                <w:position w:val="1"/>
                <w:sz w:val="20"/>
                <w:szCs w:val="20"/>
              </w:rPr>
              <w:t>80%</w:t>
            </w:r>
          </w:p>
        </w:tc>
        <w:tc>
          <w:tcPr>
            <w:tcW w:w="3781" w:type="dxa"/>
            <w:noWrap w:val="0"/>
            <w:vAlign w:val="top"/>
          </w:tcPr>
          <w:p>
            <w:pPr>
              <w:spacing w:before="68" w:line="280"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ascii="仿宋_GB2312" w:eastAsia="仿宋_GB2312" w:cs="Calibri"/>
                <w:spacing w:val="8"/>
                <w:position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542" w:type="dxa"/>
            <w:noWrap w:val="0"/>
            <w:vAlign w:val="top"/>
          </w:tcPr>
          <w:p>
            <w:pPr>
              <w:spacing w:before="76" w:line="280" w:lineRule="exact"/>
              <w:ind w:left="838"/>
              <w:rPr>
                <w:rFonts w:ascii="仿宋_GB2312" w:eastAsia="仿宋_GB2312" w:cs="Calibri"/>
                <w:sz w:val="20"/>
                <w:szCs w:val="20"/>
              </w:rPr>
            </w:pPr>
            <w:r>
              <w:rPr>
                <w:rFonts w:ascii="仿宋_GB2312" w:eastAsia="仿宋_GB2312" w:cs="Calibri"/>
                <w:spacing w:val="12"/>
                <w:position w:val="1"/>
                <w:sz w:val="20"/>
                <w:szCs w:val="20"/>
              </w:rPr>
              <w:t>8</w:t>
            </w:r>
            <w:r>
              <w:rPr>
                <w:rFonts w:ascii="仿宋_GB2312" w:eastAsia="仿宋_GB2312" w:cs="Calibri"/>
                <w:spacing w:val="6"/>
                <w:position w:val="1"/>
                <w:sz w:val="20"/>
                <w:szCs w:val="20"/>
              </w:rPr>
              <w:t>0%</w:t>
            </w:r>
            <w:r>
              <w:rPr>
                <w:rFonts w:ascii="仿宋_GB2312" w:hAnsi="宋体" w:eastAsia="仿宋_GB2312" w:cs="宋体"/>
                <w:spacing w:val="6"/>
                <w:position w:val="1"/>
                <w:sz w:val="20"/>
                <w:szCs w:val="20"/>
              </w:rPr>
              <w:t>＜百分值≤</w:t>
            </w:r>
            <w:r>
              <w:rPr>
                <w:rFonts w:ascii="仿宋_GB2312" w:eastAsia="仿宋_GB2312" w:cs="Calibri"/>
                <w:spacing w:val="6"/>
                <w:position w:val="1"/>
                <w:sz w:val="20"/>
                <w:szCs w:val="20"/>
              </w:rPr>
              <w:t>100%</w:t>
            </w:r>
          </w:p>
        </w:tc>
        <w:tc>
          <w:tcPr>
            <w:tcW w:w="3781" w:type="dxa"/>
            <w:noWrap w:val="0"/>
            <w:vAlign w:val="top"/>
          </w:tcPr>
          <w:p>
            <w:pPr>
              <w:spacing w:before="76" w:line="280"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ascii="仿宋_GB2312" w:eastAsia="仿宋_GB2312" w:cs="Calibri"/>
                <w:spacing w:val="8"/>
                <w:position w:val="1"/>
                <w:sz w:val="20"/>
                <w:szCs w:val="20"/>
              </w:rPr>
              <w:t>5%</w:t>
            </w:r>
          </w:p>
        </w:tc>
      </w:tr>
    </w:tbl>
    <w:p>
      <w:pPr>
        <w:sectPr>
          <w:footerReference r:id="rId3" w:type="default"/>
          <w:pgSz w:w="11906" w:h="16838"/>
          <w:pgMar w:top="1429" w:right="1417" w:bottom="1247" w:left="1417" w:header="0" w:footer="958" w:gutter="0"/>
          <w:pgNumType w:fmt="numberInDash" w:start="1"/>
          <w:cols w:space="720" w:num="1"/>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83"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07"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07"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建设单位未依法备案建设项目环境影响登记表的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07"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《中华人民共和国环境影响评价法》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 第四款</w:t>
            </w:r>
            <w:r>
              <w:rPr>
                <w:rFonts w:hint="eastAsia" w:ascii="仿宋_GB2312" w:hAnsi="仿宋_GB2312" w:eastAsia="仿宋_GB2312" w:cs="仿宋_GB2312"/>
                <w:sz w:val="24"/>
                <w:szCs w:val="32"/>
              </w:rPr>
              <w:t xml:space="preserve"> 国家对环境影响登记表实行备案管理。 </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《建设项目环境影响登记表备案管理办法》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第九条</w:t>
            </w:r>
            <w:r>
              <w:rPr>
                <w:rFonts w:ascii="仿宋_GB2312" w:hAnsi="仿宋_GB2312" w:eastAsia="仿宋_GB2312" w:cs="仿宋_GB2312"/>
                <w:b/>
                <w:bCs/>
                <w:sz w:val="24"/>
                <w:szCs w:val="32"/>
              </w:rPr>
              <w:t xml:space="preserve"> </w:t>
            </w:r>
            <w:r>
              <w:rPr>
                <w:rFonts w:hint="eastAsia" w:ascii="仿宋_GB2312" w:hAnsi="仿宋_GB2312" w:eastAsia="仿宋_GB2312" w:cs="仿宋_GB2312"/>
                <w:sz w:val="24"/>
                <w:szCs w:val="32"/>
              </w:rPr>
              <w:t>建设单位应当在建设项目建成并投入生产运营前，登录网上备案系统,在网上备案系统注册真实信息，在线填报并提交建设项目环境影响登记表。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《中华人民共和国环境影响评价法》</w:t>
            </w:r>
            <w:r>
              <w:rPr>
                <w:rFonts w:hint="eastAsia" w:ascii="仿宋_GB2312" w:hAnsi="仿宋_GB2312" w:eastAsia="仿宋_GB2312" w:cs="仿宋_GB2312"/>
                <w:sz w:val="24"/>
                <w:szCs w:val="32"/>
              </w:rPr>
              <w:t xml:space="preserve"> </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第三十一条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第三款</w:t>
            </w:r>
            <w:r>
              <w:rPr>
                <w:rFonts w:hint="eastAsia" w:ascii="仿宋_GB2312" w:hAnsi="仿宋_GB2312" w:eastAsia="仿宋_GB2312" w:cs="仿宋_GB2312"/>
                <w:sz w:val="24"/>
                <w:szCs w:val="32"/>
              </w:rPr>
              <w:t xml:space="preserve"> 建设单位未依法备案建设项目环境影响登记表的，由县级以上生态环境主管部门责令备案，处五万元以下的罚款。</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 </w:t>
            </w: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《河北省生态环境保护条例》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第十三条 第二款 </w:t>
            </w:r>
            <w:r>
              <w:rPr>
                <w:rFonts w:hint="eastAsia" w:ascii="仿宋_GB2312" w:hAnsi="仿宋_GB2312" w:eastAsia="仿宋_GB2312" w:cs="仿宋_GB2312"/>
                <w:sz w:val="24"/>
                <w:szCs w:val="32"/>
              </w:rPr>
              <w:t>建设单位应当依法编制环境影响报告书、环境影响报告表或者填报环境影响登记表，并按照国家规定报有审批权的生态环境主管部门审批或者备案。建设项目发生法定变动情形的，其环境影响评价文件应当依法重新报批或者审核。</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第七十一条 第三款</w:t>
            </w:r>
            <w:r>
              <w:rPr>
                <w:rFonts w:hint="eastAsia" w:ascii="仿宋_GB2312" w:hAnsi="仿宋_GB2312" w:eastAsia="仿宋_GB2312" w:cs="仿宋_GB2312"/>
                <w:sz w:val="24"/>
                <w:szCs w:val="32"/>
              </w:rPr>
              <w:t xml:space="preserve"> 建设单位未依法备案建设项目环境影响登记表的，由生态环境主管部门责令备案，处五万元以下的罚款。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24"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2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违法行为持续1个月以下的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违法行为持续1个月以上3个月以下的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违法行为持续3个月以上的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noWrap w:val="0"/>
            <w:vAlign w:val="center"/>
          </w:tcPr>
          <w:p>
            <w:pPr>
              <w:jc w:val="left"/>
            </w:pPr>
          </w:p>
        </w:tc>
        <w:tc>
          <w:tcPr>
            <w:tcW w:w="1890" w:type="dxa"/>
            <w:vMerge w:val="continue"/>
            <w:noWrap w:val="0"/>
            <w:vAlign w:val="center"/>
          </w:tcPr>
          <w:p>
            <w:pPr>
              <w:jc w:val="left"/>
            </w:pPr>
          </w:p>
        </w:tc>
        <w:tc>
          <w:tcPr>
            <w:tcW w:w="793" w:type="dxa"/>
            <w:vMerge w:val="continue"/>
            <w:noWrap w:val="0"/>
            <w:vAlign w:val="center"/>
          </w:tcPr>
          <w:p>
            <w:pPr>
              <w:jc w:val="left"/>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noWrap w:val="0"/>
            <w:vAlign w:val="center"/>
          </w:tcPr>
          <w:p>
            <w:pPr>
              <w:jc w:val="left"/>
              <w:rPr>
                <w:rFonts w:hint="eastAsia" w:ascii="仿宋_GB2312" w:hAnsi="仿宋_GB2312" w:eastAsia="仿宋_GB2312" w:cs="仿宋_GB2312"/>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查处后及时备案的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仍未及时备案的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2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方正小标宋简体" w:hAnsi="方正小标宋简体" w:eastAsia="方正小标宋简体" w:cs="方正小标宋简体"/>
          <w:sz w:val="40"/>
          <w:szCs w:val="4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03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60"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60" w:type="dxa"/>
            <w:gridSpan w:val="4"/>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建设项目环境影响报告书、环境影响报告表存在基础资料明显不实，内容存在重大缺陷、遗漏或者虚假，环境影响评价结论不正确或者不合理等严重质量问题的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60"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《中华人民共和国环境影响评价法》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《中华人民共和国环境影响评价法》</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第三十二条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 xml:space="preserve">第一款 </w:t>
            </w:r>
            <w:r>
              <w:rPr>
                <w:rFonts w:ascii="仿宋_GB2312" w:hAnsi="仿宋_GB2312" w:eastAsia="仿宋_GB2312" w:cs="仿宋_GB2312"/>
                <w:sz w:val="24"/>
                <w:szCs w:val="32"/>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77"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7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建设项目环境影响报告</w:t>
            </w:r>
            <w:r>
              <w:rPr>
                <w:rFonts w:hint="eastAsia" w:ascii="仿宋_GB2312" w:hAnsi="仿宋_GB2312" w:eastAsia="仿宋_GB2312" w:cs="仿宋_GB2312"/>
                <w:sz w:val="24"/>
                <w:szCs w:val="32"/>
              </w:rPr>
              <w:t>基础资料内容不全</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建设项目环境影响报告</w:t>
            </w:r>
            <w:r>
              <w:rPr>
                <w:rFonts w:hint="eastAsia" w:ascii="仿宋_GB2312" w:hAnsi="仿宋_GB2312" w:eastAsia="仿宋_GB2312" w:cs="仿宋_GB2312"/>
                <w:sz w:val="24"/>
                <w:szCs w:val="32"/>
              </w:rPr>
              <w:t>资料内容弄虚作假</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环境影响评价结论不正确、不合理</w:t>
            </w:r>
          </w:p>
        </w:tc>
        <w:tc>
          <w:tcPr>
            <w:tcW w:w="1674"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违法行为程度</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已开工建设但主体工程未建成的</w:t>
            </w:r>
          </w:p>
        </w:tc>
        <w:tc>
          <w:tcPr>
            <w:tcW w:w="1674"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ascii="仿宋_GB2312" w:hAnsi="仿宋_GB2312" w:eastAsia="仿宋_GB2312" w:cs="仿宋_GB2312"/>
                <w:sz w:val="24"/>
                <w:szCs w:val="32"/>
              </w:rPr>
            </w:pPr>
            <w:r>
              <w:rPr>
                <w:rFonts w:ascii="仿宋_GB2312" w:hAnsi="仿宋_GB2312" w:eastAsia="仿宋_GB2312" w:cs="仿宋_GB2312"/>
                <w:sz w:val="24"/>
                <w:szCs w:val="32"/>
              </w:rPr>
              <w:t>主体工程已建成但尚未投入生产或者使用的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主体工程已投入生产或者使用的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7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074"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98"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98" w:type="dxa"/>
            <w:gridSpan w:val="4"/>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建设单位编制建设项目初步设计未落实防治环境污染和生态破坏的措施以及环境保护设施投资概算，未将环境保护设施建设纳入施工合同，或者未依法开展环境影响后评价的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98" w:type="dxa"/>
            <w:gridSpan w:val="4"/>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《建设项目环境保护管理条例》</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第十六条</w:t>
            </w:r>
            <w:r>
              <w:rPr>
                <w:rFonts w:hint="eastAsia" w:ascii="仿宋_GB2312" w:hAnsi="仿宋_GB2312" w:eastAsia="仿宋_GB2312" w:cs="仿宋_GB2312"/>
                <w:sz w:val="24"/>
                <w:szCs w:val="32"/>
              </w:rPr>
              <w:t xml:space="preserve"> 建设项目的初步设计，应当按照环境保护设计规范的要求，编制环境保护篇章，落实防治环境污染和生态破坏的措施以及环境保护设施投资概算。</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《建设项目环境保护管理条例》</w:t>
            </w:r>
          </w:p>
          <w:p>
            <w:pPr>
              <w:spacing w:line="280" w:lineRule="exact"/>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第二十二条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1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1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填报环境影响报告表的建设项目</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编制环境影响报告</w:t>
            </w:r>
            <w:r>
              <w:rPr>
                <w:rFonts w:hint="eastAsia" w:ascii="仿宋_GB2312" w:hAnsi="仿宋_GB2312" w:eastAsia="仿宋_GB2312" w:cs="仿宋_GB2312"/>
                <w:sz w:val="24"/>
                <w:szCs w:val="32"/>
              </w:rPr>
              <w:t>书</w:t>
            </w:r>
            <w:r>
              <w:rPr>
                <w:rFonts w:ascii="仿宋_GB2312" w:hAnsi="仿宋_GB2312" w:eastAsia="仿宋_GB2312" w:cs="仿宋_GB2312"/>
                <w:sz w:val="24"/>
                <w:szCs w:val="32"/>
              </w:rPr>
              <w:t>的建设项目</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违法行为程度</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ascii="仿宋_GB2312" w:hAnsi="仿宋_GB2312" w:eastAsia="仿宋_GB2312" w:cs="仿宋_GB2312"/>
                <w:sz w:val="24"/>
                <w:szCs w:val="32"/>
              </w:rPr>
            </w:pPr>
            <w:r>
              <w:rPr>
                <w:rFonts w:ascii="仿宋_GB2312" w:hAnsi="仿宋_GB2312" w:eastAsia="仿宋_GB2312" w:cs="仿宋_GB2312"/>
                <w:sz w:val="24"/>
                <w:szCs w:val="32"/>
              </w:rPr>
              <w:t>已开工建设但主体工程未建成</w:t>
            </w:r>
          </w:p>
        </w:tc>
        <w:tc>
          <w:tcPr>
            <w:tcW w:w="1712"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ascii="仿宋_GB2312" w:hAnsi="仿宋_GB2312" w:eastAsia="仿宋_GB2312" w:cs="仿宋_GB2312"/>
                <w:sz w:val="24"/>
                <w:szCs w:val="32"/>
              </w:rPr>
            </w:pPr>
            <w:r>
              <w:rPr>
                <w:rFonts w:ascii="仿宋_GB2312" w:hAnsi="仿宋_GB2312" w:eastAsia="仿宋_GB2312" w:cs="仿宋_GB2312"/>
                <w:sz w:val="24"/>
                <w:szCs w:val="32"/>
              </w:rPr>
              <w:t>主体工程已建成但尚未投入生产或者使用的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ascii="仿宋_GB2312" w:hAnsi="仿宋_GB2312" w:eastAsia="仿宋_GB2312" w:cs="仿宋_GB2312"/>
                <w:sz w:val="24"/>
                <w:szCs w:val="32"/>
              </w:rPr>
            </w:pPr>
            <w:r>
              <w:rPr>
                <w:rFonts w:ascii="仿宋_GB2312" w:hAnsi="仿宋_GB2312" w:eastAsia="仿宋_GB2312" w:cs="仿宋_GB2312"/>
                <w:sz w:val="24"/>
                <w:szCs w:val="32"/>
              </w:rPr>
              <w:t>主体工程已投入生产或者使用的</w:t>
            </w:r>
          </w:p>
        </w:tc>
        <w:tc>
          <w:tcPr>
            <w:tcW w:w="1712" w:type="dxa"/>
            <w:noWrap w:val="0"/>
            <w:vAlign w:val="center"/>
          </w:tcPr>
          <w:p>
            <w:pPr>
              <w:tabs>
                <w:tab w:val="left" w:pos="386"/>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1"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建设单位在项目建设过程中未同时组织实施环境影响报告书、环境影响报告表及其审批部门审批决定中提出的环境保护对策措施的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《建设项目环境保护管理条例》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第十六条</w:t>
            </w:r>
            <w:r>
              <w:rPr>
                <w:rFonts w:hint="eastAsia" w:ascii="仿宋_GB2312" w:hAnsi="仿宋_GB2312" w:eastAsia="仿宋_GB2312" w:cs="仿宋_GB2312"/>
                <w:sz w:val="24"/>
                <w:szCs w:val="32"/>
              </w:rPr>
              <w:t xml:space="preserve"> 建设项目的初步设计，应当按照环境保护设计规范的要求，编制环境保护篇章，落实防治环境污染和生态破坏的措施以及环境保护设施投资概算。</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《建设项目环境保护管理条例》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第二十二条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建设单位在项目建设过程中未同时组织实施环境影响报告表、审批部门审批决定中提出的环境保护对策措施的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建设单位在项目建设过程中未同时组织实施环境影响报告书、审批部门审批决定中提出的环境保护对策措施的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left"/>
            </w:pPr>
          </w:p>
        </w:tc>
        <w:tc>
          <w:tcPr>
            <w:tcW w:w="793" w:type="dxa"/>
            <w:vMerge w:val="continue"/>
            <w:noWrap w:val="0"/>
            <w:vAlign w:val="center"/>
          </w:tcPr>
          <w:p>
            <w:pPr>
              <w:jc w:val="left"/>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CellMar>
            <w:top w:w="0" w:type="dxa"/>
            <w:left w:w="108" w:type="dxa"/>
            <w:bottom w:w="0" w:type="dxa"/>
            <w:right w:w="108" w:type="dxa"/>
          </w:tblCellMar>
        </w:tblPrEx>
        <w:trPr>
          <w:trHeight w:val="100" w:hRule="atLeast"/>
          <w:jc w:val="center"/>
        </w:trPr>
        <w:tc>
          <w:tcPr>
            <w:tcW w:w="1476"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71"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95" w:type="dxa"/>
            <w:gridSpan w:val="4"/>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需要配套建设的环境保护设施未建成、未经验收或者验收不合格，建设项目即投入生产或者使用，或者在环境保护设施验收中弄虚作假的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《建设项目环境保护管理条例》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第十七条</w:t>
            </w:r>
            <w:r>
              <w:rPr>
                <w:rFonts w:hint="eastAsia" w:ascii="仿宋_GB2312" w:hAnsi="仿宋_GB2312" w:eastAsia="仿宋_GB2312" w:cs="仿宋_GB2312"/>
                <w:sz w:val="24"/>
                <w:szCs w:val="32"/>
              </w:rPr>
              <w:t xml:space="preserve"> 编制环境影响报告书、环境影响报告表的建设项目竣工后，建设单位应当按照国务院环境保护行政主管部门规定的标准和程序，对配套建设的环境保护设施进行验收，编制验收报告。</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建设单位在环境保护设施验收过程中，应当如实查验、监测、记载建设项目环境保护设施的建设和调试情况，不得弄虚作假。</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除按照国家规定需要保密的情形外，建设单位应当依法向社会公开验收报告。</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第十九条</w:t>
            </w:r>
            <w:r>
              <w:rPr>
                <w:rFonts w:hint="eastAsia" w:ascii="仿宋_GB2312" w:hAnsi="仿宋_GB2312" w:eastAsia="仿宋_GB2312" w:cs="仿宋_GB2312"/>
                <w:sz w:val="24"/>
                <w:szCs w:val="32"/>
              </w:rPr>
              <w:t xml:space="preserve"> 编制环境影响报告书、环境影响报告表的建设项目，其配套建设的环境保护设施经验收合格，方可投入生产或者使用；未经验收或者验收不合格的，不得投入生产或者使用。</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前款规定的建设项目投入生产或者使用后，应当按照国务院环境保护行政主管部门的规定开展环境影响后评价。</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《建设项目环境保护管理条例》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第二十三条</w:t>
            </w:r>
            <w:r>
              <w:rPr>
                <w:rFonts w:hint="eastAsia" w:ascii="仿宋_GB2312" w:hAnsi="仿宋_GB2312" w:eastAsia="仿宋_GB2312" w:cs="仿宋_GB2312"/>
                <w:b/>
                <w:bCs/>
                <w:sz w:val="24"/>
                <w:szCs w:val="32"/>
              </w:rPr>
              <w:t xml:space="preserve"> 第一款</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填报环境影响报告表的建设项目</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编制环境影响报告</w:t>
            </w:r>
            <w:r>
              <w:rPr>
                <w:rFonts w:hint="eastAsia" w:ascii="仿宋_GB2312" w:hAnsi="仿宋_GB2312" w:eastAsia="仿宋_GB2312" w:cs="仿宋_GB2312"/>
                <w:sz w:val="24"/>
                <w:szCs w:val="32"/>
              </w:rPr>
              <w:t>书</w:t>
            </w:r>
            <w:r>
              <w:rPr>
                <w:rFonts w:ascii="仿宋_GB2312" w:hAnsi="仿宋_GB2312" w:eastAsia="仿宋_GB2312" w:cs="仿宋_GB2312"/>
                <w:sz w:val="24"/>
                <w:szCs w:val="32"/>
              </w:rPr>
              <w:t>的建设项目</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违法行为程度</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配套建设安装治理设施，但未经验收、验收不合格的</w:t>
            </w:r>
          </w:p>
        </w:tc>
        <w:tc>
          <w:tcPr>
            <w:tcW w:w="1709"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验收过程中弄虚作假的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需要建设环境保护设施，未建成的</w:t>
            </w:r>
          </w:p>
        </w:tc>
        <w:tc>
          <w:tcPr>
            <w:tcW w:w="1709" w:type="dxa"/>
            <w:noWrap w:val="0"/>
            <w:vAlign w:val="center"/>
          </w:tcPr>
          <w:p>
            <w:pPr>
              <w:tabs>
                <w:tab w:val="left" w:pos="386"/>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持续时间</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违法行为持续1个月以下的</w:t>
            </w:r>
          </w:p>
        </w:tc>
        <w:tc>
          <w:tcPr>
            <w:tcW w:w="1709" w:type="dxa"/>
            <w:noWrap w:val="0"/>
            <w:vAlign w:val="center"/>
          </w:tcPr>
          <w:p>
            <w:pPr>
              <w:tabs>
                <w:tab w:val="left" w:pos="386"/>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违法行为持续1个月以上3个月以下的</w:t>
            </w:r>
          </w:p>
        </w:tc>
        <w:tc>
          <w:tcPr>
            <w:tcW w:w="1709" w:type="dxa"/>
            <w:noWrap w:val="0"/>
            <w:vAlign w:val="center"/>
          </w:tcPr>
          <w:p>
            <w:pPr>
              <w:tabs>
                <w:tab w:val="left" w:pos="386"/>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违法行为持续3个月以上的</w:t>
            </w:r>
          </w:p>
        </w:tc>
        <w:tc>
          <w:tcPr>
            <w:tcW w:w="1709" w:type="dxa"/>
            <w:noWrap w:val="0"/>
            <w:vAlign w:val="center"/>
          </w:tcPr>
          <w:p>
            <w:pPr>
              <w:tabs>
                <w:tab w:val="left" w:pos="386"/>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78"/>
        <w:gridCol w:w="793"/>
        <w:gridCol w:w="320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0"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32"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88"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3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建设单位未依法向社会公开环境保护设施验收报告的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4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3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《建设项目环境保护管理条例》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第十七条 </w:t>
            </w:r>
            <w:r>
              <w:rPr>
                <w:rFonts w:hint="eastAsia" w:ascii="仿宋_GB2312" w:hAnsi="仿宋_GB2312" w:eastAsia="仿宋_GB2312" w:cs="仿宋_GB2312"/>
                <w:sz w:val="24"/>
                <w:szCs w:val="32"/>
              </w:rPr>
              <w:t>编制环境影响报告书、环境影响报告表的建设项目竣工后，建设单位应当按照国务院环境保护行政主管部门规定的标准和程序，对配套建设的环境保护设施进行验收，编制验收报告。</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建设单位在环境保护设施验收过程中，应当如实查验、监测、记载建设项目环境保护设施的建设和调试情况，不得弄虚作假。</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除按照国家规定需要保密的情形外，建设单位应当依法向社会公开验收报告。</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《建设项目环境保护管理条例》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第二十三条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违反本条例规定，建设单位未依法向社会公开环境保护设施验收报告的，由县级以上环境保护行政主管部门责令公开，处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61"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7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5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488"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78"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填报环境影响报告表的建设项目</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488" w:type="dxa"/>
            <w:vMerge w:val="continue"/>
            <w:noWrap w:val="0"/>
            <w:vAlign w:val="center"/>
          </w:tcPr>
          <w:p>
            <w:pPr>
              <w:jc w:val="center"/>
              <w:rPr>
                <w:rFonts w:hint="eastAsia" w:ascii="仿宋_GB2312" w:hAnsi="仿宋_GB2312" w:eastAsia="仿宋_GB2312" w:cs="仿宋_GB2312"/>
                <w:b/>
                <w:bCs/>
                <w:sz w:val="24"/>
              </w:rPr>
            </w:pPr>
          </w:p>
        </w:tc>
        <w:tc>
          <w:tcPr>
            <w:tcW w:w="1878"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编制环境影响报告书的建设项目</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8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78"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是否及时整改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经责令公开，3日内公开的</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48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78"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经责令公开，3日后5日内公开的</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48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78"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经责令公开，逾期不公开的</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78"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8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78"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78"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88" w:type="dxa"/>
            <w:vMerge w:val="continue"/>
            <w:noWrap w:val="0"/>
            <w:vAlign w:val="center"/>
          </w:tcPr>
          <w:p>
            <w:pPr>
              <w:jc w:val="center"/>
              <w:rPr>
                <w:rFonts w:hint="eastAsia" w:ascii="仿宋_GB2312" w:hAnsi="仿宋_GB2312" w:eastAsia="仿宋_GB2312" w:cs="仿宋_GB2312"/>
                <w:b/>
                <w:bCs/>
                <w:sz w:val="24"/>
                <w:szCs w:val="32"/>
              </w:rPr>
            </w:pPr>
          </w:p>
        </w:tc>
        <w:tc>
          <w:tcPr>
            <w:tcW w:w="1878"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5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74"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唐山市生态环境行政处罚裁量规则（环评类）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98"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98" w:type="dxa"/>
            <w:gridSpan w:val="4"/>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技术机构向建设单位、从事环境影响评价工作的单位收取费用的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9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《建设项目环境保护管理条例》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第三款</w:t>
            </w:r>
            <w:r>
              <w:rPr>
                <w:rFonts w:hint="eastAsia" w:ascii="仿宋_GB2312" w:hAnsi="仿宋_GB2312" w:eastAsia="仿宋_GB2312" w:cs="仿宋_GB2312"/>
                <w:sz w:val="24"/>
                <w:szCs w:val="32"/>
              </w:rPr>
              <w:t xml:space="preserve">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jc w:val="left"/>
              <w:rPr>
                <w:rFonts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《建设项目环境保护管理条例》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第二十四条</w:t>
            </w:r>
            <w:r>
              <w:rPr>
                <w:rFonts w:ascii="仿宋_GB2312" w:hAnsi="仿宋_GB2312" w:eastAsia="仿宋_GB2312" w:cs="仿宋_GB2312"/>
                <w:sz w:val="24"/>
                <w:szCs w:val="32"/>
              </w:rPr>
              <w:t xml:space="preserve"> 违反本条例规定，技术机构向建设单位、从事环境影响评价工作的单位收取费用的，由县级以上环境保护行政主管部门责令退还所收费用，处所收费用</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1 倍以上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3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1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1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b/>
                <w:bCs/>
                <w:sz w:val="22"/>
                <w:szCs w:val="28"/>
              </w:rPr>
            </w:pPr>
            <w:r>
              <w:rPr>
                <w:rFonts w:hint="eastAsia" w:ascii="仿宋_GB2312" w:hAnsi="仿宋_GB2312" w:eastAsia="仿宋_GB2312" w:cs="仿宋_GB2312"/>
                <w:sz w:val="24"/>
                <w:szCs w:val="32"/>
              </w:rPr>
              <w:t>填报环境影响报告表的建设项目</w:t>
            </w:r>
          </w:p>
        </w:tc>
        <w:tc>
          <w:tcPr>
            <w:tcW w:w="171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b/>
                <w:bCs/>
                <w:sz w:val="22"/>
                <w:szCs w:val="28"/>
              </w:rPr>
            </w:pPr>
            <w:r>
              <w:rPr>
                <w:rFonts w:ascii="仿宋_GB2312" w:hAnsi="仿宋_GB2312" w:eastAsia="仿宋_GB2312" w:cs="仿宋_GB2312"/>
                <w:sz w:val="24"/>
                <w:szCs w:val="32"/>
              </w:rPr>
              <w:t>编制环境影响报告</w:t>
            </w:r>
            <w:r>
              <w:rPr>
                <w:rFonts w:hint="eastAsia" w:ascii="仿宋_GB2312" w:hAnsi="仿宋_GB2312" w:eastAsia="仿宋_GB2312" w:cs="仿宋_GB2312"/>
                <w:sz w:val="24"/>
                <w:szCs w:val="32"/>
              </w:rPr>
              <w:t>书</w:t>
            </w:r>
            <w:r>
              <w:rPr>
                <w:rFonts w:ascii="仿宋_GB2312" w:hAnsi="仿宋_GB2312" w:eastAsia="仿宋_GB2312" w:cs="仿宋_GB2312"/>
                <w:sz w:val="24"/>
                <w:szCs w:val="32"/>
              </w:rPr>
              <w:t>的建设项目</w:t>
            </w:r>
          </w:p>
        </w:tc>
        <w:tc>
          <w:tcPr>
            <w:tcW w:w="171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收取金额</w:t>
            </w:r>
          </w:p>
        </w:tc>
        <w:tc>
          <w:tcPr>
            <w:tcW w:w="793"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收取费用10万以内的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收取费用10万以上30万以下的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收取费用30万以上的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pPr>
          </w:p>
        </w:tc>
        <w:tc>
          <w:tcPr>
            <w:tcW w:w="793" w:type="dxa"/>
            <w:vMerge w:val="continue"/>
            <w:noWrap w:val="0"/>
            <w:vAlign w:val="center"/>
          </w:tcPr>
          <w:p>
            <w:pPr>
              <w:jc w:val="cente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76"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造成社会影响</w:t>
            </w:r>
            <w:r>
              <w:rPr>
                <w:rFonts w:hint="eastAsia" w:ascii="仿宋_GB2312" w:hAnsi="仿宋_GB2312" w:eastAsia="仿宋_GB2312" w:cs="仿宋_GB2312"/>
                <w:sz w:val="24"/>
                <w:szCs w:val="32"/>
              </w:rPr>
              <w:t>或生态破坏的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21"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45"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4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未取得排污许可证排放污染物的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45"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第二条 第一款 </w:t>
            </w:r>
            <w:r>
              <w:rPr>
                <w:rFonts w:hint="eastAsia" w:ascii="仿宋_GB2312" w:hAnsi="仿宋_GB2312" w:eastAsia="仿宋_GB2312" w:cs="仿宋_GB2312"/>
                <w:sz w:val="24"/>
                <w:szCs w:val="32"/>
              </w:rPr>
              <w:t>依照法律规定实行排污许可管理的企业事业单位和其他生产经营者(以下称排污单位)，应当依照本条例规定申请取得排污许可证；未取得排污许可证的，不得排放污染物。</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第三十三条 </w:t>
            </w:r>
            <w:r>
              <w:rPr>
                <w:rFonts w:hint="eastAsia" w:ascii="仿宋_GB2312" w:hAnsi="仿宋_GB2312" w:eastAsia="仿宋_GB2312" w:cs="仿宋_GB2312"/>
                <w:sz w:val="24"/>
                <w:szCs w:val="32"/>
              </w:rPr>
              <w:t>违反本条例规定，排污单位有下列行为之一的，由生态环境主管部门责令改正或者限制生产、停产整治，处 20 万元以上 100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万元以下的罚款；情节严重的，报经有批准权的人民政府批准，责令停业、关闭：</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(一)未取得排污许可证排放污染物；</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(二)排污许可证有效期届满未申请延续或者延续申请未经批准排放污染物；</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(三)被依法撤销、注销、吊销排污许可证后排放污染物；</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(四)依法应当重新申请取得排污许可证，未重新申请取得排污许可证排放污染物。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6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5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90" w:type="dxa"/>
            <w:vMerge w:val="restart"/>
            <w:noWrap w:val="0"/>
            <w:vAlign w:val="center"/>
          </w:tcPr>
          <w:p>
            <w:pPr>
              <w:jc w:val="center"/>
              <w:rPr>
                <w:rFonts w:ascii="仿宋_GB2312" w:hAnsi="仿宋_GB2312" w:eastAsia="仿宋_GB2312" w:cs="仿宋_GB2312"/>
                <w:b/>
                <w:bCs/>
                <w:sz w:val="22"/>
                <w:szCs w:val="28"/>
              </w:rPr>
            </w:pPr>
            <w:r>
              <w:rPr>
                <w:rFonts w:hint="eastAsia" w:ascii="仿宋_GB2312" w:hAnsi="仿宋_GB2312" w:eastAsia="仿宋_GB2312" w:cs="仿宋_GB2312"/>
                <w:sz w:val="24"/>
                <w:szCs w:val="32"/>
              </w:rPr>
              <w:t>违法行为持续时间</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违法行为持续1个月以下的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违法行为持续1个月以上3个月以下的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违法行为持续3个月以上的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类型</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rPr>
              <w:t>排放污染物类别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排放污染物</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 养殖废水或其他污染物</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 物或重金属、病原体、放射性物质的废水或其他污染物</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5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70"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94"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94"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超过许可排放浓度、许可排放量排放污染物的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94"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第十七条 </w:t>
            </w:r>
            <w:r>
              <w:rPr>
                <w:rFonts w:hint="eastAsia" w:ascii="仿宋_GB2312" w:hAnsi="仿宋_GB2312" w:eastAsia="仿宋_GB2312" w:cs="仿宋_GB2312"/>
                <w:sz w:val="24"/>
                <w:szCs w:val="32"/>
              </w:rPr>
              <w:t>排污许可证是对排污单位进行生态环境监管的主要依据。</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排污单位应当遵守排污许可证规定，按照生态环境管理要求运行和维护污染防治设施，建立环境管理制度，严格控制污染物排放。</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第三十四条 第一项 </w:t>
            </w:r>
            <w:r>
              <w:rPr>
                <w:rFonts w:hint="eastAsia" w:ascii="仿宋_GB2312" w:hAnsi="仿宋_GB2312" w:eastAsia="仿宋_GB2312" w:cs="仿宋_GB2312"/>
                <w:sz w:val="24"/>
                <w:szCs w:val="32"/>
              </w:rPr>
              <w:t>违反本条例规定，排污单位有下列行为之一的，由生态环境主管部门责令改正或者限制生产、停产整治，处 20 万元以上 100 万元以下的罚款；情节严重的，吊销排污许可证，报经有批准权的人民政府批准，责令停业、关闭：</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(一)超过许可排放浓度、许可排放量排放污染物。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11"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70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90" w:type="dxa"/>
            <w:vMerge w:val="restart"/>
            <w:noWrap w:val="0"/>
            <w:vAlign w:val="center"/>
          </w:tcPr>
          <w:p>
            <w:pPr>
              <w:jc w:val="center"/>
              <w:rPr>
                <w:rFonts w:ascii="仿宋_GB2312" w:hAnsi="仿宋_GB2312" w:eastAsia="仿宋_GB2312" w:cs="仿宋_GB2312"/>
                <w:b/>
                <w:bCs/>
                <w:sz w:val="22"/>
                <w:szCs w:val="28"/>
              </w:rPr>
            </w:pPr>
            <w:r>
              <w:rPr>
                <w:rFonts w:hint="eastAsia" w:ascii="仿宋_GB2312" w:hAnsi="仿宋_GB2312" w:eastAsia="仿宋_GB2312" w:cs="仿宋_GB2312"/>
                <w:sz w:val="24"/>
                <w:szCs w:val="32"/>
              </w:rPr>
              <w:t>违法危害程度</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污染物超标一倍以内的</w:t>
            </w:r>
          </w:p>
        </w:tc>
        <w:tc>
          <w:tcPr>
            <w:tcW w:w="1708"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污染物超标一倍以上两倍以下的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污染物超标两倍以上的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szCs w:val="32"/>
              </w:rPr>
              <w:t>类型</w:t>
            </w:r>
          </w:p>
          <w:p>
            <w:pPr>
              <w:jc w:val="center"/>
              <w:rPr>
                <w:rFonts w:ascii="仿宋_GB2312" w:hAnsi="仿宋_GB2312" w:eastAsia="仿宋_GB2312" w:cs="仿宋_GB2312"/>
                <w:b/>
                <w:bCs/>
                <w:sz w:val="24"/>
              </w:rPr>
            </w:pPr>
          </w:p>
        </w:tc>
        <w:tc>
          <w:tcPr>
            <w:tcW w:w="1890" w:type="dxa"/>
            <w:vMerge w:val="restart"/>
            <w:noWrap w:val="0"/>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4"/>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rPr>
              <w:t>排放污染物 数量</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超标或超排</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放量因子数目</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1个</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2个</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3个以上</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0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Pr>
        <w:rPr>
          <w:sz w:val="10"/>
          <w:szCs w:val="1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764"/>
        <w:gridCol w:w="800"/>
        <w:gridCol w:w="385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79"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03"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03"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通过暗管、渗井、渗坑、灌注或者篡改、伪造监测数据，或者不正常运行污染防治设施等逃避监管的方式违法排放污染物的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03" w:type="dxa"/>
            <w:gridSpan w:val="4"/>
            <w:noWrap w:val="0"/>
            <w:vAlign w:val="top"/>
          </w:tcPr>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第十七条 </w:t>
            </w:r>
            <w:r>
              <w:rPr>
                <w:rFonts w:hint="eastAsia" w:ascii="仿宋_GB2312" w:hAnsi="仿宋_GB2312" w:eastAsia="仿宋_GB2312" w:cs="仿宋_GB2312"/>
                <w:sz w:val="24"/>
                <w:szCs w:val="32"/>
              </w:rPr>
              <w:t>排污许可证是对排污单位进行生态环境监管的主要依据。</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排污单位应当遵守排污许可证规定，按照生态环境管理要求运行和维护污染防治设施，建立环境管理制度，严格控制污染物排放。</w:t>
            </w:r>
          </w:p>
          <w:p>
            <w:pPr>
              <w:spacing w:line="280" w:lineRule="exact"/>
              <w:rPr>
                <w:rFonts w:hint="eastAsia" w:ascii="仿宋_GB2312" w:hAnsi="仿宋_GB2312" w:eastAsia="仿宋_GB2312" w:cs="仿宋_GB2312"/>
                <w:sz w:val="24"/>
                <w:szCs w:val="32"/>
              </w:rPr>
            </w:pPr>
          </w:p>
          <w:p>
            <w:pPr>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第三十四条 第二项 </w:t>
            </w:r>
            <w:r>
              <w:rPr>
                <w:rFonts w:hint="eastAsia" w:ascii="仿宋_GB2312" w:hAnsi="仿宋_GB2312" w:eastAsia="仿宋_GB2312" w:cs="仿宋_GB2312"/>
                <w:sz w:val="24"/>
                <w:szCs w:val="32"/>
              </w:rPr>
              <w:t>违反本条例规定，排污单位有下列行为之一的，由生态环境主管部门责令改正或者限制生产、停产整治，处 20 万元以上100万元以下的罚款；情节严重的，吊销排污许可证，报经有批准权的人民政府批准，责令停业、关闭：</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(二)通过暗管、渗井、渗坑、灌注或者篡改、伪造监测数据，或者不正常运行污染防治设施等逃避监管的方式违法排放污染物。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0"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80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850"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18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764" w:type="dxa"/>
            <w:vMerge w:val="restart"/>
            <w:noWrap w:val="0"/>
            <w:vAlign w:val="center"/>
          </w:tcPr>
          <w:p>
            <w:pPr>
              <w:jc w:val="center"/>
              <w:rPr>
                <w:rFonts w:ascii="仿宋_GB2312" w:hAnsi="仿宋_GB2312" w:eastAsia="仿宋_GB2312" w:cs="仿宋_GB2312"/>
                <w:sz w:val="22"/>
                <w:szCs w:val="28"/>
              </w:rPr>
            </w:pPr>
            <w:r>
              <w:rPr>
                <w:rFonts w:hint="eastAsia" w:ascii="仿宋_GB2312" w:hAnsi="仿宋_GB2312" w:eastAsia="仿宋_GB2312" w:cs="仿宋_GB2312"/>
                <w:sz w:val="24"/>
                <w:szCs w:val="32"/>
              </w:rPr>
              <w:t>违法危害程度</w:t>
            </w:r>
          </w:p>
        </w:tc>
        <w:tc>
          <w:tcPr>
            <w:tcW w:w="80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污染物超标一倍以内的</w:t>
            </w:r>
          </w:p>
        </w:tc>
        <w:tc>
          <w:tcPr>
            <w:tcW w:w="1189"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764" w:type="dxa"/>
            <w:vMerge w:val="continue"/>
            <w:noWrap w:val="0"/>
            <w:vAlign w:val="center"/>
          </w:tcPr>
          <w:p>
            <w:pPr>
              <w:jc w:val="center"/>
              <w:rPr>
                <w:rFonts w:hint="eastAsia" w:ascii="仿宋_GB2312" w:hAnsi="仿宋_GB2312" w:eastAsia="仿宋_GB2312" w:cs="仿宋_GB2312"/>
                <w:sz w:val="22"/>
                <w:szCs w:val="28"/>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污染物超标一倍以上两倍以下的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764" w:type="dxa"/>
            <w:vMerge w:val="continue"/>
            <w:noWrap w:val="0"/>
            <w:vAlign w:val="center"/>
          </w:tcPr>
          <w:p>
            <w:pPr>
              <w:jc w:val="center"/>
              <w:rPr>
                <w:rFonts w:hint="eastAsia" w:ascii="仿宋_GB2312" w:hAnsi="仿宋_GB2312" w:eastAsia="仿宋_GB2312" w:cs="仿宋_GB2312"/>
                <w:sz w:val="22"/>
                <w:szCs w:val="28"/>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污染物超标两倍以上的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违法行为</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szCs w:val="32"/>
              </w:rPr>
              <w:t>类型</w:t>
            </w:r>
          </w:p>
        </w:tc>
        <w:tc>
          <w:tcPr>
            <w:tcW w:w="1764" w:type="dxa"/>
            <w:vMerge w:val="restart"/>
            <w:noWrap w:val="0"/>
            <w:vAlign w:val="center"/>
          </w:tcPr>
          <w:p>
            <w:pPr>
              <w:jc w:val="center"/>
              <w:rPr>
                <w:rFonts w:ascii="仿宋_GB2312" w:hAnsi="仿宋_GB2312" w:eastAsia="仿宋_GB2312" w:cs="仿宋_GB2312"/>
                <w:sz w:val="22"/>
                <w:szCs w:val="28"/>
              </w:rPr>
            </w:pPr>
            <w:r>
              <w:rPr>
                <w:rFonts w:hint="eastAsia" w:ascii="仿宋_GB2312" w:hAnsi="仿宋_GB2312" w:eastAsia="仿宋_GB2312" w:cs="仿宋_GB2312"/>
                <w:sz w:val="24"/>
                <w:szCs w:val="32"/>
              </w:rPr>
              <w:t>违法事实</w:t>
            </w:r>
          </w:p>
        </w:tc>
        <w:tc>
          <w:tcPr>
            <w:tcW w:w="80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850" w:type="dxa"/>
            <w:noWrap w:val="0"/>
            <w:vAlign w:val="top"/>
          </w:tcPr>
          <w:p>
            <w:pPr>
              <w:rPr>
                <w:rFonts w:ascii="仿宋_GB2312" w:hAnsi="仿宋_GB2312" w:eastAsia="仿宋_GB2312" w:cs="仿宋_GB2312"/>
                <w:sz w:val="24"/>
                <w:szCs w:val="32"/>
              </w:rPr>
            </w:pPr>
            <w:r>
              <w:rPr>
                <w:rFonts w:hint="eastAsia" w:ascii="仿宋_GB2312" w:hAnsi="仿宋_GB2312" w:eastAsia="仿宋_GB2312" w:cs="仿宋_GB2312"/>
                <w:sz w:val="24"/>
                <w:szCs w:val="32"/>
              </w:rPr>
              <w:t>部分处理设施不能正常运行或停运</w:t>
            </w:r>
          </w:p>
        </w:tc>
        <w:tc>
          <w:tcPr>
            <w:tcW w:w="1189"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764" w:type="dxa"/>
            <w:vMerge w:val="continue"/>
            <w:noWrap w:val="0"/>
            <w:vAlign w:val="center"/>
          </w:tcPr>
          <w:p>
            <w:pPr>
              <w:jc w:val="center"/>
              <w:rPr>
                <w:rFonts w:ascii="仿宋_GB2312" w:hAnsi="仿宋_GB2312" w:eastAsia="仿宋_GB2312" w:cs="仿宋_GB2312"/>
                <w:sz w:val="22"/>
                <w:szCs w:val="28"/>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整体或关键处理设施不能正常运行</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764" w:type="dxa"/>
            <w:vMerge w:val="continue"/>
            <w:noWrap w:val="0"/>
            <w:vAlign w:val="center"/>
          </w:tcPr>
          <w:p>
            <w:pPr>
              <w:jc w:val="center"/>
              <w:rPr>
                <w:rFonts w:hint="eastAsia" w:ascii="仿宋_GB2312" w:hAnsi="仿宋_GB2312" w:eastAsia="仿宋_GB2312" w:cs="仿宋_GB2312"/>
                <w:sz w:val="22"/>
                <w:szCs w:val="28"/>
              </w:rPr>
            </w:pPr>
          </w:p>
        </w:tc>
        <w:tc>
          <w:tcPr>
            <w:tcW w:w="800" w:type="dxa"/>
            <w:vMerge w:val="continue"/>
            <w:noWrap w:val="0"/>
            <w:vAlign w:val="center"/>
          </w:tcPr>
          <w:p>
            <w:pPr>
              <w:jc w:val="center"/>
              <w:rPr>
                <w:rFonts w:hint="eastAsia" w:ascii="仿宋_GB2312" w:hAnsi="仿宋_GB2312" w:eastAsia="仿宋_GB2312" w:cs="仿宋_GB2312"/>
                <w:b/>
                <w:bCs/>
                <w:sz w:val="22"/>
                <w:szCs w:val="28"/>
              </w:rPr>
            </w:pPr>
          </w:p>
        </w:tc>
        <w:tc>
          <w:tcPr>
            <w:tcW w:w="3850"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整体或关键处理设施停运/为逃避现场检查临时停产</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764" w:type="dxa"/>
            <w:vMerge w:val="continue"/>
            <w:noWrap w:val="0"/>
            <w:vAlign w:val="center"/>
          </w:tcPr>
          <w:p>
            <w:pPr>
              <w:jc w:val="center"/>
              <w:rPr>
                <w:rFonts w:hint="eastAsia" w:ascii="仿宋_GB2312" w:hAnsi="仿宋_GB2312" w:eastAsia="仿宋_GB2312" w:cs="仿宋_GB2312"/>
                <w:sz w:val="22"/>
                <w:szCs w:val="28"/>
              </w:rPr>
            </w:pPr>
          </w:p>
        </w:tc>
        <w:tc>
          <w:tcPr>
            <w:tcW w:w="800" w:type="dxa"/>
            <w:vMerge w:val="continue"/>
            <w:noWrap w:val="0"/>
            <w:vAlign w:val="center"/>
          </w:tcPr>
          <w:p>
            <w:pPr>
              <w:jc w:val="center"/>
              <w:rPr>
                <w:rFonts w:hint="eastAsia" w:ascii="仿宋_GB2312" w:hAnsi="仿宋_GB2312" w:eastAsia="仿宋_GB2312" w:cs="仿宋_GB2312"/>
                <w:b/>
                <w:bCs/>
                <w:sz w:val="22"/>
                <w:szCs w:val="28"/>
              </w:rPr>
            </w:pPr>
          </w:p>
        </w:tc>
        <w:tc>
          <w:tcPr>
            <w:tcW w:w="3850"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不通过处理设施利用其他方式直接排放或者关闭自动 监测设备/篡改、伪造监测数据</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违法行为发</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生时期</w:t>
            </w:r>
          </w:p>
        </w:tc>
        <w:tc>
          <w:tcPr>
            <w:tcW w:w="1764" w:type="dxa"/>
            <w:vMerge w:val="restart"/>
            <w:tcBorders>
              <w:left w:val="single" w:color="auto" w:sz="4" w:space="0"/>
            </w:tcBorders>
            <w:noWrap w:val="0"/>
            <w:vAlign w:val="center"/>
          </w:tcPr>
          <w:p>
            <w:pPr>
              <w:spacing w:before="24" w:line="228" w:lineRule="auto"/>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环境敏感度</w:t>
            </w:r>
          </w:p>
        </w:tc>
        <w:tc>
          <w:tcPr>
            <w:tcW w:w="80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850"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一般期间</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4"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特殊或重大活动期间</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4"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重污染天气预警期间</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764"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80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4"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64" w:type="dxa"/>
            <w:vMerge w:val="restart"/>
            <w:tcBorders>
              <w:left w:val="single" w:color="auto"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80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4"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4"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800" w:type="dxa"/>
            <w:vMerge w:val="continue"/>
            <w:noWrap w:val="0"/>
            <w:vAlign w:val="center"/>
          </w:tcPr>
          <w:p>
            <w:pPr>
              <w:jc w:val="center"/>
              <w:rPr>
                <w:rFonts w:hint="eastAsia" w:ascii="仿宋_GB2312" w:hAnsi="仿宋_GB2312" w:eastAsia="仿宋_GB2312" w:cs="仿宋_GB2312"/>
                <w:sz w:val="24"/>
                <w:szCs w:val="32"/>
              </w:rPr>
            </w:pP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64"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80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764" w:type="dxa"/>
            <w:vMerge w:val="continue"/>
            <w:noWrap w:val="0"/>
            <w:vAlign w:val="center"/>
          </w:tcPr>
          <w:p>
            <w:pPr>
              <w:jc w:val="center"/>
              <w:rPr>
                <w:rFonts w:hint="eastAsia" w:ascii="仿宋_GB2312" w:hAnsi="仿宋_GB2312" w:eastAsia="仿宋_GB2312" w:cs="仿宋_GB2312"/>
                <w:sz w:val="24"/>
                <w:szCs w:val="32"/>
              </w:rPr>
            </w:pPr>
          </w:p>
        </w:tc>
        <w:tc>
          <w:tcPr>
            <w:tcW w:w="800" w:type="dxa"/>
            <w:vMerge w:val="continue"/>
            <w:noWrap w:val="0"/>
            <w:vAlign w:val="center"/>
          </w:tcPr>
          <w:p>
            <w:pPr>
              <w:rPr>
                <w:rFonts w:hint="eastAsia" w:ascii="仿宋_GB2312" w:hAnsi="仿宋_GB2312" w:eastAsia="仿宋_GB2312" w:cs="仿宋_GB2312"/>
                <w:sz w:val="24"/>
                <w:szCs w:val="32"/>
              </w:rPr>
            </w:pPr>
          </w:p>
        </w:tc>
        <w:tc>
          <w:tcPr>
            <w:tcW w:w="385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18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63"/>
        <w:gridCol w:w="793"/>
        <w:gridCol w:w="3203"/>
        <w:gridCol w:w="1678"/>
        <w:gridCol w:w="6"/>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691" w:hRule="atLeast"/>
          <w:jc w:val="center"/>
        </w:trPr>
        <w:tc>
          <w:tcPr>
            <w:tcW w:w="9046" w:type="dxa"/>
            <w:gridSpan w:val="6"/>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51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343" w:type="dxa"/>
            <w:gridSpan w:val="5"/>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32" w:hRule="atLeast"/>
          <w:jc w:val="center"/>
        </w:trPr>
        <w:tc>
          <w:tcPr>
            <w:tcW w:w="1703"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343"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未按照排污许可证规定控制大气污染物无组织排放的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343" w:type="dxa"/>
            <w:gridSpan w:val="5"/>
            <w:noWrap w:val="0"/>
            <w:vAlign w:val="top"/>
          </w:tcPr>
          <w:p>
            <w:pPr>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第十七条 </w:t>
            </w:r>
            <w:r>
              <w:rPr>
                <w:rFonts w:hint="eastAsia" w:ascii="仿宋_GB2312" w:hAnsi="仿宋_GB2312" w:eastAsia="仿宋_GB2312" w:cs="仿宋_GB2312"/>
                <w:sz w:val="24"/>
                <w:szCs w:val="32"/>
              </w:rPr>
              <w:t>排污许可证是对排污单位进行生态环境监管的主要依据。</w:t>
            </w:r>
          </w:p>
          <w:p>
            <w:pPr>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排污单位应当遵守排污许可证规定，按照生态环境管理要求运行和维护污染防治设施，建立环境管理制度，严格控制污染物排放。</w:t>
            </w:r>
          </w:p>
          <w:p>
            <w:pPr>
              <w:spacing w:line="300" w:lineRule="exact"/>
              <w:rPr>
                <w:rFonts w:hint="eastAsia" w:ascii="仿宋_GB2312" w:hAnsi="仿宋_GB2312" w:eastAsia="仿宋_GB2312" w:cs="仿宋_GB2312"/>
                <w:sz w:val="24"/>
                <w:szCs w:val="32"/>
              </w:rPr>
            </w:pPr>
          </w:p>
          <w:p>
            <w:pPr>
              <w:spacing w:line="30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第三十五条 第一项 </w:t>
            </w:r>
            <w:r>
              <w:rPr>
                <w:rFonts w:hint="eastAsia" w:ascii="仿宋_GB2312" w:hAnsi="仿宋_GB2312" w:eastAsia="仿宋_GB2312" w:cs="仿宋_GB2312"/>
                <w:sz w:val="24"/>
                <w:szCs w:val="32"/>
              </w:rPr>
              <w:t>违反本条例规定，排污单位有下列行为之一的，由生态环境主管部门责令改正，处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万元以下的罚款；情节严重的，处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100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万元以下的罚款，责令限制生产、停产整治：</w:t>
            </w:r>
          </w:p>
          <w:p>
            <w:pPr>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(一)未按照排污许可证规定控制大气污染物无组织排放。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8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35" w:hRule="atLeast"/>
          <w:jc w:val="center"/>
        </w:trPr>
        <w:tc>
          <w:tcPr>
            <w:tcW w:w="170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6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684"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14" w:hRule="atLeast"/>
          <w:jc w:val="center"/>
        </w:trPr>
        <w:tc>
          <w:tcPr>
            <w:tcW w:w="1703"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663" w:type="dxa"/>
            <w:vMerge w:val="restart"/>
            <w:noWrap w:val="0"/>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已采取措施，但不符合排污许可证规定</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6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已采取部分措施控制大气污染物无组织排放</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81"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未采取措施控制大气污染物无组织排放</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0"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类型</w:t>
            </w:r>
          </w:p>
        </w:tc>
        <w:tc>
          <w:tcPr>
            <w:tcW w:w="166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0" w:hRule="atLeast"/>
          <w:jc w:val="center"/>
        </w:trPr>
        <w:tc>
          <w:tcPr>
            <w:tcW w:w="1703" w:type="dxa"/>
            <w:vMerge w:val="continue"/>
            <w:noWrap w:val="0"/>
            <w:vAlign w:val="center"/>
          </w:tcPr>
          <w:p>
            <w:pPr>
              <w:jc w:val="center"/>
              <w:rPr>
                <w:rFonts w:ascii="仿宋_GB2312" w:hAnsi="仿宋_GB2312" w:eastAsia="仿宋_GB2312" w:cs="仿宋_GB2312"/>
                <w:b/>
                <w:bCs/>
                <w:sz w:val="24"/>
              </w:rPr>
            </w:pPr>
          </w:p>
        </w:tc>
        <w:tc>
          <w:tcPr>
            <w:tcW w:w="1663"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9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0"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663" w:type="dxa"/>
            <w:vMerge w:val="restart"/>
            <w:tcBorders>
              <w:left w:val="single" w:color="auto"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排放区域类型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一般控制区</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9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重点控制区</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9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核心控制区</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92"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14"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66"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1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08"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408"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6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384" w:hRule="atLeast"/>
          <w:jc w:val="center"/>
        </w:trPr>
        <w:tc>
          <w:tcPr>
            <w:tcW w:w="1703" w:type="dxa"/>
            <w:vMerge w:val="continue"/>
            <w:noWrap w:val="0"/>
            <w:vAlign w:val="center"/>
          </w:tcPr>
          <w:p>
            <w:pPr>
              <w:jc w:val="center"/>
              <w:rPr>
                <w:rFonts w:hint="eastAsia" w:ascii="仿宋_GB2312" w:hAnsi="仿宋_GB2312" w:eastAsia="仿宋_GB2312" w:cs="仿宋_GB2312"/>
                <w:b/>
                <w:bCs/>
                <w:sz w:val="24"/>
                <w:szCs w:val="32"/>
              </w:rPr>
            </w:pPr>
          </w:p>
        </w:tc>
        <w:tc>
          <w:tcPr>
            <w:tcW w:w="1663"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pacing w:val="-6"/>
                <w:sz w:val="24"/>
                <w:szCs w:val="32"/>
              </w:rPr>
              <w:t>未造成社会影响与生态破坏的</w:t>
            </w:r>
          </w:p>
        </w:tc>
        <w:tc>
          <w:tcPr>
            <w:tcW w:w="1684"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691" w:hRule="atLeast"/>
          <w:jc w:val="center"/>
        </w:trPr>
        <w:tc>
          <w:tcPr>
            <w:tcW w:w="9040"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51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337"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432" w:hRule="atLeast"/>
          <w:jc w:val="center"/>
        </w:trPr>
        <w:tc>
          <w:tcPr>
            <w:tcW w:w="1703"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337"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特殊时段未按照排污许可证规定停止或者限制排放污染物的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9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337" w:type="dxa"/>
            <w:gridSpan w:val="4"/>
            <w:noWrap w:val="0"/>
            <w:vAlign w:val="top"/>
          </w:tcPr>
          <w:p>
            <w:pPr>
              <w:spacing w:line="26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spacing w:line="26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第十七条 </w:t>
            </w:r>
            <w:r>
              <w:rPr>
                <w:rFonts w:hint="eastAsia" w:ascii="仿宋_GB2312" w:hAnsi="仿宋_GB2312" w:eastAsia="仿宋_GB2312" w:cs="仿宋_GB2312"/>
                <w:sz w:val="24"/>
                <w:szCs w:val="32"/>
              </w:rPr>
              <w:t>排污许可证是对排污单位进行生态环境监管的主要依据。</w:t>
            </w:r>
          </w:p>
          <w:p>
            <w:pPr>
              <w:spacing w:line="26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排污单位应当遵守排污许可证规定，按照生态环境管理要求运行和维护污染防治设施，建立环境管理制度，严格控制污染物排放。</w:t>
            </w:r>
          </w:p>
          <w:p>
            <w:pPr>
              <w:spacing w:line="260" w:lineRule="exact"/>
              <w:rPr>
                <w:rFonts w:hint="eastAsia" w:ascii="仿宋_GB2312" w:hAnsi="仿宋_GB2312" w:eastAsia="仿宋_GB2312" w:cs="仿宋_GB2312"/>
                <w:sz w:val="24"/>
                <w:szCs w:val="32"/>
              </w:rPr>
            </w:pPr>
          </w:p>
          <w:p>
            <w:pPr>
              <w:spacing w:line="26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spacing w:line="26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第三十五条 第二项 </w:t>
            </w:r>
            <w:r>
              <w:rPr>
                <w:rFonts w:hint="eastAsia" w:ascii="仿宋_GB2312" w:hAnsi="仿宋_GB2312" w:eastAsia="仿宋_GB2312" w:cs="仿宋_GB2312"/>
                <w:sz w:val="24"/>
                <w:szCs w:val="32"/>
              </w:rPr>
              <w:t>违反本条例规定，排污单位有下列行为之一的，由生态环境主管部门责令改正，处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万元以下的罚款；情节严重的，处 20 万元以上 100 万元以下的罚款，责令限制生产、停产整治：</w:t>
            </w:r>
          </w:p>
          <w:p>
            <w:pPr>
              <w:spacing w:line="26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(二)特殊时段未按照排污许可证规定停止或者限制排放污染物。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417" w:hRule="atLeast"/>
          <w:jc w:val="center"/>
        </w:trPr>
        <w:tc>
          <w:tcPr>
            <w:tcW w:w="4159" w:type="dxa"/>
            <w:gridSpan w:val="3"/>
            <w:noWrap w:val="0"/>
            <w:vAlign w:val="center"/>
          </w:tcPr>
          <w:p>
            <w:pPr>
              <w:spacing w:line="27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81" w:type="dxa"/>
            <w:gridSpan w:val="2"/>
            <w:noWrap w:val="0"/>
            <w:vAlign w:val="center"/>
          </w:tcPr>
          <w:p>
            <w:pPr>
              <w:spacing w:line="27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586" w:hRule="exact"/>
          <w:jc w:val="center"/>
        </w:trPr>
        <w:tc>
          <w:tcPr>
            <w:tcW w:w="170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63" w:type="dxa"/>
            <w:noWrap w:val="0"/>
            <w:vAlign w:val="center"/>
          </w:tcPr>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spacing w:line="270" w:lineRule="exact"/>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678" w:type="dxa"/>
            <w:noWrap w:val="0"/>
            <w:vAlign w:val="center"/>
          </w:tcPr>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314" w:hRule="atLeast"/>
          <w:jc w:val="center"/>
        </w:trPr>
        <w:tc>
          <w:tcPr>
            <w:tcW w:w="1703"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663" w:type="dxa"/>
            <w:vMerge w:val="restart"/>
            <w:noWrap w:val="0"/>
            <w:vAlign w:val="center"/>
          </w:tcPr>
          <w:p>
            <w:pPr>
              <w:spacing w:line="270" w:lineRule="exact"/>
              <w:jc w:val="center"/>
              <w:rPr>
                <w:rFonts w:ascii="仿宋_GB2312" w:hAnsi="仿宋_GB2312" w:eastAsia="仿宋_GB2312" w:cs="仿宋_GB2312"/>
                <w:sz w:val="22"/>
                <w:szCs w:val="28"/>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未完全落实限制或者停止排放污染物的措施</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46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spacing w:line="270" w:lineRule="exact"/>
              <w:jc w:val="center"/>
              <w:rPr>
                <w:rFonts w:hint="eastAsia" w:ascii="仿宋_GB2312" w:hAnsi="仿宋_GB2312" w:eastAsia="仿宋_GB2312" w:cs="仿宋_GB2312"/>
                <w:sz w:val="22"/>
                <w:szCs w:val="28"/>
              </w:rPr>
            </w:pPr>
          </w:p>
        </w:tc>
        <w:tc>
          <w:tcPr>
            <w:tcW w:w="79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3203" w:type="dxa"/>
            <w:noWrap w:val="0"/>
            <w:vAlign w:val="top"/>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未采取措施停止或者限制排放污染物措施</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90"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类型</w:t>
            </w:r>
          </w:p>
        </w:tc>
        <w:tc>
          <w:tcPr>
            <w:tcW w:w="166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排污单位管理类别</w:t>
            </w:r>
          </w:p>
        </w:tc>
        <w:tc>
          <w:tcPr>
            <w:tcW w:w="79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spacing w:line="270" w:lineRule="exact"/>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90" w:hRule="atLeast"/>
          <w:jc w:val="center"/>
        </w:trPr>
        <w:tc>
          <w:tcPr>
            <w:tcW w:w="1703" w:type="dxa"/>
            <w:vMerge w:val="continue"/>
            <w:noWrap w:val="0"/>
            <w:vAlign w:val="center"/>
          </w:tcPr>
          <w:p>
            <w:pPr>
              <w:jc w:val="center"/>
              <w:rPr>
                <w:rFonts w:ascii="仿宋_GB2312" w:hAnsi="仿宋_GB2312" w:eastAsia="仿宋_GB2312" w:cs="仿宋_GB2312"/>
                <w:b/>
                <w:bCs/>
                <w:sz w:val="24"/>
              </w:rPr>
            </w:pPr>
          </w:p>
        </w:tc>
        <w:tc>
          <w:tcPr>
            <w:tcW w:w="1663" w:type="dxa"/>
            <w:vMerge w:val="continue"/>
            <w:noWrap w:val="0"/>
            <w:vAlign w:val="center"/>
          </w:tcPr>
          <w:p>
            <w:pPr>
              <w:spacing w:line="270" w:lineRule="exact"/>
              <w:jc w:val="center"/>
              <w:rPr>
                <w:rFonts w:ascii="仿宋_GB2312" w:hAnsi="仿宋_GB2312" w:eastAsia="仿宋_GB2312" w:cs="仿宋_GB2312"/>
                <w:sz w:val="22"/>
                <w:szCs w:val="28"/>
              </w:rPr>
            </w:pPr>
          </w:p>
        </w:tc>
        <w:tc>
          <w:tcPr>
            <w:tcW w:w="79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19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spacing w:line="270" w:lineRule="exact"/>
              <w:jc w:val="center"/>
              <w:rPr>
                <w:rFonts w:hint="eastAsia" w:ascii="仿宋_GB2312" w:hAnsi="仿宋_GB2312" w:eastAsia="仿宋_GB2312" w:cs="仿宋_GB2312"/>
                <w:sz w:val="22"/>
                <w:szCs w:val="28"/>
              </w:rPr>
            </w:pPr>
          </w:p>
        </w:tc>
        <w:tc>
          <w:tcPr>
            <w:tcW w:w="793" w:type="dxa"/>
            <w:vMerge w:val="continue"/>
            <w:noWrap w:val="0"/>
            <w:vAlign w:val="center"/>
          </w:tcPr>
          <w:p>
            <w:pPr>
              <w:spacing w:line="270" w:lineRule="exact"/>
              <w:jc w:val="center"/>
              <w:rPr>
                <w:rFonts w:hint="eastAsia" w:ascii="仿宋_GB2312" w:hAnsi="仿宋_GB2312" w:eastAsia="仿宋_GB2312" w:cs="仿宋_GB2312"/>
                <w:b/>
                <w:bCs/>
                <w:sz w:val="22"/>
                <w:szCs w:val="28"/>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90"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rPr>
              <w:t>排放污染物 类别</w:t>
            </w:r>
          </w:p>
        </w:tc>
        <w:tc>
          <w:tcPr>
            <w:tcW w:w="1663" w:type="dxa"/>
            <w:vMerge w:val="restart"/>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排放污染物</w:t>
            </w:r>
          </w:p>
          <w:p>
            <w:pPr>
              <w:spacing w:line="270" w:lineRule="exact"/>
              <w:jc w:val="center"/>
              <w:rPr>
                <w:rFonts w:ascii="仿宋_GB2312" w:hAnsi="仿宋_GB2312" w:eastAsia="仿宋_GB2312" w:cs="仿宋_GB2312"/>
                <w:sz w:val="24"/>
                <w:szCs w:val="32"/>
              </w:rPr>
            </w:pPr>
            <w:r>
              <w:rPr>
                <w:rFonts w:hint="eastAsia" w:ascii="仿宋_GB2312" w:hAnsi="仿宋_GB2312" w:eastAsia="仿宋_GB2312" w:cs="仿宋_GB2312"/>
                <w:sz w:val="24"/>
              </w:rPr>
              <w:t>类别</w:t>
            </w:r>
          </w:p>
        </w:tc>
        <w:tc>
          <w:tcPr>
            <w:tcW w:w="79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9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spacing w:line="270" w:lineRule="exact"/>
              <w:jc w:val="center"/>
              <w:rPr>
                <w:rFonts w:hint="eastAsia" w:ascii="仿宋_GB2312" w:hAnsi="仿宋_GB2312" w:eastAsia="仿宋_GB2312" w:cs="仿宋_GB2312"/>
                <w:sz w:val="24"/>
                <w:szCs w:val="32"/>
              </w:rPr>
            </w:pPr>
          </w:p>
        </w:tc>
        <w:tc>
          <w:tcPr>
            <w:tcW w:w="79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一般工业废气、一般工业废水、污水处理厂废水、畜禽养殖废水或其他污染物</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9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spacing w:line="270" w:lineRule="exact"/>
              <w:jc w:val="center"/>
              <w:rPr>
                <w:rFonts w:hint="eastAsia" w:ascii="仿宋_GB2312" w:hAnsi="仿宋_GB2312" w:eastAsia="仿宋_GB2312" w:cs="仿宋_GB2312"/>
                <w:sz w:val="24"/>
                <w:szCs w:val="32"/>
              </w:rPr>
            </w:pPr>
          </w:p>
        </w:tc>
        <w:tc>
          <w:tcPr>
            <w:tcW w:w="79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含有毒有害物质的废气或废水、医疗废水、含一类污染物或重金属、病原体、放射性物质的废水或其他污染物</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92"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63" w:type="dxa"/>
            <w:vMerge w:val="restart"/>
            <w:tcBorders>
              <w:left w:val="single" w:color="auto" w:sz="4" w:space="0"/>
            </w:tcBorders>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314"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spacing w:line="270" w:lineRule="exact"/>
              <w:jc w:val="left"/>
              <w:rPr>
                <w:rFonts w:hint="eastAsia" w:ascii="仿宋_GB2312" w:hAnsi="仿宋_GB2312" w:eastAsia="仿宋_GB2312" w:cs="仿宋_GB2312"/>
                <w:sz w:val="24"/>
                <w:szCs w:val="32"/>
              </w:rPr>
            </w:pPr>
          </w:p>
        </w:tc>
        <w:tc>
          <w:tcPr>
            <w:tcW w:w="79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166"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63" w:type="dxa"/>
            <w:vMerge w:val="restart"/>
            <w:tcBorders>
              <w:left w:val="single" w:color="auto" w:sz="4" w:space="0"/>
            </w:tcBorders>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31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spacing w:line="270" w:lineRule="exact"/>
              <w:jc w:val="left"/>
              <w:rPr>
                <w:rFonts w:hint="eastAsia" w:ascii="仿宋_GB2312" w:hAnsi="仿宋_GB2312" w:eastAsia="仿宋_GB2312" w:cs="仿宋_GB2312"/>
                <w:sz w:val="24"/>
                <w:szCs w:val="32"/>
              </w:rPr>
            </w:pPr>
          </w:p>
        </w:tc>
        <w:tc>
          <w:tcPr>
            <w:tcW w:w="79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408"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spacing w:line="270" w:lineRule="exact"/>
              <w:jc w:val="left"/>
              <w:rPr>
                <w:rFonts w:hint="eastAsia" w:ascii="仿宋_GB2312" w:hAnsi="仿宋_GB2312" w:eastAsia="仿宋_GB2312" w:cs="仿宋_GB2312"/>
                <w:sz w:val="24"/>
                <w:szCs w:val="32"/>
              </w:rPr>
            </w:pPr>
          </w:p>
        </w:tc>
        <w:tc>
          <w:tcPr>
            <w:tcW w:w="79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408"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6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384" w:hRule="atLeast"/>
          <w:jc w:val="center"/>
        </w:trPr>
        <w:tc>
          <w:tcPr>
            <w:tcW w:w="1703" w:type="dxa"/>
            <w:vMerge w:val="continue"/>
            <w:noWrap w:val="0"/>
            <w:vAlign w:val="center"/>
          </w:tcPr>
          <w:p>
            <w:pPr>
              <w:jc w:val="center"/>
              <w:rPr>
                <w:rFonts w:hint="eastAsia" w:ascii="仿宋_GB2312" w:hAnsi="仿宋_GB2312" w:eastAsia="仿宋_GB2312" w:cs="仿宋_GB2312"/>
                <w:b/>
                <w:bCs/>
                <w:sz w:val="24"/>
                <w:szCs w:val="32"/>
              </w:rPr>
            </w:pPr>
          </w:p>
        </w:tc>
        <w:tc>
          <w:tcPr>
            <w:tcW w:w="1663" w:type="dxa"/>
            <w:vMerge w:val="continue"/>
            <w:noWrap w:val="0"/>
            <w:vAlign w:val="center"/>
          </w:tcPr>
          <w:p>
            <w:pPr>
              <w:spacing w:line="270" w:lineRule="exact"/>
              <w:jc w:val="center"/>
              <w:rPr>
                <w:rFonts w:hint="eastAsia" w:ascii="仿宋_GB2312" w:hAnsi="仿宋_GB2312" w:eastAsia="仿宋_GB2312" w:cs="仿宋_GB2312"/>
                <w:sz w:val="24"/>
                <w:szCs w:val="32"/>
              </w:rPr>
            </w:pPr>
          </w:p>
        </w:tc>
        <w:tc>
          <w:tcPr>
            <w:tcW w:w="793" w:type="dxa"/>
            <w:vMerge w:val="continue"/>
            <w:noWrap w:val="0"/>
            <w:vAlign w:val="center"/>
          </w:tcPr>
          <w:p>
            <w:pPr>
              <w:spacing w:line="270" w:lineRule="exact"/>
              <w:rPr>
                <w:rFonts w:hint="eastAsia" w:ascii="仿宋_GB2312" w:hAnsi="仿宋_GB2312" w:eastAsia="仿宋_GB2312" w:cs="仿宋_GB2312"/>
                <w:sz w:val="24"/>
                <w:szCs w:val="32"/>
              </w:rPr>
            </w:pPr>
          </w:p>
        </w:tc>
        <w:tc>
          <w:tcPr>
            <w:tcW w:w="3203" w:type="dxa"/>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78" w:type="dxa"/>
            <w:noWrap w:val="0"/>
            <w:vAlign w:val="center"/>
          </w:tcPr>
          <w:p>
            <w:pPr>
              <w:spacing w:line="27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81" w:type="dxa"/>
            <w:gridSpan w:val="7"/>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378" w:type="dxa"/>
            <w:gridSpan w:val="6"/>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03"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378"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污染物排放口位置或者数量不符合排污许可证规定的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378" w:type="dxa"/>
            <w:gridSpan w:val="6"/>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第十八条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第一款、第二款 </w:t>
            </w:r>
            <w:r>
              <w:rPr>
                <w:rFonts w:hint="eastAsia" w:ascii="仿宋_GB2312" w:hAnsi="仿宋_GB2312" w:eastAsia="仿宋_GB2312" w:cs="仿宋_GB2312"/>
                <w:sz w:val="24"/>
                <w:szCs w:val="32"/>
              </w:rPr>
              <w:t>排污单位应当按照生态环境主管部门的规定建设规范化污染物排放口，并设置标志牌。</w:t>
            </w:r>
          </w:p>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污染物排放口位置和数量、污染物排放方式和排放去向应当与排污许可证规定相符。</w:t>
            </w:r>
          </w:p>
          <w:p>
            <w:pPr>
              <w:spacing w:line="260" w:lineRule="exact"/>
              <w:jc w:val="left"/>
              <w:rPr>
                <w:rFonts w:hint="eastAsia" w:ascii="仿宋_GB2312" w:hAnsi="仿宋_GB2312" w:eastAsia="仿宋_GB2312" w:cs="仿宋_GB2312"/>
                <w:sz w:val="24"/>
                <w:szCs w:val="32"/>
              </w:rPr>
            </w:pPr>
          </w:p>
          <w:p>
            <w:pPr>
              <w:spacing w:line="26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第三十六条 第一项 </w:t>
            </w:r>
            <w:r>
              <w:rPr>
                <w:rFonts w:hint="eastAsia" w:ascii="仿宋_GB2312" w:hAnsi="仿宋_GB2312" w:eastAsia="仿宋_GB2312" w:cs="仿宋_GB2312"/>
                <w:sz w:val="24"/>
                <w:szCs w:val="32"/>
              </w:rPr>
              <w:t>违反本条例规定，排污单位有下列行为之一的，由生态环境主管部门责令改正，处2万元以上 20万元以下的罚款；拒不改正的，责令停产整治：</w:t>
            </w:r>
          </w:p>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(一)污染物排放口位置或者数量不符合排污许可证规定。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22"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6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71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03"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违法事实</w:t>
            </w:r>
          </w:p>
        </w:tc>
        <w:tc>
          <w:tcPr>
            <w:tcW w:w="166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排放口</w:t>
            </w:r>
          </w:p>
          <w:p>
            <w:pPr>
              <w:jc w:val="center"/>
              <w:rPr>
                <w:rFonts w:ascii="仿宋_GB2312" w:hAnsi="仿宋_GB2312" w:eastAsia="仿宋_GB2312" w:cs="仿宋_GB2312"/>
                <w:sz w:val="22"/>
                <w:szCs w:val="28"/>
              </w:rPr>
            </w:pPr>
            <w:r>
              <w:rPr>
                <w:rFonts w:hint="eastAsia" w:ascii="仿宋_GB2312" w:hAnsi="仿宋_GB2312" w:eastAsia="仿宋_GB2312" w:cs="仿宋_GB2312"/>
                <w:sz w:val="24"/>
                <w:szCs w:val="32"/>
              </w:rPr>
              <w:t>数量偏差</w:t>
            </w:r>
          </w:p>
        </w:tc>
        <w:tc>
          <w:tcPr>
            <w:tcW w:w="793" w:type="dxa"/>
            <w:vMerge w:val="restart"/>
            <w:noWrap w:val="0"/>
            <w:vAlign w:val="center"/>
          </w:tcPr>
          <w:p>
            <w:pPr>
              <w:jc w:val="center"/>
              <w:rPr>
                <w:rFonts w:hint="eastAsia" w:ascii="仿宋_GB2312" w:hAnsi="仿宋_GB2312" w:eastAsia="仿宋_GB2312" w:cs="仿宋_GB2312"/>
                <w:sz w:val="24"/>
                <w:szCs w:val="32"/>
              </w:rPr>
            </w:pP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1个</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2个</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03" w:type="dxa"/>
            <w:vMerge w:val="continue"/>
            <w:noWrap w:val="0"/>
            <w:vAlign w:val="center"/>
          </w:tcPr>
          <w:p>
            <w:pPr>
              <w:jc w:val="center"/>
              <w:rPr>
                <w:rFonts w:ascii="仿宋_GB2312" w:hAnsi="仿宋_GB2312" w:eastAsia="仿宋_GB2312" w:cs="仿宋_GB2312"/>
                <w:b/>
                <w:bCs/>
                <w:sz w:val="24"/>
              </w:rPr>
            </w:pPr>
          </w:p>
        </w:tc>
        <w:tc>
          <w:tcPr>
            <w:tcW w:w="1663"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3个以上</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CellMar>
            <w:top w:w="0" w:type="dxa"/>
            <w:left w:w="108" w:type="dxa"/>
            <w:bottom w:w="0" w:type="dxa"/>
            <w:right w:w="108" w:type="dxa"/>
          </w:tblCellMar>
        </w:tblPrEx>
        <w:trPr>
          <w:trHeight w:val="90"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szCs w:val="32"/>
              </w:rPr>
              <w:t>类型</w:t>
            </w:r>
          </w:p>
          <w:p>
            <w:pPr>
              <w:jc w:val="center"/>
              <w:rPr>
                <w:rFonts w:ascii="仿宋_GB2312" w:hAnsi="仿宋_GB2312" w:eastAsia="仿宋_GB2312" w:cs="仿宋_GB2312"/>
                <w:b/>
                <w:bCs/>
                <w:sz w:val="24"/>
              </w:rPr>
            </w:pPr>
          </w:p>
        </w:tc>
        <w:tc>
          <w:tcPr>
            <w:tcW w:w="166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vMerge w:val="continue"/>
            <w:noWrap w:val="0"/>
            <w:vAlign w:val="center"/>
          </w:tcPr>
          <w:p>
            <w:pPr>
              <w:jc w:val="center"/>
              <w:rPr>
                <w:rFonts w:ascii="仿宋_GB2312" w:hAnsi="仿宋_GB2312" w:eastAsia="仿宋_GB2312" w:cs="仿宋_GB2312"/>
                <w:b/>
                <w:bCs/>
                <w:sz w:val="24"/>
              </w:rPr>
            </w:pPr>
          </w:p>
        </w:tc>
        <w:tc>
          <w:tcPr>
            <w:tcW w:w="1663"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 (化工、电镀、皮革、造纸、制浆、冶炼、放射性、印染、染料、炼焦、炼油项目)</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违法行为</w:t>
            </w:r>
          </w:p>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类型</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排放污染物</w:t>
            </w:r>
          </w:p>
          <w:p>
            <w:pPr>
              <w:jc w:val="center"/>
              <w:rPr>
                <w:rFonts w:ascii="仿宋_GB2312" w:hAnsi="仿宋_GB2312" w:eastAsia="仿宋_GB2312" w:cs="仿宋_GB2312"/>
                <w:sz w:val="24"/>
                <w:szCs w:val="32"/>
              </w:rPr>
            </w:pPr>
            <w:r>
              <w:rPr>
                <w:rFonts w:hint="eastAsia" w:ascii="仿宋_GB2312" w:hAnsi="仿宋_GB2312" w:eastAsia="仿宋_GB2312" w:cs="仿宋_GB2312"/>
                <w:sz w:val="24"/>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03" w:type="dxa"/>
            <w:vMerge w:val="continue"/>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一般工业废气、一般工业废水、污水处理厂废水、畜禽养殖废水或其他污染物</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03" w:type="dxa"/>
            <w:vMerge w:val="continue"/>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含有毒有害物质的废气或废水、医疗废水、含一类污染物或重金属、病原体、放射性物质的废水或其他污染物</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6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3" w:type="dxa"/>
            <w:vMerge w:val="continue"/>
            <w:noWrap w:val="0"/>
            <w:vAlign w:val="center"/>
          </w:tcPr>
          <w:p>
            <w:pPr>
              <w:jc w:val="center"/>
              <w:rPr>
                <w:rFonts w:hint="eastAsia" w:ascii="仿宋_GB2312" w:hAnsi="仿宋_GB2312" w:eastAsia="仿宋_GB2312" w:cs="仿宋_GB2312"/>
                <w:b/>
                <w:bCs/>
                <w:sz w:val="24"/>
                <w:szCs w:val="32"/>
              </w:rPr>
            </w:pPr>
          </w:p>
        </w:tc>
        <w:tc>
          <w:tcPr>
            <w:tcW w:w="1663"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1" w:type="dxa"/>
            <w:gridSpan w:val="7"/>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378" w:type="dxa"/>
            <w:gridSpan w:val="6"/>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03"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378"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污染物排放方式或者排放去向不符合排污许可证规定的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378"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第十八条 第二款 </w:t>
            </w:r>
            <w:r>
              <w:rPr>
                <w:rFonts w:hint="eastAsia" w:ascii="仿宋_GB2312" w:hAnsi="仿宋_GB2312" w:eastAsia="仿宋_GB2312" w:cs="仿宋_GB2312"/>
                <w:sz w:val="24"/>
                <w:szCs w:val="32"/>
              </w:rPr>
              <w:t>污染物排放口位置和数量、污染物排放方式和排放去向应当与排污许可证规定相符。</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第三十六条 第二项 </w:t>
            </w:r>
            <w:r>
              <w:rPr>
                <w:rFonts w:hint="eastAsia" w:ascii="仿宋_GB2312" w:hAnsi="仿宋_GB2312" w:eastAsia="仿宋_GB2312" w:cs="仿宋_GB2312"/>
                <w:sz w:val="24"/>
                <w:szCs w:val="32"/>
              </w:rPr>
              <w:t>违反本条例规定，排污单位有下列行为之一的，由生态环境主管部门责令改正，处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(二)污染物排放方式或者排放去向不符合排污许可证规定。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22"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6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1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03"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66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部分污染物排放去向不符合规定</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部分污染物排放方式不符合规定</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03" w:type="dxa"/>
            <w:vMerge w:val="continue"/>
            <w:noWrap w:val="0"/>
            <w:vAlign w:val="center"/>
          </w:tcPr>
          <w:p>
            <w:pPr>
              <w:jc w:val="center"/>
              <w:rPr>
                <w:rFonts w:ascii="仿宋_GB2312" w:hAnsi="仿宋_GB2312" w:eastAsia="仿宋_GB2312" w:cs="仿宋_GB2312"/>
                <w:b/>
                <w:bCs/>
                <w:sz w:val="24"/>
              </w:rPr>
            </w:pPr>
          </w:p>
        </w:tc>
        <w:tc>
          <w:tcPr>
            <w:tcW w:w="1663"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污染物排放方式或者排放去向不符合规定</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66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vMerge w:val="continue"/>
            <w:noWrap w:val="0"/>
            <w:vAlign w:val="center"/>
          </w:tcPr>
          <w:p>
            <w:pPr>
              <w:jc w:val="center"/>
              <w:rPr>
                <w:rFonts w:ascii="仿宋_GB2312" w:hAnsi="仿宋_GB2312" w:eastAsia="仿宋_GB2312" w:cs="仿宋_GB2312"/>
                <w:b/>
                <w:bCs/>
                <w:sz w:val="24"/>
              </w:rPr>
            </w:pPr>
          </w:p>
        </w:tc>
        <w:tc>
          <w:tcPr>
            <w:tcW w:w="1663"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703" w:type="dxa"/>
            <w:vMerge w:val="continue"/>
            <w:noWrap w:val="0"/>
            <w:vAlign w:val="center"/>
          </w:tcPr>
          <w:p>
            <w:pPr>
              <w:jc w:val="center"/>
              <w:rPr>
                <w:rFonts w:hint="eastAsia" w:ascii="仿宋_GB2312" w:hAnsi="仿宋_GB2312" w:eastAsia="仿宋_GB2312" w:cs="仿宋_GB2312"/>
                <w:b/>
                <w:bCs/>
                <w:sz w:val="24"/>
              </w:rPr>
            </w:pPr>
          </w:p>
        </w:tc>
        <w:tc>
          <w:tcPr>
            <w:tcW w:w="1663"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 )</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rPr>
              <w:t>排放污染物类别</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排放污染物</w:t>
            </w:r>
          </w:p>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 养殖废水或其他污染物</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 物或重金属、病原体、放射性物质的废水或其他污染物</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70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6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0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6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0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6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3" w:type="dxa"/>
            <w:vMerge w:val="continue"/>
            <w:noWrap w:val="0"/>
            <w:vAlign w:val="center"/>
          </w:tcPr>
          <w:p>
            <w:pPr>
              <w:jc w:val="center"/>
              <w:rPr>
                <w:rFonts w:hint="eastAsia" w:ascii="仿宋_GB2312" w:hAnsi="仿宋_GB2312" w:eastAsia="仿宋_GB2312" w:cs="仿宋_GB2312"/>
                <w:b/>
                <w:bCs/>
                <w:sz w:val="24"/>
                <w:szCs w:val="32"/>
              </w:rPr>
            </w:pPr>
          </w:p>
        </w:tc>
        <w:tc>
          <w:tcPr>
            <w:tcW w:w="1663"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1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p/>
    <w:p/>
    <w:p/>
    <w:p/>
    <w:p/>
    <w:p/>
    <w:p>
      <w:pPr>
        <w:rPr>
          <w:sz w:val="10"/>
          <w:szCs w:val="1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689"/>
        <w:gridCol w:w="793"/>
        <w:gridCol w:w="320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98"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7"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421"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77"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421"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损毁或者擅自移动、改变污染物排放自动监测设备的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7"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421"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第二十条 第一款 </w:t>
            </w:r>
            <w:r>
              <w:rPr>
                <w:rFonts w:hint="eastAsia" w:ascii="仿宋_GB2312" w:hAnsi="仿宋_GB2312" w:eastAsia="仿宋_GB2312" w:cs="仿宋_GB2312"/>
                <w:sz w:val="24"/>
                <w:szCs w:val="32"/>
              </w:rPr>
              <w:t>实行排污许可重点管理的排污单位，应当依法安装、使用、维护污染物排放自动监测设备，并与生态环境主管部门的监控设备联网。</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第三十六条 第三项 </w:t>
            </w:r>
            <w:r>
              <w:rPr>
                <w:rFonts w:hint="eastAsia" w:ascii="仿宋_GB2312" w:hAnsi="仿宋_GB2312" w:eastAsia="仿宋_GB2312" w:cs="仿宋_GB2312"/>
                <w:sz w:val="24"/>
                <w:szCs w:val="32"/>
              </w:rPr>
              <w:t>违反本条例规定，排污单位有下列行为之一的，由生态环境主管部门责令改正，处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(三)损毁或者擅自移动、改变污染物排放自动监测设备。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7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7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677"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68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造成自动监测与人工监测 (或者标准物质测试)数据误差超过技术规范允许范围不足1倍</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77" w:type="dxa"/>
            <w:vMerge w:val="continue"/>
            <w:noWrap w:val="0"/>
            <w:vAlign w:val="center"/>
          </w:tcPr>
          <w:p>
            <w:pPr>
              <w:jc w:val="center"/>
              <w:rPr>
                <w:rFonts w:hint="eastAsia" w:ascii="仿宋_GB2312" w:hAnsi="仿宋_GB2312" w:eastAsia="仿宋_GB2312" w:cs="仿宋_GB2312"/>
                <w:b/>
                <w:bCs/>
                <w:sz w:val="24"/>
              </w:rPr>
            </w:pPr>
          </w:p>
        </w:tc>
        <w:tc>
          <w:tcPr>
            <w:tcW w:w="1689"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造成自动监测与人工监测(或者标准物质测试)数据误差超过技术规范允许范围1倍以上不足2倍</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677" w:type="dxa"/>
            <w:vMerge w:val="continue"/>
            <w:noWrap w:val="0"/>
            <w:vAlign w:val="center"/>
          </w:tcPr>
          <w:p>
            <w:pPr>
              <w:jc w:val="center"/>
              <w:rPr>
                <w:rFonts w:ascii="仿宋_GB2312" w:hAnsi="仿宋_GB2312" w:eastAsia="仿宋_GB2312" w:cs="仿宋_GB2312"/>
                <w:b/>
                <w:bCs/>
                <w:sz w:val="24"/>
              </w:rPr>
            </w:pPr>
          </w:p>
        </w:tc>
        <w:tc>
          <w:tcPr>
            <w:tcW w:w="1689"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造成自动监测与人工监测(或者标准物质测试)数据误差超过技术规范允许范围2倍以上</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7"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68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7" w:type="dxa"/>
            <w:vMerge w:val="continue"/>
            <w:noWrap w:val="0"/>
            <w:vAlign w:val="center"/>
          </w:tcPr>
          <w:p>
            <w:pPr>
              <w:jc w:val="center"/>
              <w:rPr>
                <w:rFonts w:ascii="仿宋_GB2312" w:hAnsi="仿宋_GB2312" w:eastAsia="仿宋_GB2312" w:cs="仿宋_GB2312"/>
                <w:b/>
                <w:bCs/>
                <w:sz w:val="24"/>
              </w:rPr>
            </w:pPr>
          </w:p>
        </w:tc>
        <w:tc>
          <w:tcPr>
            <w:tcW w:w="1689"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77" w:type="dxa"/>
            <w:vMerge w:val="continue"/>
            <w:noWrap w:val="0"/>
            <w:vAlign w:val="center"/>
          </w:tcPr>
          <w:p>
            <w:pPr>
              <w:jc w:val="center"/>
              <w:rPr>
                <w:rFonts w:hint="eastAsia" w:ascii="仿宋_GB2312" w:hAnsi="仿宋_GB2312" w:eastAsia="仿宋_GB2312" w:cs="仿宋_GB2312"/>
                <w:b/>
                <w:bCs/>
                <w:sz w:val="24"/>
              </w:rPr>
            </w:pPr>
          </w:p>
        </w:tc>
        <w:tc>
          <w:tcPr>
            <w:tcW w:w="1689"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7" w:type="dxa"/>
            <w:vMerge w:val="continue"/>
            <w:noWrap w:val="0"/>
            <w:vAlign w:val="center"/>
          </w:tcPr>
          <w:p>
            <w:pPr>
              <w:jc w:val="center"/>
              <w:rPr>
                <w:rFonts w:ascii="仿宋_GB2312" w:hAnsi="仿宋_GB2312" w:eastAsia="仿宋_GB2312" w:cs="仿宋_GB2312"/>
                <w:b/>
                <w:bCs/>
                <w:sz w:val="24"/>
                <w:szCs w:val="32"/>
              </w:rPr>
            </w:pPr>
          </w:p>
        </w:tc>
        <w:tc>
          <w:tcPr>
            <w:tcW w:w="1689" w:type="dxa"/>
            <w:vMerge w:val="restart"/>
            <w:tcBorders>
              <w:left w:val="single" w:color="auto"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监测站点级别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市控</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77" w:type="dxa"/>
            <w:vMerge w:val="continue"/>
            <w:noWrap w:val="0"/>
            <w:vAlign w:val="center"/>
          </w:tcPr>
          <w:p>
            <w:pPr>
              <w:jc w:val="center"/>
              <w:rPr>
                <w:rFonts w:hint="eastAsia" w:ascii="仿宋_GB2312" w:hAnsi="仿宋_GB2312" w:eastAsia="仿宋_GB2312" w:cs="仿宋_GB2312"/>
                <w:b/>
                <w:bCs/>
                <w:sz w:val="24"/>
                <w:szCs w:val="32"/>
              </w:rPr>
            </w:pPr>
          </w:p>
        </w:tc>
        <w:tc>
          <w:tcPr>
            <w:tcW w:w="1689"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省控</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77" w:type="dxa"/>
            <w:vMerge w:val="continue"/>
            <w:noWrap w:val="0"/>
            <w:vAlign w:val="center"/>
          </w:tcPr>
          <w:p>
            <w:pPr>
              <w:jc w:val="center"/>
              <w:rPr>
                <w:rFonts w:hint="eastAsia" w:ascii="仿宋_GB2312" w:hAnsi="仿宋_GB2312" w:eastAsia="仿宋_GB2312" w:cs="仿宋_GB2312"/>
                <w:b/>
                <w:bCs/>
                <w:sz w:val="24"/>
                <w:szCs w:val="32"/>
              </w:rPr>
            </w:pPr>
          </w:p>
        </w:tc>
        <w:tc>
          <w:tcPr>
            <w:tcW w:w="1689"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国控</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7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9"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67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9"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67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9"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7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9"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7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9"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7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77" w:type="dxa"/>
            <w:vMerge w:val="continue"/>
            <w:noWrap w:val="0"/>
            <w:vAlign w:val="center"/>
          </w:tcPr>
          <w:p>
            <w:pPr>
              <w:jc w:val="center"/>
              <w:rPr>
                <w:rFonts w:hint="eastAsia" w:ascii="仿宋_GB2312" w:hAnsi="仿宋_GB2312" w:eastAsia="仿宋_GB2312" w:cs="仿宋_GB2312"/>
                <w:b/>
                <w:bCs/>
                <w:sz w:val="24"/>
                <w:szCs w:val="32"/>
              </w:rPr>
            </w:pPr>
          </w:p>
        </w:tc>
        <w:tc>
          <w:tcPr>
            <w:tcW w:w="1689"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p/>
    <w:p/>
    <w:p/>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91"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15"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1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未按照排污许可证规定安装、使用污染物排放自动监测设备并与生态环境主管部门的监控设备联网，或者未保证污染物排放自动监测设备正常运行的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15"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ascii="仿宋_GB2312" w:hAnsi="仿宋_GB2312" w:eastAsia="仿宋_GB2312" w:cs="仿宋_GB2312"/>
                <w:b/>
                <w:bCs/>
                <w:sz w:val="24"/>
                <w:szCs w:val="32"/>
              </w:rPr>
              <w:t xml:space="preserve"> </w:t>
            </w:r>
            <w:r>
              <w:rPr>
                <w:rFonts w:hint="eastAsia" w:ascii="仿宋_GB2312" w:hAnsi="仿宋_GB2312" w:eastAsia="仿宋_GB2312" w:cs="仿宋_GB2312"/>
                <w:sz w:val="24"/>
                <w:szCs w:val="32"/>
              </w:rPr>
              <w:t>实行排污许可重点管理的排污单位，应当依法安装、使用、维护污染物排放自动监测设备，并与生态环境主管部门的监控设备联网。</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排污单位发现污染物排放自动监测设备传输数据异常的，应当及时报告生态环境主管部门，并进行检查、修复。</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第三十六条 第四项 </w:t>
            </w:r>
            <w:r>
              <w:rPr>
                <w:rFonts w:hint="eastAsia" w:ascii="仿宋_GB2312" w:hAnsi="仿宋_GB2312" w:eastAsia="仿宋_GB2312" w:cs="仿宋_GB2312"/>
                <w:sz w:val="24"/>
                <w:szCs w:val="32"/>
              </w:rPr>
              <w:t>违反本条例规定，排污单位有下列行为之一的，由生态环境主管部门责令改正，处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万元以下的罚款；拒不改正的，责令停产整治：</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(四)未按照排污许可证规定安装、使用污染物排放自动监测设备并与生态环境主管部门的监控设备联网，或者未保证污染物排放自动监测设备正常运行。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3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72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自动监测设备安装、运行维护不符合相关技术规范</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自动监测设备已安装，未按照规定与生态环境主管部门监控设备联网</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未按照规定安装污染物排放自动监测设备，或者擅自停运部分或全部污染源自动监测设备</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违法事实</w:t>
            </w:r>
          </w:p>
        </w:tc>
        <w:tc>
          <w:tcPr>
            <w:tcW w:w="1890" w:type="dxa"/>
            <w:vMerge w:val="restart"/>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监测数据误差或有效传输率</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未保证监测设备正常运行，造成自动监测与人工监测(或者标准物质测试)数据误差超过技术规范允许范围</w:t>
            </w:r>
          </w:p>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不足1倍/自动监测季度数据有效传输率75%以上不足90%</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未保证监测设备正常运行，造成自动监测与人工监测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(或者标准物质测试)数据误差超过技术规范允许范围</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 倍以上不足 2 倍/自动监测季度数据有效传输率 60%以上不足 75%</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未保证自动监测设备正常运行，造成自动监测与人工监测(或者标准物质测试)数据误差超过技术规范允许范围2倍以上/自动监测季度数据有效传输率不足60%</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排放污染物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排放污染物</w:t>
            </w:r>
          </w:p>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一般工业废气、一般工业废水、污水处理厂废水、畜禽养殖废水或其他污染物</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含有毒有害物质的废气或废水、医疗废水、含一类污染物或重金属、病原体、放射性物质的废水或其他污染物</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06"/>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38" w:hRule="atLeast"/>
          <w:jc w:val="center"/>
        </w:trPr>
        <w:tc>
          <w:tcPr>
            <w:tcW w:w="9068"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92"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9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未按照排污许可证规定制定自行监测方案并开展自行监测的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92" w:type="dxa"/>
            <w:gridSpan w:val="4"/>
            <w:noWrap w:val="0"/>
            <w:vAlign w:val="top"/>
          </w:tcPr>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第十九条 第一款 </w:t>
            </w:r>
            <w:r>
              <w:rPr>
                <w:rFonts w:hint="eastAsia" w:ascii="仿宋_GB2312" w:hAnsi="仿宋_GB2312" w:eastAsia="仿宋_GB2312" w:cs="仿宋_GB2312"/>
                <w:sz w:val="24"/>
                <w:szCs w:val="32"/>
              </w:rPr>
              <w:t>排污单位应当按照排污许可证规定和有关标准规范，依法开展自行监测，并保存原始监测记录。原始监测记录保存期限不得少于 5 年。</w:t>
            </w:r>
          </w:p>
          <w:p>
            <w:pPr>
              <w:spacing w:line="280" w:lineRule="exact"/>
              <w:rPr>
                <w:rFonts w:hint="eastAsia" w:ascii="仿宋_GB2312" w:hAnsi="仿宋_GB2312" w:eastAsia="仿宋_GB2312" w:cs="仿宋_GB2312"/>
                <w:sz w:val="24"/>
                <w:szCs w:val="32"/>
              </w:rPr>
            </w:pPr>
          </w:p>
          <w:p>
            <w:pPr>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第三十六条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第五项 </w:t>
            </w:r>
            <w:r>
              <w:rPr>
                <w:rFonts w:hint="eastAsia" w:ascii="仿宋_GB2312" w:hAnsi="仿宋_GB2312" w:eastAsia="仿宋_GB2312" w:cs="仿宋_GB2312"/>
                <w:sz w:val="24"/>
                <w:szCs w:val="32"/>
              </w:rPr>
              <w:t>违反本条例规定，排污单位有下列行为之一的，由生态环境主管部门责令改正，处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万元以下的罚款；拒不改正的，责令停产整治：</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(五)未按照排污许可证规定制定自行监测方案并开展自行监测。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0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70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4"/>
              </w:rPr>
              <w:t>违法行为持续时间</w:t>
            </w:r>
          </w:p>
        </w:tc>
        <w:tc>
          <w:tcPr>
            <w:tcW w:w="793" w:type="dxa"/>
            <w:vMerge w:val="restart"/>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违法行为持续3个月以上不满6个月</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0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违法行为持续6个月以上不满12个月</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spacing w:line="260" w:lineRule="exact"/>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违法行为持续12个月以上的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违法行为</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违法事实</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spacing w:line="260" w:lineRule="exact"/>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自行监测项目不全</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19"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未制定监测方案或者未开展自行监测</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top"/>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未制定监测方案并自行监测</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jc w:val="center"/>
        </w:trPr>
        <w:tc>
          <w:tcPr>
            <w:tcW w:w="1476" w:type="dxa"/>
            <w:vMerge w:val="restart"/>
            <w:noWrap w:val="0"/>
            <w:vAlign w:val="center"/>
          </w:tcPr>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排放污染物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排放污染物</w:t>
            </w:r>
          </w:p>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一般工业废气、一般工业废水、污水处理厂废水、畜禽养殖废水或其他污染物</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含有毒有害物质的废气或废水、医疗废水、含一类污染物或重金属、病原体、放射性物质的废水或其他污染物</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0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74" w:hRule="atLeast"/>
          <w:jc w:val="center"/>
        </w:trPr>
        <w:tc>
          <w:tcPr>
            <w:tcW w:w="9088" w:type="dxa"/>
            <w:gridSpan w:val="6"/>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12" w:type="dxa"/>
            <w:gridSpan w:val="5"/>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1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未按照排污许可证规定保存原始监测记录的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12" w:type="dxa"/>
            <w:gridSpan w:val="5"/>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第十九条 第一款 </w:t>
            </w:r>
            <w:r>
              <w:rPr>
                <w:rFonts w:hint="eastAsia" w:ascii="仿宋_GB2312" w:hAnsi="仿宋_GB2312" w:eastAsia="仿宋_GB2312" w:cs="仿宋_GB2312"/>
                <w:sz w:val="24"/>
                <w:szCs w:val="32"/>
              </w:rPr>
              <w:t>排污单位应当按照排污许可证规定和有关标准规范，依法开展自行监测，并保存原始监测记录。原始监测记录保存期限不得少于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年。</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第三十六条 第六项 </w:t>
            </w:r>
            <w:r>
              <w:rPr>
                <w:rFonts w:hint="eastAsia" w:ascii="仿宋_GB2312" w:hAnsi="仿宋_GB2312" w:eastAsia="仿宋_GB2312" w:cs="仿宋_GB2312"/>
                <w:sz w:val="24"/>
                <w:szCs w:val="32"/>
              </w:rPr>
              <w:t>违反本条例规定，排污单位有下列行为之一的，由生态环境主管部门责令改正，处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万元以下的罚款；拒不改正的，责令停产整治：</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(六)未按照排污许可证规定保存原始监测记录。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2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2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ascii="仿宋_GB2312" w:hAnsi="仿宋_GB2312" w:eastAsia="仿宋_GB2312" w:cs="仿宋_GB2312"/>
                <w:sz w:val="22"/>
                <w:szCs w:val="28"/>
              </w:rPr>
            </w:pPr>
            <w:r>
              <w:rPr>
                <w:rFonts w:hint="eastAsia" w:ascii="仿宋_GB2312" w:hAnsi="仿宋_GB2312" w:eastAsia="仿宋_GB2312" w:cs="仿宋_GB2312"/>
                <w:sz w:val="24"/>
              </w:rPr>
              <w:t>监测记录保存期限</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3年以上不满5年</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8"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1年以上不满3年</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不满1年</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违法行为</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违法事实</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rPr>
                <w:rFonts w:ascii="仿宋_GB2312" w:hAnsi="仿宋_GB2312" w:eastAsia="仿宋_GB2312" w:cs="仿宋_GB2312"/>
                <w:sz w:val="24"/>
                <w:szCs w:val="32"/>
              </w:rPr>
            </w:pPr>
            <w:r>
              <w:rPr>
                <w:rFonts w:hint="eastAsia" w:ascii="仿宋_GB2312" w:hAnsi="仿宋_GB2312" w:eastAsia="仿宋_GB2312" w:cs="仿宋_GB2312"/>
                <w:sz w:val="24"/>
                <w:szCs w:val="32"/>
              </w:rPr>
              <w:t>部分非关键性记录未保存</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部分关键性记录未保存</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未保存记录</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违法主体</w:t>
            </w:r>
          </w:p>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pacing w:val="-20"/>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pacing w:val="-20"/>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pacing w:val="-20"/>
                <w:sz w:val="24"/>
                <w:szCs w:val="32"/>
              </w:rPr>
              <w:t>未造成社会影响与生态破坏的</w:t>
            </w:r>
          </w:p>
        </w:tc>
        <w:tc>
          <w:tcPr>
            <w:tcW w:w="172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r>
        <w:br w:type="page"/>
      </w:r>
    </w:p>
    <w:tbl>
      <w:tblPr>
        <w:tblStyle w:val="9"/>
        <w:tblpPr w:leftFromText="180" w:rightFromText="180" w:vertAnchor="text" w:horzAnchor="page" w:tblpX="1512"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91"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15"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1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未按照排污许可证规定公开或者不如实公开污染物排放信息的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15"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第二十三条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第一款 </w:t>
            </w:r>
            <w:r>
              <w:rPr>
                <w:rFonts w:hint="eastAsia" w:ascii="仿宋_GB2312" w:hAnsi="仿宋_GB2312" w:eastAsia="仿宋_GB2312" w:cs="仿宋_GB2312"/>
                <w:sz w:val="24"/>
                <w:szCs w:val="32"/>
              </w:rPr>
              <w:t>排污单位应当按照排污许可证规定，如实在全国排污许可证管理信息平台上公开污染物排放信息。</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第三十六条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第七项 </w:t>
            </w:r>
            <w:r>
              <w:rPr>
                <w:rFonts w:hint="eastAsia" w:ascii="仿宋_GB2312" w:hAnsi="仿宋_GB2312" w:eastAsia="仿宋_GB2312" w:cs="仿宋_GB2312"/>
                <w:sz w:val="24"/>
                <w:szCs w:val="32"/>
              </w:rPr>
              <w:t>违反本条例规定，排污单位有下列行为之一的，由生态环境主管部门责令改正，处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万元以下的罚款；拒不改正的，责令停产整治：</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(七)未按照排污许可证规定公开或者不如实公开污染物排放信息。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3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72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ascii="仿宋_GB2312" w:hAnsi="仿宋_GB2312" w:eastAsia="仿宋_GB2312" w:cs="仿宋_GB2312"/>
                <w:sz w:val="22"/>
                <w:szCs w:val="28"/>
              </w:rPr>
            </w:pPr>
            <w:r>
              <w:rPr>
                <w:rFonts w:ascii="仿宋_GB2312" w:hAnsi="仿宋_GB2312" w:eastAsia="仿宋_GB2312" w:cs="仿宋_GB2312"/>
                <w:sz w:val="22"/>
                <w:szCs w:val="28"/>
              </w:rPr>
              <w:t>信息公开的</w:t>
            </w:r>
          </w:p>
          <w:p>
            <w:pPr>
              <w:jc w:val="center"/>
              <w:rPr>
                <w:rFonts w:ascii="仿宋_GB2312" w:hAnsi="仿宋_GB2312" w:eastAsia="仿宋_GB2312" w:cs="仿宋_GB2312"/>
                <w:sz w:val="22"/>
                <w:szCs w:val="28"/>
              </w:rPr>
            </w:pPr>
            <w:r>
              <w:rPr>
                <w:rFonts w:ascii="仿宋_GB2312" w:hAnsi="仿宋_GB2312" w:eastAsia="仿宋_GB2312" w:cs="仿宋_GB2312"/>
                <w:sz w:val="22"/>
                <w:szCs w:val="28"/>
              </w:rPr>
              <w:t>及时性</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延迟不满10日</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延迟10日以上不满30日</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延迟30日以上</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违法行为</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违法事实</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公开污染物信息的方式(途径)不符合规定</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公开污染物信息的内容不符合要求</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完全未公开污染物信息</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vMerge w:val="restart"/>
            <w:noWrap w:val="0"/>
            <w:vAlign w:val="center"/>
          </w:tcPr>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违法主体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2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026"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50"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50"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发现污染物排放自动监测设备传输数据异常或者污染物排放超过污染物排放标准等异常情况不报告的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50"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第二十条 第二款 </w:t>
            </w:r>
            <w:r>
              <w:rPr>
                <w:rFonts w:hint="eastAsia" w:ascii="仿宋_GB2312" w:hAnsi="仿宋_GB2312" w:eastAsia="仿宋_GB2312" w:cs="仿宋_GB2312"/>
                <w:sz w:val="24"/>
                <w:szCs w:val="32"/>
              </w:rPr>
              <w:t>排污单位发现污染物排放自动监测设备传输数据异常的，应当及时报告生态环境主管部门，并进行检查、修复。</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第二十一条 第二款</w:t>
            </w:r>
            <w:r>
              <w:rPr>
                <w:rFonts w:ascii="仿宋" w:hAnsi="仿宋" w:eastAsia="仿宋" w:cs="仿宋"/>
                <w:spacing w:val="9"/>
                <w:sz w:val="20"/>
                <w:szCs w:val="20"/>
              </w:rPr>
              <w:t xml:space="preserve"> </w:t>
            </w:r>
            <w:r>
              <w:rPr>
                <w:rFonts w:hint="eastAsia" w:ascii="仿宋_GB2312" w:hAnsi="仿宋_GB2312" w:eastAsia="仿宋_GB2312" w:cs="仿宋_GB2312"/>
                <w:sz w:val="24"/>
                <w:szCs w:val="32"/>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第三十六条 第八项 </w:t>
            </w:r>
            <w:r>
              <w:rPr>
                <w:rFonts w:hint="eastAsia" w:ascii="仿宋_GB2312" w:hAnsi="仿宋_GB2312" w:eastAsia="仿宋_GB2312" w:cs="仿宋_GB2312"/>
                <w:sz w:val="24"/>
                <w:szCs w:val="32"/>
              </w:rPr>
              <w:t>违反本条例规定，排污单位有下列行为之一的，由生态环境主管部门责令改正，处2万元以上20万元以下的罚款；拒不改正的，责令停产整治：</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(八)发现污染物排放自动监测设备传输数据异常或者污染物排放超过污染物排放标准等异常情况不报告。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67"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违法行为持续时间</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延迟不满3日</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延迟3日以上不满7日</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center"/>
          </w:tcPr>
          <w:p>
            <w:pPr>
              <w:rPr>
                <w:rFonts w:ascii="仿宋_GB2312" w:hAnsi="仿宋_GB2312" w:eastAsia="仿宋_GB2312" w:cs="仿宋_GB2312"/>
                <w:sz w:val="24"/>
                <w:szCs w:val="32"/>
              </w:rPr>
            </w:pPr>
            <w:r>
              <w:rPr>
                <w:rFonts w:hint="eastAsia" w:ascii="仿宋_GB2312" w:hAnsi="仿宋_GB2312" w:eastAsia="仿宋_GB2312" w:cs="仿宋_GB2312"/>
                <w:sz w:val="24"/>
                <w:szCs w:val="32"/>
              </w:rPr>
              <w:t>延迟7日以上</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违法行为</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违法事实</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rPr>
                <w:rFonts w:ascii="仿宋_GB2312" w:hAnsi="仿宋_GB2312" w:eastAsia="仿宋_GB2312" w:cs="仿宋_GB2312"/>
                <w:sz w:val="24"/>
                <w:szCs w:val="32"/>
              </w:rPr>
            </w:pPr>
            <w:r>
              <w:rPr>
                <w:rFonts w:hint="eastAsia" w:ascii="仿宋_GB2312" w:hAnsi="仿宋_GB2312" w:eastAsia="仿宋_GB2312" w:cs="仿宋_GB2312"/>
                <w:sz w:val="24"/>
                <w:szCs w:val="32"/>
              </w:rPr>
              <w:t>自动监测设备传输数据异常，污染物排放未超标</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自动监测设备传输数据异常，污染物排放超标，已及时采取停产限产等措施</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自动监测设备传输数据异常，污染物排放超标，未采取停产限产措施</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违法主体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 射性、印染、染料、炼焦、炼油项目)</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013"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37"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37"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未建立环境管理台账记录制度，或者未按照排污许可证规定记录的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37"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第二十一条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第一款 </w:t>
            </w:r>
            <w:r>
              <w:rPr>
                <w:rFonts w:hint="eastAsia" w:ascii="仿宋_GB2312" w:hAnsi="仿宋_GB2312" w:eastAsia="仿宋_GB2312" w:cs="仿宋_GB2312"/>
                <w:sz w:val="24"/>
                <w:szCs w:val="32"/>
              </w:rPr>
              <w:t>排污单位应当建立环境管理台账记录制度，按照排污许可证规定的格式、内容和频次，如实记录主要生产设施、污染防治设施运行情况以及污染物排放浓度、排放量。环境管理台账记录保存期限不得少于5年。</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第三十七条 第一项 </w:t>
            </w:r>
            <w:r>
              <w:rPr>
                <w:rFonts w:hint="eastAsia" w:ascii="仿宋_GB2312" w:hAnsi="仿宋_GB2312" w:eastAsia="仿宋_GB2312" w:cs="仿宋_GB2312"/>
                <w:sz w:val="24"/>
                <w:szCs w:val="32"/>
              </w:rPr>
              <w:t>违反本条例规定，排污单位有下列行为之一的，由生态环境主管部门责令改正，处每次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千元以上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万元以下的罚款；法律另有规定的，从其规定：</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(一)未建立环境管理台账记录制度，或者未按照排污许可证规定记录。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54"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65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违法行为</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违法事实</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top"/>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部分台账未规范记录</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未建立环境管理台账记录制度，或者未按照排污许可证规定记录</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未建立环境管理台账记录制度，且未按照排污许可证规定记录</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违法主体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 (化工、电镀、皮革、造纸、制浆、冶炼、放射性、印染、染料、炼焦、炼油项目)</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5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33"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57"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57"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未如实记录主要生产设施及污染防治设施运行情况或者污染物排放浓度、排放量的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57"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第二十一条 第一款 </w:t>
            </w:r>
            <w:r>
              <w:rPr>
                <w:rFonts w:hint="eastAsia" w:ascii="仿宋_GB2312" w:hAnsi="仿宋_GB2312" w:eastAsia="仿宋_GB2312" w:cs="仿宋_GB2312"/>
                <w:sz w:val="24"/>
                <w:szCs w:val="32"/>
              </w:rPr>
              <w:t>排污单位应当建立环境管理台账记录制度，按照排污许可证规定的格式、内容和频次，如实记录主要生产设施、污染防治设施运行情况以及污染物排放浓度、排放量。环境管理台账记录保存期限不得少于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年。</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第三十七条 第二项 </w:t>
            </w:r>
            <w:r>
              <w:rPr>
                <w:rFonts w:hint="eastAsia" w:ascii="仿宋_GB2312" w:hAnsi="仿宋_GB2312" w:eastAsia="仿宋_GB2312" w:cs="仿宋_GB2312"/>
                <w:sz w:val="24"/>
                <w:szCs w:val="32"/>
              </w:rPr>
              <w:t>违反本条例规定，排污单位有下列行为之一的，由生态环境主管部门责令改正，处每次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千元以上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万元以下的罚款；法律另有规定的，从其规定：</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(二)未如实记录主要生产设施及污染防治设施运行情况或者污染物排放浓度、排放量。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74"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67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主要生产设施及污染防治设施运行情况或者污染物排放浓度、排放量部分信息未记录</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主要生产设施及污染防治设施运行情况或者污染物排放浓度、排放量未记录</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主要生产设施及污染防治设施运行情况、污染物排放浓度、排放量均未记录</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rPr>
              <w:t>排放污染物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排放污染物</w:t>
            </w:r>
          </w:p>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 养殖废水或其他污染物</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 物或重金属、病原体、放射性物质的废水或其他污染物</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7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38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9081"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05"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0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未按照排污许可证规定提交排污许可证执行报告的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05"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第二十二条 第一款 </w:t>
            </w:r>
            <w:r>
              <w:rPr>
                <w:rFonts w:hint="eastAsia" w:ascii="仿宋_GB2312" w:hAnsi="仿宋_GB2312" w:eastAsia="仿宋_GB2312" w:cs="仿宋_GB2312"/>
                <w:sz w:val="24"/>
                <w:szCs w:val="32"/>
              </w:rPr>
              <w:t>排污单位应当按照排污许可证规定的内容、频次和时间要求，向审批部门提交排污许可证执行报告，如实报告污染物排放行为、排放浓度、排放量等。</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第三十七条 第三项 </w:t>
            </w:r>
            <w:r>
              <w:rPr>
                <w:rFonts w:hint="eastAsia" w:ascii="仿宋_GB2312" w:hAnsi="仿宋_GB2312" w:eastAsia="仿宋_GB2312" w:cs="仿宋_GB2312"/>
                <w:sz w:val="24"/>
                <w:szCs w:val="32"/>
              </w:rPr>
              <w:t>违反本条例规定，排污单位有下列行为之一的，由生态环境主管部门责令改正，处每次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千元以上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万元以下的罚款；法律另有规定的，从其规定：</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(三)未按照排污许可证规定提交排污许可证执行报告。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2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81"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54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81"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季度或月度执行报告缺失1次</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季度或月度执行报告缺失2次</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季度或月度执行报告缺失3次以上，或者年度执行报告缺失</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p>
            <w:pPr>
              <w:jc w:val="center"/>
              <w:rPr>
                <w:rFonts w:hint="eastAsia" w:ascii="仿宋_GB2312" w:hAnsi="仿宋_GB2312" w:eastAsia="仿宋_GB2312" w:cs="仿宋_GB2312"/>
                <w:sz w:val="24"/>
                <w:szCs w:val="32"/>
              </w:rPr>
            </w:pPr>
          </w:p>
        </w:tc>
        <w:tc>
          <w:tcPr>
            <w:tcW w:w="3381"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 (化工、电镀、皮革、造纸、制浆、冶炼、放射性、印染、染料、炼焦、炼油项目)</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违法事实</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逾期未提交</w:t>
            </w:r>
          </w:p>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时间</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8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不满7天</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7天以上不满15天</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15天以上</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38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40"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64"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64"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未如实报告污染物排放行为或者污染物排放浓度、排放量的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64"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第一款 </w:t>
            </w:r>
            <w:r>
              <w:rPr>
                <w:rFonts w:hint="eastAsia" w:ascii="仿宋_GB2312" w:hAnsi="仿宋_GB2312" w:eastAsia="仿宋_GB2312" w:cs="仿宋_GB2312"/>
                <w:sz w:val="24"/>
                <w:szCs w:val="32"/>
              </w:rPr>
              <w:t>排污单位应当按照排污许可证规定的内容、频次和时间要求，向审批部门提交排污许可证执行报告，如实报告污染物排放行为、排放浓度、排放量等。</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第三十七条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第四项 </w:t>
            </w:r>
            <w:r>
              <w:rPr>
                <w:rFonts w:hint="eastAsia" w:ascii="仿宋_GB2312" w:hAnsi="仿宋_GB2312" w:eastAsia="仿宋_GB2312" w:cs="仿宋_GB2312"/>
                <w:sz w:val="24"/>
                <w:szCs w:val="32"/>
              </w:rPr>
              <w:t>违反本条例规定，排污单位有下列行为之一的，由生态环境主管部门责令改正，处每次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千元以上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万元以下的罚款；法律另有规定的，从其规定：</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(四)未如实报告污染物排放行为或者污染物排放浓度、排放量。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81"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67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对环境的影响程度</w:t>
            </w:r>
          </w:p>
        </w:tc>
        <w:tc>
          <w:tcPr>
            <w:tcW w:w="189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1次季度或月度执行报告未如实报告</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2次季度或月度执行报告未如实报告</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3次以上季度或月度执行报告，或者年度执行报告未如实报告</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tcBorders>
              <w:right w:val="single" w:color="auto" w:sz="4" w:space="0"/>
            </w:tcBorders>
            <w:noWrap w:val="0"/>
            <w:vAlign w:val="center"/>
          </w:tcPr>
          <w:p>
            <w:pPr>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rPr>
              <w:t>排放污染物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排放污染物</w:t>
            </w:r>
          </w:p>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 养殖废水或其他污染物</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 物或重金属、病原体、放射性物质的废水或其他污染物</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7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p/>
    <w:p/>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20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81"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05"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0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排污单位拒不配合生态环境主管部门监督检查，或者在接受监督检查时弄虚作假的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05" w:type="dxa"/>
            <w:gridSpan w:val="4"/>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第二十六条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 xml:space="preserve">第一款 </w:t>
            </w:r>
            <w:r>
              <w:rPr>
                <w:rFonts w:hint="eastAsia" w:ascii="仿宋_GB2312" w:hAnsi="仿宋_GB2312" w:eastAsia="仿宋_GB2312" w:cs="仿宋_GB2312"/>
                <w:sz w:val="24"/>
                <w:szCs w:val="32"/>
              </w:rPr>
              <w:t>排污单位应当配合生态环境主管部门监督检查，如实反映情况，并按照要求提供排污许可证、环境管理台账记录、排污许可证执行报告、自行监测数据等相关材料。</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第三十九条 </w:t>
            </w:r>
            <w:r>
              <w:rPr>
                <w:rFonts w:hint="eastAsia" w:ascii="仿宋_GB2312" w:hAnsi="仿宋_GB2312" w:eastAsia="仿宋_GB2312" w:cs="仿宋_GB2312"/>
                <w:sz w:val="24"/>
                <w:szCs w:val="32"/>
              </w:rPr>
              <w:t>排污单位拒不配合生态环境主管部门监督检查，或者在接受监督检查时弄虚作假的，由生态环境主管部门责令改正，处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2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tabs>
                <w:tab w:val="left" w:pos="936"/>
                <w:tab w:val="center" w:pos="1552"/>
              </w:tabs>
              <w:jc w:val="left"/>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ab/>
            </w:r>
            <w:r>
              <w:rPr>
                <w:rFonts w:hint="eastAsia" w:ascii="仿宋_GB2312" w:hAnsi="仿宋_GB2312" w:eastAsia="仿宋_GB2312" w:cs="仿宋_GB2312"/>
                <w:b/>
                <w:bCs/>
                <w:sz w:val="22"/>
                <w:szCs w:val="28"/>
              </w:rPr>
              <w:t>程度</w:t>
            </w:r>
          </w:p>
        </w:tc>
        <w:tc>
          <w:tcPr>
            <w:tcW w:w="171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ascii="仿宋_GB2312" w:hAnsi="仿宋_GB2312" w:eastAsia="仿宋_GB2312" w:cs="仿宋_GB2312"/>
                <w:sz w:val="22"/>
                <w:szCs w:val="28"/>
              </w:rPr>
            </w:pPr>
            <w:r>
              <w:rPr>
                <w:rFonts w:hint="eastAsia" w:ascii="仿宋_GB2312" w:hAnsi="仿宋_GB2312" w:eastAsia="仿宋_GB2312" w:cs="仿宋_GB2312"/>
                <w:sz w:val="24"/>
              </w:rPr>
              <w:t>拒绝检查情形</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50%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迟滞10分钟以上30分钟以内</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迟滞超过半小时</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阻碍或隐匿部分资料</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rPr>
              <w:t>围堵、留滞执法人员或拒绝提供资料</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ascii="仿宋_GB2312" w:hAnsi="仿宋_GB2312" w:eastAsia="仿宋_GB2312" w:cs="仿宋_GB2312"/>
                <w:b/>
                <w:bCs/>
                <w:sz w:val="24"/>
              </w:rPr>
            </w:pPr>
          </w:p>
        </w:tc>
        <w:tc>
          <w:tcPr>
            <w:tcW w:w="1890" w:type="dxa"/>
            <w:vMerge w:val="continue"/>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暴力抗法</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弄虚作假情形</w:t>
            </w: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提供非关键性假信息的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tcBorders>
              <w:right w:val="single" w:color="auto" w:sz="4" w:space="0"/>
            </w:tcBorders>
            <w:noWrap w:val="0"/>
            <w:vAlign w:val="center"/>
          </w:tcPr>
          <w:p>
            <w:pPr>
              <w:jc w:val="center"/>
              <w:rPr>
                <w:rFonts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提供关键性假信息的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伪造现场或证据的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再次实施违法行为的</w:t>
            </w:r>
          </w:p>
        </w:tc>
        <w:tc>
          <w:tcPr>
            <w:tcW w:w="17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1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890"/>
        <w:gridCol w:w="793"/>
        <w:gridCol w:w="3385"/>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1" w:type="dxa"/>
            <w:gridSpan w:val="5"/>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585"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58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伪造、变造、转让排污许可证的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58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第二十六条 第二款 </w:t>
            </w:r>
            <w:r>
              <w:rPr>
                <w:rFonts w:hint="eastAsia" w:ascii="仿宋_GB2312" w:hAnsi="仿宋_GB2312" w:eastAsia="仿宋_GB2312" w:cs="仿宋_GB2312"/>
                <w:sz w:val="24"/>
                <w:szCs w:val="32"/>
              </w:rPr>
              <w:t>禁止伪造、变造、转让排污许可证。</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第四十一条 </w:t>
            </w:r>
            <w:r>
              <w:rPr>
                <w:rFonts w:hint="eastAsia" w:ascii="仿宋_GB2312" w:hAnsi="仿宋_GB2312" w:eastAsia="仿宋_GB2312" w:cs="仿宋_GB2312"/>
                <w:sz w:val="24"/>
                <w:szCs w:val="32"/>
              </w:rPr>
              <w:t>违反本条例规定，伪造、变造、转让排污许可证的，由生态环境主管部门没收相关证件或者吊销排污许可证，处 10 万元以上 30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 3</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年内不得再次申请排污许可证。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0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51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90" w:type="dxa"/>
            <w:vMerge w:val="restart"/>
            <w:noWrap w:val="0"/>
            <w:vAlign w:val="center"/>
          </w:tcPr>
          <w:p>
            <w:pPr>
              <w:jc w:val="center"/>
              <w:rPr>
                <w:rFonts w:ascii="仿宋_GB2312" w:hAnsi="仿宋_GB2312" w:eastAsia="仿宋_GB2312" w:cs="仿宋_GB2312"/>
                <w:b/>
                <w:bCs/>
                <w:sz w:val="22"/>
                <w:szCs w:val="28"/>
              </w:rPr>
            </w:pPr>
            <w:r>
              <w:rPr>
                <w:rFonts w:hint="eastAsia" w:ascii="仿宋_GB2312" w:hAnsi="仿宋_GB2312" w:eastAsia="仿宋_GB2312" w:cs="仿宋_GB2312"/>
                <w:sz w:val="24"/>
                <w:szCs w:val="32"/>
              </w:rPr>
              <w:t>违法危害程度</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违法行为持续6个月以下的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违法行为持续6个月以上1年以下的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b/>
                <w:bCs/>
                <w:sz w:val="22"/>
                <w:szCs w:val="28"/>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违法行为持续1年以上的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szCs w:val="32"/>
              </w:rPr>
              <w:t>类型</w:t>
            </w:r>
          </w:p>
          <w:p>
            <w:pPr>
              <w:jc w:val="center"/>
              <w:rPr>
                <w:rFonts w:ascii="仿宋_GB2312" w:hAnsi="仿宋_GB2312" w:eastAsia="仿宋_GB2312" w:cs="仿宋_GB2312"/>
                <w:b/>
                <w:bCs/>
                <w:sz w:val="24"/>
              </w:rPr>
            </w:pP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6"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b/>
                <w:bCs/>
                <w:sz w:val="22"/>
                <w:szCs w:val="28"/>
              </w:rPr>
            </w:pP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 (化工、电镀、皮革、造纸、制浆、冶炼、放射性、印染、染料、炼焦、炼油项目)</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rPr>
              <w:t>排放污染物 类别</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排放污染物</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类别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生活、服务业、农业等废气、废水或其他污染物</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一般工业废气、一般工业废水、污水处理厂废水、畜禽养殖废水或其他污染物</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5" w:type="dxa"/>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含有毒有害物质的废气或废水、医疗废水、含一类污染 物或重金属、病原体、放射性物质的废水或其他污染物</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385"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5"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7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385"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5"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385"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85"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385"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51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0"/>
        <w:gridCol w:w="79"/>
        <w:gridCol w:w="1759"/>
        <w:gridCol w:w="131"/>
        <w:gridCol w:w="93"/>
        <w:gridCol w:w="548"/>
        <w:gridCol w:w="152"/>
        <w:gridCol w:w="93"/>
        <w:gridCol w:w="3110"/>
        <w:gridCol w:w="93"/>
        <w:gridCol w:w="34"/>
        <w:gridCol w:w="1577"/>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jc w:val="center"/>
        </w:trPr>
        <w:tc>
          <w:tcPr>
            <w:tcW w:w="9136" w:type="dxa"/>
            <w:gridSpan w:val="14"/>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w:t>
            </w:r>
          </w:p>
          <w:p>
            <w:pPr>
              <w:jc w:val="center"/>
              <w:rPr>
                <w:rFonts w:hint="eastAsia"/>
              </w:rPr>
            </w:pPr>
            <w:r>
              <w:rPr>
                <w:rFonts w:hint="eastAsia" w:ascii="方正小标宋简体" w:hAnsi="方正小标宋简体" w:eastAsia="方正小标宋简体" w:cs="方正小标宋简体"/>
                <w:sz w:val="40"/>
                <w:szCs w:val="40"/>
              </w:rPr>
              <w:t>（排污许可管理类）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jc w:val="center"/>
        </w:trPr>
        <w:tc>
          <w:tcPr>
            <w:tcW w:w="1476" w:type="dxa"/>
            <w:gridSpan w:val="3"/>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60" w:type="dxa"/>
            <w:gridSpan w:val="11"/>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2" w:hRule="atLeast"/>
          <w:jc w:val="center"/>
        </w:trPr>
        <w:tc>
          <w:tcPr>
            <w:tcW w:w="1476"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60" w:type="dxa"/>
            <w:gridSpan w:val="11"/>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需要填报排污登记表的企业事业单位和其他生产经营者，未依照本条例规定填报排污信息的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76" w:type="dxa"/>
            <w:gridSpan w:val="3"/>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60" w:type="dxa"/>
            <w:gridSpan w:val="11"/>
            <w:noWrap w:val="0"/>
            <w:vAlign w:val="top"/>
          </w:tcPr>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《排污许可管理条例》</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第二十四条 第一款、第三款 </w:t>
            </w:r>
            <w:r>
              <w:rPr>
                <w:rFonts w:hint="eastAsia" w:ascii="仿宋_GB2312" w:hAnsi="仿宋_GB2312" w:eastAsia="仿宋_GB2312" w:cs="仿宋_GB2312"/>
                <w:sz w:val="24"/>
                <w:szCs w:val="32"/>
              </w:rPr>
              <w:t>污染物产生量、排放量和对环境的影响程度都很小的企业事业单位和其他生产经营者，应当填报排污登记表，不需要申请取得排污许可证。</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日内进行变更填报。</w:t>
            </w:r>
          </w:p>
          <w:p>
            <w:pPr>
              <w:spacing w:line="280" w:lineRule="exact"/>
              <w:rPr>
                <w:rFonts w:hint="eastAsia" w:ascii="仿宋_GB2312" w:hAnsi="仿宋_GB2312" w:eastAsia="仿宋_GB2312" w:cs="仿宋_GB2312"/>
                <w:sz w:val="24"/>
                <w:szCs w:val="32"/>
              </w:rPr>
            </w:pPr>
          </w:p>
          <w:p>
            <w:pPr>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《排污许可管理条例》</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第四十三条 </w:t>
            </w:r>
            <w:r>
              <w:rPr>
                <w:rFonts w:hint="eastAsia" w:ascii="仿宋_GB2312" w:hAnsi="仿宋_GB2312" w:eastAsia="仿宋_GB2312" w:cs="仿宋_GB2312"/>
                <w:sz w:val="24"/>
                <w:szCs w:val="32"/>
              </w:rPr>
              <w:t>需要填报排污登记表的企业事业单位和其他生产经营者，未依照本条例规定填报排污信息的，由生态环境主管部门责令改正，可以处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4159" w:type="dxa"/>
            <w:gridSpan w:val="8"/>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77" w:type="dxa"/>
            <w:gridSpan w:val="6"/>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5" w:hRule="atLeast"/>
          <w:jc w:val="center"/>
        </w:trPr>
        <w:tc>
          <w:tcPr>
            <w:tcW w:w="1476" w:type="dxa"/>
            <w:gridSpan w:val="3"/>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4"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4" w:hRule="atLeast"/>
          <w:jc w:val="center"/>
        </w:trPr>
        <w:tc>
          <w:tcPr>
            <w:tcW w:w="1476" w:type="dxa"/>
            <w:gridSpan w:val="3"/>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90" w:type="dxa"/>
            <w:gridSpan w:val="2"/>
            <w:vMerge w:val="restart"/>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sz w:val="24"/>
                <w:szCs w:val="32"/>
              </w:rPr>
              <w:t>违法行为类型</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gridSpan w:val="2"/>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违法行为持续6个月以下的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5" w:hRule="atLeast"/>
          <w:jc w:val="center"/>
        </w:trPr>
        <w:tc>
          <w:tcPr>
            <w:tcW w:w="1476" w:type="dxa"/>
            <w:gridSpan w:val="3"/>
            <w:vMerge w:val="continue"/>
            <w:noWrap w:val="0"/>
            <w:vAlign w:val="center"/>
          </w:tcPr>
          <w:p>
            <w:pPr>
              <w:jc w:val="center"/>
              <w:rPr>
                <w:rFonts w:hint="eastAsia" w:ascii="仿宋_GB2312" w:hAnsi="仿宋_GB2312" w:eastAsia="仿宋_GB2312" w:cs="仿宋_GB2312"/>
                <w:b/>
                <w:bCs/>
                <w:sz w:val="24"/>
              </w:rPr>
            </w:pPr>
          </w:p>
        </w:tc>
        <w:tc>
          <w:tcPr>
            <w:tcW w:w="1890" w:type="dxa"/>
            <w:gridSpan w:val="2"/>
            <w:vMerge w:val="continue"/>
            <w:noWrap w:val="0"/>
            <w:vAlign w:val="center"/>
          </w:tcPr>
          <w:p>
            <w:pPr>
              <w:jc w:val="center"/>
              <w:rPr>
                <w:rFonts w:hint="eastAsia" w:ascii="仿宋_GB2312" w:hAnsi="仿宋_GB2312" w:eastAsia="仿宋_GB2312" w:cs="仿宋_GB2312"/>
                <w:b/>
                <w:bCs/>
                <w:sz w:val="22"/>
                <w:szCs w:val="28"/>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违法行为持续6个月以上1年以下的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76" w:type="dxa"/>
            <w:gridSpan w:val="3"/>
            <w:vMerge w:val="continue"/>
            <w:noWrap w:val="0"/>
            <w:vAlign w:val="center"/>
          </w:tcPr>
          <w:p>
            <w:pPr>
              <w:jc w:val="center"/>
              <w:rPr>
                <w:rFonts w:hint="eastAsia" w:ascii="仿宋_GB2312" w:hAnsi="仿宋_GB2312" w:eastAsia="仿宋_GB2312" w:cs="仿宋_GB2312"/>
                <w:b/>
                <w:bCs/>
                <w:sz w:val="24"/>
              </w:rPr>
            </w:pPr>
          </w:p>
        </w:tc>
        <w:tc>
          <w:tcPr>
            <w:tcW w:w="1890" w:type="dxa"/>
            <w:gridSpan w:val="2"/>
            <w:vMerge w:val="continue"/>
            <w:noWrap w:val="0"/>
            <w:vAlign w:val="center"/>
          </w:tcPr>
          <w:p>
            <w:pPr>
              <w:jc w:val="center"/>
              <w:rPr>
                <w:rFonts w:hint="eastAsia" w:ascii="仿宋_GB2312" w:hAnsi="仿宋_GB2312" w:eastAsia="仿宋_GB2312" w:cs="仿宋_GB2312"/>
                <w:b/>
                <w:bCs/>
                <w:sz w:val="22"/>
                <w:szCs w:val="28"/>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top"/>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违法行为持续1年以上的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76" w:type="dxa"/>
            <w:gridSpan w:val="3"/>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szCs w:val="32"/>
              </w:rPr>
              <w:t>类型</w:t>
            </w:r>
          </w:p>
        </w:tc>
        <w:tc>
          <w:tcPr>
            <w:tcW w:w="1890"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未规范填报部分排污信息</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5" w:hRule="atLeast"/>
          <w:jc w:val="center"/>
        </w:trPr>
        <w:tc>
          <w:tcPr>
            <w:tcW w:w="1476" w:type="dxa"/>
            <w:gridSpan w:val="3"/>
            <w:vMerge w:val="continue"/>
            <w:noWrap w:val="0"/>
            <w:vAlign w:val="center"/>
          </w:tcPr>
          <w:p>
            <w:pPr>
              <w:jc w:val="center"/>
              <w:rPr>
                <w:rFonts w:hint="eastAsia" w:ascii="仿宋_GB2312" w:hAnsi="仿宋_GB2312" w:eastAsia="仿宋_GB2312" w:cs="仿宋_GB2312"/>
                <w:b/>
                <w:bCs/>
                <w:sz w:val="24"/>
              </w:rPr>
            </w:pPr>
          </w:p>
        </w:tc>
        <w:tc>
          <w:tcPr>
            <w:tcW w:w="1890" w:type="dxa"/>
            <w:gridSpan w:val="2"/>
            <w:vMerge w:val="continue"/>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b/>
                <w:bCs/>
                <w:sz w:val="22"/>
                <w:szCs w:val="28"/>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未填报部分排污信息</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0" w:hRule="atLeast"/>
          <w:jc w:val="center"/>
        </w:trPr>
        <w:tc>
          <w:tcPr>
            <w:tcW w:w="1476" w:type="dxa"/>
            <w:gridSpan w:val="3"/>
            <w:vMerge w:val="continue"/>
            <w:noWrap w:val="0"/>
            <w:vAlign w:val="center"/>
          </w:tcPr>
          <w:p>
            <w:pPr>
              <w:jc w:val="center"/>
              <w:rPr>
                <w:rFonts w:hint="eastAsia" w:ascii="仿宋_GB2312" w:hAnsi="仿宋_GB2312" w:eastAsia="仿宋_GB2312" w:cs="仿宋_GB2312"/>
                <w:b/>
                <w:bCs/>
                <w:sz w:val="24"/>
              </w:rPr>
            </w:pPr>
          </w:p>
        </w:tc>
        <w:tc>
          <w:tcPr>
            <w:tcW w:w="1890" w:type="dxa"/>
            <w:gridSpan w:val="2"/>
            <w:vMerge w:val="continue"/>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b/>
                <w:bCs/>
                <w:sz w:val="22"/>
                <w:szCs w:val="28"/>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未填报排污信息</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gridSpan w:val="3"/>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次数</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20%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gridSpan w:val="3"/>
            <w:vMerge w:val="continue"/>
            <w:tcBorders>
              <w:right w:val="single" w:color="auto" w:sz="4" w:space="0"/>
            </w:tcBorders>
            <w:noWrap w:val="0"/>
            <w:vAlign w:val="center"/>
          </w:tcPr>
          <w:p>
            <w:pPr>
              <w:jc w:val="left"/>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gridSpan w:val="3"/>
            <w:vMerge w:val="continue"/>
            <w:tcBorders>
              <w:right w:val="single" w:color="auto" w:sz="4" w:space="0"/>
            </w:tcBorders>
            <w:noWrap w:val="0"/>
            <w:vAlign w:val="center"/>
          </w:tcPr>
          <w:p>
            <w:pPr>
              <w:jc w:val="left"/>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第三次实施违法行为的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三次以上实施违法行为的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2" w:hRule="atLeast"/>
          <w:jc w:val="center"/>
        </w:trPr>
        <w:tc>
          <w:tcPr>
            <w:tcW w:w="1476" w:type="dxa"/>
            <w:gridSpan w:val="3"/>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4" w:hRule="atLeast"/>
          <w:jc w:val="center"/>
        </w:trPr>
        <w:tc>
          <w:tcPr>
            <w:tcW w:w="1476"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6" w:hRule="atLeast"/>
          <w:jc w:val="center"/>
        </w:trPr>
        <w:tc>
          <w:tcPr>
            <w:tcW w:w="1476" w:type="dxa"/>
            <w:gridSpan w:val="3"/>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2" w:hRule="atLeast"/>
          <w:jc w:val="center"/>
        </w:trPr>
        <w:tc>
          <w:tcPr>
            <w:tcW w:w="1476"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8" w:hRule="atLeast"/>
          <w:jc w:val="center"/>
        </w:trPr>
        <w:tc>
          <w:tcPr>
            <w:tcW w:w="1476"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8" w:hRule="atLeast"/>
          <w:jc w:val="center"/>
        </w:trPr>
        <w:tc>
          <w:tcPr>
            <w:tcW w:w="1476" w:type="dxa"/>
            <w:gridSpan w:val="3"/>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是否造成社会影响与生态破坏</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4" w:hRule="atLeast"/>
          <w:jc w:val="center"/>
        </w:trPr>
        <w:tc>
          <w:tcPr>
            <w:tcW w:w="1476"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74"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681" w:hRule="atLeast"/>
          <w:jc w:val="center"/>
        </w:trPr>
        <w:tc>
          <w:tcPr>
            <w:tcW w:w="9136"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510" w:hRule="atLeast"/>
          <w:jc w:val="center"/>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59"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29</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789" w:hRule="atLeast"/>
          <w:jc w:val="center"/>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59" w:type="dxa"/>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以拒绝进入现场等方式拒不接受生态环境主管部门及其环境执法机构或者其他负有大气环境保护监督管理职责的部门的监督检查，或者在接受监督检查时弄虚作假的</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4179" w:hRule="atLeast"/>
          <w:jc w:val="center"/>
        </w:trPr>
        <w:tc>
          <w:tcPr>
            <w:tcW w:w="137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759" w:type="dxa"/>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第二十九条</w:t>
            </w:r>
            <w:r>
              <w:rPr>
                <w:rFonts w:ascii="仿宋_GB2312" w:hAnsi="仿宋_GB2312" w:eastAsia="仿宋_GB2312" w:cs="仿宋_GB2312"/>
                <w:sz w:val="24"/>
              </w:rPr>
              <w:t xml:space="preserve"> </w:t>
            </w:r>
            <w:r>
              <w:rPr>
                <w:rFonts w:hint="eastAsia" w:ascii="仿宋_GB2312" w:hAnsi="仿宋_GB2312" w:eastAsia="仿宋_GB2312" w:cs="仿宋_GB2312"/>
                <w:sz w:val="24"/>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第九十八条</w:t>
            </w:r>
            <w:r>
              <w:rPr>
                <w:rFonts w:hint="eastAsia" w:ascii="仿宋_GB2312" w:hAnsi="仿宋_GB2312" w:eastAsia="仿宋_GB2312" w:cs="仿宋_GB2312"/>
                <w:sz w:val="24"/>
              </w:rPr>
              <w:t xml:space="preserve">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4007" w:type="dxa"/>
            <w:gridSpan w:val="7"/>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129" w:type="dxa"/>
            <w:gridSpan w:val="7"/>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39" w:hRule="atLeast"/>
          <w:jc w:val="center"/>
        </w:trPr>
        <w:tc>
          <w:tcPr>
            <w:tcW w:w="137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58"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47"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37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58"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拒绝检查情形</w:t>
            </w:r>
          </w:p>
        </w:tc>
        <w:tc>
          <w:tcPr>
            <w:tcW w:w="772" w:type="dxa"/>
            <w:gridSpan w:val="3"/>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迟滞10分钟以上30分钟以内</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迟滞超过半小时</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3"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阻碍或隐匿部分资料</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2"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围堵、留滞执法人员或拒绝提供资料</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暴力抗法</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1"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弄虚作假情形</w:t>
            </w: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提供非关键性假信息的</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43"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提供关键性假信息的</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7"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伪造现场或证据的</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7" w:hRule="atLeast"/>
          <w:jc w:val="center"/>
        </w:trPr>
        <w:tc>
          <w:tcPr>
            <w:tcW w:w="137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58"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72" w:type="dxa"/>
            <w:gridSpan w:val="3"/>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gridSpan w:val="5"/>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首次实施违法行为的</w:t>
            </w:r>
          </w:p>
        </w:tc>
        <w:tc>
          <w:tcPr>
            <w:tcW w:w="1647"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0"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szCs w:val="32"/>
              </w:rPr>
            </w:pPr>
          </w:p>
        </w:tc>
        <w:tc>
          <w:tcPr>
            <w:tcW w:w="3482" w:type="dxa"/>
            <w:gridSpan w:val="5"/>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再次实施违法行为的</w:t>
            </w:r>
          </w:p>
        </w:tc>
        <w:tc>
          <w:tcPr>
            <w:tcW w:w="1647"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0" w:hRule="atLeast"/>
          <w:jc w:val="center"/>
        </w:trPr>
        <w:tc>
          <w:tcPr>
            <w:tcW w:w="1377" w:type="dxa"/>
            <w:vMerge w:val="continue"/>
            <w:noWrap w:val="0"/>
            <w:vAlign w:val="center"/>
          </w:tcPr>
          <w:p>
            <w:pPr>
              <w:jc w:val="left"/>
            </w:pPr>
          </w:p>
        </w:tc>
        <w:tc>
          <w:tcPr>
            <w:tcW w:w="1858" w:type="dxa"/>
            <w:gridSpan w:val="3"/>
            <w:vMerge w:val="continue"/>
            <w:noWrap w:val="0"/>
            <w:vAlign w:val="center"/>
          </w:tcPr>
          <w:p>
            <w:pPr>
              <w:jc w:val="center"/>
            </w:pPr>
          </w:p>
        </w:tc>
        <w:tc>
          <w:tcPr>
            <w:tcW w:w="772" w:type="dxa"/>
            <w:gridSpan w:val="3"/>
            <w:vMerge w:val="continue"/>
            <w:noWrap w:val="0"/>
            <w:vAlign w:val="center"/>
          </w:tcPr>
          <w:p>
            <w:pPr>
              <w:jc w:val="center"/>
            </w:pPr>
          </w:p>
        </w:tc>
        <w:tc>
          <w:tcPr>
            <w:tcW w:w="3482" w:type="dxa"/>
            <w:gridSpan w:val="5"/>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第三次实施违法行为的</w:t>
            </w:r>
          </w:p>
        </w:tc>
        <w:tc>
          <w:tcPr>
            <w:tcW w:w="1647"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0" w:hRule="atLeast"/>
          <w:jc w:val="center"/>
        </w:trPr>
        <w:tc>
          <w:tcPr>
            <w:tcW w:w="1377" w:type="dxa"/>
            <w:vMerge w:val="continue"/>
            <w:noWrap w:val="0"/>
            <w:vAlign w:val="center"/>
          </w:tcPr>
          <w:p>
            <w:pPr>
              <w:jc w:val="left"/>
              <w:rPr>
                <w:rFonts w:hint="eastAsia" w:ascii="仿宋_GB2312" w:hAnsi="仿宋_GB2312" w:eastAsia="仿宋_GB2312" w:cs="仿宋_GB2312"/>
                <w:sz w:val="24"/>
              </w:rPr>
            </w:pPr>
          </w:p>
        </w:tc>
        <w:tc>
          <w:tcPr>
            <w:tcW w:w="1858" w:type="dxa"/>
            <w:gridSpan w:val="3"/>
            <w:vMerge w:val="continue"/>
            <w:noWrap w:val="0"/>
            <w:vAlign w:val="center"/>
          </w:tcPr>
          <w:p>
            <w:pPr>
              <w:jc w:val="center"/>
              <w:rPr>
                <w:rFonts w:hint="eastAsia" w:ascii="仿宋_GB2312" w:hAnsi="仿宋_GB2312" w:eastAsia="仿宋_GB2312" w:cs="仿宋_GB2312"/>
                <w:sz w:val="24"/>
              </w:rPr>
            </w:pPr>
          </w:p>
        </w:tc>
        <w:tc>
          <w:tcPr>
            <w:tcW w:w="772" w:type="dxa"/>
            <w:gridSpan w:val="3"/>
            <w:vMerge w:val="continue"/>
            <w:noWrap w:val="0"/>
            <w:vAlign w:val="center"/>
          </w:tcPr>
          <w:p>
            <w:pPr>
              <w:jc w:val="center"/>
              <w:rPr>
                <w:rFonts w:hint="eastAsia" w:ascii="仿宋_GB2312" w:hAnsi="仿宋_GB2312" w:eastAsia="仿宋_GB2312" w:cs="仿宋_GB2312"/>
                <w:sz w:val="24"/>
              </w:rPr>
            </w:pPr>
          </w:p>
        </w:tc>
        <w:tc>
          <w:tcPr>
            <w:tcW w:w="3482" w:type="dxa"/>
            <w:gridSpan w:val="5"/>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三次以上实施违法行为的</w:t>
            </w:r>
          </w:p>
        </w:tc>
        <w:tc>
          <w:tcPr>
            <w:tcW w:w="1647"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3" w:hRule="atLeast"/>
          <w:jc w:val="center"/>
        </w:trPr>
        <w:tc>
          <w:tcPr>
            <w:tcW w:w="137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58" w:type="dxa"/>
            <w:gridSpan w:val="3"/>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是否及时进行整改</w:t>
            </w:r>
          </w:p>
        </w:tc>
        <w:tc>
          <w:tcPr>
            <w:tcW w:w="772"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未整改未接受监督的</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9" w:hRule="atLeast"/>
          <w:jc w:val="center"/>
        </w:trPr>
        <w:tc>
          <w:tcPr>
            <w:tcW w:w="137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72" w:type="dxa"/>
            <w:gridSpan w:val="3"/>
            <w:vMerge w:val="continue"/>
            <w:noWrap w:val="0"/>
            <w:vAlign w:val="center"/>
          </w:tcPr>
          <w:p>
            <w:pPr>
              <w:jc w:val="center"/>
              <w:rPr>
                <w:rFonts w:hint="eastAsia" w:ascii="仿宋_GB2312" w:hAnsi="仿宋_GB2312" w:eastAsia="仿宋_GB2312" w:cs="仿宋_GB2312"/>
                <w:sz w:val="24"/>
                <w:szCs w:val="32"/>
              </w:rPr>
            </w:pPr>
          </w:p>
        </w:tc>
        <w:tc>
          <w:tcPr>
            <w:tcW w:w="348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整改并接受监督的</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5" w:hRule="atLeast"/>
          <w:jc w:val="center"/>
        </w:trPr>
        <w:tc>
          <w:tcPr>
            <w:tcW w:w="137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58"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72"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82" w:type="dxa"/>
            <w:gridSpan w:val="5"/>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2" w:hRule="atLeast"/>
          <w:jc w:val="center"/>
        </w:trPr>
        <w:tc>
          <w:tcPr>
            <w:tcW w:w="1377" w:type="dxa"/>
            <w:vMerge w:val="continue"/>
            <w:noWrap w:val="0"/>
            <w:vAlign w:val="center"/>
          </w:tcPr>
          <w:p>
            <w:pPr>
              <w:jc w:val="center"/>
              <w:rPr>
                <w:rFonts w:hint="eastAsia" w:ascii="仿宋_GB2312" w:hAnsi="仿宋_GB2312" w:eastAsia="仿宋_GB2312" w:cs="仿宋_GB2312"/>
                <w:b/>
                <w:bCs/>
                <w:sz w:val="24"/>
                <w:szCs w:val="32"/>
              </w:rPr>
            </w:pPr>
          </w:p>
        </w:tc>
        <w:tc>
          <w:tcPr>
            <w:tcW w:w="1858" w:type="dxa"/>
            <w:gridSpan w:val="3"/>
            <w:vMerge w:val="continue"/>
            <w:noWrap w:val="0"/>
            <w:vAlign w:val="center"/>
          </w:tcPr>
          <w:p>
            <w:pPr>
              <w:jc w:val="center"/>
              <w:rPr>
                <w:rFonts w:hint="eastAsia" w:ascii="仿宋_GB2312" w:hAnsi="仿宋_GB2312" w:eastAsia="仿宋_GB2312" w:cs="仿宋_GB2312"/>
                <w:sz w:val="24"/>
                <w:szCs w:val="32"/>
              </w:rPr>
            </w:pPr>
          </w:p>
        </w:tc>
        <w:tc>
          <w:tcPr>
            <w:tcW w:w="772" w:type="dxa"/>
            <w:gridSpan w:val="3"/>
            <w:vMerge w:val="continue"/>
            <w:noWrap w:val="0"/>
            <w:vAlign w:val="center"/>
          </w:tcPr>
          <w:p>
            <w:pPr>
              <w:rPr>
                <w:rFonts w:hint="eastAsia" w:ascii="仿宋_GB2312" w:hAnsi="仿宋_GB2312" w:eastAsia="仿宋_GB2312" w:cs="仿宋_GB2312"/>
                <w:sz w:val="24"/>
                <w:szCs w:val="32"/>
              </w:rPr>
            </w:pPr>
          </w:p>
        </w:tc>
        <w:tc>
          <w:tcPr>
            <w:tcW w:w="3482" w:type="dxa"/>
            <w:gridSpan w:val="5"/>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47"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681" w:hRule="atLeast"/>
          <w:jc w:val="center"/>
        </w:trPr>
        <w:tc>
          <w:tcPr>
            <w:tcW w:w="9136"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494" w:hRule="atLeast"/>
          <w:jc w:val="center"/>
        </w:trPr>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39"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30</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615" w:hRule="atLeast"/>
          <w:jc w:val="center"/>
        </w:trPr>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39" w:type="dxa"/>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未依法取得排污许可证排放大气污染物的</w:t>
            </w:r>
          </w:p>
        </w:tc>
      </w:tr>
      <w:tr>
        <w:tblPrEx>
          <w:tblBorders>
            <w:top w:val="single" w:sz="40" w:space="0"/>
            <w:left w:val="single" w:sz="40" w:space="0"/>
            <w:bottom w:val="single" w:sz="40" w:space="0"/>
            <w:right w:val="single" w:sz="40" w:space="0"/>
            <w:insideH w:val="single" w:sz="40" w:space="0"/>
            <w:insideV w:val="single" w:sz="40" w:space="0"/>
          </w:tblBorders>
          <w:tblCellMar>
            <w:top w:w="15" w:type="dxa"/>
            <w:left w:w="15" w:type="dxa"/>
            <w:bottom w:w="15" w:type="dxa"/>
            <w:right w:w="15" w:type="dxa"/>
          </w:tblCellMar>
        </w:tblPrEx>
        <w:trPr>
          <w:wBefore w:w="0" w:type="auto"/>
          <w:wAfter w:w="0" w:type="auto"/>
          <w:trHeight w:val="5433" w:hRule="atLeast"/>
          <w:jc w:val="center"/>
        </w:trPr>
        <w:tc>
          <w:tcPr>
            <w:tcW w:w="1397" w:type="dxa"/>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739" w:type="dxa"/>
            <w:gridSpan w:val="1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第十九条</w:t>
            </w:r>
            <w:r>
              <w:rPr>
                <w:rFonts w:hint="eastAsia" w:ascii="仿宋_GB2312" w:hAnsi="仿宋_GB2312" w:eastAsia="仿宋_GB2312" w:cs="仿宋_GB2312"/>
                <w:sz w:val="24"/>
                <w:szCs w:val="32"/>
              </w:rPr>
              <w:t xml:space="preserve">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第九十九条</w:t>
            </w:r>
            <w:r>
              <w:rPr>
                <w:rFonts w:hint="eastAsia" w:ascii="仿宋_GB2312" w:hAnsi="仿宋_GB2312" w:eastAsia="仿宋_GB2312" w:cs="仿宋_GB2312"/>
                <w:sz w:val="24"/>
                <w:szCs w:val="32"/>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（一）未依法取得排污许可证排放大气污染物的； </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第七十八条</w:t>
            </w:r>
            <w:r>
              <w:rPr>
                <w:rFonts w:hint="eastAsia" w:ascii="仿宋_GB2312" w:hAnsi="仿宋_GB2312" w:eastAsia="仿宋_GB2312" w:cs="仿宋_GB2312"/>
                <w:sz w:val="24"/>
                <w:szCs w:val="32"/>
              </w:rPr>
              <w:t xml:space="preserve">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（一）未依法取得排污许可证排放大气污染物的；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《河北省生态环境保护条例》</w:t>
            </w:r>
          </w:p>
          <w:p>
            <w:pPr>
              <w:rPr>
                <w:rFonts w:hint="eastAsia" w:ascii="仿宋_GB2312" w:hAnsi="仿宋_GB2312" w:eastAsia="仿宋_GB2312" w:cs="仿宋_GB2312"/>
                <w:sz w:val="24"/>
              </w:rPr>
            </w:pPr>
            <w:r>
              <w:rPr>
                <w:rFonts w:hint="eastAsia" w:ascii="仿宋_GB2312" w:hAnsi="仿宋_GB2312" w:eastAsia="仿宋_GB2312" w:cs="仿宋_GB2312"/>
                <w:b/>
                <w:bCs/>
                <w:sz w:val="24"/>
              </w:rPr>
              <w:t>第七十条</w:t>
            </w:r>
            <w:r>
              <w:rPr>
                <w:rFonts w:hint="eastAsia" w:ascii="仿宋_GB2312" w:hAnsi="仿宋_GB2312" w:eastAsia="仿宋_GB2312" w:cs="仿宋_GB2312"/>
                <w:sz w:val="24"/>
              </w:rPr>
              <w:t xml:space="preserve"> 违反本条例规定，企业事业单位和其他生产经营者有下列行为之一的，受到罚款处罚，被责令改正拒不改正的，依法作出处罚决定的行政主管部门可以自责令改正之日的次日起，按照原处罚数额按日连续处罚：</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rPr>
              <w:t>（一）未依法取得排污许可证排放污染物的；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4252" w:type="dxa"/>
            <w:gridSpan w:val="9"/>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84"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70" w:hRule="atLeast"/>
          <w:jc w:val="center"/>
        </w:trPr>
        <w:tc>
          <w:tcPr>
            <w:tcW w:w="1397"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62"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8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3" w:hRule="atLeast"/>
          <w:jc w:val="center"/>
        </w:trPr>
        <w:tc>
          <w:tcPr>
            <w:tcW w:w="1397"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62" w:type="dxa"/>
            <w:gridSpan w:val="4"/>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列入环境影响登记表类项目的</w:t>
            </w:r>
          </w:p>
        </w:tc>
        <w:tc>
          <w:tcPr>
            <w:tcW w:w="1681"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14" w:hRule="atLeast"/>
          <w:jc w:val="center"/>
        </w:trPr>
        <w:tc>
          <w:tcPr>
            <w:tcW w:w="1397"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4"/>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列入环境影响报告表类项目的</w:t>
            </w:r>
          </w:p>
        </w:tc>
        <w:tc>
          <w:tcPr>
            <w:tcW w:w="1681"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8" w:hRule="atLeast"/>
          <w:jc w:val="center"/>
        </w:trPr>
        <w:tc>
          <w:tcPr>
            <w:tcW w:w="1397"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4"/>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列入环境影响报告书类项目的</w:t>
            </w:r>
          </w:p>
        </w:tc>
        <w:tc>
          <w:tcPr>
            <w:tcW w:w="1681" w:type="dxa"/>
            <w:gridSpan w:val="3"/>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8" w:hRule="atLeast"/>
          <w:jc w:val="center"/>
        </w:trPr>
        <w:tc>
          <w:tcPr>
            <w:tcW w:w="1397"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4"/>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违法行为形式</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经收集处理的</w:t>
            </w:r>
          </w:p>
        </w:tc>
        <w:tc>
          <w:tcPr>
            <w:tcW w:w="1681"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8" w:hRule="atLeast"/>
          <w:jc w:val="center"/>
        </w:trPr>
        <w:tc>
          <w:tcPr>
            <w:tcW w:w="1397"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4"/>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未经收集处理的</w:t>
            </w:r>
          </w:p>
        </w:tc>
        <w:tc>
          <w:tcPr>
            <w:tcW w:w="1681" w:type="dxa"/>
            <w:gridSpan w:val="3"/>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162" w:hRule="atLeast"/>
          <w:jc w:val="center"/>
        </w:trPr>
        <w:tc>
          <w:tcPr>
            <w:tcW w:w="1397"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62" w:type="dxa"/>
            <w:gridSpan w:val="4"/>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61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100" w:hRule="atLeast"/>
          <w:jc w:val="center"/>
        </w:trPr>
        <w:tc>
          <w:tcPr>
            <w:tcW w:w="1397"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4"/>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61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100" w:hRule="atLeast"/>
          <w:jc w:val="center"/>
        </w:trPr>
        <w:tc>
          <w:tcPr>
            <w:tcW w:w="1397" w:type="dxa"/>
            <w:gridSpan w:val="2"/>
            <w:vMerge w:val="continue"/>
            <w:tcBorders>
              <w:right w:val="single" w:color="auto" w:sz="4" w:space="0"/>
            </w:tcBorders>
            <w:noWrap w:val="0"/>
            <w:vAlign w:val="center"/>
          </w:tcPr>
          <w:p>
            <w:pPr>
              <w:jc w:val="left"/>
            </w:pPr>
          </w:p>
        </w:tc>
        <w:tc>
          <w:tcPr>
            <w:tcW w:w="2062" w:type="dxa"/>
            <w:gridSpan w:val="4"/>
            <w:vMerge w:val="continue"/>
            <w:tcBorders>
              <w:left w:val="single" w:color="auto" w:sz="4" w:space="0"/>
            </w:tcBorders>
            <w:noWrap w:val="0"/>
            <w:vAlign w:val="center"/>
          </w:tcPr>
          <w:p>
            <w:pPr>
              <w:jc w:val="center"/>
            </w:pPr>
          </w:p>
        </w:tc>
        <w:tc>
          <w:tcPr>
            <w:tcW w:w="793" w:type="dxa"/>
            <w:gridSpan w:val="3"/>
            <w:vMerge w:val="continue"/>
            <w:noWrap w:val="0"/>
            <w:vAlign w:val="center"/>
          </w:tcPr>
          <w:p>
            <w:pPr>
              <w:jc w:val="center"/>
            </w:pPr>
          </w:p>
        </w:tc>
        <w:tc>
          <w:tcPr>
            <w:tcW w:w="32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第三次实施违法行为的</w:t>
            </w:r>
          </w:p>
        </w:tc>
        <w:tc>
          <w:tcPr>
            <w:tcW w:w="161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100" w:hRule="atLeast"/>
          <w:jc w:val="center"/>
        </w:trPr>
        <w:tc>
          <w:tcPr>
            <w:tcW w:w="1397" w:type="dxa"/>
            <w:gridSpan w:val="2"/>
            <w:vMerge w:val="continue"/>
            <w:tcBorders>
              <w:right w:val="single" w:color="auto" w:sz="4" w:space="0"/>
            </w:tcBorders>
            <w:noWrap w:val="0"/>
            <w:vAlign w:val="center"/>
          </w:tcPr>
          <w:p>
            <w:pPr>
              <w:jc w:val="left"/>
              <w:rPr>
                <w:rFonts w:hint="eastAsia" w:ascii="仿宋_GB2312" w:hAnsi="仿宋_GB2312" w:eastAsia="仿宋_GB2312" w:cs="仿宋_GB2312"/>
                <w:sz w:val="24"/>
              </w:rPr>
            </w:pPr>
          </w:p>
        </w:tc>
        <w:tc>
          <w:tcPr>
            <w:tcW w:w="2062" w:type="dxa"/>
            <w:gridSpan w:val="4"/>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3"/>
            <w:vMerge w:val="continue"/>
            <w:noWrap w:val="0"/>
            <w:vAlign w:val="center"/>
          </w:tcPr>
          <w:p>
            <w:pPr>
              <w:jc w:val="center"/>
              <w:rPr>
                <w:rFonts w:hint="eastAsia" w:ascii="仿宋_GB2312" w:hAnsi="仿宋_GB2312" w:eastAsia="仿宋_GB2312" w:cs="仿宋_GB2312"/>
                <w:sz w:val="24"/>
              </w:rPr>
            </w:pPr>
          </w:p>
        </w:tc>
        <w:tc>
          <w:tcPr>
            <w:tcW w:w="32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三次以上实施违法行为的</w:t>
            </w:r>
          </w:p>
        </w:tc>
        <w:tc>
          <w:tcPr>
            <w:tcW w:w="161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90" w:hRule="atLeast"/>
          <w:jc w:val="center"/>
        </w:trPr>
        <w:tc>
          <w:tcPr>
            <w:tcW w:w="1397"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62" w:type="dxa"/>
            <w:gridSpan w:val="4"/>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1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257" w:hRule="atLeast"/>
          <w:jc w:val="center"/>
        </w:trPr>
        <w:tc>
          <w:tcPr>
            <w:tcW w:w="1397"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4"/>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1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65" w:hRule="atLeast"/>
          <w:jc w:val="center"/>
        </w:trPr>
        <w:tc>
          <w:tcPr>
            <w:tcW w:w="1397"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4"/>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gridSpan w:val="3"/>
            <w:vMerge w:val="continue"/>
            <w:noWrap w:val="0"/>
            <w:vAlign w:val="center"/>
          </w:tcPr>
          <w:p>
            <w:pPr>
              <w:jc w:val="cente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1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620" w:hRule="atLeast"/>
          <w:jc w:val="center"/>
        </w:trPr>
        <w:tc>
          <w:tcPr>
            <w:tcW w:w="1397"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62" w:type="dxa"/>
            <w:gridSpan w:val="4"/>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1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0" w:type="dxa"/>
          <w:trHeight w:val="410" w:hRule="atLeast"/>
          <w:jc w:val="center"/>
        </w:trPr>
        <w:tc>
          <w:tcPr>
            <w:tcW w:w="1397"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62" w:type="dxa"/>
            <w:gridSpan w:val="4"/>
            <w:vMerge w:val="continue"/>
            <w:noWrap w:val="0"/>
            <w:vAlign w:val="center"/>
          </w:tcPr>
          <w:p>
            <w:pPr>
              <w:jc w:val="center"/>
              <w:rPr>
                <w:rFonts w:hint="eastAsia" w:ascii="仿宋_GB2312" w:hAnsi="仿宋_GB2312" w:eastAsia="仿宋_GB2312" w:cs="仿宋_GB2312"/>
                <w:sz w:val="24"/>
                <w:szCs w:val="32"/>
              </w:rPr>
            </w:pPr>
          </w:p>
        </w:tc>
        <w:tc>
          <w:tcPr>
            <w:tcW w:w="793" w:type="dxa"/>
            <w:gridSpan w:val="3"/>
            <w:vMerge w:val="continue"/>
            <w:noWrap w:val="0"/>
            <w:vAlign w:val="center"/>
          </w:tcPr>
          <w:p>
            <w:pPr>
              <w:rPr>
                <w:rFonts w:hint="eastAsia" w:ascii="仿宋_GB2312" w:hAnsi="仿宋_GB2312" w:eastAsia="仿宋_GB2312" w:cs="仿宋_GB2312"/>
                <w:sz w:val="24"/>
                <w:szCs w:val="32"/>
              </w:rPr>
            </w:pPr>
          </w:p>
        </w:tc>
        <w:tc>
          <w:tcPr>
            <w:tcW w:w="32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1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tbl>
      <w:tblPr>
        <w:tblStyle w:val="9"/>
        <w:tblW w:w="0" w:type="auto"/>
        <w:jc w:val="center"/>
        <w:tblLayout w:type="fixed"/>
        <w:tblCellMar>
          <w:top w:w="15" w:type="dxa"/>
          <w:left w:w="15" w:type="dxa"/>
          <w:bottom w:w="15" w:type="dxa"/>
          <w:right w:w="15" w:type="dxa"/>
        </w:tblCellMar>
      </w:tblPr>
      <w:tblGrid>
        <w:gridCol w:w="1304"/>
        <w:gridCol w:w="2062"/>
        <w:gridCol w:w="793"/>
        <w:gridCol w:w="3203"/>
        <w:gridCol w:w="1726"/>
      </w:tblGrid>
      <w:tr>
        <w:tblPrEx>
          <w:tblCellMar>
            <w:top w:w="15" w:type="dxa"/>
            <w:left w:w="15" w:type="dxa"/>
            <w:bottom w:w="15" w:type="dxa"/>
            <w:right w:w="15" w:type="dxa"/>
          </w:tblCellMar>
        </w:tblPrEx>
        <w:trPr>
          <w:trHeight w:val="681" w:hRule="atLeast"/>
          <w:jc w:val="center"/>
        </w:trPr>
        <w:tc>
          <w:tcPr>
            <w:tcW w:w="908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jc w:val="center"/>
        </w:trPr>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8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31</w:t>
            </w:r>
          </w:p>
        </w:tc>
      </w:tr>
      <w:tr>
        <w:tblPrEx>
          <w:tblCellMar>
            <w:top w:w="15" w:type="dxa"/>
            <w:left w:w="15" w:type="dxa"/>
            <w:bottom w:w="15" w:type="dxa"/>
            <w:right w:w="15" w:type="dxa"/>
          </w:tblCellMar>
        </w:tblPrEx>
        <w:trPr>
          <w:trHeight w:val="671" w:hRule="atLeast"/>
          <w:jc w:val="center"/>
        </w:trPr>
        <w:tc>
          <w:tcPr>
            <w:tcW w:w="130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84" w:type="dxa"/>
            <w:gridSpan w:val="4"/>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超过大气污染物排放标准或者超过重点大气污染物排放总量控制指标排放大气污染物的</w:t>
            </w:r>
          </w:p>
        </w:tc>
      </w:tr>
      <w:tr>
        <w:tblPrEx>
          <w:tblCellMar>
            <w:top w:w="15" w:type="dxa"/>
            <w:left w:w="15" w:type="dxa"/>
            <w:bottom w:w="15" w:type="dxa"/>
            <w:right w:w="15" w:type="dxa"/>
          </w:tblCellMar>
        </w:tblPrEx>
        <w:trPr>
          <w:trHeight w:val="90"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78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第十八条</w:t>
            </w:r>
            <w:r>
              <w:rPr>
                <w:rFonts w:hint="eastAsia" w:ascii="仿宋_GB2312" w:hAnsi="仿宋_GB2312" w:eastAsia="仿宋_GB2312" w:cs="仿宋_GB2312"/>
                <w:sz w:val="24"/>
                <w:szCs w:val="32"/>
              </w:rPr>
              <w:t xml:space="preserve">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第九十九条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（二）超过大气污染物排放标准或者超过重点大气污染物排放总量控制指标排放大气污染物的；</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第七十八条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（二）超过大气污染物排放标准或者超过重点大气污染物排放总量控制指标排放大气污染物的；</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《河北省生态环境保护条例》</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第七十条</w:t>
            </w:r>
            <w:r>
              <w:rPr>
                <w:rFonts w:hint="eastAsia" w:ascii="仿宋_GB2312" w:hAnsi="仿宋_GB2312" w:eastAsia="仿宋_GB2312" w:cs="仿宋_GB2312"/>
                <w:sz w:val="24"/>
                <w:szCs w:val="32"/>
              </w:rPr>
              <w:t xml:space="preserve"> 违反本条例规定，企业事业单位和其他生产经营者有下列行为之一的，受到罚款处罚，被责令改正拒不改正的，依法作出处罚决定的行政主管部门可以自责令改正之日的次日起，按照原处罚数额按日连续处罚：</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（二）超过污染物排放标准或者超过重点污染物排放总量控制指标排放污染物的；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9" w:type="dxa"/>
            <w:gridSpan w:val="3"/>
            <w:tcBorders>
              <w:top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29" w:type="dxa"/>
            <w:gridSpan w:val="2"/>
            <w:tcBorders>
              <w:top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0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6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2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04"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列入环境影响登记表类项目的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列入环境影响报告表类项目的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列入环境影响报告书类项目的</w:t>
            </w:r>
          </w:p>
        </w:tc>
        <w:tc>
          <w:tcPr>
            <w:tcW w:w="1726"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违法危害程度</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污染物超标一倍以内的</w:t>
            </w:r>
          </w:p>
        </w:tc>
        <w:tc>
          <w:tcPr>
            <w:tcW w:w="1726" w:type="dxa"/>
            <w:noWrap w:val="0"/>
            <w:vAlign w:val="center"/>
          </w:tcPr>
          <w:p>
            <w:pPr>
              <w:tabs>
                <w:tab w:val="left" w:pos="300"/>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污染物超标一倍以上两倍以下的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污染物超标两倍以上的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304"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2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72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4" w:type="dxa"/>
            <w:vMerge w:val="continue"/>
            <w:tcBorders>
              <w:right w:val="single" w:color="auto" w:sz="4" w:space="0"/>
            </w:tcBorders>
            <w:noWrap w:val="0"/>
            <w:vAlign w:val="center"/>
          </w:tcPr>
          <w:p>
            <w:pPr>
              <w:jc w:val="left"/>
            </w:pPr>
          </w:p>
        </w:tc>
        <w:tc>
          <w:tcPr>
            <w:tcW w:w="2062"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第三次实施违法行为的</w:t>
            </w:r>
          </w:p>
        </w:tc>
        <w:tc>
          <w:tcPr>
            <w:tcW w:w="172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04" w:type="dxa"/>
            <w:vMerge w:val="continue"/>
            <w:tcBorders>
              <w:right w:val="single" w:color="auto" w:sz="4" w:space="0"/>
            </w:tcBorders>
            <w:noWrap w:val="0"/>
            <w:vAlign w:val="center"/>
          </w:tcPr>
          <w:p>
            <w:pPr>
              <w:jc w:val="left"/>
              <w:rPr>
                <w:rFonts w:hint="eastAsia" w:ascii="仿宋_GB2312" w:hAnsi="仿宋_GB2312" w:eastAsia="仿宋_GB2312" w:cs="仿宋_GB2312"/>
                <w:sz w:val="24"/>
              </w:rPr>
            </w:pPr>
          </w:p>
        </w:tc>
        <w:tc>
          <w:tcPr>
            <w:tcW w:w="2062"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三次以上实施违法行为的</w:t>
            </w:r>
          </w:p>
        </w:tc>
        <w:tc>
          <w:tcPr>
            <w:tcW w:w="172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0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0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6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04" w:type="dxa"/>
            <w:vMerge w:val="continue"/>
            <w:noWrap w:val="0"/>
            <w:vAlign w:val="center"/>
          </w:tcPr>
          <w:p>
            <w:pPr>
              <w:jc w:val="center"/>
              <w:rPr>
                <w:rFonts w:hint="eastAsia" w:ascii="仿宋_GB2312" w:hAnsi="仿宋_GB2312" w:eastAsia="仿宋_GB2312" w:cs="仿宋_GB2312"/>
                <w:b/>
                <w:bCs/>
                <w:sz w:val="24"/>
                <w:szCs w:val="32"/>
              </w:rPr>
            </w:pPr>
          </w:p>
        </w:tc>
        <w:tc>
          <w:tcPr>
            <w:tcW w:w="2062"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2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p>
      <w:pPr>
        <w:spacing w:line="540" w:lineRule="exact"/>
        <w:rPr>
          <w:rFonts w:hint="eastAsia" w:ascii="宋体" w:hAnsi="宋体" w:cs="宋体"/>
          <w:sz w:val="22"/>
          <w:szCs w:val="22"/>
        </w:rPr>
      </w:pPr>
    </w:p>
    <w:tbl>
      <w:tblPr>
        <w:tblStyle w:val="9"/>
        <w:tblW w:w="9105" w:type="dxa"/>
        <w:tblInd w:w="0" w:type="dxa"/>
        <w:tblLayout w:type="fixed"/>
        <w:tblCellMar>
          <w:top w:w="15" w:type="dxa"/>
          <w:left w:w="15" w:type="dxa"/>
          <w:bottom w:w="15" w:type="dxa"/>
          <w:right w:w="15" w:type="dxa"/>
        </w:tblCellMar>
      </w:tblPr>
      <w:tblGrid>
        <w:gridCol w:w="1211"/>
        <w:gridCol w:w="2062"/>
        <w:gridCol w:w="793"/>
        <w:gridCol w:w="3203"/>
        <w:gridCol w:w="1836"/>
      </w:tblGrid>
      <w:tr>
        <w:tblPrEx>
          <w:tblCellMar>
            <w:top w:w="15" w:type="dxa"/>
            <w:left w:w="15" w:type="dxa"/>
            <w:bottom w:w="15" w:type="dxa"/>
            <w:right w:w="15" w:type="dxa"/>
          </w:tblCellMar>
        </w:tblPrEx>
        <w:trPr>
          <w:trHeight w:val="681" w:hRule="atLeast"/>
        </w:trPr>
        <w:tc>
          <w:tcPr>
            <w:tcW w:w="910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32</w:t>
            </w:r>
          </w:p>
        </w:tc>
      </w:tr>
      <w:tr>
        <w:tblPrEx>
          <w:tblCellMar>
            <w:top w:w="15" w:type="dxa"/>
            <w:left w:w="15" w:type="dxa"/>
            <w:bottom w:w="15" w:type="dxa"/>
            <w:right w:w="15" w:type="dxa"/>
          </w:tblCellMar>
        </w:tblPrEx>
        <w:trPr>
          <w:trHeight w:val="45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通过逃避监管的方式排放大气污染物的</w:t>
            </w:r>
          </w:p>
        </w:tc>
      </w:tr>
      <w:tr>
        <w:tblPrEx>
          <w:tblCellMar>
            <w:top w:w="15" w:type="dxa"/>
            <w:left w:w="15" w:type="dxa"/>
            <w:bottom w:w="15" w:type="dxa"/>
            <w:right w:w="15" w:type="dxa"/>
          </w:tblCellMar>
        </w:tblPrEx>
        <w:trPr>
          <w:trHeight w:val="5332"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禁止通过偷排、篡改或者伪造监测数据、以逃避现场检查为目的的临时停产、非紧急情况下开启应急排放通道、不正常运行大气污染防治设施等逃避监管的方式排放大气污染物。</w:t>
            </w:r>
          </w:p>
          <w:p>
            <w:pPr>
              <w:spacing w:line="290" w:lineRule="exact"/>
              <w:jc w:val="left"/>
              <w:rPr>
                <w:rFonts w:hint="eastAsia" w:ascii="仿宋_GB2312" w:hAnsi="仿宋_GB2312" w:eastAsia="仿宋_GB2312" w:cs="仿宋_GB2312"/>
                <w:sz w:val="24"/>
                <w:szCs w:val="32"/>
              </w:rPr>
            </w:pPr>
          </w:p>
          <w:p>
            <w:pPr>
              <w:spacing w:line="29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第九十九条</w:t>
            </w:r>
            <w:r>
              <w:rPr>
                <w:rFonts w:hint="eastAsia" w:ascii="仿宋_GB2312" w:hAnsi="仿宋_GB2312" w:eastAsia="仿宋_GB2312" w:cs="仿宋_GB2312"/>
                <w:sz w:val="24"/>
                <w:szCs w:val="32"/>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 </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（三）通过逃避监管的方式排放大气污染物。</w:t>
            </w:r>
          </w:p>
          <w:p>
            <w:pPr>
              <w:spacing w:line="290" w:lineRule="exact"/>
              <w:jc w:val="left"/>
              <w:rPr>
                <w:rFonts w:hint="eastAsia" w:ascii="仿宋_GB2312" w:hAnsi="仿宋_GB2312" w:eastAsia="仿宋_GB2312" w:cs="仿宋_GB2312"/>
                <w:sz w:val="24"/>
                <w:szCs w:val="32"/>
              </w:rPr>
            </w:pPr>
          </w:p>
          <w:p>
            <w:pPr>
              <w:spacing w:line="29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第七十八条</w:t>
            </w:r>
            <w:r>
              <w:rPr>
                <w:rFonts w:hint="eastAsia" w:ascii="仿宋_GB2312" w:hAnsi="仿宋_GB2312" w:eastAsia="仿宋_GB2312" w:cs="仿宋_GB2312"/>
                <w:sz w:val="24"/>
                <w:szCs w:val="32"/>
              </w:rPr>
              <w:t xml:space="preserve">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（三）通过偷排、偷放等逃避监管的方式排放大气污染物的。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6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餐饮油烟（经营）</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农业生产、畜禽养殖/工地扬尘/机械、汽车维修</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一般工业废气/含恶臭污染物的废气/医疗/实验室</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火电、钢铁、石化、水泥、炼焦、有色、化工废气、烟尘/燃煤锅炉废气、烟尘</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排放有毒有害气体或篡改、伪造监测数据的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62" w:type="dxa"/>
            <w:vMerge w:val="restart"/>
            <w:tcBorders>
              <w:left w:val="single" w:color="auto"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left"/>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2062"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6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2062"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9119" w:type="dxa"/>
        <w:tblInd w:w="0" w:type="dxa"/>
        <w:tblLayout w:type="fixed"/>
        <w:tblCellMar>
          <w:top w:w="15" w:type="dxa"/>
          <w:left w:w="15" w:type="dxa"/>
          <w:bottom w:w="15" w:type="dxa"/>
          <w:right w:w="15" w:type="dxa"/>
        </w:tblCellMar>
      </w:tblPr>
      <w:tblGrid>
        <w:gridCol w:w="1211"/>
        <w:gridCol w:w="2062"/>
        <w:gridCol w:w="793"/>
        <w:gridCol w:w="3203"/>
        <w:gridCol w:w="1850"/>
      </w:tblGrid>
      <w:tr>
        <w:tblPrEx>
          <w:tblCellMar>
            <w:top w:w="15" w:type="dxa"/>
            <w:left w:w="15" w:type="dxa"/>
            <w:bottom w:w="15" w:type="dxa"/>
            <w:right w:w="15" w:type="dxa"/>
          </w:tblCellMar>
        </w:tblPrEx>
        <w:trPr>
          <w:trHeight w:val="681" w:hRule="atLeast"/>
        </w:trPr>
        <w:tc>
          <w:tcPr>
            <w:tcW w:w="911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90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33</w:t>
            </w:r>
          </w:p>
        </w:tc>
      </w:tr>
      <w:tr>
        <w:tblPrEx>
          <w:tblCellMar>
            <w:top w:w="15" w:type="dxa"/>
            <w:left w:w="15" w:type="dxa"/>
            <w:bottom w:w="15" w:type="dxa"/>
            <w:right w:w="15" w:type="dxa"/>
          </w:tblCellMar>
        </w:tblPrEx>
        <w:trPr>
          <w:trHeight w:val="64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9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侵占、损毁或者擅自移动、改变大气环境质量监测设施或者大气污染物排放自动监测设备的</w:t>
            </w:r>
          </w:p>
        </w:tc>
      </w:tr>
      <w:tr>
        <w:tblPrEx>
          <w:tblCellMar>
            <w:top w:w="15" w:type="dxa"/>
            <w:left w:w="15" w:type="dxa"/>
            <w:bottom w:w="15" w:type="dxa"/>
            <w:right w:w="15" w:type="dxa"/>
          </w:tblCellMar>
        </w:tblPrEx>
        <w:trPr>
          <w:trHeight w:val="4072" w:hRule="atLeast"/>
        </w:trPr>
        <w:tc>
          <w:tcPr>
            <w:tcW w:w="121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908" w:type="dxa"/>
            <w:gridSpan w:val="4"/>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第二十六条 </w:t>
            </w:r>
            <w:r>
              <w:rPr>
                <w:rFonts w:hint="eastAsia" w:ascii="仿宋_GB2312" w:hAnsi="仿宋_GB2312" w:eastAsia="仿宋_GB2312" w:cs="仿宋_GB2312"/>
                <w:sz w:val="24"/>
                <w:szCs w:val="32"/>
              </w:rPr>
              <w:t>禁止侵占、损毁或者擅自移动、改变大气环境质量监测设施和大气污染物排放自动监测设备。</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第一百条</w:t>
            </w:r>
            <w:r>
              <w:rPr>
                <w:rFonts w:hint="eastAsia" w:ascii="仿宋_GB2312" w:hAnsi="仿宋_GB2312" w:eastAsia="仿宋_GB2312" w:cs="仿宋_GB2312"/>
                <w:sz w:val="24"/>
                <w:szCs w:val="32"/>
              </w:rPr>
              <w:t xml:space="preserve"> 违反本法规定，有下列行为之一的，由县级以上人民政府生态环境主管部门责令改正，处二万元以上二十万元以下的罚款；拒不改正的，责令停产整治：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（一）侵占、损毁或者擅自移动、改变大气环境质量监测设施或者大气污</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染物排放自动监测设备的；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第七十九条</w:t>
            </w:r>
            <w:r>
              <w:rPr>
                <w:rFonts w:hint="eastAsia" w:ascii="仿宋_GB2312" w:hAnsi="仿宋_GB2312" w:eastAsia="仿宋_GB2312" w:cs="仿宋_GB2312"/>
                <w:sz w:val="24"/>
                <w:szCs w:val="32"/>
              </w:rPr>
              <w:t xml:space="preserve">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（一）破坏、损毁或者擅自拆除、闲置大气污染物排放自动监测设备的；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《河北省生态环境保护条例》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w:t>
            </w:r>
            <w:r>
              <w:rPr>
                <w:rFonts w:hint="eastAsia" w:ascii="仿宋_GB2312" w:hAnsi="仿宋_GB2312" w:eastAsia="仿宋_GB2312" w:cs="仿宋_GB2312"/>
                <w:sz w:val="24"/>
                <w:szCs w:val="32"/>
              </w:rPr>
              <w:t xml:space="preserve"> 违反本条例规定，重点排污单位有下列行为之一的，由生态环境主管部门责令改正，处二万元以上二十万元以下的罚款；拒不改正的，责令停产整治：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（三）破坏、损毁或者擅自拆除、闲置自动监测设备的；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5.</w:t>
            </w:r>
            <w:r>
              <w:rPr>
                <w:rFonts w:hint="eastAsia" w:ascii="仿宋_GB2312" w:hAnsi="仿宋_GB2312" w:eastAsia="仿宋_GB2312" w:cs="仿宋_GB2312"/>
                <w:b/>
                <w:bCs/>
                <w:sz w:val="24"/>
                <w:szCs w:val="32"/>
              </w:rPr>
              <w:t>《河北省扬尘污染防治办法》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第四十三条</w:t>
            </w:r>
            <w:r>
              <w:rPr>
                <w:rFonts w:hint="eastAsia" w:ascii="仿宋_GB2312" w:hAnsi="仿宋_GB2312" w:eastAsia="仿宋_GB2312" w:cs="仿宋_GB2312"/>
                <w:sz w:val="24"/>
                <w:szCs w:val="32"/>
              </w:rPr>
              <w:t xml:space="preserve">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（二）破坏、损毁或者擅自拆除、闲置扬尘污染物在线监测设备的；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53"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6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62" w:type="dxa"/>
            <w:vMerge w:val="restart"/>
            <w:tcBorders>
              <w:left w:val="single" w:color="auto" w:sz="4" w:space="0"/>
            </w:tcBorders>
            <w:noWrap w:val="0"/>
            <w:vAlign w:val="center"/>
          </w:tcPr>
          <w:p>
            <w:pPr>
              <w:ind w:firstLine="240" w:firstLineChars="10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不影响自动检测设施、设备正常使用的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导致自动检测设施、设备不能正常使用的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62" w:type="dxa"/>
            <w:vMerge w:val="restart"/>
            <w:tcBorders>
              <w:left w:val="single" w:color="auto"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6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2062"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tbl>
      <w:tblPr>
        <w:tblStyle w:val="9"/>
        <w:tblW w:w="9119" w:type="dxa"/>
        <w:tblInd w:w="0" w:type="dxa"/>
        <w:tblLayout w:type="fixed"/>
        <w:tblCellMar>
          <w:top w:w="15" w:type="dxa"/>
          <w:left w:w="15" w:type="dxa"/>
          <w:bottom w:w="15" w:type="dxa"/>
          <w:right w:w="15" w:type="dxa"/>
        </w:tblCellMar>
      </w:tblPr>
      <w:tblGrid>
        <w:gridCol w:w="1211"/>
        <w:gridCol w:w="1880"/>
        <w:gridCol w:w="182"/>
        <w:gridCol w:w="793"/>
        <w:gridCol w:w="3203"/>
        <w:gridCol w:w="1850"/>
      </w:tblGrid>
      <w:tr>
        <w:tblPrEx>
          <w:tblCellMar>
            <w:top w:w="15" w:type="dxa"/>
            <w:left w:w="15" w:type="dxa"/>
            <w:bottom w:w="15" w:type="dxa"/>
            <w:right w:w="15" w:type="dxa"/>
          </w:tblCellMar>
        </w:tblPrEx>
        <w:trPr>
          <w:trHeight w:val="681" w:hRule="atLeast"/>
        </w:trPr>
        <w:tc>
          <w:tcPr>
            <w:tcW w:w="91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90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34</w:t>
            </w:r>
          </w:p>
        </w:tc>
      </w:tr>
      <w:tr>
        <w:tblPrEx>
          <w:tblCellMar>
            <w:top w:w="15" w:type="dxa"/>
            <w:left w:w="15" w:type="dxa"/>
            <w:bottom w:w="15" w:type="dxa"/>
            <w:right w:w="15" w:type="dxa"/>
          </w:tblCellMar>
        </w:tblPrEx>
        <w:trPr>
          <w:trHeight w:val="636"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90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未按照规定对所排放的工业废气和有毒有害大气污染物进行监测并保存原始监测记录的</w:t>
            </w:r>
          </w:p>
        </w:tc>
      </w:tr>
      <w:tr>
        <w:tblPrEx>
          <w:tblCellMar>
            <w:top w:w="15" w:type="dxa"/>
            <w:left w:w="15" w:type="dxa"/>
            <w:bottom w:w="15" w:type="dxa"/>
            <w:right w:w="15" w:type="dxa"/>
          </w:tblCellMar>
        </w:tblPrEx>
        <w:trPr>
          <w:trHeight w:val="46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908" w:type="dxa"/>
            <w:gridSpan w:val="5"/>
            <w:tcBorders>
              <w:top w:val="single" w:color="000000" w:sz="4" w:space="0"/>
              <w:left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第二十四条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第一百条</w:t>
            </w:r>
            <w:r>
              <w:rPr>
                <w:rFonts w:hint="eastAsia" w:ascii="仿宋_GB2312" w:hAnsi="仿宋_GB2312" w:eastAsia="仿宋_GB2312" w:cs="仿宋_GB2312"/>
                <w:sz w:val="24"/>
                <w:szCs w:val="32"/>
              </w:rPr>
              <w:t xml:space="preserve"> 违反本法规定，有下列行为之一的，由县级以上人民政府生态环境主管部门责令改正，处二万元以上二十万元以下的罚款；拒不改正的，责令停产整治：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（二）未按照规定对所排放的工业废气和有毒有害大气污染物进行监测并保存原始监测记录的；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53"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7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97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已经开展自行监测但未按规定保存原始监测记录的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975"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未按照规定开展自行监测的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次数</w:t>
            </w:r>
          </w:p>
        </w:tc>
        <w:tc>
          <w:tcPr>
            <w:tcW w:w="97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975"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975"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975"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97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975"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975"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97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975"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97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szCs w:val="32"/>
              </w:rPr>
            </w:pPr>
          </w:p>
        </w:tc>
        <w:tc>
          <w:tcPr>
            <w:tcW w:w="975" w:type="dxa"/>
            <w:gridSpan w:val="2"/>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wAfter w:w="0" w:type="auto"/>
          <w:trHeight w:val="681" w:hRule="atLeast"/>
        </w:trPr>
        <w:tc>
          <w:tcPr>
            <w:tcW w:w="91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wAfter w:w="0" w:type="auto"/>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90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35</w:t>
            </w:r>
          </w:p>
        </w:tc>
      </w:tr>
      <w:tr>
        <w:tblPrEx>
          <w:tblCellMar>
            <w:top w:w="15" w:type="dxa"/>
            <w:left w:w="15" w:type="dxa"/>
            <w:bottom w:w="15" w:type="dxa"/>
            <w:right w:w="15" w:type="dxa"/>
          </w:tblCellMar>
        </w:tblPrEx>
        <w:trPr>
          <w:wAfter w:w="0" w:type="auto"/>
          <w:trHeight w:val="509"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9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未按照规定安装、使用大气污染物排放自动监测设备或者未按照规定与生态环境主管部门的监控设备联网，并保证监测设备正常运行的</w:t>
            </w:r>
          </w:p>
        </w:tc>
      </w:tr>
      <w:tr>
        <w:tblPrEx>
          <w:tblCellMar>
            <w:top w:w="15" w:type="dxa"/>
            <w:left w:w="15" w:type="dxa"/>
            <w:bottom w:w="15" w:type="dxa"/>
            <w:right w:w="15" w:type="dxa"/>
          </w:tblCellMar>
        </w:tblPrEx>
        <w:trPr>
          <w:wAfter w:w="0" w:type="auto"/>
          <w:trHeight w:val="89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9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第二十四条</w:t>
            </w:r>
            <w:r>
              <w:rPr>
                <w:rFonts w:hint="eastAsia" w:ascii="仿宋_GB2312" w:hAnsi="仿宋_GB2312" w:eastAsia="仿宋_GB2312" w:cs="仿宋_GB2312"/>
                <w:sz w:val="24"/>
                <w:szCs w:val="32"/>
              </w:rPr>
              <w:t xml:space="preserve">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line="320" w:lineRule="exact"/>
              <w:jc w:val="left"/>
              <w:rPr>
                <w:rFonts w:hint="eastAsia" w:ascii="仿宋_GB2312" w:hAnsi="仿宋_GB2312" w:eastAsia="仿宋_GB2312" w:cs="仿宋_GB2312"/>
                <w:sz w:val="24"/>
                <w:szCs w:val="32"/>
              </w:rPr>
            </w:pPr>
          </w:p>
          <w:p>
            <w:pPr>
              <w:spacing w:line="32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第一百条</w:t>
            </w:r>
            <w:r>
              <w:rPr>
                <w:rFonts w:hint="eastAsia" w:ascii="仿宋_GB2312" w:hAnsi="仿宋_GB2312" w:eastAsia="仿宋_GB2312" w:cs="仿宋_GB2312"/>
                <w:sz w:val="24"/>
                <w:szCs w:val="32"/>
              </w:rPr>
              <w:t xml:space="preserve"> 违反本法规定，有下列行为之一的，由县级以上人民政府生态环境主管部门责令改正，处二万元以上二十万元以下的罚款；拒不改正的，责令停产整治：</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（三）未按照规定安装、使用大气污染物排放自动监测设备或者未按照规定与生态环境主管部门的监控设备联网，并保证监测设备正常运行的；</w:t>
            </w:r>
          </w:p>
          <w:p>
            <w:pPr>
              <w:spacing w:line="320" w:lineRule="exact"/>
              <w:jc w:val="left"/>
              <w:rPr>
                <w:rFonts w:hint="eastAsia" w:ascii="仿宋_GB2312" w:hAnsi="仿宋_GB2312" w:eastAsia="仿宋_GB2312" w:cs="仿宋_GB2312"/>
                <w:sz w:val="24"/>
                <w:szCs w:val="32"/>
              </w:rPr>
            </w:pPr>
          </w:p>
          <w:p>
            <w:pPr>
              <w:spacing w:line="32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第七十九条</w:t>
            </w:r>
            <w:r>
              <w:rPr>
                <w:rFonts w:hint="eastAsia" w:ascii="仿宋_GB2312" w:hAnsi="仿宋_GB2312" w:eastAsia="仿宋_GB2312" w:cs="仿宋_GB2312"/>
                <w:sz w:val="24"/>
                <w:szCs w:val="32"/>
              </w:rPr>
              <w:t xml:space="preserve">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（二）未按照规定安装大气污染物排放自动监测、监控等设备或者未按照规定与环境保护主管部门的监控设备联网，并保证监测设备正常运行的；</w:t>
            </w:r>
          </w:p>
          <w:p>
            <w:pPr>
              <w:spacing w:line="320" w:lineRule="exact"/>
              <w:jc w:val="left"/>
              <w:rPr>
                <w:rFonts w:hint="eastAsia" w:ascii="仿宋_GB2312" w:hAnsi="仿宋_GB2312" w:eastAsia="仿宋_GB2312" w:cs="仿宋_GB2312"/>
                <w:sz w:val="24"/>
                <w:szCs w:val="32"/>
              </w:rPr>
            </w:pPr>
          </w:p>
          <w:p>
            <w:pPr>
              <w:spacing w:line="32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《河北省生态环境保护条例》</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w:t>
            </w:r>
            <w:r>
              <w:rPr>
                <w:rFonts w:hint="eastAsia" w:ascii="仿宋_GB2312" w:hAnsi="仿宋_GB2312" w:eastAsia="仿宋_GB2312" w:cs="仿宋_GB2312"/>
                <w:sz w:val="24"/>
                <w:szCs w:val="32"/>
              </w:rPr>
              <w:t xml:space="preserve"> 违反本条例规定，重点排污单位有下列行为之一的，由生态环境主管部门责令改正，处二万元以上二十万元以下的罚款；拒不改正的，责令停产整治：</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（一）未按照规定安装使用自动监测设备，或者未与生态环境主管部门的</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监控设备联网的；</w:t>
            </w:r>
          </w:p>
          <w:p>
            <w:pPr>
              <w:spacing w:line="320" w:lineRule="exact"/>
              <w:jc w:val="left"/>
              <w:rPr>
                <w:rFonts w:hint="eastAsia" w:ascii="仿宋_GB2312" w:hAnsi="仿宋_GB2312" w:eastAsia="仿宋_GB2312" w:cs="仿宋_GB2312"/>
                <w:sz w:val="24"/>
                <w:szCs w:val="32"/>
              </w:rPr>
            </w:pP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r>
              <w:rPr>
                <w:rFonts w:hint="eastAsia" w:ascii="仿宋_GB2312" w:hAnsi="仿宋_GB2312" w:eastAsia="仿宋_GB2312" w:cs="仿宋_GB2312"/>
                <w:b/>
                <w:bCs/>
                <w:sz w:val="24"/>
                <w:szCs w:val="32"/>
              </w:rPr>
              <w:t>《河北省扬尘污染防治办法》</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第四十三条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spacing w:line="32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（一）未按照规定安装、使用扬尘污染物在线监测设备或者未按照规定与生态环境主管部门的监控设备联网，并保证监测设备正常运行的；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66" w:type="dxa"/>
            <w:gridSpan w:val="4"/>
            <w:tcBorders>
              <w:top w:val="single" w:color="000000"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53" w:type="dxa"/>
            <w:gridSpan w:val="2"/>
            <w:tcBorders>
              <w:top w:val="single" w:color="000000"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6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62"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已安装大气污染物排放自动监测设备，但未按规定与生态环境主管部门联网的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已安装大气污染物排放自动监测设备，但不能保证正常运行的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未安装大气污染物排放自动监测设备的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62"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left"/>
            </w:pPr>
          </w:p>
        </w:tc>
        <w:tc>
          <w:tcPr>
            <w:tcW w:w="2062" w:type="dxa"/>
            <w:gridSpan w:val="2"/>
            <w:vMerge w:val="continue"/>
            <w:tcBorders>
              <w:left w:val="single" w:color="auto" w:sz="4" w:space="0"/>
            </w:tcBorders>
            <w:noWrap w:val="0"/>
            <w:vAlign w:val="center"/>
          </w:tcPr>
          <w:p>
            <w:pPr>
              <w:jc w:val="cente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2062"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62"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2062"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6"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62"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6"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2062" w:type="dxa"/>
            <w:gridSpan w:val="2"/>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9119" w:type="dxa"/>
        <w:tblInd w:w="0" w:type="dxa"/>
        <w:tblLayout w:type="fixed"/>
        <w:tblCellMar>
          <w:top w:w="15" w:type="dxa"/>
          <w:left w:w="15" w:type="dxa"/>
          <w:bottom w:w="15" w:type="dxa"/>
          <w:right w:w="15" w:type="dxa"/>
        </w:tblCellMar>
      </w:tblPr>
      <w:tblGrid>
        <w:gridCol w:w="1211"/>
        <w:gridCol w:w="1826"/>
        <w:gridCol w:w="1029"/>
        <w:gridCol w:w="3203"/>
        <w:gridCol w:w="1850"/>
      </w:tblGrid>
      <w:tr>
        <w:tblPrEx>
          <w:tblCellMar>
            <w:top w:w="15" w:type="dxa"/>
            <w:left w:w="15" w:type="dxa"/>
            <w:bottom w:w="15" w:type="dxa"/>
            <w:right w:w="15" w:type="dxa"/>
          </w:tblCellMar>
        </w:tblPrEx>
        <w:trPr>
          <w:trHeight w:val="681" w:hRule="atLeast"/>
        </w:trPr>
        <w:tc>
          <w:tcPr>
            <w:tcW w:w="911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90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36</w:t>
            </w:r>
          </w:p>
        </w:tc>
      </w:tr>
      <w:tr>
        <w:tblPrEx>
          <w:tblCellMar>
            <w:top w:w="15" w:type="dxa"/>
            <w:left w:w="15" w:type="dxa"/>
            <w:bottom w:w="15" w:type="dxa"/>
            <w:right w:w="15" w:type="dxa"/>
          </w:tblCellMar>
        </w:tblPrEx>
        <w:trPr>
          <w:trHeight w:val="573"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908" w:type="dxa"/>
            <w:gridSpan w:val="4"/>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重点排污单位不公开或者不如实公开自动监测数据的</w:t>
            </w:r>
          </w:p>
        </w:tc>
      </w:tr>
      <w:tr>
        <w:tblPrEx>
          <w:tblCellMar>
            <w:top w:w="15" w:type="dxa"/>
            <w:left w:w="15" w:type="dxa"/>
            <w:bottom w:w="15" w:type="dxa"/>
            <w:right w:w="15"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908" w:type="dxa"/>
            <w:gridSpan w:val="4"/>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第二十四条 </w:t>
            </w:r>
            <w:r>
              <w:rPr>
                <w:rFonts w:hint="eastAsia" w:ascii="仿宋_GB2312" w:hAnsi="仿宋_GB2312" w:eastAsia="仿宋_GB2312" w:cs="仿宋_GB2312"/>
                <w:sz w:val="24"/>
                <w:szCs w:val="32"/>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rPr>
              <w:t xml:space="preserve">第四十三条 第一款 </w:t>
            </w:r>
            <w:r>
              <w:rPr>
                <w:rFonts w:hint="eastAsia" w:ascii="仿宋_GB2312" w:hAnsi="仿宋_GB2312" w:eastAsia="仿宋_GB2312" w:cs="仿宋_GB2312"/>
                <w:sz w:val="24"/>
              </w:rPr>
              <w:t>设区的市人民政府生态环境主管部门应当商有关部门依法确定重点排污单位名录并向社会公布。重点排污单位应当按照国家和本省有关规定以及相关监测规范安装使用污染物排放自动监测设备，与生态环境主管部门的监控设备联网，保障自动监测设备正常运行，并向社会公开自动监测数据。</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违反本法规定，有下列行为之一的，由县级以上人民政府生态环境主管部门责令改正，处二万元以上二十万元以下的罚款；拒不改正的，责令停产整治：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（四）重点排污单位不公开或者不如实公开自动监测数据的；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第七十二条</w:t>
            </w:r>
            <w:r>
              <w:rPr>
                <w:rFonts w:hint="eastAsia" w:ascii="仿宋_GB2312" w:hAnsi="仿宋_GB2312" w:eastAsia="仿宋_GB2312" w:cs="仿宋_GB2312"/>
                <w:sz w:val="24"/>
              </w:rPr>
              <w:t xml:space="preserve"> 违反本条例规定，重点排污单位有下列行为之一的，由生态环境主管部门责令改正，处二万元以上二十万元以下的罚款；拒不改正的，责令停产整治：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（四）未按照规定向社会公开自动监测数据的。</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5.</w:t>
            </w:r>
            <w:r>
              <w:rPr>
                <w:rFonts w:hint="eastAsia" w:ascii="仿宋_GB2312" w:hAnsi="仿宋_GB2312" w:eastAsia="仿宋_GB2312" w:cs="仿宋_GB2312"/>
                <w:b/>
                <w:bCs/>
                <w:sz w:val="24"/>
                <w:szCs w:val="32"/>
              </w:rPr>
              <w:t>《河北省大气污染防治条例》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第七十九条</w:t>
            </w:r>
            <w:r>
              <w:rPr>
                <w:rFonts w:hint="eastAsia" w:ascii="仿宋_GB2312" w:hAnsi="仿宋_GB2312" w:eastAsia="仿宋_GB2312" w:cs="仿宋_GB2312"/>
                <w:sz w:val="24"/>
                <w:szCs w:val="32"/>
              </w:rPr>
              <w:t xml:space="preserve">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（二）</w:t>
            </w:r>
            <w:r>
              <w:rPr>
                <w:rFonts w:hint="eastAsia" w:ascii="仿宋_GB2312" w:hAnsi="仿宋_GB2312" w:eastAsia="仿宋_GB2312" w:cs="仿宋_GB2312"/>
                <w:sz w:val="24"/>
                <w:szCs w:val="32"/>
              </w:rPr>
              <w:t>重点排污单位自动监测数据不公开或者篡改、伪造数据的；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6.</w:t>
            </w:r>
            <w:r>
              <w:rPr>
                <w:rFonts w:hint="eastAsia" w:ascii="仿宋_GB2312" w:hAnsi="仿宋_GB2312" w:eastAsia="仿宋_GB2312" w:cs="仿宋_GB2312"/>
                <w:b/>
                <w:bCs/>
                <w:sz w:val="24"/>
                <w:szCs w:val="32"/>
              </w:rPr>
              <w:t>《河北省扬尘污染防治办法》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第四十三条</w:t>
            </w:r>
            <w:r>
              <w:rPr>
                <w:rFonts w:hint="eastAsia" w:ascii="仿宋_GB2312" w:hAnsi="仿宋_GB2312" w:eastAsia="仿宋_GB2312" w:cs="仿宋_GB2312"/>
                <w:sz w:val="24"/>
                <w:szCs w:val="32"/>
              </w:rPr>
              <w:t xml:space="preserve">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（三）未依法公开监测数据或者篡改、伪造监测数据的。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53"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2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2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重点排污单位不如实公开自动监测数据的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重点排污单位不公开自动监测数据的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26" w:type="dxa"/>
            <w:vMerge w:val="continue"/>
            <w:tcBorders>
              <w:left w:val="single" w:color="auto" w:sz="4" w:space="0"/>
            </w:tcBorders>
            <w:noWrap w:val="0"/>
            <w:vAlign w:val="center"/>
          </w:tcPr>
          <w:p>
            <w:pPr>
              <w:jc w:val="center"/>
            </w:pPr>
          </w:p>
        </w:tc>
        <w:tc>
          <w:tcPr>
            <w:tcW w:w="1029"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102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29"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2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102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26" w:type="dxa"/>
            <w:vMerge w:val="continue"/>
            <w:noWrap w:val="0"/>
            <w:vAlign w:val="center"/>
          </w:tcPr>
          <w:p>
            <w:pPr>
              <w:jc w:val="center"/>
              <w:rPr>
                <w:rFonts w:hint="eastAsia" w:ascii="仿宋_GB2312" w:hAnsi="仿宋_GB2312" w:eastAsia="仿宋_GB2312" w:cs="仿宋_GB2312"/>
                <w:sz w:val="24"/>
                <w:szCs w:val="32"/>
              </w:rPr>
            </w:pPr>
          </w:p>
        </w:tc>
        <w:tc>
          <w:tcPr>
            <w:tcW w:w="1029"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9105" w:type="dxa"/>
        <w:tblInd w:w="0" w:type="dxa"/>
        <w:tblLayout w:type="fixed"/>
        <w:tblCellMar>
          <w:top w:w="15" w:type="dxa"/>
          <w:left w:w="15" w:type="dxa"/>
          <w:bottom w:w="15" w:type="dxa"/>
          <w:right w:w="15" w:type="dxa"/>
        </w:tblCellMar>
      </w:tblPr>
      <w:tblGrid>
        <w:gridCol w:w="1211"/>
        <w:gridCol w:w="1826"/>
        <w:gridCol w:w="65"/>
        <w:gridCol w:w="964"/>
        <w:gridCol w:w="3300"/>
        <w:gridCol w:w="86"/>
        <w:gridCol w:w="1639"/>
        <w:gridCol w:w="14"/>
      </w:tblGrid>
      <w:tr>
        <w:tblPrEx>
          <w:tblCellMar>
            <w:top w:w="15" w:type="dxa"/>
            <w:left w:w="15" w:type="dxa"/>
            <w:bottom w:w="15" w:type="dxa"/>
            <w:right w:w="15" w:type="dxa"/>
          </w:tblCellMar>
        </w:tblPrEx>
        <w:trPr>
          <w:trHeight w:val="681" w:hRule="atLeast"/>
        </w:trPr>
        <w:tc>
          <w:tcPr>
            <w:tcW w:w="910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37</w:t>
            </w:r>
          </w:p>
        </w:tc>
      </w:tr>
      <w:tr>
        <w:tblPrEx>
          <w:tblCellMar>
            <w:top w:w="15" w:type="dxa"/>
            <w:left w:w="15" w:type="dxa"/>
            <w:bottom w:w="15" w:type="dxa"/>
            <w:right w:w="15" w:type="dxa"/>
          </w:tblCellMar>
        </w:tblPrEx>
        <w:trPr>
          <w:trHeight w:val="526"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未按照规定设置大气污染物排放口的</w:t>
            </w:r>
          </w:p>
        </w:tc>
      </w:tr>
      <w:tr>
        <w:tblPrEx>
          <w:tblCellMar>
            <w:top w:w="15" w:type="dxa"/>
            <w:left w:w="15" w:type="dxa"/>
            <w:bottom w:w="15" w:type="dxa"/>
            <w:right w:w="15" w:type="dxa"/>
          </w:tblCellMar>
        </w:tblPrEx>
        <w:trPr>
          <w:trHeight w:val="4586"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企业事业单位和其他生产经营者向大气排放污染物的，应当依照法律法规和国务院环境保护主管部门的规定设置大气污染物排放口。</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违反本法规定，有下列行为之一的，由县级以上人民政府生态环境主管部门责令改正，处二万元以上二十万元以下的罚款；拒不改正的，责令停产整治：</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（五）未按照规定设置大气污染物排放口的。</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第七十九条</w:t>
            </w:r>
            <w:r>
              <w:rPr>
                <w:rFonts w:hint="eastAsia" w:ascii="仿宋_GB2312" w:hAnsi="仿宋_GB2312" w:eastAsia="仿宋_GB2312" w:cs="仿宋_GB2312"/>
                <w:sz w:val="24"/>
                <w:szCs w:val="32"/>
              </w:rPr>
              <w:t xml:space="preserve">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（四）未按照规定设置大气污染物排放口的。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2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2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0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3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02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300"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建设项目调试生产期间，未按规定设置大气污染排放口的    </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gridSpan w:val="2"/>
            <w:vMerge w:val="continue"/>
            <w:noWrap w:val="0"/>
            <w:vAlign w:val="center"/>
          </w:tcPr>
          <w:p>
            <w:pPr>
              <w:jc w:val="center"/>
              <w:rPr>
                <w:rFonts w:hint="eastAsia" w:ascii="仿宋_GB2312" w:hAnsi="仿宋_GB2312" w:eastAsia="仿宋_GB2312" w:cs="仿宋_GB2312"/>
                <w:sz w:val="24"/>
              </w:rPr>
            </w:pPr>
          </w:p>
        </w:tc>
        <w:tc>
          <w:tcPr>
            <w:tcW w:w="3300"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已投入生产，未按规定设置大气污染排放口的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gridSpan w:val="2"/>
            <w:vMerge w:val="continue"/>
            <w:noWrap w:val="0"/>
            <w:vAlign w:val="center"/>
          </w:tcPr>
          <w:p>
            <w:pPr>
              <w:jc w:val="center"/>
              <w:rPr>
                <w:rFonts w:hint="eastAsia" w:ascii="仿宋_GB2312" w:hAnsi="仿宋_GB2312" w:eastAsia="仿宋_GB2312" w:cs="仿宋_GB2312"/>
                <w:sz w:val="24"/>
              </w:rPr>
            </w:pPr>
          </w:p>
        </w:tc>
        <w:tc>
          <w:tcPr>
            <w:tcW w:w="3300"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排放有毒有害大气污染物，未按规定设置大气污染排放口的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2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29" w:type="dxa"/>
            <w:gridSpan w:val="2"/>
            <w:vMerge w:val="continue"/>
            <w:noWrap w:val="0"/>
            <w:vAlign w:val="center"/>
          </w:tcPr>
          <w:p>
            <w:pPr>
              <w:jc w:val="center"/>
              <w:rPr>
                <w:rFonts w:hint="eastAsia" w:ascii="仿宋_GB2312" w:hAnsi="仿宋_GB2312" w:eastAsia="仿宋_GB2312" w:cs="仿宋_GB2312"/>
                <w:sz w:val="24"/>
              </w:rPr>
            </w:pP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26" w:type="dxa"/>
            <w:vMerge w:val="continue"/>
            <w:tcBorders>
              <w:left w:val="single" w:color="auto" w:sz="4" w:space="0"/>
            </w:tcBorders>
            <w:noWrap w:val="0"/>
            <w:vAlign w:val="center"/>
          </w:tcPr>
          <w:p>
            <w:pPr>
              <w:jc w:val="center"/>
              <w:rPr>
                <w:sz w:val="24"/>
              </w:rPr>
            </w:pPr>
          </w:p>
        </w:tc>
        <w:tc>
          <w:tcPr>
            <w:tcW w:w="1029" w:type="dxa"/>
            <w:gridSpan w:val="2"/>
            <w:vMerge w:val="continue"/>
            <w:noWrap w:val="0"/>
            <w:vAlign w:val="center"/>
          </w:tcPr>
          <w:p>
            <w:pPr>
              <w:jc w:val="center"/>
              <w:rPr>
                <w:sz w:val="24"/>
              </w:rPr>
            </w:pP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29" w:type="dxa"/>
            <w:gridSpan w:val="2"/>
            <w:vMerge w:val="continue"/>
            <w:noWrap w:val="0"/>
            <w:vAlign w:val="center"/>
          </w:tcPr>
          <w:p>
            <w:pPr>
              <w:jc w:val="center"/>
              <w:rPr>
                <w:rFonts w:hint="eastAsia" w:ascii="仿宋_GB2312" w:hAnsi="仿宋_GB2312" w:eastAsia="仿宋_GB2312" w:cs="仿宋_GB2312"/>
                <w:sz w:val="24"/>
              </w:rPr>
            </w:pP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2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gridSpan w:val="2"/>
            <w:vMerge w:val="continue"/>
            <w:noWrap w:val="0"/>
            <w:vAlign w:val="center"/>
          </w:tcPr>
          <w:p>
            <w:pPr>
              <w:jc w:val="center"/>
              <w:rPr>
                <w:rFonts w:hint="eastAsia" w:ascii="仿宋_GB2312" w:hAnsi="仿宋_GB2312" w:eastAsia="仿宋_GB2312" w:cs="仿宋_GB2312"/>
                <w:sz w:val="24"/>
              </w:rPr>
            </w:pP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gridSpan w:val="2"/>
            <w:vMerge w:val="continue"/>
            <w:noWrap w:val="0"/>
            <w:vAlign w:val="center"/>
          </w:tcPr>
          <w:p>
            <w:pPr>
              <w:jc w:val="center"/>
              <w:rPr>
                <w:rFonts w:hint="eastAsia" w:ascii="仿宋_GB2312" w:hAnsi="仿宋_GB2312" w:eastAsia="仿宋_GB2312" w:cs="仿宋_GB2312"/>
                <w:sz w:val="24"/>
              </w:rPr>
            </w:pP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2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0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3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29" w:type="dxa"/>
            <w:gridSpan w:val="2"/>
            <w:vMerge w:val="continue"/>
            <w:noWrap w:val="0"/>
            <w:vAlign w:val="center"/>
          </w:tcPr>
          <w:p>
            <w:pPr>
              <w:jc w:val="center"/>
              <w:rPr>
                <w:rFonts w:hint="eastAsia" w:ascii="仿宋_GB2312" w:hAnsi="仿宋_GB2312" w:eastAsia="仿宋_GB2312" w:cs="仿宋_GB2312"/>
                <w:sz w:val="24"/>
                <w:szCs w:val="32"/>
              </w:rPr>
            </w:pPr>
          </w:p>
        </w:tc>
        <w:tc>
          <w:tcPr>
            <w:tcW w:w="330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3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2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1029"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0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3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26" w:type="dxa"/>
            <w:vMerge w:val="continue"/>
            <w:noWrap w:val="0"/>
            <w:vAlign w:val="center"/>
          </w:tcPr>
          <w:p>
            <w:pPr>
              <w:jc w:val="center"/>
              <w:rPr>
                <w:rFonts w:hint="eastAsia" w:ascii="仿宋_GB2312" w:hAnsi="仿宋_GB2312" w:eastAsia="仿宋_GB2312" w:cs="仿宋_GB2312"/>
                <w:sz w:val="24"/>
                <w:szCs w:val="32"/>
              </w:rPr>
            </w:pPr>
          </w:p>
        </w:tc>
        <w:tc>
          <w:tcPr>
            <w:tcW w:w="1029" w:type="dxa"/>
            <w:gridSpan w:val="2"/>
            <w:vMerge w:val="continue"/>
            <w:noWrap w:val="0"/>
            <w:vAlign w:val="center"/>
          </w:tcPr>
          <w:p>
            <w:pPr>
              <w:rPr>
                <w:rFonts w:hint="eastAsia" w:ascii="仿宋_GB2312" w:hAnsi="仿宋_GB2312" w:eastAsia="仿宋_GB2312" w:cs="仿宋_GB2312"/>
                <w:sz w:val="24"/>
                <w:szCs w:val="32"/>
              </w:rPr>
            </w:pPr>
          </w:p>
        </w:tc>
        <w:tc>
          <w:tcPr>
            <w:tcW w:w="330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39"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gridAfter w:val="1"/>
          <w:wAfter w:w="14" w:type="dxa"/>
          <w:trHeight w:val="681" w:hRule="atLeast"/>
        </w:trPr>
        <w:tc>
          <w:tcPr>
            <w:tcW w:w="909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gridAfter w:val="1"/>
          <w:wAfter w:w="14" w:type="dxa"/>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38</w:t>
            </w:r>
          </w:p>
        </w:tc>
      </w:tr>
      <w:tr>
        <w:tblPrEx>
          <w:tblCellMar>
            <w:top w:w="15" w:type="dxa"/>
            <w:left w:w="15" w:type="dxa"/>
            <w:bottom w:w="15" w:type="dxa"/>
            <w:right w:w="15" w:type="dxa"/>
          </w:tblCellMar>
        </w:tblPrEx>
        <w:trPr>
          <w:gridAfter w:val="1"/>
          <w:wAfter w:w="14" w:type="dxa"/>
          <w:trHeight w:val="54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单位燃用不符合质量标准的煤炭、石油焦的</w:t>
            </w:r>
          </w:p>
        </w:tc>
      </w:tr>
      <w:tr>
        <w:tblPrEx>
          <w:tblCellMar>
            <w:top w:w="15" w:type="dxa"/>
            <w:left w:w="15" w:type="dxa"/>
            <w:bottom w:w="15" w:type="dxa"/>
            <w:right w:w="15" w:type="dxa"/>
          </w:tblCellMar>
        </w:tblPrEx>
        <w:trPr>
          <w:gridAfter w:val="1"/>
          <w:wAfter w:w="14" w:type="dxa"/>
          <w:trHeight w:val="3365"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宋体" w:eastAsia="仿宋_GB2312" w:cs="仿宋_GB2312"/>
                <w:b/>
                <w:kern w:val="0"/>
                <w:sz w:val="28"/>
                <w:szCs w:val="28"/>
              </w:rPr>
              <w:t>处罚依据</w:t>
            </w:r>
          </w:p>
        </w:tc>
        <w:tc>
          <w:tcPr>
            <w:tcW w:w="7880" w:type="dxa"/>
            <w:gridSpan w:val="6"/>
            <w:tcBorders>
              <w:top w:val="single" w:color="000000" w:sz="4" w:space="0"/>
              <w:left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第三十五条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国家禁止进口、销售和燃用不符合质量标准的煤炭，鼓励燃用优质煤炭。</w:t>
            </w:r>
          </w:p>
          <w:p>
            <w:pPr>
              <w:jc w:val="left"/>
              <w:rPr>
                <w:rFonts w:hint="eastAsia" w:ascii="仿宋_GB2312" w:hAnsi="仿宋_GB2312" w:eastAsia="仿宋_GB2312" w:cs="仿宋_GB2312"/>
                <w:sz w:val="24"/>
                <w:szCs w:val="32"/>
              </w:rPr>
            </w:pPr>
          </w:p>
          <w:p>
            <w:pPr>
              <w:ind w:left="482" w:hanging="482" w:hangingChars="20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第三十七条 </w:t>
            </w:r>
            <w:r>
              <w:rPr>
                <w:rFonts w:hint="eastAsia" w:ascii="仿宋_GB2312" w:hAnsi="仿宋_GB2312" w:eastAsia="仿宋_GB2312" w:cs="仿宋_GB2312"/>
                <w:sz w:val="24"/>
                <w:szCs w:val="32"/>
              </w:rPr>
              <w:t>石油炼制企业应当按照燃油质量标准生产燃油。</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禁止进口、销售和燃用不符合质量标准的石油焦。</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第一百零五条 </w:t>
            </w:r>
            <w:r>
              <w:rPr>
                <w:rFonts w:hint="eastAsia" w:ascii="仿宋_GB2312" w:hAnsi="仿宋_GB2312" w:eastAsia="仿宋_GB2312" w:cs="仿宋_GB2312"/>
                <w:sz w:val="24"/>
                <w:szCs w:val="32"/>
              </w:rPr>
              <w:t>违反本法规定，单位燃用不符合质量标准的煤炭、石油焦的，由县级以上人民政府生态环境主管部门责令改正，处货值金额一倍以上三倍以下的罚款。</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第八十一条</w:t>
            </w:r>
            <w:r>
              <w:rPr>
                <w:rFonts w:hint="eastAsia" w:ascii="仿宋_GB2312" w:hAnsi="仿宋_GB2312" w:eastAsia="仿宋_GB2312" w:cs="仿宋_GB2312"/>
                <w:sz w:val="24"/>
                <w:szCs w:val="32"/>
              </w:rPr>
              <w:t xml:space="preserve"> 违反本条例规定，单位燃用不符合质量标准的煤炭的，由县级以上人民政府环境保护主管部门责令改正，处货值金额一倍以上三倍以下的罚款。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09"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1"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8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3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7"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对环境影响程度</w:t>
            </w:r>
          </w:p>
        </w:tc>
        <w:tc>
          <w:tcPr>
            <w:tcW w:w="1891" w:type="dxa"/>
            <w:gridSpan w:val="2"/>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96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386" w:type="dxa"/>
            <w:gridSpan w:val="2"/>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煤质或石油焦超标0.5倍以内的</w:t>
            </w:r>
          </w:p>
        </w:tc>
        <w:tc>
          <w:tcPr>
            <w:tcW w:w="1639" w:type="dxa"/>
            <w:noWrap w:val="0"/>
            <w:vAlign w:val="center"/>
          </w:tcPr>
          <w:p>
            <w:pPr>
              <w:tabs>
                <w:tab w:val="left" w:pos="300"/>
              </w:tabs>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0"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91" w:type="dxa"/>
            <w:gridSpan w:val="2"/>
            <w:vMerge w:val="continue"/>
            <w:noWrap w:val="0"/>
            <w:vAlign w:val="center"/>
          </w:tcPr>
          <w:p>
            <w:pPr>
              <w:jc w:val="center"/>
              <w:rPr>
                <w:rFonts w:hint="eastAsia" w:ascii="仿宋_GB2312" w:hAnsi="仿宋_GB2312" w:eastAsia="仿宋_GB2312" w:cs="仿宋_GB2312"/>
                <w:b/>
                <w:bCs/>
                <w:sz w:val="24"/>
              </w:rPr>
            </w:pPr>
          </w:p>
        </w:tc>
        <w:tc>
          <w:tcPr>
            <w:tcW w:w="964" w:type="dxa"/>
            <w:vMerge w:val="continue"/>
            <w:noWrap w:val="0"/>
            <w:vAlign w:val="center"/>
          </w:tcPr>
          <w:p>
            <w:pPr>
              <w:jc w:val="center"/>
              <w:rPr>
                <w:rFonts w:hint="eastAsia" w:ascii="仿宋_GB2312" w:hAnsi="仿宋_GB2312" w:eastAsia="仿宋_GB2312" w:cs="仿宋_GB2312"/>
                <w:b/>
                <w:bCs/>
                <w:sz w:val="24"/>
              </w:rPr>
            </w:pPr>
          </w:p>
        </w:tc>
        <w:tc>
          <w:tcPr>
            <w:tcW w:w="3386" w:type="dxa"/>
            <w:gridSpan w:val="2"/>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煤质或石油焦超标0.5倍以上1倍以下的</w:t>
            </w:r>
          </w:p>
        </w:tc>
        <w:tc>
          <w:tcPr>
            <w:tcW w:w="163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91" w:type="dxa"/>
            <w:gridSpan w:val="2"/>
            <w:vMerge w:val="continue"/>
            <w:noWrap w:val="0"/>
            <w:vAlign w:val="center"/>
          </w:tcPr>
          <w:p>
            <w:pPr>
              <w:jc w:val="center"/>
              <w:rPr>
                <w:rFonts w:hint="eastAsia" w:ascii="仿宋_GB2312" w:hAnsi="仿宋_GB2312" w:eastAsia="仿宋_GB2312" w:cs="仿宋_GB2312"/>
                <w:b/>
                <w:bCs/>
                <w:sz w:val="24"/>
              </w:rPr>
            </w:pPr>
          </w:p>
        </w:tc>
        <w:tc>
          <w:tcPr>
            <w:tcW w:w="964" w:type="dxa"/>
            <w:vMerge w:val="continue"/>
            <w:noWrap w:val="0"/>
            <w:vAlign w:val="center"/>
          </w:tcPr>
          <w:p>
            <w:pPr>
              <w:jc w:val="center"/>
              <w:rPr>
                <w:rFonts w:hint="eastAsia" w:ascii="仿宋_GB2312" w:hAnsi="仿宋_GB2312" w:eastAsia="仿宋_GB2312" w:cs="仿宋_GB2312"/>
                <w:b/>
                <w:bCs/>
                <w:sz w:val="24"/>
              </w:rPr>
            </w:pP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煤质或石油焦超标1倍以上的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1"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211" w:type="dxa"/>
            <w:vMerge w:val="continue"/>
            <w:tcBorders>
              <w:right w:val="single" w:color="auto" w:sz="4" w:space="0"/>
            </w:tcBorders>
            <w:noWrap w:val="0"/>
            <w:vAlign w:val="center"/>
          </w:tcPr>
          <w:p>
            <w:pPr>
              <w:jc w:val="left"/>
            </w:pPr>
          </w:p>
        </w:tc>
        <w:tc>
          <w:tcPr>
            <w:tcW w:w="1891" w:type="dxa"/>
            <w:gridSpan w:val="2"/>
            <w:vMerge w:val="continue"/>
            <w:tcBorders>
              <w:left w:val="single" w:color="auto" w:sz="4" w:space="0"/>
            </w:tcBorders>
            <w:noWrap w:val="0"/>
            <w:vAlign w:val="center"/>
          </w:tcPr>
          <w:p>
            <w:pPr>
              <w:jc w:val="center"/>
              <w:rPr>
                <w:sz w:val="24"/>
              </w:rPr>
            </w:pPr>
          </w:p>
        </w:tc>
        <w:tc>
          <w:tcPr>
            <w:tcW w:w="964" w:type="dxa"/>
            <w:vMerge w:val="continue"/>
            <w:noWrap w:val="0"/>
            <w:vAlign w:val="center"/>
          </w:tcPr>
          <w:p>
            <w:pPr>
              <w:jc w:val="center"/>
              <w:rPr>
                <w:sz w:val="24"/>
              </w:rPr>
            </w:pP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1"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1"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1"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82"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1"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破坏</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86"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91" w:type="dxa"/>
            <w:gridSpan w:val="2"/>
            <w:vMerge w:val="continue"/>
            <w:noWrap w:val="0"/>
            <w:vAlign w:val="center"/>
          </w:tcPr>
          <w:p>
            <w:pPr>
              <w:jc w:val="center"/>
              <w:rPr>
                <w:rFonts w:hint="eastAsia" w:ascii="仿宋_GB2312" w:hAnsi="仿宋_GB2312" w:eastAsia="仿宋_GB2312" w:cs="仿宋_GB2312"/>
                <w:sz w:val="24"/>
                <w:szCs w:val="32"/>
              </w:rPr>
            </w:pPr>
          </w:p>
        </w:tc>
        <w:tc>
          <w:tcPr>
            <w:tcW w:w="964" w:type="dxa"/>
            <w:vMerge w:val="continue"/>
            <w:noWrap w:val="0"/>
            <w:vAlign w:val="center"/>
          </w:tcPr>
          <w:p>
            <w:pPr>
              <w:rPr>
                <w:rFonts w:hint="eastAsia" w:ascii="仿宋_GB2312" w:hAnsi="仿宋_GB2312" w:eastAsia="仿宋_GB2312" w:cs="仿宋_GB2312"/>
                <w:sz w:val="24"/>
                <w:szCs w:val="32"/>
              </w:rPr>
            </w:pPr>
          </w:p>
        </w:tc>
        <w:tc>
          <w:tcPr>
            <w:tcW w:w="3386"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3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tbl>
      <w:tblPr>
        <w:tblStyle w:val="9"/>
        <w:tblW w:w="9119" w:type="dxa"/>
        <w:tblInd w:w="0" w:type="dxa"/>
        <w:tblLayout w:type="fixed"/>
        <w:tblCellMar>
          <w:top w:w="15" w:type="dxa"/>
          <w:left w:w="15" w:type="dxa"/>
          <w:bottom w:w="15" w:type="dxa"/>
          <w:right w:w="15" w:type="dxa"/>
        </w:tblCellMar>
      </w:tblPr>
      <w:tblGrid>
        <w:gridCol w:w="1211"/>
        <w:gridCol w:w="1826"/>
        <w:gridCol w:w="954"/>
        <w:gridCol w:w="3418"/>
        <w:gridCol w:w="1710"/>
      </w:tblGrid>
      <w:tr>
        <w:tblPrEx>
          <w:tblCellMar>
            <w:top w:w="15" w:type="dxa"/>
            <w:left w:w="15" w:type="dxa"/>
            <w:bottom w:w="15" w:type="dxa"/>
            <w:right w:w="15" w:type="dxa"/>
          </w:tblCellMar>
        </w:tblPrEx>
        <w:trPr>
          <w:trHeight w:val="681" w:hRule="atLeast"/>
        </w:trPr>
        <w:tc>
          <w:tcPr>
            <w:tcW w:w="911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90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39</w:t>
            </w:r>
          </w:p>
        </w:tc>
      </w:tr>
      <w:tr>
        <w:tblPrEx>
          <w:tblCellMar>
            <w:top w:w="15" w:type="dxa"/>
            <w:left w:w="15" w:type="dxa"/>
            <w:bottom w:w="15" w:type="dxa"/>
            <w:right w:w="15" w:type="dxa"/>
          </w:tblCellMar>
        </w:tblPrEx>
        <w:trPr>
          <w:trHeight w:val="98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9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禁燃区内新建、扩建燃用高污染燃料的设施，或者未按照规定停止燃用高污染燃料，或者在城市集中供热管网覆盖地区新建、扩建分散燃煤供热锅炉，或者未按照规定拆除已建成的不能达标排放的燃煤供热锅炉的</w:t>
            </w:r>
          </w:p>
        </w:tc>
      </w:tr>
      <w:tr>
        <w:tblPrEx>
          <w:tblCellMar>
            <w:top w:w="15" w:type="dxa"/>
            <w:left w:w="15" w:type="dxa"/>
            <w:bottom w:w="15" w:type="dxa"/>
            <w:right w:w="15" w:type="dxa"/>
          </w:tblCellMar>
        </w:tblPrEx>
        <w:trPr>
          <w:trHeight w:val="3893"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9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第三十八条</w:t>
            </w:r>
            <w:r>
              <w:rPr>
                <w:rFonts w:hint="eastAsia" w:ascii="仿宋_GB2312" w:hAnsi="仿宋_GB2312" w:eastAsia="仿宋_GB2312" w:cs="仿宋_GB2312"/>
                <w:sz w:val="24"/>
                <w:szCs w:val="32"/>
              </w:rPr>
              <w:t xml:space="preserve"> 城市人民政府可以划定并公布高污染燃料禁燃区，并根据大气环境质量改善要求，逐步扩大高污染燃料禁燃区范围。高污染燃料的目录由国务院生态环境主管部门确定。</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在禁燃区内，禁止销售、燃用高污染燃料；禁止新建、扩建燃用高污染燃料的设施，已建成的，应当在城市人民政府规定的期限内改用天然气、页岩气、液化石油气、电或者其他清洁能源。</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第一百零七条</w:t>
            </w:r>
            <w:r>
              <w:rPr>
                <w:rFonts w:hint="eastAsia" w:ascii="仿宋_GB2312" w:hAnsi="仿宋_GB2312" w:eastAsia="仿宋_GB2312" w:cs="仿宋_GB2312"/>
                <w:sz w:val="24"/>
                <w:szCs w:val="32"/>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99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128"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2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5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1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1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95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在禁燃区内新建、扩建燃用高污染燃料的设施或者在城市集中供热管网覆盖地区新建、扩建分散燃煤供热锅炉，未投入使用的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在禁燃区内新建、扩建燃用高污染燃料的设施或者在城市集中供热管网覆盖地区新建、扩建分散燃煤供热锅炉，投入使用的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未按照规定停止燃用高污染燃料的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未按照规定拆除已建成的不能达标排放的燃煤供热锅炉的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5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26" w:type="dxa"/>
            <w:vMerge w:val="continue"/>
            <w:tcBorders>
              <w:left w:val="single" w:color="auto" w:sz="4" w:space="0"/>
            </w:tcBorders>
            <w:noWrap w:val="0"/>
            <w:vAlign w:val="center"/>
          </w:tcPr>
          <w:p>
            <w:pPr>
              <w:jc w:val="center"/>
              <w:rPr>
                <w:sz w:val="24"/>
              </w:rPr>
            </w:pPr>
          </w:p>
        </w:tc>
        <w:tc>
          <w:tcPr>
            <w:tcW w:w="954" w:type="dxa"/>
            <w:vMerge w:val="continue"/>
            <w:noWrap w:val="0"/>
            <w:vAlign w:val="center"/>
          </w:tcPr>
          <w:p>
            <w:pPr>
              <w:jc w:val="center"/>
              <w:rPr>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5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5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2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95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26" w:type="dxa"/>
            <w:vMerge w:val="continue"/>
            <w:noWrap w:val="0"/>
            <w:vAlign w:val="center"/>
          </w:tcPr>
          <w:p>
            <w:pPr>
              <w:jc w:val="center"/>
              <w:rPr>
                <w:rFonts w:hint="eastAsia" w:ascii="仿宋_GB2312" w:hAnsi="仿宋_GB2312" w:eastAsia="仿宋_GB2312" w:cs="仿宋_GB2312"/>
                <w:sz w:val="24"/>
              </w:rPr>
            </w:pPr>
          </w:p>
        </w:tc>
        <w:tc>
          <w:tcPr>
            <w:tcW w:w="954" w:type="dxa"/>
            <w:vMerge w:val="continue"/>
            <w:noWrap w:val="0"/>
            <w:vAlign w:val="center"/>
          </w:tcPr>
          <w:p>
            <w:pPr>
              <w:rPr>
                <w:rFonts w:hint="eastAsia" w:ascii="仿宋_GB2312" w:hAnsi="仿宋_GB2312" w:eastAsia="仿宋_GB2312" w:cs="仿宋_GB2312"/>
                <w:sz w:val="24"/>
              </w:rPr>
            </w:pPr>
          </w:p>
        </w:tc>
        <w:tc>
          <w:tcPr>
            <w:tcW w:w="3418"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211"/>
        <w:gridCol w:w="1880"/>
        <w:gridCol w:w="975"/>
        <w:gridCol w:w="3203"/>
        <w:gridCol w:w="1822"/>
      </w:tblGrid>
      <w:tr>
        <w:tblPrEx>
          <w:tblCellMar>
            <w:top w:w="15" w:type="dxa"/>
            <w:left w:w="15" w:type="dxa"/>
            <w:bottom w:w="15" w:type="dxa"/>
            <w:right w:w="15" w:type="dxa"/>
          </w:tblCellMar>
        </w:tblPrEx>
        <w:trPr>
          <w:wBefore w:w="0" w:type="auto"/>
          <w:wAfter w:w="0" w:type="auto"/>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wBefore w:w="0" w:type="auto"/>
          <w:wAfter w:w="0" w:type="auto"/>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40</w:t>
            </w:r>
          </w:p>
        </w:tc>
      </w:tr>
      <w:tr>
        <w:tblPrEx>
          <w:tblCellMar>
            <w:top w:w="15" w:type="dxa"/>
            <w:left w:w="15" w:type="dxa"/>
            <w:bottom w:w="15" w:type="dxa"/>
            <w:right w:w="15" w:type="dxa"/>
          </w:tblCellMar>
        </w:tblPrEx>
        <w:trPr>
          <w:wBefore w:w="0" w:type="auto"/>
          <w:wAfter w:w="0" w:type="auto"/>
          <w:trHeight w:val="705"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产生含挥发性有机物废气的生产和服务活动，未在密闭空间或者设备中进行，未按照规定安装、使用污染防治设施，或者未采取减少废气排放措施的</w:t>
            </w:r>
          </w:p>
        </w:tc>
      </w:tr>
      <w:tr>
        <w:tblPrEx>
          <w:tblCellMar>
            <w:top w:w="15" w:type="dxa"/>
            <w:left w:w="15" w:type="dxa"/>
            <w:bottom w:w="15" w:type="dxa"/>
            <w:right w:w="15" w:type="dxa"/>
          </w:tblCellMar>
        </w:tblPrEx>
        <w:trPr>
          <w:wBefore w:w="0" w:type="auto"/>
          <w:wAfter w:w="0" w:type="auto"/>
          <w:trHeight w:val="278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第四十五条</w:t>
            </w:r>
            <w:r>
              <w:rPr>
                <w:rFonts w:hint="eastAsia" w:ascii="仿宋_GB2312" w:hAnsi="仿宋_GB2312" w:eastAsia="仿宋_GB2312" w:cs="仿宋_GB2312"/>
                <w:sz w:val="24"/>
                <w:szCs w:val="32"/>
              </w:rPr>
              <w:t xml:space="preserve"> 产生含挥发性有机物废气的生产和服务活动，应当在密闭空间或者设备中进行，并按照规定安装、使用污染防治设施；无法密闭的，应当采取措施减少废气排放。</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第一百零八条</w:t>
            </w:r>
            <w:r>
              <w:rPr>
                <w:rFonts w:hint="eastAsia" w:ascii="仿宋_GB2312" w:hAnsi="仿宋_GB2312" w:eastAsia="仿宋_GB2312" w:cs="仿宋_GB2312"/>
                <w:sz w:val="24"/>
                <w:szCs w:val="32"/>
              </w:rPr>
              <w:t xml:space="preserve"> 违反本法规定，有下列行为之一的，由县级以上人民政府生态环境主管部门责令改正，处二万元以上二十万元以下的罚款；拒不改正的，责令停产整治：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（一）产生含挥发性有机物废气的生产和服务活动，未在密闭空间或者设备中进行，未按照规定安装、使用污染防治设施，或者未采取减少废气排放措施的；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第八十三条</w:t>
            </w:r>
            <w:r>
              <w:rPr>
                <w:rFonts w:hint="eastAsia" w:ascii="仿宋_GB2312" w:hAnsi="仿宋_GB2312" w:eastAsia="仿宋_GB2312" w:cs="仿宋_GB2312"/>
                <w:sz w:val="24"/>
                <w:szCs w:val="32"/>
              </w:rPr>
              <w:t xml:space="preserve">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（一）产生含挥发性有机物废气的生产和服务活动，未在密闭空间或者设备中进行，未按照规定安装、使用污染防治设施，或者未采取减少废气排放措施的；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.《河北省生态环境保护条例》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第七十条</w:t>
            </w:r>
            <w:r>
              <w:rPr>
                <w:rFonts w:hint="eastAsia" w:ascii="仿宋_GB2312" w:hAnsi="仿宋_GB2312" w:eastAsia="仿宋_GB2312" w:cs="仿宋_GB2312"/>
                <w:sz w:val="24"/>
                <w:szCs w:val="32"/>
              </w:rPr>
              <w:t xml:space="preserve"> 违反本条例规定，企业事业单位和其他生产经营者有下列行为之一的，受到罚款处罚，被责令改正拒不改正的，依法作出处罚决定的行政主管部门可以自责令改正之日的次日起，按照原处罚数额按日连续处罚：</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（三）未按照国家和本省的要求建设、安装、使用防治污染设施直接排放污染物的；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7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已在密闭空间或者设备中进行，以及已采取减少废气排放措施，但污染防治设施不能达到治理效果的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已按照规定安装、使用污染防治设施，未在密闭空间或者设备中进行或者未采取减少废气排放措施的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已在密闭空间或者设备中进行，但未按照规定安装、使用污染防治设施的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未在密闭空间或者设备中进行且未按照规定安装、使用污染防治设施的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975"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szCs w:val="32"/>
              </w:rPr>
            </w:pPr>
          </w:p>
        </w:tc>
        <w:tc>
          <w:tcPr>
            <w:tcW w:w="975"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9105" w:type="dxa"/>
        <w:tblInd w:w="0" w:type="dxa"/>
        <w:tblLayout w:type="fixed"/>
        <w:tblCellMar>
          <w:top w:w="15" w:type="dxa"/>
          <w:left w:w="15" w:type="dxa"/>
          <w:bottom w:w="15" w:type="dxa"/>
          <w:right w:w="15" w:type="dxa"/>
        </w:tblCellMar>
      </w:tblPr>
      <w:tblGrid>
        <w:gridCol w:w="1211"/>
        <w:gridCol w:w="1762"/>
        <w:gridCol w:w="378"/>
        <w:gridCol w:w="715"/>
        <w:gridCol w:w="3203"/>
        <w:gridCol w:w="200"/>
        <w:gridCol w:w="1622"/>
        <w:gridCol w:w="14"/>
      </w:tblGrid>
      <w:tr>
        <w:tblPrEx>
          <w:tblCellMar>
            <w:top w:w="15" w:type="dxa"/>
            <w:left w:w="15" w:type="dxa"/>
            <w:bottom w:w="15" w:type="dxa"/>
            <w:right w:w="15" w:type="dxa"/>
          </w:tblCellMar>
        </w:tblPrEx>
        <w:trPr>
          <w:gridAfter w:val="1"/>
          <w:wAfter w:w="14" w:type="dxa"/>
          <w:trHeight w:val="681" w:hRule="atLeast"/>
        </w:trPr>
        <w:tc>
          <w:tcPr>
            <w:tcW w:w="909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gridAfter w:val="1"/>
          <w:wAfter w:w="14" w:type="dxa"/>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41</w:t>
            </w:r>
          </w:p>
        </w:tc>
      </w:tr>
      <w:tr>
        <w:tblPrEx>
          <w:tblCellMar>
            <w:top w:w="15" w:type="dxa"/>
            <w:left w:w="15" w:type="dxa"/>
            <w:bottom w:w="15" w:type="dxa"/>
            <w:right w:w="15" w:type="dxa"/>
          </w:tblCellMar>
        </w:tblPrEx>
        <w:trPr>
          <w:gridAfter w:val="1"/>
          <w:wAfter w:w="14" w:type="dxa"/>
          <w:trHeight w:val="50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工业涂装企业未使用低挥发性有机物含量涂料或者未建立、保存台账的</w:t>
            </w:r>
          </w:p>
        </w:tc>
      </w:tr>
      <w:tr>
        <w:tblPrEx>
          <w:tblCellMar>
            <w:top w:w="15" w:type="dxa"/>
            <w:left w:w="15" w:type="dxa"/>
            <w:bottom w:w="15" w:type="dxa"/>
            <w:right w:w="15" w:type="dxa"/>
          </w:tblCellMar>
        </w:tblPrEx>
        <w:trPr>
          <w:gridAfter w:val="1"/>
          <w:wAfter w:w="14" w:type="dxa"/>
          <w:trHeight w:val="4796"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第四十六条</w:t>
            </w:r>
            <w:r>
              <w:rPr>
                <w:rFonts w:hint="eastAsia" w:ascii="仿宋_GB2312" w:hAnsi="仿宋_GB2312" w:eastAsia="仿宋_GB2312" w:cs="仿宋_GB2312"/>
                <w:sz w:val="24"/>
                <w:szCs w:val="32"/>
              </w:rPr>
              <w:t xml:space="preserve"> 工业涂装企业应当使用低挥发性有机物含量的涂料，并建立台账，记录生产原料、辅料的使用量、废弃量、去向以及挥发性有机物含量。台账保存期限不得少于三年。</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第一百零八条</w:t>
            </w:r>
            <w:r>
              <w:rPr>
                <w:rFonts w:hint="eastAsia" w:ascii="仿宋_GB2312" w:hAnsi="仿宋_GB2312" w:eastAsia="仿宋_GB2312" w:cs="仿宋_GB2312"/>
                <w:sz w:val="24"/>
                <w:szCs w:val="32"/>
              </w:rPr>
              <w:t xml:space="preserve"> 违反本法规定，有下列行为之一的，由县级以上人民政府生态环境主管部门责令改正，处二万元以上二十万元以下的罚款；拒不改正的，责令停产整治：</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（二）工业涂装企业未使用低挥发性有机物含量涂料或者未建立、保存台账的；</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第八十三条</w:t>
            </w:r>
            <w:r>
              <w:rPr>
                <w:rFonts w:hint="eastAsia" w:ascii="仿宋_GB2312" w:hAnsi="仿宋_GB2312" w:eastAsia="仿宋_GB2312" w:cs="仿宋_GB2312"/>
                <w:sz w:val="24"/>
                <w:szCs w:val="32"/>
              </w:rPr>
              <w:t xml:space="preserve">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（四）工业涂装企业未使用低挥发性有机物含量涂料或者未建立、保存台账的；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14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1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0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14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15"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已使用低挥发性有机物含量涂料但未建立、保存台账的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1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14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15" w:type="dxa"/>
            <w:vMerge w:val="continue"/>
            <w:noWrap w:val="0"/>
            <w:vAlign w:val="center"/>
          </w:tcPr>
          <w:p>
            <w:pPr>
              <w:jc w:val="center"/>
              <w:rPr>
                <w:rFonts w:hint="eastAsia" w:ascii="仿宋_GB2312" w:hAnsi="仿宋_GB2312" w:eastAsia="仿宋_GB2312" w:cs="仿宋_GB2312"/>
                <w:sz w:val="24"/>
                <w:szCs w:val="32"/>
              </w:rP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未使用低挥发性有机物含量涂料的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14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一年内违法次数</w:t>
            </w:r>
          </w:p>
        </w:tc>
        <w:tc>
          <w:tcPr>
            <w:tcW w:w="715"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20%</w:t>
            </w: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14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15" w:type="dxa"/>
            <w:vMerge w:val="continue"/>
            <w:noWrap w:val="0"/>
            <w:vAlign w:val="center"/>
          </w:tcPr>
          <w:p>
            <w:pPr>
              <w:jc w:val="center"/>
              <w:rPr>
                <w:rFonts w:hint="eastAsia" w:ascii="仿宋_GB2312" w:hAnsi="仿宋_GB2312" w:eastAsia="仿宋_GB2312" w:cs="仿宋_GB2312"/>
                <w:sz w:val="24"/>
                <w:szCs w:val="32"/>
              </w:rP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211" w:type="dxa"/>
            <w:vMerge w:val="continue"/>
            <w:tcBorders>
              <w:right w:val="single" w:color="auto" w:sz="4" w:space="0"/>
            </w:tcBorders>
            <w:noWrap w:val="0"/>
            <w:vAlign w:val="center"/>
          </w:tcPr>
          <w:p>
            <w:pPr>
              <w:jc w:val="left"/>
            </w:pPr>
          </w:p>
        </w:tc>
        <w:tc>
          <w:tcPr>
            <w:tcW w:w="2140" w:type="dxa"/>
            <w:gridSpan w:val="2"/>
            <w:vMerge w:val="continue"/>
            <w:tcBorders>
              <w:left w:val="single" w:color="auto" w:sz="4" w:space="0"/>
            </w:tcBorders>
            <w:noWrap w:val="0"/>
            <w:vAlign w:val="center"/>
          </w:tcPr>
          <w:p>
            <w:pPr>
              <w:jc w:val="center"/>
            </w:pPr>
          </w:p>
        </w:tc>
        <w:tc>
          <w:tcPr>
            <w:tcW w:w="715" w:type="dxa"/>
            <w:vMerge w:val="continue"/>
            <w:noWrap w:val="0"/>
            <w:vAlign w:val="center"/>
          </w:tcPr>
          <w:p>
            <w:pPr>
              <w:jc w:val="cente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214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15" w:type="dxa"/>
            <w:vMerge w:val="continue"/>
            <w:noWrap w:val="0"/>
            <w:vAlign w:val="center"/>
          </w:tcPr>
          <w:p>
            <w:pPr>
              <w:jc w:val="center"/>
              <w:rPr>
                <w:rFonts w:hint="eastAsia" w:ascii="仿宋_GB2312" w:hAnsi="仿宋_GB2312" w:eastAsia="仿宋_GB2312" w:cs="仿宋_GB2312"/>
                <w:sz w:val="24"/>
                <w:szCs w:val="32"/>
              </w:rP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14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15"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14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15" w:type="dxa"/>
            <w:vMerge w:val="continue"/>
            <w:noWrap w:val="0"/>
            <w:vAlign w:val="center"/>
          </w:tcPr>
          <w:p>
            <w:pPr>
              <w:jc w:val="center"/>
              <w:rPr>
                <w:rFonts w:hint="eastAsia" w:ascii="仿宋_GB2312" w:hAnsi="仿宋_GB2312" w:eastAsia="仿宋_GB2312" w:cs="仿宋_GB2312"/>
                <w:sz w:val="24"/>
                <w:szCs w:val="32"/>
              </w:rP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14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15" w:type="dxa"/>
            <w:vMerge w:val="continue"/>
            <w:noWrap w:val="0"/>
            <w:vAlign w:val="center"/>
          </w:tcPr>
          <w:p>
            <w:pPr>
              <w:jc w:val="center"/>
              <w:rPr>
                <w:rFonts w:hint="eastAsia" w:ascii="仿宋_GB2312" w:hAnsi="仿宋_GB2312" w:eastAsia="仿宋_GB2312" w:cs="仿宋_GB2312"/>
                <w:sz w:val="24"/>
                <w:szCs w:val="32"/>
              </w:rP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214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15"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14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15" w:type="dxa"/>
            <w:vMerge w:val="continue"/>
            <w:noWrap w:val="0"/>
            <w:vAlign w:val="center"/>
          </w:tcPr>
          <w:p>
            <w:pPr>
              <w:jc w:val="center"/>
              <w:rPr>
                <w:rFonts w:hint="eastAsia" w:ascii="仿宋_GB2312" w:hAnsi="仿宋_GB2312" w:eastAsia="仿宋_GB2312" w:cs="仿宋_GB2312"/>
                <w:sz w:val="24"/>
                <w:szCs w:val="32"/>
              </w:rP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5"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140"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15"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2140" w:type="dxa"/>
            <w:gridSpan w:val="2"/>
            <w:vMerge w:val="continue"/>
            <w:noWrap w:val="0"/>
            <w:vAlign w:val="center"/>
          </w:tcPr>
          <w:p>
            <w:pPr>
              <w:jc w:val="center"/>
              <w:rPr>
                <w:rFonts w:hint="eastAsia" w:ascii="仿宋_GB2312" w:hAnsi="仿宋_GB2312" w:eastAsia="仿宋_GB2312" w:cs="仿宋_GB2312"/>
                <w:sz w:val="24"/>
                <w:szCs w:val="32"/>
              </w:rPr>
            </w:pPr>
          </w:p>
        </w:tc>
        <w:tc>
          <w:tcPr>
            <w:tcW w:w="715" w:type="dxa"/>
            <w:vMerge w:val="continue"/>
            <w:noWrap w:val="0"/>
            <w:vAlign w:val="center"/>
          </w:tcPr>
          <w:p>
            <w:pPr>
              <w:rPr>
                <w:rFonts w:hint="eastAsia" w:ascii="仿宋_GB2312" w:hAnsi="仿宋_GB2312" w:eastAsia="仿宋_GB2312" w:cs="仿宋_GB2312"/>
                <w:sz w:val="24"/>
                <w:szCs w:val="32"/>
              </w:rPr>
            </w:pPr>
          </w:p>
        </w:tc>
        <w:tc>
          <w:tcPr>
            <w:tcW w:w="3403"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wAfter w:w="0" w:type="auto"/>
          <w:trHeight w:val="681" w:hRule="atLeast"/>
        </w:trPr>
        <w:tc>
          <w:tcPr>
            <w:tcW w:w="910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wAfter w:w="0" w:type="auto"/>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42</w:t>
            </w:r>
          </w:p>
        </w:tc>
      </w:tr>
      <w:tr>
        <w:tblPrEx>
          <w:tblCellMar>
            <w:top w:w="15" w:type="dxa"/>
            <w:left w:w="15" w:type="dxa"/>
            <w:bottom w:w="15" w:type="dxa"/>
            <w:right w:w="15" w:type="dxa"/>
          </w:tblCellMar>
        </w:tblPrEx>
        <w:trPr>
          <w:wAfter w:w="0" w:type="auto"/>
          <w:trHeight w:val="464"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石油、化工以及其他生产和使用有机溶剂的企业，未采取措施对管道、设备进行日常维护、维修，减少物料泄漏或者对泄漏的物料未及时收集处理的</w:t>
            </w:r>
          </w:p>
        </w:tc>
      </w:tr>
      <w:tr>
        <w:tblPrEx>
          <w:tblCellMar>
            <w:top w:w="15" w:type="dxa"/>
            <w:left w:w="15" w:type="dxa"/>
            <w:bottom w:w="15" w:type="dxa"/>
            <w:right w:w="15" w:type="dxa"/>
          </w:tblCellMar>
        </w:tblPrEx>
        <w:trPr>
          <w:wAfter w:w="0" w:type="auto"/>
          <w:trHeight w:val="5621"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第四十七条</w:t>
            </w:r>
            <w:r>
              <w:rPr>
                <w:rFonts w:hint="eastAsia" w:ascii="仿宋_GB2312" w:hAnsi="仿宋_GB2312" w:eastAsia="仿宋_GB2312" w:cs="仿宋_GB2312"/>
                <w:sz w:val="24"/>
                <w:szCs w:val="32"/>
              </w:rPr>
              <w:t xml:space="preserve"> 石油、化工以及其他生产和使用有机溶剂的企业，应当采取措施对管道、设备进行日常维护、维修，减少物料泄漏，对泄漏的物料应当及时收集处理。</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储油储气库、加油加气站、原油成品油码头、原油成品油运输船舶和油罐车、气罐车等，应当按照国家有关规定安装油气回收装置并保持正常使用。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第一百零八条 </w:t>
            </w:r>
            <w:r>
              <w:rPr>
                <w:rFonts w:hint="eastAsia" w:ascii="仿宋_GB2312" w:hAnsi="仿宋_GB2312" w:eastAsia="仿宋_GB2312" w:cs="仿宋_GB2312"/>
                <w:sz w:val="24"/>
                <w:szCs w:val="32"/>
              </w:rPr>
              <w:t>违反本法规定，有下列行为之一的，由县级以上人民政府生态环境主管部门责令改正，处二万元以上二十万元以下的罚款；拒不改正的，责令停产整治：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（三）石油、化工以及其他生产和使用有机溶剂的企业，未采取措施对管道、设备进行日常维护、维修，减少物料泄漏或者对泄漏的物料未及时收集处理的；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第八十三条</w:t>
            </w:r>
            <w:r>
              <w:rPr>
                <w:rFonts w:hint="eastAsia" w:ascii="仿宋_GB2312" w:hAnsi="仿宋_GB2312" w:eastAsia="仿宋_GB2312" w:cs="仿宋_GB2312"/>
                <w:sz w:val="24"/>
                <w:szCs w:val="32"/>
              </w:rPr>
              <w:t xml:space="preserve">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（五）石油、化工以及其他生产和使用有机溶剂的企业，未采取措施对管道、设备进行日常维护、维修，减少物料泄漏或者对泄漏的物料未及时收集处理的；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6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9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62"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1093"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未采取措施对管道、设备进行日常维护、维修，但未造成泄漏的</w:t>
            </w:r>
          </w:p>
        </w:tc>
        <w:tc>
          <w:tcPr>
            <w:tcW w:w="1836"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2"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93"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未采取措施对管道、设备进行日常维护、维修，造成泄漏但及时收集处理的</w:t>
            </w:r>
          </w:p>
        </w:tc>
        <w:tc>
          <w:tcPr>
            <w:tcW w:w="1836"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1"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93"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未采取措施对管道、设备进行日常维护、维修，造成泄漏且未及时收集处理的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7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2"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93"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left"/>
            </w:pPr>
          </w:p>
        </w:tc>
        <w:tc>
          <w:tcPr>
            <w:tcW w:w="1762" w:type="dxa"/>
            <w:vMerge w:val="continue"/>
            <w:tcBorders>
              <w:left w:val="single" w:color="auto" w:sz="4" w:space="0"/>
            </w:tcBorders>
            <w:noWrap w:val="0"/>
            <w:vAlign w:val="center"/>
          </w:tcPr>
          <w:p>
            <w:pPr>
              <w:jc w:val="center"/>
              <w:rPr>
                <w:sz w:val="24"/>
              </w:rPr>
            </w:pPr>
          </w:p>
        </w:tc>
        <w:tc>
          <w:tcPr>
            <w:tcW w:w="1093" w:type="dxa"/>
            <w:gridSpan w:val="2"/>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762"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93"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93"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93"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93"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35"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6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10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762" w:type="dxa"/>
            <w:vMerge w:val="continue"/>
            <w:noWrap w:val="0"/>
            <w:vAlign w:val="center"/>
          </w:tcPr>
          <w:p>
            <w:pPr>
              <w:jc w:val="center"/>
              <w:rPr>
                <w:rFonts w:hint="eastAsia" w:ascii="仿宋_GB2312" w:hAnsi="仿宋_GB2312" w:eastAsia="仿宋_GB2312" w:cs="仿宋_GB2312"/>
                <w:sz w:val="24"/>
                <w:szCs w:val="32"/>
              </w:rPr>
            </w:pPr>
          </w:p>
        </w:tc>
        <w:tc>
          <w:tcPr>
            <w:tcW w:w="1093" w:type="dxa"/>
            <w:gridSpan w:val="2"/>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211"/>
        <w:gridCol w:w="1805"/>
        <w:gridCol w:w="1050"/>
        <w:gridCol w:w="3203"/>
        <w:gridCol w:w="1822"/>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43</w:t>
            </w:r>
          </w:p>
        </w:tc>
      </w:tr>
      <w:tr>
        <w:tblPrEx>
          <w:tblCellMar>
            <w:top w:w="15" w:type="dxa"/>
            <w:left w:w="15" w:type="dxa"/>
            <w:bottom w:w="15" w:type="dxa"/>
            <w:right w:w="15" w:type="dxa"/>
          </w:tblCellMar>
        </w:tblPrEx>
        <w:trPr>
          <w:trHeight w:val="59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储油储气库、加油加气站和油罐车、气罐车等，未按照国家有关规定安装并正常使用油气回收装置的</w:t>
            </w:r>
          </w:p>
        </w:tc>
      </w:tr>
      <w:tr>
        <w:tblPrEx>
          <w:tblCellMar>
            <w:top w:w="15" w:type="dxa"/>
            <w:left w:w="15" w:type="dxa"/>
            <w:bottom w:w="15" w:type="dxa"/>
            <w:right w:w="15" w:type="dxa"/>
          </w:tblCellMar>
        </w:tblPrEx>
        <w:trPr>
          <w:trHeight w:val="6331"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第四十七条</w:t>
            </w:r>
            <w:r>
              <w:rPr>
                <w:rFonts w:hint="eastAsia" w:ascii="仿宋_GB2312" w:hAnsi="仿宋_GB2312" w:eastAsia="仿宋_GB2312" w:cs="仿宋_GB2312"/>
                <w:sz w:val="24"/>
                <w:szCs w:val="32"/>
              </w:rPr>
              <w:t xml:space="preserve"> 石油、化工以及其他生产和使用有机溶剂的企业，应当采取措施对管道、设备进行日常维护、维修，减少物料泄漏，对泄漏的物料应当及时收集处理。</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储油储气库、加油加气站、原油成品油码头、原油成品油运输船舶和油罐车、气罐车等，应当按照国家有关规定安装油气回收装置并保持正常使用。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第一百零八条</w:t>
            </w:r>
            <w:r>
              <w:rPr>
                <w:rFonts w:hint="eastAsia" w:ascii="仿宋_GB2312" w:hAnsi="仿宋_GB2312" w:eastAsia="仿宋_GB2312" w:cs="仿宋_GB2312"/>
                <w:sz w:val="24"/>
                <w:szCs w:val="32"/>
              </w:rPr>
              <w:t xml:space="preserve"> 违反本法规定，有下列行为之一的，由县级以上人民政府生态环境主管部门责令改正，处二万元以上二十万元以下的罚款；拒不改正的，责令停产整治：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（四）储油储气库、加油加气站和油罐车、气罐车等，未按照国家有关规定安装并正常使用油气回收装置的； </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第八十三条</w:t>
            </w:r>
            <w:r>
              <w:rPr>
                <w:rFonts w:hint="eastAsia" w:ascii="仿宋_GB2312" w:hAnsi="仿宋_GB2312" w:eastAsia="仿宋_GB2312" w:cs="仿宋_GB2312"/>
                <w:sz w:val="24"/>
                <w:szCs w:val="32"/>
              </w:rPr>
              <w:t xml:space="preserve">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（六）储油库、储气库、加油加气站和油罐车、气罐车等，未按照国家有关规定安装并正常使用油气回收装置的。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0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0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05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储油储气库、加油加气站和油罐车、气罐车等，已安装但未按照国家有关规定使用油气回收装置的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0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50"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储油储气库、加油加气站和油罐车、气罐车等，未按照国家有关规定安装油气回收装置的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0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105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0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50"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05" w:type="dxa"/>
            <w:vMerge w:val="continue"/>
            <w:tcBorders>
              <w:left w:val="single" w:color="auto" w:sz="4" w:space="0"/>
            </w:tcBorders>
            <w:noWrap w:val="0"/>
            <w:vAlign w:val="center"/>
          </w:tcPr>
          <w:p>
            <w:pPr>
              <w:jc w:val="center"/>
              <w:rPr>
                <w:sz w:val="24"/>
              </w:rPr>
            </w:pPr>
          </w:p>
        </w:tc>
        <w:tc>
          <w:tcPr>
            <w:tcW w:w="1050"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0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50"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0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5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0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50"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0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50"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0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5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0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50"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0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破坏</w:t>
            </w:r>
          </w:p>
        </w:tc>
        <w:tc>
          <w:tcPr>
            <w:tcW w:w="105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05" w:type="dxa"/>
            <w:vMerge w:val="continue"/>
            <w:noWrap w:val="0"/>
            <w:vAlign w:val="center"/>
          </w:tcPr>
          <w:p>
            <w:pPr>
              <w:jc w:val="center"/>
              <w:rPr>
                <w:rFonts w:hint="eastAsia" w:ascii="仿宋_GB2312" w:hAnsi="仿宋_GB2312" w:eastAsia="仿宋_GB2312" w:cs="仿宋_GB2312"/>
                <w:sz w:val="24"/>
              </w:rPr>
            </w:pPr>
          </w:p>
        </w:tc>
        <w:tc>
          <w:tcPr>
            <w:tcW w:w="1050"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105" w:type="dxa"/>
        <w:tblInd w:w="0" w:type="dxa"/>
        <w:tblLayout w:type="fixed"/>
        <w:tblCellMar>
          <w:top w:w="15" w:type="dxa"/>
          <w:left w:w="15" w:type="dxa"/>
          <w:bottom w:w="15" w:type="dxa"/>
          <w:right w:w="15" w:type="dxa"/>
        </w:tblCellMar>
      </w:tblPr>
      <w:tblGrid>
        <w:gridCol w:w="1211"/>
        <w:gridCol w:w="1773"/>
        <w:gridCol w:w="96"/>
        <w:gridCol w:w="986"/>
        <w:gridCol w:w="3203"/>
        <w:gridCol w:w="336"/>
        <w:gridCol w:w="1500"/>
      </w:tblGrid>
      <w:tr>
        <w:tblPrEx>
          <w:tblCellMar>
            <w:top w:w="15" w:type="dxa"/>
            <w:left w:w="15" w:type="dxa"/>
            <w:bottom w:w="15" w:type="dxa"/>
            <w:right w:w="15" w:type="dxa"/>
          </w:tblCellMar>
        </w:tblPrEx>
        <w:trPr>
          <w:trHeight w:val="681" w:hRule="atLeast"/>
        </w:trPr>
        <w:tc>
          <w:tcPr>
            <w:tcW w:w="91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44</w:t>
            </w:r>
          </w:p>
        </w:tc>
      </w:tr>
      <w:tr>
        <w:tblPrEx>
          <w:tblCellMar>
            <w:top w:w="15" w:type="dxa"/>
            <w:left w:w="15" w:type="dxa"/>
            <w:bottom w:w="15" w:type="dxa"/>
            <w:right w:w="15" w:type="dxa"/>
          </w:tblCellMar>
        </w:tblPrEx>
        <w:trPr>
          <w:trHeight w:val="803"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钢铁、建材、有色金属、石油、化工、制药、矿产开采等企业，未采取集中收集处理、密闭、围挡、遮盖、清扫、洒水等措施，控制、减少粉尘和气态污染物排放的</w:t>
            </w:r>
          </w:p>
        </w:tc>
      </w:tr>
      <w:tr>
        <w:tblPrEx>
          <w:tblCellMar>
            <w:top w:w="15" w:type="dxa"/>
            <w:left w:w="15" w:type="dxa"/>
            <w:bottom w:w="15" w:type="dxa"/>
            <w:right w:w="15" w:type="dxa"/>
          </w:tblCellMar>
        </w:tblPrEx>
        <w:trPr>
          <w:trHeight w:val="90"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第四十八条</w:t>
            </w:r>
            <w:r>
              <w:rPr>
                <w:rFonts w:hint="eastAsia" w:ascii="仿宋_GB2312" w:hAnsi="仿宋_GB2312" w:eastAsia="仿宋_GB2312" w:cs="仿宋_GB2312"/>
                <w:sz w:val="24"/>
                <w:szCs w:val="32"/>
              </w:rPr>
              <w:t xml:space="preserve"> 钢铁、建材、有色金属、石油、化工、制药、矿产开采等企业，应当加强精细化管理，采取集中收集处理等措施，严格控制粉尘和气态污染物的排放。</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工业生产企业应当采取密闭、围挡、遮盖、清扫、洒水等措施，减少内部物料的堆存、传输、装卸等环节产生的粉尘和气态污染物的排放。</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第一百零八条</w:t>
            </w:r>
            <w:r>
              <w:rPr>
                <w:rFonts w:hint="eastAsia" w:ascii="仿宋_GB2312" w:hAnsi="仿宋_GB2312" w:eastAsia="仿宋_GB2312" w:cs="仿宋_GB2312"/>
                <w:sz w:val="24"/>
                <w:szCs w:val="32"/>
              </w:rPr>
              <w:t xml:space="preserve"> 违反本法规定，有下列行为之一的，由县级以上人民政府生态环境主管部门责令改正，处二万元以上二十万元以下的罚款；拒不改正的，责令停产整治：</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（五）钢铁、建材、有色金属、石油、化工、制药、矿产开采等企业，未采取集中收集处理、密闭、围挡、遮盖、清扫、洒水等措施，控制、减少粉尘和气态污染物排放的；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7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8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53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50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082"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应密闭未密闭，未能有效控制、减少污染物排放的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82" w:type="dxa"/>
            <w:gridSpan w:val="2"/>
            <w:vMerge w:val="continue"/>
            <w:noWrap w:val="0"/>
            <w:vAlign w:val="center"/>
          </w:tcPr>
          <w:p>
            <w:pPr>
              <w:jc w:val="center"/>
              <w:rPr>
                <w:rFonts w:hint="eastAsia" w:ascii="仿宋_GB2312" w:hAnsi="仿宋_GB2312" w:eastAsia="仿宋_GB2312" w:cs="仿宋_GB2312"/>
                <w:sz w:val="24"/>
              </w:rPr>
            </w:pP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应采取集中收集处理未采取的，未能有效控制、减少污染物排放的 </w:t>
            </w:r>
          </w:p>
        </w:tc>
        <w:tc>
          <w:tcPr>
            <w:tcW w:w="1500"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82" w:type="dxa"/>
            <w:gridSpan w:val="2"/>
            <w:vMerge w:val="continue"/>
            <w:noWrap w:val="0"/>
            <w:vAlign w:val="center"/>
          </w:tcPr>
          <w:p>
            <w:pPr>
              <w:jc w:val="center"/>
              <w:rPr>
                <w:rFonts w:hint="eastAsia" w:ascii="仿宋_GB2312" w:hAnsi="仿宋_GB2312" w:eastAsia="仿宋_GB2312" w:cs="仿宋_GB2312"/>
                <w:sz w:val="24"/>
              </w:rPr>
            </w:pP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应密闭未密闭且应采取集中收集处理未采取的，未能有效控制、减少污染物排放的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82"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82" w:type="dxa"/>
            <w:gridSpan w:val="2"/>
            <w:vMerge w:val="continue"/>
            <w:noWrap w:val="0"/>
            <w:vAlign w:val="center"/>
          </w:tcPr>
          <w:p>
            <w:pPr>
              <w:jc w:val="center"/>
              <w:rPr>
                <w:rFonts w:hint="eastAsia" w:ascii="仿宋_GB2312" w:hAnsi="仿宋_GB2312" w:eastAsia="仿宋_GB2312" w:cs="仿宋_GB2312"/>
                <w:sz w:val="24"/>
              </w:rPr>
            </w:pP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773" w:type="dxa"/>
            <w:vMerge w:val="continue"/>
            <w:tcBorders>
              <w:left w:val="single" w:color="auto" w:sz="4" w:space="0"/>
            </w:tcBorders>
            <w:noWrap w:val="0"/>
            <w:vAlign w:val="center"/>
          </w:tcPr>
          <w:p>
            <w:pPr>
              <w:jc w:val="center"/>
              <w:rPr>
                <w:sz w:val="24"/>
              </w:rPr>
            </w:pPr>
          </w:p>
        </w:tc>
        <w:tc>
          <w:tcPr>
            <w:tcW w:w="1082" w:type="dxa"/>
            <w:gridSpan w:val="2"/>
            <w:vMerge w:val="continue"/>
            <w:noWrap w:val="0"/>
            <w:vAlign w:val="center"/>
          </w:tcPr>
          <w:p>
            <w:pPr>
              <w:jc w:val="center"/>
              <w:rPr>
                <w:sz w:val="24"/>
              </w:rPr>
            </w:pP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773"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82" w:type="dxa"/>
            <w:gridSpan w:val="2"/>
            <w:vMerge w:val="continue"/>
            <w:noWrap w:val="0"/>
            <w:vAlign w:val="center"/>
          </w:tcPr>
          <w:p>
            <w:pPr>
              <w:jc w:val="center"/>
              <w:rPr>
                <w:rFonts w:hint="eastAsia" w:ascii="仿宋_GB2312" w:hAnsi="仿宋_GB2312" w:eastAsia="仿宋_GB2312" w:cs="仿宋_GB2312"/>
                <w:sz w:val="24"/>
              </w:rPr>
            </w:pP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82"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82" w:type="dxa"/>
            <w:gridSpan w:val="2"/>
            <w:vMerge w:val="continue"/>
            <w:noWrap w:val="0"/>
            <w:vAlign w:val="center"/>
          </w:tcPr>
          <w:p>
            <w:pPr>
              <w:jc w:val="center"/>
              <w:rPr>
                <w:rFonts w:hint="eastAsia" w:ascii="仿宋_GB2312" w:hAnsi="仿宋_GB2312" w:eastAsia="仿宋_GB2312" w:cs="仿宋_GB2312"/>
                <w:sz w:val="24"/>
              </w:rPr>
            </w:pPr>
          </w:p>
        </w:tc>
        <w:tc>
          <w:tcPr>
            <w:tcW w:w="353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50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82" w:type="dxa"/>
            <w:gridSpan w:val="2"/>
            <w:vMerge w:val="continue"/>
            <w:noWrap w:val="0"/>
            <w:vAlign w:val="center"/>
          </w:tcPr>
          <w:p>
            <w:pPr>
              <w:jc w:val="center"/>
              <w:rPr>
                <w:rFonts w:hint="eastAsia" w:ascii="仿宋_GB2312" w:hAnsi="仿宋_GB2312" w:eastAsia="仿宋_GB2312" w:cs="仿宋_GB2312"/>
                <w:sz w:val="24"/>
                <w:szCs w:val="32"/>
              </w:rPr>
            </w:pPr>
          </w:p>
        </w:tc>
        <w:tc>
          <w:tcPr>
            <w:tcW w:w="353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50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1082"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53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50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82" w:type="dxa"/>
            <w:gridSpan w:val="2"/>
            <w:vMerge w:val="continue"/>
            <w:noWrap w:val="0"/>
            <w:vAlign w:val="center"/>
          </w:tcPr>
          <w:p>
            <w:pPr>
              <w:jc w:val="center"/>
              <w:rPr>
                <w:rFonts w:hint="eastAsia" w:ascii="仿宋_GB2312" w:hAnsi="仿宋_GB2312" w:eastAsia="仿宋_GB2312" w:cs="仿宋_GB2312"/>
                <w:sz w:val="24"/>
                <w:szCs w:val="32"/>
              </w:rPr>
            </w:pPr>
          </w:p>
        </w:tc>
        <w:tc>
          <w:tcPr>
            <w:tcW w:w="353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50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7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1082"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53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50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773" w:type="dxa"/>
            <w:vMerge w:val="continue"/>
            <w:noWrap w:val="0"/>
            <w:vAlign w:val="center"/>
          </w:tcPr>
          <w:p>
            <w:pPr>
              <w:jc w:val="center"/>
              <w:rPr>
                <w:rFonts w:hint="eastAsia" w:ascii="仿宋_GB2312" w:hAnsi="仿宋_GB2312" w:eastAsia="仿宋_GB2312" w:cs="仿宋_GB2312"/>
                <w:sz w:val="24"/>
                <w:szCs w:val="32"/>
              </w:rPr>
            </w:pPr>
          </w:p>
        </w:tc>
        <w:tc>
          <w:tcPr>
            <w:tcW w:w="1082" w:type="dxa"/>
            <w:gridSpan w:val="2"/>
            <w:vMerge w:val="continue"/>
            <w:noWrap w:val="0"/>
            <w:vAlign w:val="center"/>
          </w:tcPr>
          <w:p>
            <w:pPr>
              <w:rPr>
                <w:rFonts w:hint="eastAsia" w:ascii="仿宋_GB2312" w:hAnsi="仿宋_GB2312" w:eastAsia="仿宋_GB2312" w:cs="仿宋_GB2312"/>
                <w:sz w:val="24"/>
                <w:szCs w:val="32"/>
              </w:rPr>
            </w:pPr>
          </w:p>
        </w:tc>
        <w:tc>
          <w:tcPr>
            <w:tcW w:w="353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50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wAfter w:w="0" w:type="auto"/>
          <w:trHeight w:val="681" w:hRule="atLeast"/>
        </w:trPr>
        <w:tc>
          <w:tcPr>
            <w:tcW w:w="91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wAfter w:w="0" w:type="auto"/>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45</w:t>
            </w:r>
          </w:p>
        </w:tc>
      </w:tr>
      <w:tr>
        <w:tblPrEx>
          <w:tblCellMar>
            <w:top w:w="15" w:type="dxa"/>
            <w:left w:w="15" w:type="dxa"/>
            <w:bottom w:w="15" w:type="dxa"/>
            <w:right w:w="15" w:type="dxa"/>
          </w:tblCellMar>
        </w:tblPrEx>
        <w:trPr>
          <w:wAfter w:w="0" w:type="auto"/>
          <w:trHeight w:val="803"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工业生产、垃圾填埋或者其他活动中产生的可燃性气体未回收利用，不具备回收利用条件未进行防治污染处理，或者可燃性气体回收利用装置不能正常作业，未及时修复或者更新的</w:t>
            </w:r>
          </w:p>
        </w:tc>
      </w:tr>
      <w:tr>
        <w:tblPrEx>
          <w:tblCellMar>
            <w:top w:w="15" w:type="dxa"/>
            <w:left w:w="15" w:type="dxa"/>
            <w:bottom w:w="15" w:type="dxa"/>
            <w:right w:w="15" w:type="dxa"/>
          </w:tblCellMar>
        </w:tblPrEx>
        <w:trPr>
          <w:wAfter w:w="0" w:type="auto"/>
          <w:trHeight w:val="6459"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9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第四十九条</w:t>
            </w:r>
            <w:r>
              <w:rPr>
                <w:rFonts w:hint="eastAsia" w:ascii="仿宋_GB2312" w:hAnsi="仿宋_GB2312" w:eastAsia="仿宋_GB2312" w:cs="仿宋_GB2312"/>
                <w:sz w:val="24"/>
                <w:szCs w:val="32"/>
              </w:rPr>
              <w:t xml:space="preserve"> 工业生产、垃圾填埋或者其他活动产生的可燃性气体应当回收利用，不具备回收利用条件的，应当进行污染防治处理。       </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spacing w:line="290" w:lineRule="exact"/>
              <w:jc w:val="left"/>
              <w:rPr>
                <w:rFonts w:hint="eastAsia" w:ascii="仿宋_GB2312" w:hAnsi="仿宋_GB2312" w:eastAsia="仿宋_GB2312" w:cs="仿宋_GB2312"/>
                <w:sz w:val="24"/>
                <w:szCs w:val="32"/>
              </w:rPr>
            </w:pPr>
          </w:p>
          <w:p>
            <w:pPr>
              <w:spacing w:line="29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第一百零八条 </w:t>
            </w:r>
            <w:r>
              <w:rPr>
                <w:rFonts w:hint="eastAsia" w:ascii="仿宋_GB2312" w:hAnsi="仿宋_GB2312" w:eastAsia="仿宋_GB2312" w:cs="仿宋_GB2312"/>
                <w:sz w:val="24"/>
                <w:szCs w:val="32"/>
              </w:rPr>
              <w:t>违反本法规定，有下列行为之一的，由县级以上人民政府生态环境主管部门责令改正，处二万元以上二十万元以下的罚款；拒不改正的，责令停产整治：</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（六）工业生产、垃圾填埋或者其他活动中产生的可燃性气体未回收利用，不具备回收利用条件未进行防治污染处理，或者可燃性气体回收利用装置不能正常作业，未及时修复或者更新的。</w:t>
            </w:r>
          </w:p>
          <w:p>
            <w:pPr>
              <w:spacing w:line="290" w:lineRule="exact"/>
              <w:jc w:val="left"/>
              <w:rPr>
                <w:rFonts w:hint="eastAsia" w:ascii="仿宋_GB2312" w:hAnsi="仿宋_GB2312" w:eastAsia="仿宋_GB2312" w:cs="仿宋_GB2312"/>
                <w:sz w:val="24"/>
                <w:szCs w:val="32"/>
              </w:rPr>
            </w:pPr>
          </w:p>
          <w:p>
            <w:pPr>
              <w:spacing w:line="29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《河北省大气污染防治条例》</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第八十三条</w:t>
            </w:r>
            <w:r>
              <w:rPr>
                <w:rFonts w:hint="eastAsia" w:ascii="仿宋_GB2312" w:hAnsi="仿宋_GB2312" w:eastAsia="仿宋_GB2312" w:cs="仿宋_GB2312"/>
                <w:sz w:val="24"/>
                <w:szCs w:val="32"/>
              </w:rPr>
              <w:t xml:space="preserve">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6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69"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9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可燃性气体回收利用装置不能正常作业，未及时修复或者更新的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69"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不具备回收利用条件未进行防治污染处理的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69"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可燃性气体未回收利用的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69"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69"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left"/>
            </w:pPr>
          </w:p>
        </w:tc>
        <w:tc>
          <w:tcPr>
            <w:tcW w:w="1869" w:type="dxa"/>
            <w:gridSpan w:val="2"/>
            <w:vMerge w:val="continue"/>
            <w:tcBorders>
              <w:left w:val="single" w:color="auto" w:sz="4" w:space="0"/>
            </w:tcBorders>
            <w:noWrap w:val="0"/>
            <w:vAlign w:val="center"/>
          </w:tcPr>
          <w:p>
            <w:pPr>
              <w:jc w:val="center"/>
              <w:rPr>
                <w:sz w:val="24"/>
              </w:rPr>
            </w:pPr>
          </w:p>
        </w:tc>
        <w:tc>
          <w:tcPr>
            <w:tcW w:w="9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69"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69"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69"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69"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69"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69"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9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3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20"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69"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9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69" w:type="dxa"/>
            <w:gridSpan w:val="2"/>
            <w:vMerge w:val="continue"/>
            <w:noWrap w:val="0"/>
            <w:vAlign w:val="center"/>
          </w:tcPr>
          <w:p>
            <w:pPr>
              <w:jc w:val="center"/>
              <w:rPr>
                <w:rFonts w:hint="eastAsia" w:ascii="仿宋_GB2312" w:hAnsi="仿宋_GB2312" w:eastAsia="仿宋_GB2312" w:cs="仿宋_GB2312"/>
                <w:sz w:val="24"/>
                <w:szCs w:val="32"/>
              </w:rPr>
            </w:pPr>
          </w:p>
        </w:tc>
        <w:tc>
          <w:tcPr>
            <w:tcW w:w="986"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105" w:type="dxa"/>
        <w:tblInd w:w="0" w:type="dxa"/>
        <w:tblLayout w:type="fixed"/>
        <w:tblCellMar>
          <w:top w:w="15" w:type="dxa"/>
          <w:left w:w="15" w:type="dxa"/>
          <w:bottom w:w="15" w:type="dxa"/>
          <w:right w:w="15" w:type="dxa"/>
        </w:tblCellMar>
      </w:tblPr>
      <w:tblGrid>
        <w:gridCol w:w="1211"/>
        <w:gridCol w:w="1826"/>
        <w:gridCol w:w="1029"/>
        <w:gridCol w:w="3203"/>
        <w:gridCol w:w="1836"/>
      </w:tblGrid>
      <w:tr>
        <w:tblPrEx>
          <w:tblCellMar>
            <w:top w:w="15" w:type="dxa"/>
            <w:left w:w="15" w:type="dxa"/>
            <w:bottom w:w="15" w:type="dxa"/>
            <w:right w:w="15" w:type="dxa"/>
          </w:tblCellMar>
        </w:tblPrEx>
        <w:trPr>
          <w:trHeight w:val="681" w:hRule="atLeast"/>
        </w:trPr>
        <w:tc>
          <w:tcPr>
            <w:tcW w:w="910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46</w:t>
            </w:r>
          </w:p>
        </w:tc>
      </w:tr>
      <w:tr>
        <w:tblPrEx>
          <w:tblCellMar>
            <w:top w:w="15" w:type="dxa"/>
            <w:left w:w="15" w:type="dxa"/>
            <w:bottom w:w="15" w:type="dxa"/>
            <w:right w:w="15" w:type="dxa"/>
          </w:tblCellMar>
        </w:tblPrEx>
        <w:trPr>
          <w:trHeight w:val="572"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生产超过污染物排放标准的机动车、非道路移动机械的</w:t>
            </w:r>
          </w:p>
        </w:tc>
      </w:tr>
      <w:tr>
        <w:tblPrEx>
          <w:tblCellMar>
            <w:top w:w="15" w:type="dxa"/>
            <w:left w:w="15" w:type="dxa"/>
            <w:bottom w:w="15" w:type="dxa"/>
            <w:right w:w="15" w:type="dxa"/>
          </w:tblCellMar>
        </w:tblPrEx>
        <w:trPr>
          <w:trHeight w:val="2792"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第五十一条</w:t>
            </w:r>
            <w:r>
              <w:rPr>
                <w:rFonts w:hint="eastAsia" w:ascii="仿宋_GB2312" w:hAnsi="仿宋_GB2312" w:eastAsia="仿宋_GB2312" w:cs="仿宋_GB2312"/>
                <w:sz w:val="24"/>
                <w:szCs w:val="32"/>
              </w:rPr>
              <w:t xml:space="preserve"> 机动车船、非道路移动机械不得超过标准排放大气污染物。禁止生产、进口或者销售大气污染物排放超过标准的机动车船、非道路移动机械。</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第一百零九条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2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2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生产超过污染物排放标准的机动车、非道路移动机械，但未流入市场的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生产超过污染物排放标准的机动车、非道路移动机械，流入市场50辆以下的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生产超过污染物排放标准的机动车、非道路移动机械，流入市场50辆以上的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26" w:type="dxa"/>
            <w:vMerge w:val="continue"/>
            <w:tcBorders>
              <w:left w:val="single" w:color="auto" w:sz="4" w:space="0"/>
            </w:tcBorders>
            <w:noWrap w:val="0"/>
            <w:vAlign w:val="center"/>
          </w:tcPr>
          <w:p>
            <w:pPr>
              <w:jc w:val="center"/>
              <w:rPr>
                <w:sz w:val="24"/>
              </w:rPr>
            </w:pPr>
          </w:p>
        </w:tc>
        <w:tc>
          <w:tcPr>
            <w:tcW w:w="1029"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2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29"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2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102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26" w:type="dxa"/>
            <w:vMerge w:val="continue"/>
            <w:noWrap w:val="0"/>
            <w:vAlign w:val="center"/>
          </w:tcPr>
          <w:p>
            <w:pPr>
              <w:jc w:val="center"/>
              <w:rPr>
                <w:rFonts w:hint="eastAsia" w:ascii="仿宋_GB2312" w:hAnsi="仿宋_GB2312" w:eastAsia="仿宋_GB2312" w:cs="仿宋_GB2312"/>
                <w:sz w:val="24"/>
                <w:szCs w:val="32"/>
              </w:rPr>
            </w:pPr>
          </w:p>
        </w:tc>
        <w:tc>
          <w:tcPr>
            <w:tcW w:w="1029"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jc w:val="center"/>
        <w:textAlignment w:val="center"/>
        <w:rPr>
          <w:rFonts w:hint="eastAsia" w:ascii="方正小标宋简体" w:hAnsi="方正小标宋简体" w:eastAsia="方正小标宋简体" w:cs="方正小标宋简体"/>
          <w:kern w:val="0"/>
          <w:sz w:val="40"/>
          <w:szCs w:val="40"/>
        </w:rPr>
      </w:pPr>
    </w:p>
    <w:tbl>
      <w:tblPr>
        <w:tblStyle w:val="9"/>
        <w:tblW w:w="0" w:type="auto"/>
        <w:tblInd w:w="0" w:type="dxa"/>
        <w:tblLayout w:type="fixed"/>
        <w:tblCellMar>
          <w:top w:w="15" w:type="dxa"/>
          <w:left w:w="15" w:type="dxa"/>
          <w:bottom w:w="15" w:type="dxa"/>
          <w:right w:w="15" w:type="dxa"/>
        </w:tblCellMar>
      </w:tblPr>
      <w:tblGrid>
        <w:gridCol w:w="1211"/>
        <w:gridCol w:w="172"/>
        <w:gridCol w:w="1665"/>
        <w:gridCol w:w="225"/>
        <w:gridCol w:w="793"/>
        <w:gridCol w:w="3203"/>
        <w:gridCol w:w="1809"/>
        <w:gridCol w:w="13"/>
      </w:tblGrid>
      <w:tr>
        <w:tblPrEx>
          <w:tblCellMar>
            <w:top w:w="15" w:type="dxa"/>
            <w:left w:w="15" w:type="dxa"/>
            <w:bottom w:w="15" w:type="dxa"/>
            <w:right w:w="15" w:type="dxa"/>
          </w:tblCellMar>
        </w:tblPrEx>
        <w:trPr>
          <w:trHeight w:val="681" w:hRule="atLeast"/>
        </w:trPr>
        <w:tc>
          <w:tcPr>
            <w:tcW w:w="909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47</w:t>
            </w:r>
          </w:p>
        </w:tc>
      </w:tr>
      <w:tr>
        <w:tblPrEx>
          <w:tblCellMar>
            <w:top w:w="15" w:type="dxa"/>
            <w:left w:w="15" w:type="dxa"/>
            <w:bottom w:w="15" w:type="dxa"/>
            <w:right w:w="15" w:type="dxa"/>
          </w:tblCellMar>
        </w:tblPrEx>
        <w:trPr>
          <w:trHeight w:val="681"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机动车、非道路移动机械生产企业对发动机、污染控制装置弄虚作假、以次充好，冒充排放检验合格产品出厂销售的</w:t>
            </w:r>
          </w:p>
        </w:tc>
      </w:tr>
      <w:tr>
        <w:tblPrEx>
          <w:tblCellMar>
            <w:top w:w="15" w:type="dxa"/>
            <w:left w:w="15" w:type="dxa"/>
            <w:bottom w:w="15" w:type="dxa"/>
            <w:right w:w="15" w:type="dxa"/>
          </w:tblCellMar>
        </w:tblPrEx>
        <w:trPr>
          <w:trHeight w:val="2792"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第五十二条</w:t>
            </w:r>
            <w:r>
              <w:rPr>
                <w:rFonts w:hint="eastAsia" w:ascii="仿宋_GB2312" w:hAnsi="仿宋_GB2312" w:eastAsia="仿宋_GB2312" w:cs="仿宋_GB2312"/>
                <w:sz w:val="24"/>
                <w:szCs w:val="32"/>
              </w:rPr>
              <w:t xml:space="preserve"> 机动车、非道路移动机械生产企业应当对新生产的机动车和非道路移动机械进行排放检验。经检验合格的，方可出厂销售。检验信息应当向社会公开。</w:t>
            </w:r>
          </w:p>
          <w:p>
            <w:pPr>
              <w:spacing w:line="280" w:lineRule="exact"/>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省级以上人民政府环境保护主管部门可以通过现场检查、抽样检测等方式，加强对新生产、销售机动车和非道路移动机械大气污染物排放状况的监督检查。工业、质量监督、工商行政管理等有关部门予以配合。</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第一百零九条 第二款</w:t>
            </w:r>
            <w:r>
              <w:rPr>
                <w:rFonts w:hint="eastAsia" w:ascii="仿宋_GB2312" w:hAnsi="仿宋_GB2312" w:eastAsia="仿宋_GB2312" w:cs="仿宋_GB2312"/>
                <w:sz w:val="24"/>
                <w:szCs w:val="32"/>
              </w:rPr>
              <w:t xml:space="preserve"> 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66"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37"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18"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37"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018"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销售弄虚作假、以次充好，冒充排放检验合格产品的发动机、污染控制装置数量在50辆以内的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37"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18"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销售弄虚作假、以次充好，冒充排放检验合格产品的发动机、污染控制装置数量在50辆以上的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37"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18"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37"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18"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37" w:type="dxa"/>
            <w:gridSpan w:val="2"/>
            <w:vMerge w:val="continue"/>
            <w:tcBorders>
              <w:left w:val="single" w:color="auto" w:sz="4" w:space="0"/>
            </w:tcBorders>
            <w:noWrap w:val="0"/>
            <w:vAlign w:val="center"/>
          </w:tcPr>
          <w:p>
            <w:pPr>
              <w:jc w:val="center"/>
              <w:rPr>
                <w:sz w:val="24"/>
              </w:rPr>
            </w:pPr>
          </w:p>
        </w:tc>
        <w:tc>
          <w:tcPr>
            <w:tcW w:w="1018" w:type="dxa"/>
            <w:gridSpan w:val="2"/>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37"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18"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37"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18"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37"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18"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37"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18" w:type="dxa"/>
            <w:gridSpan w:val="2"/>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37"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1018"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2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37"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1018" w:type="dxa"/>
            <w:gridSpan w:val="2"/>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2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37"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1018"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2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37" w:type="dxa"/>
            <w:gridSpan w:val="2"/>
            <w:vMerge w:val="continue"/>
            <w:noWrap w:val="0"/>
            <w:vAlign w:val="center"/>
          </w:tcPr>
          <w:p>
            <w:pPr>
              <w:jc w:val="center"/>
              <w:rPr>
                <w:rFonts w:hint="eastAsia" w:ascii="仿宋_GB2312" w:hAnsi="仿宋_GB2312" w:eastAsia="仿宋_GB2312" w:cs="仿宋_GB2312"/>
                <w:sz w:val="24"/>
                <w:szCs w:val="32"/>
              </w:rPr>
            </w:pPr>
          </w:p>
        </w:tc>
        <w:tc>
          <w:tcPr>
            <w:tcW w:w="1018" w:type="dxa"/>
            <w:gridSpan w:val="2"/>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2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gridAfter w:val="1"/>
          <w:wAfter w:w="13" w:type="dxa"/>
          <w:trHeight w:val="681" w:hRule="atLeast"/>
        </w:trPr>
        <w:tc>
          <w:tcPr>
            <w:tcW w:w="907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gridAfter w:val="1"/>
          <w:wAfter w:w="13" w:type="dxa"/>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67"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48</w:t>
            </w:r>
          </w:p>
        </w:tc>
      </w:tr>
      <w:tr>
        <w:tblPrEx>
          <w:tblCellMar>
            <w:top w:w="15" w:type="dxa"/>
            <w:left w:w="15" w:type="dxa"/>
            <w:bottom w:w="15" w:type="dxa"/>
            <w:right w:w="15" w:type="dxa"/>
          </w:tblCellMar>
        </w:tblPrEx>
        <w:trPr>
          <w:gridAfter w:val="1"/>
          <w:wAfter w:w="13" w:type="dxa"/>
          <w:trHeight w:val="681"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67"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机动车生产、进口企业未按照规定向社会公布其生产、进口机动车车型的排放检验信息或者污染控制技术信息的</w:t>
            </w:r>
          </w:p>
        </w:tc>
      </w:tr>
      <w:tr>
        <w:tblPrEx>
          <w:tblCellMar>
            <w:top w:w="15" w:type="dxa"/>
            <w:left w:w="15" w:type="dxa"/>
            <w:bottom w:w="15" w:type="dxa"/>
            <w:right w:w="15" w:type="dxa"/>
          </w:tblCellMar>
        </w:tblPrEx>
        <w:trPr>
          <w:gridAfter w:val="1"/>
          <w:wAfter w:w="13" w:type="dxa"/>
          <w:trHeight w:val="2792"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867"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《中华人民共和国大气污染防治法》</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第五十五条 第一款</w:t>
            </w:r>
            <w:r>
              <w:rPr>
                <w:rFonts w:hint="eastAsia" w:ascii="仿宋_GB2312" w:hAnsi="仿宋_GB2312" w:eastAsia="仿宋_GB2312" w:cs="仿宋_GB2312"/>
                <w:bCs/>
                <w:sz w:val="24"/>
                <w:szCs w:val="32"/>
              </w:rPr>
              <w:t xml:space="preserve"> 机动车生产、进口企业应当向社会公布其生产、进口机动车车型的排放检验信息、污染控制技术信息和有关维修技术信息。</w:t>
            </w:r>
          </w:p>
          <w:p>
            <w:pPr>
              <w:jc w:val="left"/>
              <w:rPr>
                <w:rFonts w:hint="eastAsia" w:ascii="仿宋_GB2312" w:hAnsi="仿宋_GB2312" w:eastAsia="仿宋_GB2312" w:cs="仿宋_GB2312"/>
                <w:bCs/>
                <w:sz w:val="24"/>
                <w:szCs w:val="32"/>
              </w:rPr>
            </w:pP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sz w:val="24"/>
                <w:szCs w:val="32"/>
              </w:rPr>
              <w:t>《中华人民共和国大气污染防治法》</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第一百一十一条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第一款</w:t>
            </w:r>
            <w:r>
              <w:rPr>
                <w:rFonts w:hint="eastAsia" w:ascii="仿宋_GB2312" w:hAnsi="仿宋_GB2312" w:eastAsia="仿宋_GB2312" w:cs="仿宋_GB2312"/>
                <w:bCs/>
                <w:sz w:val="24"/>
                <w:szCs w:val="32"/>
              </w:rPr>
              <w:t xml:space="preserve"> 违反本法规定，机动车生产、进口企业未按照规定向社会公布其生产、进口机动车车型的排放检验信息或者污染控制技术信息的，由省级以上人民政府环境保护主管部门责令改正，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4066"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70" w:hRule="atLeast"/>
        </w:trPr>
        <w:tc>
          <w:tcPr>
            <w:tcW w:w="1383"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3" w:hRule="atLeast"/>
        </w:trPr>
        <w:tc>
          <w:tcPr>
            <w:tcW w:w="1383"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未按规定向社会公开其生产、进口</w:t>
            </w:r>
            <w:r>
              <w:rPr>
                <w:rFonts w:hint="eastAsia" w:ascii="仿宋_GB2312" w:hAnsi="仿宋_GB2312" w:eastAsia="仿宋_GB2312" w:cs="仿宋_GB2312"/>
                <w:bCs/>
                <w:sz w:val="24"/>
              </w:rPr>
              <w:t>机动车车型的排放检验信息或者污染控制技术信息的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5"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未向社会公开其生产、进口</w:t>
            </w:r>
            <w:r>
              <w:rPr>
                <w:rFonts w:hint="eastAsia" w:ascii="仿宋_GB2312" w:hAnsi="仿宋_GB2312" w:eastAsia="仿宋_GB2312" w:cs="仿宋_GB2312"/>
                <w:bCs/>
                <w:sz w:val="24"/>
              </w:rPr>
              <w:t>机动车车型的排放检验信息或者污染控制技术信息的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2" w:hRule="atLeast"/>
        </w:trPr>
        <w:tc>
          <w:tcPr>
            <w:tcW w:w="1383"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 w:hRule="atLeast"/>
        </w:trPr>
        <w:tc>
          <w:tcPr>
            <w:tcW w:w="1383" w:type="dxa"/>
            <w:gridSpan w:val="2"/>
            <w:vMerge w:val="continue"/>
            <w:tcBorders>
              <w:right w:val="single" w:color="auto" w:sz="4" w:space="0"/>
            </w:tcBorders>
            <w:noWrap w:val="0"/>
            <w:vAlign w:val="center"/>
          </w:tcPr>
          <w:p>
            <w:pPr>
              <w:jc w:val="left"/>
            </w:pPr>
          </w:p>
        </w:tc>
        <w:tc>
          <w:tcPr>
            <w:tcW w:w="1890" w:type="dxa"/>
            <w:gridSpan w:val="2"/>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 w:hRule="atLeast"/>
        </w:trPr>
        <w:tc>
          <w:tcPr>
            <w:tcW w:w="1383" w:type="dxa"/>
            <w:gridSpan w:val="2"/>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7" w:hRule="atLeast"/>
        </w:trPr>
        <w:tc>
          <w:tcPr>
            <w:tcW w:w="1383"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7"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1383"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trPr>
        <w:tc>
          <w:tcPr>
            <w:tcW w:w="1383"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8" w:hRule="atLeast"/>
        </w:trPr>
        <w:tc>
          <w:tcPr>
            <w:tcW w:w="1383"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pacing w:val="-20"/>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r>
        <w:rPr>
          <w:rFonts w:ascii="宋体" w:hAnsi="宋体" w:cs="宋体"/>
          <w:sz w:val="28"/>
          <w:szCs w:val="28"/>
        </w:rPr>
        <w:br w:type="page"/>
      </w:r>
    </w:p>
    <w:tbl>
      <w:tblPr>
        <w:tblStyle w:val="9"/>
        <w:tblpPr w:leftFromText="180" w:rightFromText="180" w:vertAnchor="text" w:horzAnchor="page" w:tblpX="1405" w:tblpY="-356"/>
        <w:tblOverlap w:val="never"/>
        <w:tblW w:w="0" w:type="auto"/>
        <w:tblInd w:w="0" w:type="dxa"/>
        <w:tblLayout w:type="fixed"/>
        <w:tblCellMar>
          <w:top w:w="15" w:type="dxa"/>
          <w:left w:w="15" w:type="dxa"/>
          <w:bottom w:w="15" w:type="dxa"/>
          <w:right w:w="15" w:type="dxa"/>
        </w:tblCellMar>
      </w:tblPr>
      <w:tblGrid>
        <w:gridCol w:w="1211"/>
        <w:gridCol w:w="2062"/>
        <w:gridCol w:w="793"/>
        <w:gridCol w:w="3203"/>
        <w:gridCol w:w="1822"/>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49</w:t>
            </w:r>
          </w:p>
        </w:tc>
      </w:tr>
      <w:tr>
        <w:tblPrEx>
          <w:tblCellMar>
            <w:top w:w="15" w:type="dxa"/>
            <w:left w:w="15" w:type="dxa"/>
            <w:bottom w:w="15" w:type="dxa"/>
            <w:right w:w="15" w:type="dxa"/>
          </w:tblCellMar>
        </w:tblPrEx>
        <w:trPr>
          <w:trHeight w:val="544"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未密闭煤炭、煤矸石、煤渣、煤灰、水泥、石灰、石膏、砂土等易产生扬尘的物料的</w:t>
            </w:r>
          </w:p>
        </w:tc>
      </w:tr>
      <w:tr>
        <w:tblPrEx>
          <w:tblCellMar>
            <w:top w:w="15" w:type="dxa"/>
            <w:left w:w="15" w:type="dxa"/>
            <w:bottom w:w="15" w:type="dxa"/>
            <w:right w:w="15" w:type="dxa"/>
          </w:tblCellMar>
        </w:tblPrEx>
        <w:trPr>
          <w:trHeight w:val="3357"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贮存煤炭、煤矸石、煤渣、煤灰、水泥、石灰、石膏、砂土等易产生扬尘的物料应当密闭；不能密闭的，应当设置不低于堆放物高度的严密围挡，并采取有效覆盖措施防治扬尘污染。</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第一百一十七条</w:t>
            </w:r>
            <w:r>
              <w:rPr>
                <w:rFonts w:hint="eastAsia" w:ascii="仿宋_GB2312" w:hAnsi="仿宋_GB2312" w:eastAsia="仿宋_GB2312" w:cs="仿宋_GB2312"/>
                <w:sz w:val="24"/>
                <w:szCs w:val="32"/>
              </w:rPr>
              <w:t xml:space="preserve"> 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（一）未密闭煤炭、煤矸石、煤渣、煤灰、水泥、石灰、石膏、砂土等易产生扬尘的物料的；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6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密闭不严的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露天堆放的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2062"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2062"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2062"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62"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6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2062"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211"/>
        <w:gridCol w:w="1880"/>
        <w:gridCol w:w="975"/>
        <w:gridCol w:w="3203"/>
        <w:gridCol w:w="1822"/>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50</w:t>
            </w:r>
          </w:p>
        </w:tc>
      </w:tr>
      <w:tr>
        <w:tblPrEx>
          <w:tblCellMar>
            <w:top w:w="15" w:type="dxa"/>
            <w:left w:w="15" w:type="dxa"/>
            <w:bottom w:w="15" w:type="dxa"/>
            <w:right w:w="15" w:type="dxa"/>
          </w:tblCellMar>
        </w:tblPrEx>
        <w:trPr>
          <w:trHeight w:val="72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对不能密闭的易产生扬尘的物料，未设置不低于堆放物高度的严密围挡，或者未采取有效覆盖措施防治扬尘污染的</w:t>
            </w:r>
          </w:p>
        </w:tc>
      </w:tr>
      <w:tr>
        <w:tblPrEx>
          <w:tblCellMar>
            <w:top w:w="15" w:type="dxa"/>
            <w:left w:w="15" w:type="dxa"/>
            <w:bottom w:w="15" w:type="dxa"/>
            <w:right w:w="15" w:type="dxa"/>
          </w:tblCellMar>
        </w:tblPrEx>
        <w:trPr>
          <w:trHeight w:val="90"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 第一款</w:t>
            </w:r>
            <w:r>
              <w:rPr>
                <w:rFonts w:hint="eastAsia" w:ascii="仿宋_GB2312" w:hAnsi="仿宋_GB2312" w:eastAsia="仿宋_GB2312" w:cs="仿宋_GB2312"/>
                <w:sz w:val="24"/>
                <w:szCs w:val="32"/>
              </w:rPr>
              <w:t xml:space="preserve"> 贮存煤炭、煤矸石、煤渣、煤灰、水泥、石灰、石膏、砂土等易产生扬尘的物料应当密闭；不能密闭的，应当设置不低于堆放物高度的严密围挡，并采取有效覆盖措施防治扬尘污染。</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第一百一十七条</w:t>
            </w:r>
            <w:r>
              <w:rPr>
                <w:rFonts w:hint="eastAsia" w:ascii="仿宋_GB2312" w:hAnsi="仿宋_GB2312" w:eastAsia="仿宋_GB2312" w:cs="仿宋_GB2312"/>
                <w:sz w:val="24"/>
                <w:szCs w:val="32"/>
              </w:rPr>
              <w:t xml:space="preserve"> 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（二）对不能密闭的易产生扬尘的物料，未设置不低于堆放物高度的严密围挡，或者未采取有效覆盖措施防治扬尘污染的；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7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已采取防治扬尘污染措施，效果不佳的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完全未采取防治扬尘污染措施的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975"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75"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97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975"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211"/>
        <w:gridCol w:w="1891"/>
        <w:gridCol w:w="964"/>
        <w:gridCol w:w="3203"/>
        <w:gridCol w:w="1822"/>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51</w:t>
            </w:r>
          </w:p>
        </w:tc>
      </w:tr>
      <w:tr>
        <w:tblPrEx>
          <w:tblCellMar>
            <w:top w:w="15" w:type="dxa"/>
            <w:left w:w="15" w:type="dxa"/>
            <w:bottom w:w="15" w:type="dxa"/>
            <w:right w:w="15" w:type="dxa"/>
          </w:tblCellMar>
        </w:tblPrEx>
        <w:trPr>
          <w:trHeight w:val="515"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装卸物料未采取密闭或者喷淋等方式控制扬尘排放的</w:t>
            </w:r>
          </w:p>
        </w:tc>
      </w:tr>
      <w:tr>
        <w:tblPrEx>
          <w:tblCellMar>
            <w:top w:w="15" w:type="dxa"/>
            <w:left w:w="15" w:type="dxa"/>
            <w:bottom w:w="15" w:type="dxa"/>
            <w:right w:w="15" w:type="dxa"/>
          </w:tblCellMar>
        </w:tblPrEx>
        <w:trPr>
          <w:trHeight w:val="2636"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装卸物料应当采取密闭或者喷淋等方式防治扬尘污染。</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第一百一十七条</w:t>
            </w:r>
            <w:r>
              <w:rPr>
                <w:rFonts w:hint="eastAsia" w:ascii="仿宋_GB2312" w:hAnsi="仿宋_GB2312" w:eastAsia="仿宋_GB2312" w:cs="仿宋_GB2312"/>
                <w:sz w:val="24"/>
                <w:szCs w:val="32"/>
              </w:rPr>
              <w:t xml:space="preserve"> 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（三）装卸物料未采取密闭或者喷淋等方式控制扬尘排放的；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已采取控制扬尘污染措施，效果不佳的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完全未采取控制扬尘污染措施的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91" w:type="dxa"/>
            <w:vMerge w:val="continue"/>
            <w:tcBorders>
              <w:left w:val="single" w:color="auto" w:sz="4" w:space="0"/>
            </w:tcBorders>
            <w:noWrap w:val="0"/>
            <w:vAlign w:val="center"/>
          </w:tcPr>
          <w:p>
            <w:pPr>
              <w:jc w:val="center"/>
              <w:rPr>
                <w:sz w:val="24"/>
              </w:rPr>
            </w:pPr>
          </w:p>
        </w:tc>
        <w:tc>
          <w:tcPr>
            <w:tcW w:w="964"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1"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1"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91" w:type="dxa"/>
            <w:vMerge w:val="continue"/>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211"/>
        <w:gridCol w:w="1891"/>
        <w:gridCol w:w="964"/>
        <w:gridCol w:w="3203"/>
        <w:gridCol w:w="1822"/>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52</w:t>
            </w:r>
          </w:p>
        </w:tc>
      </w:tr>
      <w:tr>
        <w:tblPrEx>
          <w:tblCellMar>
            <w:top w:w="15" w:type="dxa"/>
            <w:left w:w="15" w:type="dxa"/>
            <w:bottom w:w="15" w:type="dxa"/>
            <w:right w:w="15" w:type="dxa"/>
          </w:tblCellMar>
        </w:tblPrEx>
        <w:trPr>
          <w:trHeight w:val="609"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存放煤炭、煤矸石、煤渣、煤灰等物料，未采取防燃措施的</w:t>
            </w:r>
          </w:p>
        </w:tc>
      </w:tr>
      <w:tr>
        <w:tblPrEx>
          <w:tblCellMar>
            <w:top w:w="15" w:type="dxa"/>
            <w:left w:w="15" w:type="dxa"/>
            <w:bottom w:w="15" w:type="dxa"/>
            <w:right w:w="15" w:type="dxa"/>
          </w:tblCellMar>
        </w:tblPrEx>
        <w:trPr>
          <w:trHeight w:val="2815"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第三十五条</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第二款</w:t>
            </w:r>
            <w:r>
              <w:rPr>
                <w:rFonts w:hint="eastAsia" w:ascii="仿宋_GB2312" w:hAnsi="仿宋_GB2312" w:eastAsia="仿宋_GB2312" w:cs="仿宋_GB2312"/>
                <w:sz w:val="24"/>
              </w:rPr>
              <w:t xml:space="preserve"> 单位存放煤炭、煤矸石、煤渣、煤灰等物料，应当采取防燃措施，防止大气污染。</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第一百一十七条</w:t>
            </w:r>
            <w:r>
              <w:rPr>
                <w:rFonts w:hint="eastAsia" w:ascii="仿宋_GB2312" w:hAnsi="仿宋_GB2312" w:eastAsia="仿宋_GB2312" w:cs="仿宋_GB2312"/>
                <w:sz w:val="24"/>
              </w:rPr>
              <w:t xml:space="preserve"> 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（四）存放煤炭、煤矸石、煤渣、煤灰等物料，未采取防燃措施的；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已采取防燃措施，效果不佳的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完全未采取防燃措施的 </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91" w:type="dxa"/>
            <w:vMerge w:val="continue"/>
            <w:tcBorders>
              <w:left w:val="single" w:color="auto" w:sz="4" w:space="0"/>
            </w:tcBorders>
            <w:noWrap w:val="0"/>
            <w:vAlign w:val="center"/>
          </w:tcPr>
          <w:p>
            <w:pPr>
              <w:jc w:val="center"/>
              <w:rPr>
                <w:sz w:val="24"/>
              </w:rPr>
            </w:pPr>
          </w:p>
        </w:tc>
        <w:tc>
          <w:tcPr>
            <w:tcW w:w="964"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1"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6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1"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96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91" w:type="dxa"/>
            <w:vMerge w:val="continue"/>
            <w:noWrap w:val="0"/>
            <w:vAlign w:val="center"/>
          </w:tcPr>
          <w:p>
            <w:pPr>
              <w:jc w:val="center"/>
              <w:rPr>
                <w:rFonts w:hint="eastAsia" w:ascii="仿宋_GB2312" w:hAnsi="仿宋_GB2312" w:eastAsia="仿宋_GB2312" w:cs="仿宋_GB2312"/>
                <w:sz w:val="24"/>
              </w:rPr>
            </w:pPr>
          </w:p>
        </w:tc>
        <w:tc>
          <w:tcPr>
            <w:tcW w:w="964"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105" w:type="dxa"/>
        <w:tblInd w:w="0" w:type="dxa"/>
        <w:tblLayout w:type="fixed"/>
        <w:tblCellMar>
          <w:top w:w="15" w:type="dxa"/>
          <w:left w:w="15" w:type="dxa"/>
          <w:bottom w:w="15" w:type="dxa"/>
          <w:right w:w="15" w:type="dxa"/>
        </w:tblCellMar>
      </w:tblPr>
      <w:tblGrid>
        <w:gridCol w:w="1211"/>
        <w:gridCol w:w="1751"/>
        <w:gridCol w:w="1104"/>
        <w:gridCol w:w="3203"/>
        <w:gridCol w:w="1836"/>
      </w:tblGrid>
      <w:tr>
        <w:tblPrEx>
          <w:tblCellMar>
            <w:top w:w="15" w:type="dxa"/>
            <w:left w:w="15" w:type="dxa"/>
            <w:bottom w:w="15" w:type="dxa"/>
            <w:right w:w="15" w:type="dxa"/>
          </w:tblCellMar>
        </w:tblPrEx>
        <w:trPr>
          <w:trHeight w:val="681" w:hRule="atLeast"/>
        </w:trPr>
        <w:tc>
          <w:tcPr>
            <w:tcW w:w="910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53</w:t>
            </w:r>
          </w:p>
        </w:tc>
      </w:tr>
      <w:tr>
        <w:tblPrEx>
          <w:tblCellMar>
            <w:top w:w="15" w:type="dxa"/>
            <w:left w:w="15" w:type="dxa"/>
            <w:bottom w:w="15" w:type="dxa"/>
            <w:right w:w="15" w:type="dxa"/>
          </w:tblCellMar>
        </w:tblPrEx>
        <w:trPr>
          <w:trHeight w:val="543"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4"/>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码头、矿山、填埋场和消纳场未采取有效措施防治扬尘污染的</w:t>
            </w:r>
          </w:p>
        </w:tc>
      </w:tr>
      <w:tr>
        <w:tblPrEx>
          <w:tblCellMar>
            <w:top w:w="15" w:type="dxa"/>
            <w:left w:w="15" w:type="dxa"/>
            <w:bottom w:w="15" w:type="dxa"/>
            <w:right w:w="15"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4"/>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第七十二条</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第二款</w:t>
            </w:r>
            <w:r>
              <w:rPr>
                <w:rFonts w:hint="eastAsia" w:ascii="仿宋_GB2312" w:hAnsi="仿宋_GB2312" w:eastAsia="仿宋_GB2312" w:cs="仿宋_GB2312"/>
                <w:sz w:val="24"/>
              </w:rPr>
              <w:t xml:space="preserve"> 码头、矿山、填埋场和消纳场应当实施分区作业，并采取有效措施防治扬尘污染。</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扬尘污染防治办法》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第十九条 </w:t>
            </w:r>
            <w:r>
              <w:rPr>
                <w:rFonts w:hint="eastAsia" w:ascii="仿宋_GB2312" w:hAnsi="仿宋_GB2312" w:eastAsia="仿宋_GB2312" w:cs="仿宋_GB2312"/>
                <w:sz w:val="24"/>
              </w:rPr>
              <w:t>码头堆放、装卸和运输作业，应当符合下列防尘要求：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（一）主干道及辅助道路应当铺装或者硬化，采用湿式机械化清扫方式及时清除散落物料，并采取洒水等防尘措施；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（二）露天堆场设置高于堆存物料的围挡、防风网等设施，并采取遮盖、喷淋等防尘措施；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（三）堆料、取料和卸船（车）、装船（车）作业，应当降低落料高度，采取湿式作业，保证喷淋喷雾设施有效覆盖起尘范围；</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（四）物料传送皮带应当采取密闭、吸尘等防尘措施；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（五）翻车机房、卸车坑道、码头面、转运站应当设置水力冲洗设备或者真空清扫设施，保持地面整洁；</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（六）在出口设置运输车辆清洗设施，车辆冲洗干净后方可驶出；</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（七）法律、法规、规章规定的其他扬尘污染防治措施。</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第二十条</w:t>
            </w:r>
            <w:r>
              <w:rPr>
                <w:rFonts w:hint="eastAsia" w:ascii="仿宋_GB2312" w:hAnsi="仿宋_GB2312" w:eastAsia="仿宋_GB2312" w:cs="仿宋_GB2312"/>
                <w:sz w:val="24"/>
              </w:rPr>
              <w:t xml:space="preserve"> 矿产资源开采、加工，应当符合下列防尘要求：</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（一）勘探、采矿及选矿作业中所用设备应当配备粉尘收集等降尘设施；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（二）开采区域内的道路以及开采区到加工区、废料堆场、公路路网的运输通道，应当进行硬化，并采取洒水等防尘措施；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（三）排岩优先采取外围排岩作业方式，作业时采取湿法喷淋等防尘措施；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（四）尾矿库、排土场、排岩场应当采取喷洒覆盖剂、覆盖防尘网、绿化、复垦等防尘措施；</w:t>
            </w:r>
          </w:p>
          <w:p>
            <w:pPr>
              <w:jc w:val="left"/>
              <w:rPr>
                <w:rFonts w:ascii="仿宋_GB2312" w:hAnsi="仿宋_GB2312" w:eastAsia="仿宋_GB2312" w:cs="仿宋_GB2312"/>
                <w:sz w:val="24"/>
              </w:rPr>
            </w:pPr>
            <w:r>
              <w:rPr>
                <w:rFonts w:hint="eastAsia" w:ascii="仿宋_GB2312" w:hAnsi="仿宋_GB2312" w:eastAsia="仿宋_GB2312" w:cs="仿宋_GB2312"/>
                <w:sz w:val="24"/>
              </w:rPr>
              <w:t>（五）对停用的采矿、采砂、采石和其他矿产、取土用地，应当制定落实生态修复计划，及时恢复生态植被；</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（六）矿产资源加工应当采用防尘、除尘措施；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七）矿产资源开采、加工作业区应当同步安装视频监控设备和扬尘污染物在线监测设备，并与生态环境主管部门及其他负有扬尘污染防治监督管理职责的部门的监控设备联网，保证系统正常运行,发生故障应当在二十四小时内修复；</w:t>
            </w:r>
          </w:p>
          <w:p>
            <w:pPr>
              <w:jc w:val="left"/>
              <w:rPr>
                <w:rFonts w:ascii="仿宋_GB2312" w:hAnsi="仿宋_GB2312" w:eastAsia="仿宋_GB2312" w:cs="仿宋_GB2312"/>
                <w:sz w:val="24"/>
              </w:rPr>
            </w:pPr>
            <w:r>
              <w:rPr>
                <w:rFonts w:hint="eastAsia" w:ascii="仿宋_GB2312" w:hAnsi="仿宋_GB2312" w:eastAsia="仿宋_GB2312" w:cs="仿宋_GB2312"/>
                <w:sz w:val="24"/>
              </w:rPr>
              <w:t>（八）法律、法规、规章规定的其他扬尘污染防治措施。</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第一百一十七条</w:t>
            </w:r>
            <w:r>
              <w:rPr>
                <w:rFonts w:hint="eastAsia" w:ascii="仿宋_GB2312" w:hAnsi="仿宋_GB2312" w:eastAsia="仿宋_GB2312" w:cs="仿宋_GB2312"/>
                <w:sz w:val="24"/>
              </w:rPr>
              <w:t xml:space="preserve"> 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（五）码头、矿山、填埋场和消纳场未采取有效措施防治扬尘污染的；</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扬尘污染防治办法》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第四十条</w:t>
            </w:r>
            <w:r>
              <w:rPr>
                <w:rFonts w:hint="eastAsia" w:ascii="仿宋_GB2312" w:hAnsi="仿宋_GB2312" w:eastAsia="仿宋_GB2312" w:cs="仿宋_GB2312"/>
                <w:sz w:val="24"/>
              </w:rPr>
              <w:t xml:space="preserve"> 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5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10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5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10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已采取防治扬尘污染措施，效果不佳的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5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10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完全未采取防治扬尘污染措施的    </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75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10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51"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10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751" w:type="dxa"/>
            <w:vMerge w:val="continue"/>
            <w:tcBorders>
              <w:left w:val="single" w:color="auto" w:sz="4" w:space="0"/>
            </w:tcBorders>
            <w:noWrap w:val="0"/>
            <w:vAlign w:val="center"/>
          </w:tcPr>
          <w:p>
            <w:pPr>
              <w:jc w:val="center"/>
              <w:rPr>
                <w:sz w:val="24"/>
              </w:rPr>
            </w:pPr>
          </w:p>
        </w:tc>
        <w:tc>
          <w:tcPr>
            <w:tcW w:w="1104"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751"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10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5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10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5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10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5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10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5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10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51" w:type="dxa"/>
            <w:vMerge w:val="continue"/>
            <w:tcBorders>
              <w:left w:val="nil"/>
            </w:tcBorders>
            <w:noWrap w:val="0"/>
            <w:vAlign w:val="center"/>
          </w:tcPr>
          <w:p>
            <w:pPr>
              <w:jc w:val="left"/>
              <w:rPr>
                <w:rFonts w:hint="eastAsia" w:ascii="仿宋_GB2312" w:hAnsi="仿宋_GB2312" w:eastAsia="仿宋_GB2312" w:cs="仿宋_GB2312"/>
                <w:sz w:val="24"/>
              </w:rPr>
            </w:pPr>
          </w:p>
        </w:tc>
        <w:tc>
          <w:tcPr>
            <w:tcW w:w="1104"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51"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110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751" w:type="dxa"/>
            <w:vMerge w:val="continue"/>
            <w:noWrap w:val="0"/>
            <w:vAlign w:val="center"/>
          </w:tcPr>
          <w:p>
            <w:pPr>
              <w:jc w:val="center"/>
              <w:rPr>
                <w:rFonts w:hint="eastAsia" w:ascii="仿宋_GB2312" w:hAnsi="仿宋_GB2312" w:eastAsia="仿宋_GB2312" w:cs="仿宋_GB2312"/>
                <w:sz w:val="24"/>
              </w:rPr>
            </w:pPr>
          </w:p>
        </w:tc>
        <w:tc>
          <w:tcPr>
            <w:tcW w:w="1104"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p>
      <w:pPr>
        <w:widowControl/>
        <w:jc w:val="center"/>
        <w:textAlignment w:val="center"/>
        <w:rPr>
          <w:rFonts w:hint="eastAsia" w:ascii="方正小标宋简体" w:hAnsi="方正小标宋简体" w:eastAsia="方正小标宋简体" w:cs="方正小标宋简体"/>
          <w:kern w:val="0"/>
          <w:sz w:val="40"/>
          <w:szCs w:val="40"/>
        </w:rPr>
      </w:pPr>
    </w:p>
    <w:tbl>
      <w:tblPr>
        <w:tblStyle w:val="9"/>
        <w:tblW w:w="9105" w:type="dxa"/>
        <w:tblInd w:w="0" w:type="dxa"/>
        <w:tblLayout w:type="fixed"/>
        <w:tblCellMar>
          <w:top w:w="15" w:type="dxa"/>
          <w:left w:w="15" w:type="dxa"/>
          <w:bottom w:w="15" w:type="dxa"/>
          <w:right w:w="15" w:type="dxa"/>
        </w:tblCellMar>
      </w:tblPr>
      <w:tblGrid>
        <w:gridCol w:w="1211"/>
        <w:gridCol w:w="1816"/>
        <w:gridCol w:w="1039"/>
        <w:gridCol w:w="3203"/>
        <w:gridCol w:w="1836"/>
      </w:tblGrid>
      <w:tr>
        <w:tblPrEx>
          <w:tblCellMar>
            <w:top w:w="15" w:type="dxa"/>
            <w:left w:w="15" w:type="dxa"/>
            <w:bottom w:w="15" w:type="dxa"/>
            <w:right w:w="15" w:type="dxa"/>
          </w:tblCellMar>
        </w:tblPrEx>
        <w:trPr>
          <w:trHeight w:val="681" w:hRule="atLeast"/>
        </w:trPr>
        <w:tc>
          <w:tcPr>
            <w:tcW w:w="910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54</w:t>
            </w:r>
          </w:p>
        </w:tc>
      </w:tr>
      <w:tr>
        <w:tblPrEx>
          <w:tblCellMar>
            <w:top w:w="15" w:type="dxa"/>
            <w:left w:w="15" w:type="dxa"/>
            <w:bottom w:w="15" w:type="dxa"/>
            <w:right w:w="15" w:type="dxa"/>
          </w:tblCellMar>
        </w:tblPrEx>
        <w:trPr>
          <w:trHeight w:val="72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CellMar>
            <w:top w:w="15" w:type="dxa"/>
            <w:left w:w="15" w:type="dxa"/>
            <w:bottom w:w="15" w:type="dxa"/>
            <w:right w:w="15" w:type="dxa"/>
          </w:tblCellMar>
        </w:tblPrEx>
        <w:trPr>
          <w:trHeight w:val="3553"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9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第七十八条</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第二款</w:t>
            </w:r>
            <w:r>
              <w:rPr>
                <w:rFonts w:hint="eastAsia" w:ascii="仿宋_GB2312" w:hAnsi="仿宋_GB2312" w:eastAsia="仿宋_GB2312" w:cs="仿宋_GB2312"/>
                <w:sz w:val="24"/>
              </w:rPr>
              <w:t xml:space="preserve">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第一百一十七条 </w:t>
            </w:r>
            <w:r>
              <w:rPr>
                <w:rFonts w:hint="eastAsia" w:ascii="仿宋_GB2312" w:hAnsi="仿宋_GB2312" w:eastAsia="仿宋_GB2312" w:cs="仿宋_GB2312"/>
                <w:sz w:val="24"/>
              </w:rPr>
              <w:t>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（六）排放有毒有害大气污染物名录中所列有毒有害大气污染物的企业事业单位，未按照规定建设环境风险预警体系或者对排放口和周边环境进行定期监测、排查环境安全隐患并采取有效措施防范环境风险的；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1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3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1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103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未采取有效措施防范环境风险的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1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3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未建设预警体系或对排放口和周边环境定期监测、排查安全隐患的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1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3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1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3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pPr>
          </w:p>
        </w:tc>
        <w:tc>
          <w:tcPr>
            <w:tcW w:w="1816" w:type="dxa"/>
            <w:vMerge w:val="continue"/>
            <w:tcBorders>
              <w:left w:val="single" w:color="auto" w:sz="4" w:space="0"/>
            </w:tcBorders>
            <w:noWrap w:val="0"/>
            <w:vAlign w:val="center"/>
          </w:tcPr>
          <w:p>
            <w:pPr>
              <w:jc w:val="center"/>
              <w:rPr>
                <w:sz w:val="24"/>
              </w:rPr>
            </w:pPr>
          </w:p>
        </w:tc>
        <w:tc>
          <w:tcPr>
            <w:tcW w:w="1039"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1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3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1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3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1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3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1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3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1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3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1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3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1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103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16" w:type="dxa"/>
            <w:vMerge w:val="continue"/>
            <w:noWrap w:val="0"/>
            <w:vAlign w:val="center"/>
          </w:tcPr>
          <w:p>
            <w:pPr>
              <w:jc w:val="center"/>
              <w:rPr>
                <w:rFonts w:hint="eastAsia" w:ascii="仿宋_GB2312" w:hAnsi="仿宋_GB2312" w:eastAsia="仿宋_GB2312" w:cs="仿宋_GB2312"/>
                <w:sz w:val="24"/>
              </w:rPr>
            </w:pPr>
          </w:p>
        </w:tc>
        <w:tc>
          <w:tcPr>
            <w:tcW w:w="1039"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r>
        <w:br w:type="page"/>
      </w:r>
    </w:p>
    <w:tbl>
      <w:tblPr>
        <w:tblStyle w:val="9"/>
        <w:tblpPr w:leftFromText="180" w:rightFromText="180" w:vertAnchor="text" w:horzAnchor="page" w:tblpX="1405" w:tblpY="-215"/>
        <w:tblOverlap w:val="never"/>
        <w:tblW w:w="0" w:type="auto"/>
        <w:tblInd w:w="0" w:type="dxa"/>
        <w:tblLayout w:type="fixed"/>
        <w:tblCellMar>
          <w:top w:w="15" w:type="dxa"/>
          <w:left w:w="15" w:type="dxa"/>
          <w:bottom w:w="15" w:type="dxa"/>
          <w:right w:w="15" w:type="dxa"/>
        </w:tblCellMar>
      </w:tblPr>
      <w:tblGrid>
        <w:gridCol w:w="1211"/>
        <w:gridCol w:w="1880"/>
        <w:gridCol w:w="814"/>
        <w:gridCol w:w="3364"/>
        <w:gridCol w:w="1822"/>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55</w:t>
            </w:r>
          </w:p>
        </w:tc>
      </w:tr>
      <w:tr>
        <w:tblPrEx>
          <w:tblCellMar>
            <w:top w:w="15" w:type="dxa"/>
            <w:left w:w="15" w:type="dxa"/>
            <w:bottom w:w="15" w:type="dxa"/>
            <w:right w:w="15" w:type="dxa"/>
          </w:tblCellMar>
        </w:tblPrEx>
        <w:trPr>
          <w:trHeight w:val="815"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向大气排放持久性有机污染物的企业事业单位和其他生产经营者以及废弃物焚烧设施的运营单位，未按照国家有关规定采取有利于减少持久性有机污染物排放的技术方法和工艺，配备净化装置的</w:t>
            </w:r>
          </w:p>
        </w:tc>
      </w:tr>
      <w:tr>
        <w:tblPrEx>
          <w:tblCellMar>
            <w:top w:w="15" w:type="dxa"/>
            <w:left w:w="15" w:type="dxa"/>
            <w:bottom w:w="15" w:type="dxa"/>
            <w:right w:w="15" w:type="dxa"/>
          </w:tblCellMar>
        </w:tblPrEx>
        <w:trPr>
          <w:trHeight w:val="3580"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第七十九条</w:t>
            </w:r>
            <w:r>
              <w:rPr>
                <w:rFonts w:hint="eastAsia" w:ascii="仿宋_GB2312" w:hAnsi="仿宋_GB2312" w:eastAsia="仿宋_GB2312" w:cs="仿宋_GB2312"/>
                <w:sz w:val="24"/>
              </w:rPr>
              <w:t xml:space="preserve">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第一百一十七条</w:t>
            </w:r>
            <w:r>
              <w:rPr>
                <w:rFonts w:hint="eastAsia" w:ascii="仿宋_GB2312" w:hAnsi="仿宋_GB2312" w:eastAsia="仿宋_GB2312" w:cs="仿宋_GB2312"/>
                <w:sz w:val="24"/>
              </w:rPr>
              <w:t xml:space="preserve"> 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（七）向大气排放持久性有机污染物的企业事业单位和其他生产经营者以及废弃物焚烧设施的运营单位，未按照国家有关规定采取有利于减少持久性有机污染物排放的技术方法和工艺，配备净化装置的；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186"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81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80"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81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20%</w:t>
            </w:r>
          </w:p>
        </w:tc>
        <w:tc>
          <w:tcPr>
            <w:tcW w:w="3364"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未完全按照国家规定采取相关措施的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80" w:type="dxa"/>
            <w:vMerge w:val="continue"/>
            <w:noWrap w:val="0"/>
            <w:vAlign w:val="center"/>
          </w:tcPr>
          <w:p>
            <w:pPr>
              <w:jc w:val="center"/>
              <w:rPr>
                <w:rFonts w:hint="eastAsia" w:ascii="仿宋_GB2312" w:hAnsi="仿宋_GB2312" w:eastAsia="仿宋_GB2312" w:cs="仿宋_GB2312"/>
                <w:b/>
                <w:bCs/>
                <w:sz w:val="24"/>
              </w:rPr>
            </w:pPr>
          </w:p>
        </w:tc>
        <w:tc>
          <w:tcPr>
            <w:tcW w:w="814" w:type="dxa"/>
            <w:vMerge w:val="continue"/>
            <w:noWrap w:val="0"/>
            <w:vAlign w:val="center"/>
          </w:tcPr>
          <w:p>
            <w:pPr>
              <w:jc w:val="center"/>
              <w:rPr>
                <w:rFonts w:hint="eastAsia" w:ascii="仿宋_GB2312" w:hAnsi="仿宋_GB2312" w:eastAsia="仿宋_GB2312" w:cs="仿宋_GB2312"/>
                <w:b/>
                <w:bCs/>
                <w:sz w:val="24"/>
              </w:rPr>
            </w:pPr>
          </w:p>
        </w:tc>
        <w:tc>
          <w:tcPr>
            <w:tcW w:w="3364"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完全没有采取污染防治措施</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80"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排污企业性质</w:t>
            </w:r>
          </w:p>
        </w:tc>
        <w:tc>
          <w:tcPr>
            <w:tcW w:w="81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20%</w:t>
            </w: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一般排污单位</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80" w:type="dxa"/>
            <w:vMerge w:val="continue"/>
            <w:noWrap w:val="0"/>
            <w:vAlign w:val="center"/>
          </w:tcPr>
          <w:p>
            <w:pPr>
              <w:jc w:val="center"/>
              <w:rPr>
                <w:rFonts w:hint="eastAsia" w:ascii="仿宋_GB2312" w:hAnsi="仿宋_GB2312" w:eastAsia="仿宋_GB2312" w:cs="仿宋_GB2312"/>
                <w:b/>
                <w:bCs/>
                <w:sz w:val="24"/>
              </w:rPr>
            </w:pPr>
          </w:p>
        </w:tc>
        <w:tc>
          <w:tcPr>
            <w:tcW w:w="814" w:type="dxa"/>
            <w:vMerge w:val="continue"/>
            <w:noWrap w:val="0"/>
            <w:vAlign w:val="center"/>
          </w:tcPr>
          <w:p>
            <w:pPr>
              <w:jc w:val="center"/>
              <w:rPr>
                <w:rFonts w:hint="eastAsia" w:ascii="仿宋_GB2312" w:hAnsi="仿宋_GB2312" w:eastAsia="仿宋_GB2312" w:cs="仿宋_GB2312"/>
                <w:b/>
                <w:bCs/>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重点排污单位</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81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20%</w:t>
            </w: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80" w:type="dxa"/>
            <w:vMerge w:val="continue"/>
            <w:noWrap w:val="0"/>
            <w:vAlign w:val="center"/>
          </w:tcPr>
          <w:p>
            <w:pPr>
              <w:jc w:val="center"/>
              <w:rPr>
                <w:rFonts w:hint="eastAsia" w:ascii="仿宋_GB2312" w:hAnsi="仿宋_GB2312" w:eastAsia="仿宋_GB2312" w:cs="仿宋_GB2312"/>
                <w:b/>
                <w:bCs/>
                <w:sz w:val="24"/>
              </w:rPr>
            </w:pPr>
          </w:p>
        </w:tc>
        <w:tc>
          <w:tcPr>
            <w:tcW w:w="814" w:type="dxa"/>
            <w:vMerge w:val="continue"/>
            <w:noWrap w:val="0"/>
            <w:vAlign w:val="center"/>
          </w:tcPr>
          <w:p>
            <w:pPr>
              <w:jc w:val="center"/>
              <w:rPr>
                <w:rFonts w:hint="eastAsia" w:ascii="仿宋_GB2312" w:hAnsi="仿宋_GB2312" w:eastAsia="仿宋_GB2312" w:cs="仿宋_GB2312"/>
                <w:b/>
                <w:bCs/>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pPr>
          </w:p>
        </w:tc>
        <w:tc>
          <w:tcPr>
            <w:tcW w:w="1880" w:type="dxa"/>
            <w:vMerge w:val="continue"/>
            <w:noWrap w:val="0"/>
            <w:vAlign w:val="center"/>
          </w:tcPr>
          <w:p>
            <w:pPr>
              <w:jc w:val="center"/>
              <w:rPr>
                <w:sz w:val="24"/>
              </w:rPr>
            </w:pPr>
          </w:p>
        </w:tc>
        <w:tc>
          <w:tcPr>
            <w:tcW w:w="814" w:type="dxa"/>
            <w:vMerge w:val="continue"/>
            <w:noWrap w:val="0"/>
            <w:vAlign w:val="center"/>
          </w:tcPr>
          <w:p>
            <w:pPr>
              <w:jc w:val="center"/>
              <w:rPr>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rPr>
                <w:rFonts w:hint="eastAsia" w:ascii="仿宋_GB2312" w:hAnsi="仿宋_GB2312" w:eastAsia="仿宋_GB2312" w:cs="仿宋_GB2312"/>
                <w:sz w:val="22"/>
                <w:szCs w:val="28"/>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814" w:type="dxa"/>
            <w:vMerge w:val="continue"/>
            <w:noWrap w:val="0"/>
            <w:vAlign w:val="center"/>
          </w:tcPr>
          <w:p>
            <w:pPr>
              <w:jc w:val="center"/>
              <w:rPr>
                <w:rFonts w:hint="eastAsia" w:ascii="仿宋_GB2312" w:hAnsi="仿宋_GB2312" w:eastAsia="仿宋_GB2312" w:cs="仿宋_GB2312"/>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整改情况</w:t>
            </w:r>
          </w:p>
        </w:tc>
        <w:tc>
          <w:tcPr>
            <w:tcW w:w="1880"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是否完成整改</w:t>
            </w:r>
          </w:p>
        </w:tc>
        <w:tc>
          <w:tcPr>
            <w:tcW w:w="81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80" w:type="dxa"/>
            <w:vMerge w:val="continue"/>
            <w:noWrap w:val="0"/>
            <w:vAlign w:val="center"/>
          </w:tcPr>
          <w:p>
            <w:pPr>
              <w:jc w:val="left"/>
              <w:rPr>
                <w:rFonts w:hint="eastAsia" w:ascii="仿宋_GB2312" w:hAnsi="仿宋_GB2312" w:eastAsia="仿宋_GB2312" w:cs="仿宋_GB2312"/>
                <w:b/>
                <w:bCs/>
                <w:sz w:val="24"/>
              </w:rPr>
            </w:pPr>
          </w:p>
        </w:tc>
        <w:tc>
          <w:tcPr>
            <w:tcW w:w="814" w:type="dxa"/>
            <w:vMerge w:val="continue"/>
            <w:noWrap w:val="0"/>
            <w:vAlign w:val="center"/>
          </w:tcPr>
          <w:p>
            <w:pPr>
              <w:jc w:val="center"/>
              <w:rPr>
                <w:rFonts w:hint="eastAsia" w:ascii="仿宋_GB2312" w:hAnsi="仿宋_GB2312" w:eastAsia="仿宋_GB2312" w:cs="仿宋_GB2312"/>
                <w:b/>
                <w:bCs/>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80" w:type="dxa"/>
            <w:vMerge w:val="continue"/>
            <w:noWrap w:val="0"/>
            <w:vAlign w:val="center"/>
          </w:tcPr>
          <w:p>
            <w:pPr>
              <w:jc w:val="left"/>
              <w:rPr>
                <w:rFonts w:hint="eastAsia" w:ascii="仿宋_GB2312" w:hAnsi="仿宋_GB2312" w:eastAsia="仿宋_GB2312" w:cs="仿宋_GB2312"/>
                <w:b/>
                <w:bCs/>
                <w:sz w:val="24"/>
              </w:rPr>
            </w:pPr>
          </w:p>
        </w:tc>
        <w:tc>
          <w:tcPr>
            <w:tcW w:w="814" w:type="dxa"/>
            <w:vMerge w:val="continue"/>
            <w:noWrap w:val="0"/>
            <w:vAlign w:val="center"/>
          </w:tcPr>
          <w:p>
            <w:pPr>
              <w:jc w:val="center"/>
              <w:rPr>
                <w:rFonts w:hint="eastAsia" w:ascii="仿宋_GB2312" w:hAnsi="仿宋_GB2312" w:eastAsia="仿宋_GB2312" w:cs="仿宋_GB2312"/>
                <w:b/>
                <w:bCs/>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81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814" w:type="dxa"/>
            <w:vMerge w:val="continue"/>
            <w:noWrap w:val="0"/>
            <w:vAlign w:val="center"/>
          </w:tcPr>
          <w:p>
            <w:pPr>
              <w:jc w:val="center"/>
              <w:rPr>
                <w:rFonts w:hint="eastAsia" w:ascii="仿宋_GB2312" w:hAnsi="仿宋_GB2312" w:eastAsia="仿宋_GB2312" w:cs="仿宋_GB2312"/>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81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814" w:type="dxa"/>
            <w:vMerge w:val="continue"/>
            <w:noWrap w:val="0"/>
            <w:vAlign w:val="center"/>
          </w:tcPr>
          <w:p>
            <w:pPr>
              <w:rPr>
                <w:rFonts w:hint="eastAsia" w:ascii="仿宋_GB2312" w:hAnsi="仿宋_GB2312" w:eastAsia="仿宋_GB2312" w:cs="仿宋_GB2312"/>
                <w:sz w:val="24"/>
              </w:rPr>
            </w:pPr>
          </w:p>
        </w:tc>
        <w:tc>
          <w:tcPr>
            <w:tcW w:w="3364"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r>
        <w:br w:type="page"/>
      </w:r>
    </w:p>
    <w:p/>
    <w:tbl>
      <w:tblPr>
        <w:tblStyle w:val="9"/>
        <w:tblpPr w:leftFromText="180" w:rightFromText="180" w:vertAnchor="text" w:horzAnchor="page" w:tblpX="1405" w:tblpY="-298"/>
        <w:tblOverlap w:val="never"/>
        <w:tblW w:w="0" w:type="auto"/>
        <w:tblInd w:w="0" w:type="dxa"/>
        <w:tblLayout w:type="fixed"/>
        <w:tblCellMar>
          <w:top w:w="15" w:type="dxa"/>
          <w:left w:w="15" w:type="dxa"/>
          <w:bottom w:w="15" w:type="dxa"/>
          <w:right w:w="15" w:type="dxa"/>
        </w:tblCellMar>
      </w:tblPr>
      <w:tblGrid>
        <w:gridCol w:w="1211"/>
        <w:gridCol w:w="1751"/>
        <w:gridCol w:w="954"/>
        <w:gridCol w:w="3353"/>
        <w:gridCol w:w="1822"/>
      </w:tblGrid>
      <w:tr>
        <w:tblPrEx>
          <w:tblCellMar>
            <w:top w:w="15" w:type="dxa"/>
            <w:left w:w="15" w:type="dxa"/>
            <w:bottom w:w="15" w:type="dxa"/>
            <w:right w:w="15" w:type="dxa"/>
          </w:tblCellMar>
        </w:tblPrEx>
        <w:trPr>
          <w:trHeight w:val="735"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56</w:t>
            </w:r>
          </w:p>
        </w:tc>
      </w:tr>
      <w:tr>
        <w:tblPrEx>
          <w:tblCellMar>
            <w:top w:w="15" w:type="dxa"/>
            <w:left w:w="15" w:type="dxa"/>
            <w:bottom w:w="15" w:type="dxa"/>
            <w:right w:w="15" w:type="dxa"/>
          </w:tblCellMar>
        </w:tblPrEx>
        <w:trPr>
          <w:trHeight w:val="9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未采取措施防止排放恶臭气体的</w:t>
            </w:r>
          </w:p>
        </w:tc>
      </w:tr>
      <w:tr>
        <w:tblPrEx>
          <w:tblCellMar>
            <w:top w:w="15" w:type="dxa"/>
            <w:left w:w="15" w:type="dxa"/>
            <w:bottom w:w="15" w:type="dxa"/>
            <w:right w:w="15" w:type="dxa"/>
          </w:tblCellMar>
        </w:tblPrEx>
        <w:trPr>
          <w:trHeight w:val="2451"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第七十五条</w:t>
            </w:r>
            <w:r>
              <w:rPr>
                <w:rFonts w:hint="eastAsia" w:ascii="仿宋_GB2312" w:hAnsi="仿宋_GB2312" w:eastAsia="仿宋_GB2312" w:cs="仿宋_GB2312"/>
                <w:sz w:val="24"/>
              </w:rPr>
              <w:t xml:space="preserve"> 畜禽养殖场、养殖小区应当及时对污水、畜禽粪便和尸体等进行收集、贮存、清运和无害化处理，防止排放恶臭气体。</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第八十条 </w:t>
            </w:r>
            <w:r>
              <w:rPr>
                <w:rFonts w:hint="eastAsia" w:ascii="仿宋_GB2312" w:hAnsi="仿宋_GB2312" w:eastAsia="仿宋_GB2312" w:cs="仿宋_GB2312"/>
                <w:sz w:val="24"/>
              </w:rPr>
              <w:t>企业事业单位和其他生产经营者在生产经营活动中产生恶臭气体的，应当科学选址，设置合理的防护距离，并安装净化装置或者采取其他措施，防止排放恶臭气体。</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第一百一十七条</w:t>
            </w:r>
            <w:r>
              <w:rPr>
                <w:rFonts w:hint="eastAsia" w:ascii="仿宋_GB2312" w:hAnsi="仿宋_GB2312" w:eastAsia="仿宋_GB2312" w:cs="仿宋_GB2312"/>
                <w:sz w:val="24"/>
              </w:rPr>
              <w:t xml:space="preserve"> 违反本法规定，有下列行为之一的，由县级以上人民政府生态环境等主管部门按照职责责令改正，处一万元以上十万元以下的罚款；拒不改正的，责令停工整治或者停业整治：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（八）未采取措施防止排放恶臭气体的。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17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5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5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5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75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95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353"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没有按要求采取污染防治措施的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751" w:type="dxa"/>
            <w:vMerge w:val="continue"/>
            <w:noWrap w:val="0"/>
            <w:vAlign w:val="center"/>
          </w:tcPr>
          <w:p>
            <w:pPr>
              <w:jc w:val="center"/>
              <w:rPr>
                <w:rFonts w:hint="eastAsia" w:ascii="仿宋_GB2312" w:hAnsi="仿宋_GB2312" w:eastAsia="仿宋_GB2312" w:cs="仿宋_GB2312"/>
                <w:b/>
                <w:bCs/>
                <w:sz w:val="24"/>
              </w:rPr>
            </w:pPr>
          </w:p>
        </w:tc>
        <w:tc>
          <w:tcPr>
            <w:tcW w:w="954" w:type="dxa"/>
            <w:vMerge w:val="continue"/>
            <w:noWrap w:val="0"/>
            <w:vAlign w:val="center"/>
          </w:tcPr>
          <w:p>
            <w:pPr>
              <w:jc w:val="center"/>
              <w:rPr>
                <w:rFonts w:hint="eastAsia" w:ascii="仿宋_GB2312" w:hAnsi="仿宋_GB2312" w:eastAsia="仿宋_GB2312" w:cs="仿宋_GB2312"/>
                <w:b/>
                <w:bCs/>
                <w:sz w:val="24"/>
              </w:rPr>
            </w:pPr>
          </w:p>
        </w:tc>
        <w:tc>
          <w:tcPr>
            <w:tcW w:w="3353"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完全没有采取污染防治措施的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751"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5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20%</w:t>
            </w: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751" w:type="dxa"/>
            <w:vMerge w:val="continue"/>
            <w:noWrap w:val="0"/>
            <w:vAlign w:val="center"/>
          </w:tcPr>
          <w:p>
            <w:pPr>
              <w:jc w:val="center"/>
              <w:rPr>
                <w:rFonts w:hint="eastAsia" w:ascii="仿宋_GB2312" w:hAnsi="仿宋_GB2312" w:eastAsia="仿宋_GB2312" w:cs="仿宋_GB2312"/>
                <w:b/>
                <w:bCs/>
                <w:sz w:val="24"/>
              </w:rPr>
            </w:pPr>
          </w:p>
        </w:tc>
        <w:tc>
          <w:tcPr>
            <w:tcW w:w="954" w:type="dxa"/>
            <w:vMerge w:val="continue"/>
            <w:noWrap w:val="0"/>
            <w:vAlign w:val="center"/>
          </w:tcPr>
          <w:p>
            <w:pPr>
              <w:jc w:val="center"/>
              <w:rPr>
                <w:rFonts w:hint="eastAsia" w:ascii="仿宋_GB2312" w:hAnsi="仿宋_GB2312" w:eastAsia="仿宋_GB2312" w:cs="仿宋_GB2312"/>
                <w:b/>
                <w:bCs/>
                <w:sz w:val="24"/>
              </w:rPr>
            </w:pP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pPr>
          </w:p>
        </w:tc>
        <w:tc>
          <w:tcPr>
            <w:tcW w:w="1751" w:type="dxa"/>
            <w:vMerge w:val="continue"/>
            <w:noWrap w:val="0"/>
            <w:vAlign w:val="center"/>
          </w:tcPr>
          <w:p>
            <w:pPr>
              <w:jc w:val="center"/>
              <w:rPr>
                <w:sz w:val="24"/>
              </w:rPr>
            </w:pPr>
          </w:p>
        </w:tc>
        <w:tc>
          <w:tcPr>
            <w:tcW w:w="954" w:type="dxa"/>
            <w:vMerge w:val="continue"/>
            <w:noWrap w:val="0"/>
            <w:vAlign w:val="center"/>
          </w:tcPr>
          <w:p>
            <w:pPr>
              <w:jc w:val="center"/>
              <w:rPr>
                <w:sz w:val="24"/>
              </w:rPr>
            </w:pP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rPr>
                <w:rFonts w:hint="eastAsia" w:ascii="仿宋_GB2312" w:hAnsi="仿宋_GB2312" w:eastAsia="仿宋_GB2312" w:cs="仿宋_GB2312"/>
                <w:sz w:val="22"/>
                <w:szCs w:val="28"/>
              </w:rPr>
            </w:pPr>
          </w:p>
        </w:tc>
        <w:tc>
          <w:tcPr>
            <w:tcW w:w="1751" w:type="dxa"/>
            <w:vMerge w:val="continue"/>
            <w:noWrap w:val="0"/>
            <w:vAlign w:val="center"/>
          </w:tcPr>
          <w:p>
            <w:pPr>
              <w:jc w:val="center"/>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整改情况</w:t>
            </w:r>
          </w:p>
        </w:tc>
        <w:tc>
          <w:tcPr>
            <w:tcW w:w="175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是否完成整改</w:t>
            </w:r>
          </w:p>
        </w:tc>
        <w:tc>
          <w:tcPr>
            <w:tcW w:w="95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751" w:type="dxa"/>
            <w:vMerge w:val="continue"/>
            <w:noWrap w:val="0"/>
            <w:vAlign w:val="center"/>
          </w:tcPr>
          <w:p>
            <w:pPr>
              <w:jc w:val="left"/>
              <w:rPr>
                <w:rFonts w:hint="eastAsia" w:ascii="仿宋_GB2312" w:hAnsi="仿宋_GB2312" w:eastAsia="仿宋_GB2312" w:cs="仿宋_GB2312"/>
                <w:b/>
                <w:bCs/>
                <w:sz w:val="24"/>
              </w:rPr>
            </w:pPr>
          </w:p>
        </w:tc>
        <w:tc>
          <w:tcPr>
            <w:tcW w:w="954" w:type="dxa"/>
            <w:vMerge w:val="continue"/>
            <w:noWrap w:val="0"/>
            <w:vAlign w:val="center"/>
          </w:tcPr>
          <w:p>
            <w:pPr>
              <w:jc w:val="center"/>
              <w:rPr>
                <w:rFonts w:hint="eastAsia" w:ascii="仿宋_GB2312" w:hAnsi="仿宋_GB2312" w:eastAsia="仿宋_GB2312" w:cs="仿宋_GB2312"/>
                <w:b/>
                <w:bCs/>
                <w:sz w:val="24"/>
              </w:rPr>
            </w:pP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751" w:type="dxa"/>
            <w:vMerge w:val="continue"/>
            <w:noWrap w:val="0"/>
            <w:vAlign w:val="center"/>
          </w:tcPr>
          <w:p>
            <w:pPr>
              <w:jc w:val="left"/>
              <w:rPr>
                <w:rFonts w:hint="eastAsia" w:ascii="仿宋_GB2312" w:hAnsi="仿宋_GB2312" w:eastAsia="仿宋_GB2312" w:cs="仿宋_GB2312"/>
                <w:b/>
                <w:bCs/>
                <w:sz w:val="24"/>
              </w:rPr>
            </w:pPr>
          </w:p>
        </w:tc>
        <w:tc>
          <w:tcPr>
            <w:tcW w:w="954" w:type="dxa"/>
            <w:vMerge w:val="continue"/>
            <w:noWrap w:val="0"/>
            <w:vAlign w:val="center"/>
          </w:tcPr>
          <w:p>
            <w:pPr>
              <w:jc w:val="center"/>
              <w:rPr>
                <w:rFonts w:hint="eastAsia" w:ascii="仿宋_GB2312" w:hAnsi="仿宋_GB2312" w:eastAsia="仿宋_GB2312" w:cs="仿宋_GB2312"/>
                <w:b/>
                <w:bCs/>
                <w:sz w:val="24"/>
              </w:rPr>
            </w:pP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51"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5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51"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54" w:type="dxa"/>
            <w:vMerge w:val="continue"/>
            <w:noWrap w:val="0"/>
            <w:vAlign w:val="center"/>
          </w:tcPr>
          <w:p>
            <w:pPr>
              <w:jc w:val="center"/>
              <w:rPr>
                <w:rFonts w:hint="eastAsia" w:ascii="仿宋_GB2312" w:hAnsi="仿宋_GB2312" w:eastAsia="仿宋_GB2312" w:cs="仿宋_GB2312"/>
                <w:sz w:val="24"/>
              </w:rPr>
            </w:pP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51"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954"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751" w:type="dxa"/>
            <w:vMerge w:val="continue"/>
            <w:noWrap w:val="0"/>
            <w:vAlign w:val="center"/>
          </w:tcPr>
          <w:p>
            <w:pPr>
              <w:jc w:val="center"/>
              <w:rPr>
                <w:rFonts w:hint="eastAsia" w:ascii="仿宋_GB2312" w:hAnsi="仿宋_GB2312" w:eastAsia="仿宋_GB2312" w:cs="仿宋_GB2312"/>
                <w:sz w:val="24"/>
              </w:rPr>
            </w:pPr>
          </w:p>
        </w:tc>
        <w:tc>
          <w:tcPr>
            <w:tcW w:w="954" w:type="dxa"/>
            <w:vMerge w:val="continue"/>
            <w:noWrap w:val="0"/>
            <w:vAlign w:val="center"/>
          </w:tcPr>
          <w:p>
            <w:pPr>
              <w:rPr>
                <w:rFonts w:hint="eastAsia" w:ascii="仿宋_GB2312" w:hAnsi="仿宋_GB2312" w:eastAsia="仿宋_GB2312" w:cs="仿宋_GB2312"/>
                <w:sz w:val="24"/>
              </w:rPr>
            </w:pPr>
          </w:p>
        </w:tc>
        <w:tc>
          <w:tcPr>
            <w:tcW w:w="335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211"/>
        <w:gridCol w:w="1826"/>
        <w:gridCol w:w="1029"/>
        <w:gridCol w:w="3203"/>
        <w:gridCol w:w="1822"/>
      </w:tblGrid>
      <w:tr>
        <w:tblPrEx>
          <w:tblCellMar>
            <w:top w:w="15" w:type="dxa"/>
            <w:left w:w="15" w:type="dxa"/>
            <w:bottom w:w="15" w:type="dxa"/>
            <w:right w:w="15" w:type="dxa"/>
          </w:tblCellMar>
        </w:tblPrEx>
        <w:trPr>
          <w:trHeight w:val="713"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57</w:t>
            </w:r>
          </w:p>
        </w:tc>
      </w:tr>
      <w:tr>
        <w:tblPrEx>
          <w:tblCellMar>
            <w:top w:w="15" w:type="dxa"/>
            <w:left w:w="15" w:type="dxa"/>
            <w:bottom w:w="15" w:type="dxa"/>
            <w:right w:w="15" w:type="dxa"/>
          </w:tblCellMar>
        </w:tblPrEx>
        <w:trPr>
          <w:trHeight w:val="681"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从事服装干洗和机动车维修等服务活动，未设置异味和废气处理装置等污染防治设施并保持正常使用，影响周边环境的</w:t>
            </w:r>
          </w:p>
        </w:tc>
      </w:tr>
      <w:tr>
        <w:tblPrEx>
          <w:tblCellMar>
            <w:top w:w="15" w:type="dxa"/>
            <w:left w:w="15" w:type="dxa"/>
            <w:bottom w:w="15" w:type="dxa"/>
            <w:right w:w="15" w:type="dxa"/>
          </w:tblCellMar>
        </w:tblPrEx>
        <w:trPr>
          <w:trHeight w:val="2451"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第八十四条</w:t>
            </w:r>
            <w:r>
              <w:rPr>
                <w:rFonts w:hint="eastAsia" w:ascii="仿宋_GB2312" w:hAnsi="仿宋_GB2312" w:eastAsia="仿宋_GB2312" w:cs="仿宋_GB2312"/>
                <w:sz w:val="24"/>
              </w:rPr>
              <w:t xml:space="preserve"> 从事服装干洗和机动车维修等服务活动的经营者，应当按照国家有关标准或者要求设置异味和废气处理装置等污染防治设施并保持正常使用，防止影响周边环境。</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第一百二十条</w:t>
            </w:r>
            <w:r>
              <w:rPr>
                <w:rFonts w:hint="eastAsia" w:ascii="仿宋_GB2312" w:hAnsi="仿宋_GB2312" w:eastAsia="仿宋_GB2312" w:cs="仿宋_GB2312"/>
                <w:sz w:val="24"/>
              </w:rPr>
              <w:t xml:space="preserve">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2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2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2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1029"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已设置异味和废气处理装置等污染防治设施，但不能保证正常使用的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center"/>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 xml:space="preserve">未设置异味和废气处理装置等污染防治设施的 </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82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29"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center"/>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pPr>
          </w:p>
        </w:tc>
        <w:tc>
          <w:tcPr>
            <w:tcW w:w="1826" w:type="dxa"/>
            <w:vMerge w:val="continue"/>
            <w:noWrap w:val="0"/>
            <w:vAlign w:val="center"/>
          </w:tcPr>
          <w:p>
            <w:pPr>
              <w:jc w:val="center"/>
              <w:rPr>
                <w:sz w:val="24"/>
              </w:rPr>
            </w:pPr>
          </w:p>
        </w:tc>
        <w:tc>
          <w:tcPr>
            <w:tcW w:w="1029"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rPr>
                <w:rFonts w:hint="eastAsia" w:ascii="仿宋_GB2312" w:hAnsi="仿宋_GB2312" w:eastAsia="仿宋_GB2312" w:cs="仿宋_GB2312"/>
                <w:sz w:val="22"/>
                <w:szCs w:val="28"/>
              </w:rPr>
            </w:pPr>
          </w:p>
        </w:tc>
        <w:tc>
          <w:tcPr>
            <w:tcW w:w="1826" w:type="dxa"/>
            <w:vMerge w:val="continue"/>
            <w:noWrap w:val="0"/>
            <w:vAlign w:val="center"/>
          </w:tcPr>
          <w:p>
            <w:pPr>
              <w:jc w:val="center"/>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整改情况</w:t>
            </w:r>
          </w:p>
        </w:tc>
        <w:tc>
          <w:tcPr>
            <w:tcW w:w="182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是否完成整改</w:t>
            </w:r>
          </w:p>
        </w:tc>
        <w:tc>
          <w:tcPr>
            <w:tcW w:w="1029"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left"/>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left"/>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2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vMerge w:val="continue"/>
            <w:noWrap w:val="0"/>
            <w:vAlign w:val="center"/>
          </w:tcPr>
          <w:p>
            <w:pPr>
              <w:jc w:val="center"/>
              <w:rPr>
                <w:rFonts w:hint="eastAsia" w:ascii="仿宋_GB2312" w:hAnsi="仿宋_GB2312" w:eastAsia="仿宋_GB2312" w:cs="仿宋_GB2312"/>
                <w:b/>
                <w:bCs/>
                <w:sz w:val="24"/>
                <w:szCs w:val="32"/>
              </w:rPr>
            </w:pPr>
          </w:p>
        </w:tc>
        <w:tc>
          <w:tcPr>
            <w:tcW w:w="1826" w:type="dxa"/>
            <w:vMerge w:val="continue"/>
            <w:noWrap w:val="0"/>
            <w:vAlign w:val="center"/>
          </w:tcPr>
          <w:p>
            <w:pPr>
              <w:jc w:val="center"/>
              <w:rPr>
                <w:rFonts w:hint="eastAsia" w:ascii="仿宋_GB2312" w:hAnsi="仿宋_GB2312" w:eastAsia="仿宋_GB2312" w:cs="仿宋_GB2312"/>
                <w:sz w:val="24"/>
              </w:rPr>
            </w:pPr>
          </w:p>
        </w:tc>
        <w:tc>
          <w:tcPr>
            <w:tcW w:w="1029"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tbl>
      <w:tblPr>
        <w:tblStyle w:val="9"/>
        <w:tblW w:w="0" w:type="auto"/>
        <w:tblInd w:w="0" w:type="dxa"/>
        <w:tblLayout w:type="fixed"/>
        <w:tblCellMar>
          <w:top w:w="15" w:type="dxa"/>
          <w:left w:w="15" w:type="dxa"/>
          <w:bottom w:w="15" w:type="dxa"/>
          <w:right w:w="15" w:type="dxa"/>
        </w:tblCellMar>
      </w:tblPr>
      <w:tblGrid>
        <w:gridCol w:w="1211"/>
        <w:gridCol w:w="1826"/>
        <w:gridCol w:w="1029"/>
        <w:gridCol w:w="3203"/>
        <w:gridCol w:w="1822"/>
      </w:tblGrid>
      <w:tr>
        <w:tblPrEx>
          <w:tblCellMar>
            <w:top w:w="15" w:type="dxa"/>
            <w:left w:w="15" w:type="dxa"/>
            <w:bottom w:w="15" w:type="dxa"/>
            <w:right w:w="15" w:type="dxa"/>
          </w:tblCellMar>
        </w:tblPrEx>
        <w:trPr>
          <w:trHeight w:val="713"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58</w:t>
            </w:r>
          </w:p>
        </w:tc>
      </w:tr>
      <w:tr>
        <w:tblPrEx>
          <w:tblCellMar>
            <w:top w:w="15" w:type="dxa"/>
            <w:left w:w="15" w:type="dxa"/>
            <w:bottom w:w="15" w:type="dxa"/>
            <w:right w:w="15" w:type="dxa"/>
          </w:tblCellMar>
        </w:tblPrEx>
        <w:trPr>
          <w:trHeight w:val="488"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造成大气污染事故的</w:t>
            </w:r>
          </w:p>
        </w:tc>
      </w:tr>
      <w:tr>
        <w:tblPrEx>
          <w:tblCellMar>
            <w:top w:w="15" w:type="dxa"/>
            <w:left w:w="15" w:type="dxa"/>
            <w:bottom w:w="15" w:type="dxa"/>
            <w:right w:w="15" w:type="dxa"/>
          </w:tblCellMar>
        </w:tblPrEx>
        <w:trPr>
          <w:trHeight w:val="2451"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88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《中华人民共和国大气污染防治法》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第一百二十二条 </w:t>
            </w:r>
            <w:r>
              <w:rPr>
                <w:rFonts w:hint="eastAsia" w:ascii="仿宋_GB2312" w:hAnsi="仿宋_GB2312" w:eastAsia="仿宋_GB2312" w:cs="仿宋_GB2312"/>
                <w:sz w:val="24"/>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对造成一般或者较大大气污染事故的，按照污染事故造成直接损失的一倍以上三倍以下计算罚款；对造成重大或者特大大气污染事故的，按照污染事故造成的直接损失的三倍以上五倍以下计算罚款。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2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2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2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1029"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60%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造成一般大气污染事故的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center"/>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造成较大大气污染事故的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center"/>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造成重大大气污染事故的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center"/>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造成特大大气污染事故的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82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29"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center"/>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pPr>
          </w:p>
        </w:tc>
        <w:tc>
          <w:tcPr>
            <w:tcW w:w="1826" w:type="dxa"/>
            <w:vMerge w:val="continue"/>
            <w:noWrap w:val="0"/>
            <w:vAlign w:val="center"/>
          </w:tcPr>
          <w:p>
            <w:pPr>
              <w:jc w:val="center"/>
              <w:rPr>
                <w:sz w:val="24"/>
              </w:rPr>
            </w:pPr>
          </w:p>
        </w:tc>
        <w:tc>
          <w:tcPr>
            <w:tcW w:w="1029"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11" w:type="dxa"/>
            <w:vMerge w:val="continue"/>
            <w:noWrap w:val="0"/>
            <w:vAlign w:val="center"/>
          </w:tcPr>
          <w:p>
            <w:pPr>
              <w:jc w:val="left"/>
              <w:rPr>
                <w:rFonts w:hint="eastAsia" w:ascii="仿宋_GB2312" w:hAnsi="仿宋_GB2312" w:eastAsia="仿宋_GB2312" w:cs="仿宋_GB2312"/>
                <w:sz w:val="22"/>
                <w:szCs w:val="28"/>
              </w:rPr>
            </w:pPr>
          </w:p>
        </w:tc>
        <w:tc>
          <w:tcPr>
            <w:tcW w:w="1826" w:type="dxa"/>
            <w:vMerge w:val="continue"/>
            <w:noWrap w:val="0"/>
            <w:vAlign w:val="center"/>
          </w:tcPr>
          <w:p>
            <w:pPr>
              <w:jc w:val="center"/>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整改情况</w:t>
            </w:r>
          </w:p>
        </w:tc>
        <w:tc>
          <w:tcPr>
            <w:tcW w:w="182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是否完成整改</w:t>
            </w:r>
          </w:p>
        </w:tc>
        <w:tc>
          <w:tcPr>
            <w:tcW w:w="1029"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left"/>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1" w:type="dxa"/>
            <w:vMerge w:val="continue"/>
            <w:noWrap w:val="0"/>
            <w:vAlign w:val="center"/>
          </w:tcPr>
          <w:p>
            <w:pPr>
              <w:jc w:val="center"/>
              <w:rPr>
                <w:rFonts w:hint="eastAsia" w:ascii="仿宋_GB2312" w:hAnsi="仿宋_GB2312" w:eastAsia="仿宋_GB2312" w:cs="仿宋_GB2312"/>
                <w:b/>
                <w:bCs/>
                <w:sz w:val="24"/>
              </w:rPr>
            </w:pPr>
          </w:p>
        </w:tc>
        <w:tc>
          <w:tcPr>
            <w:tcW w:w="1826" w:type="dxa"/>
            <w:vMerge w:val="continue"/>
            <w:noWrap w:val="0"/>
            <w:vAlign w:val="center"/>
          </w:tcPr>
          <w:p>
            <w:pPr>
              <w:jc w:val="left"/>
              <w:rPr>
                <w:rFonts w:hint="eastAsia" w:ascii="仿宋_GB2312" w:hAnsi="仿宋_GB2312" w:eastAsia="仿宋_GB2312" w:cs="仿宋_GB2312"/>
                <w:b/>
                <w:bCs/>
                <w:sz w:val="24"/>
              </w:rPr>
            </w:pPr>
          </w:p>
        </w:tc>
        <w:tc>
          <w:tcPr>
            <w:tcW w:w="1029" w:type="dxa"/>
            <w:vMerge w:val="continue"/>
            <w:noWrap w:val="0"/>
            <w:vAlign w:val="center"/>
          </w:tcPr>
          <w:p>
            <w:pPr>
              <w:jc w:val="center"/>
              <w:rPr>
                <w:rFonts w:hint="eastAsia" w:ascii="仿宋_GB2312" w:hAnsi="仿宋_GB2312" w:eastAsia="仿宋_GB2312" w:cs="仿宋_GB2312"/>
                <w:b/>
                <w:bCs/>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2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2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2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1029"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vanish/>
        </w:rPr>
      </w:pPr>
    </w:p>
    <w:tbl>
      <w:tblPr>
        <w:tblStyle w:val="9"/>
        <w:tblpPr w:leftFromText="180" w:rightFromText="180" w:vertAnchor="text" w:horzAnchor="page" w:tblpX="1441" w:tblpY="229"/>
        <w:tblOverlap w:val="never"/>
        <w:tblW w:w="0" w:type="auto"/>
        <w:tblInd w:w="0" w:type="dxa"/>
        <w:tblLayout w:type="fixed"/>
        <w:tblCellMar>
          <w:top w:w="15" w:type="dxa"/>
          <w:left w:w="15" w:type="dxa"/>
          <w:bottom w:w="15" w:type="dxa"/>
          <w:right w:w="15" w:type="dxa"/>
        </w:tblCellMar>
      </w:tblPr>
      <w:tblGrid>
        <w:gridCol w:w="1490"/>
        <w:gridCol w:w="1890"/>
        <w:gridCol w:w="793"/>
        <w:gridCol w:w="3468"/>
        <w:gridCol w:w="1427"/>
      </w:tblGrid>
      <w:tr>
        <w:tblPrEx>
          <w:tblCellMar>
            <w:top w:w="15" w:type="dxa"/>
            <w:left w:w="15" w:type="dxa"/>
            <w:bottom w:w="15" w:type="dxa"/>
            <w:right w:w="15" w:type="dxa"/>
          </w:tblCellMar>
        </w:tblPrEx>
        <w:trPr>
          <w:trHeight w:val="681" w:hRule="atLeast"/>
        </w:trPr>
        <w:tc>
          <w:tcPr>
            <w:tcW w:w="90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57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59</w:t>
            </w:r>
          </w:p>
        </w:tc>
      </w:tr>
      <w:tr>
        <w:tblPrEx>
          <w:tblCellMar>
            <w:top w:w="15" w:type="dxa"/>
            <w:left w:w="15" w:type="dxa"/>
            <w:bottom w:w="15" w:type="dxa"/>
            <w:right w:w="15" w:type="dxa"/>
          </w:tblCellMar>
        </w:tblPrEx>
        <w:trPr>
          <w:trHeight w:val="681"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57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重点用车单位注册车辆二十辆以上，注册车辆年度排放检验不合格比例超过百分之十的</w:t>
            </w:r>
          </w:p>
        </w:tc>
      </w:tr>
      <w:tr>
        <w:tblPrEx>
          <w:tblCellMar>
            <w:top w:w="15" w:type="dxa"/>
            <w:left w:w="15" w:type="dxa"/>
            <w:bottom w:w="15" w:type="dxa"/>
            <w:right w:w="15" w:type="dxa"/>
          </w:tblCellMar>
        </w:tblPrEx>
        <w:trPr>
          <w:trHeight w:val="1922" w:hRule="atLeast"/>
        </w:trPr>
        <w:tc>
          <w:tcPr>
            <w:tcW w:w="149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57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第四十五条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第二款</w:t>
            </w:r>
            <w:r>
              <w:rPr>
                <w:rFonts w:hint="eastAsia" w:ascii="仿宋_GB2312" w:hAnsi="仿宋_GB2312" w:eastAsia="仿宋_GB2312" w:cs="仿宋_GB2312"/>
                <w:bCs/>
                <w:sz w:val="24"/>
                <w:szCs w:val="32"/>
              </w:rPr>
              <w:t xml:space="preserve"> 违反本条例规定，重点用车单位有下列情形之一的，由生态环境主管部门责令改正，处一万元以上三万元以下的罚款;情节严重的，处三万元以上五万元以下的罚款：</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（一）本单位注册车辆二十辆以上，在一个自然年内经排放检验不合格的车辆数量超过注册车辆数量百分之十的；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3"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89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9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6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42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90"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70%</w:t>
            </w:r>
          </w:p>
        </w:tc>
        <w:tc>
          <w:tcPr>
            <w:tcW w:w="3468"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排放检验不合格车辆数超过注册车辆10%-20%</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排放检验不合格车辆数超过注册车辆20%-30%</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9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排放检验不合格车辆数超过注册车辆30%-40%，情节较重的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9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68" w:type="dxa"/>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排放检验不合格车辆数超过注册车辆40%及以上，情节严重的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90"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9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9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0"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9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9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9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468"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未造成社会影响或生态破坏的</w:t>
            </w:r>
          </w:p>
        </w:tc>
        <w:tc>
          <w:tcPr>
            <w:tcW w:w="142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tbl>
      <w:tblPr>
        <w:tblStyle w:val="9"/>
        <w:tblW w:w="0" w:type="auto"/>
        <w:tblInd w:w="0" w:type="dxa"/>
        <w:tblLayout w:type="fixed"/>
        <w:tblCellMar>
          <w:top w:w="15" w:type="dxa"/>
          <w:left w:w="15" w:type="dxa"/>
          <w:bottom w:w="15" w:type="dxa"/>
          <w:right w:w="15" w:type="dxa"/>
        </w:tblCellMar>
      </w:tblPr>
      <w:tblGrid>
        <w:gridCol w:w="1383"/>
        <w:gridCol w:w="1890"/>
        <w:gridCol w:w="793"/>
        <w:gridCol w:w="3203"/>
        <w:gridCol w:w="1822"/>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60</w:t>
            </w:r>
          </w:p>
        </w:tc>
      </w:tr>
      <w:tr>
        <w:tblPrEx>
          <w:tblCellMar>
            <w:top w:w="15" w:type="dxa"/>
            <w:left w:w="15" w:type="dxa"/>
            <w:bottom w:w="15" w:type="dxa"/>
            <w:right w:w="15" w:type="dxa"/>
          </w:tblCellMar>
        </w:tblPrEx>
        <w:trPr>
          <w:trHeight w:val="68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重点用车单位同一辆车因不符合排放标准在一个自然年内受到罚款处罚五次以上的</w:t>
            </w:r>
          </w:p>
        </w:tc>
      </w:tr>
      <w:tr>
        <w:tblPrEx>
          <w:tblCellMar>
            <w:top w:w="15" w:type="dxa"/>
            <w:left w:w="15" w:type="dxa"/>
            <w:bottom w:w="15" w:type="dxa"/>
            <w:right w:w="15" w:type="dxa"/>
          </w:tblCellMar>
        </w:tblPrEx>
        <w:trPr>
          <w:trHeight w:val="1887" w:hRule="atLeast"/>
        </w:trPr>
        <w:tc>
          <w:tcPr>
            <w:tcW w:w="13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第四十五条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第二款</w:t>
            </w:r>
            <w:r>
              <w:rPr>
                <w:rFonts w:hint="eastAsia" w:ascii="仿宋_GB2312" w:hAnsi="仿宋_GB2312" w:eastAsia="仿宋_GB2312" w:cs="仿宋_GB2312"/>
                <w:bCs/>
                <w:sz w:val="24"/>
                <w:szCs w:val="32"/>
              </w:rPr>
              <w:t xml:space="preserve"> 违反本条例规定，重点用车单位有下列情形之一的，由生态环境主管部门责令改正，处一万元以上三万元以下的罚款;情节严重的，处三万元以上五万元以下的罚款：</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（二）本单位注册的同一辆车因不符合排放标准在一个自然年内受到罚款处罚五次以上的。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同一辆车因不符合排放标准在一个自然年内受到罚款处罚5-8次的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同一辆车因不符合排放标准在一个自然年内受到罚款处罚8次以上的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未造成社会影响或生态破坏的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p>
      <w:pPr>
        <w:widowControl/>
        <w:textAlignment w:val="center"/>
        <w:rPr>
          <w:rFonts w:hint="eastAsia" w:ascii="方正小标宋简体" w:hAnsi="方正小标宋简体" w:eastAsia="方正小标宋简体" w:cs="方正小标宋简体"/>
          <w:kern w:val="0"/>
          <w:sz w:val="40"/>
          <w:szCs w:val="40"/>
        </w:rPr>
      </w:pPr>
    </w:p>
    <w:tbl>
      <w:tblPr>
        <w:tblStyle w:val="9"/>
        <w:tblW w:w="0" w:type="auto"/>
        <w:tblInd w:w="0" w:type="dxa"/>
        <w:tblLayout w:type="fixed"/>
        <w:tblCellMar>
          <w:top w:w="15" w:type="dxa"/>
          <w:left w:w="15" w:type="dxa"/>
          <w:bottom w:w="15" w:type="dxa"/>
          <w:right w:w="15" w:type="dxa"/>
        </w:tblCellMar>
      </w:tblPr>
      <w:tblGrid>
        <w:gridCol w:w="1383"/>
        <w:gridCol w:w="1890"/>
        <w:gridCol w:w="793"/>
        <w:gridCol w:w="3282"/>
        <w:gridCol w:w="1743"/>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61</w:t>
            </w:r>
          </w:p>
        </w:tc>
      </w:tr>
      <w:tr>
        <w:tblPrEx>
          <w:tblCellMar>
            <w:top w:w="15" w:type="dxa"/>
            <w:left w:w="15" w:type="dxa"/>
            <w:bottom w:w="15" w:type="dxa"/>
            <w:right w:w="15" w:type="dxa"/>
          </w:tblCellMar>
        </w:tblPrEx>
        <w:trPr>
          <w:trHeight w:val="576"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机动车排放检验机构未按照规定公开检验程序、检验方法、排放限值的</w:t>
            </w:r>
          </w:p>
        </w:tc>
      </w:tr>
      <w:tr>
        <w:tblPrEx>
          <w:tblCellMar>
            <w:top w:w="15" w:type="dxa"/>
            <w:left w:w="15" w:type="dxa"/>
            <w:bottom w:w="15" w:type="dxa"/>
            <w:right w:w="15" w:type="dxa"/>
          </w:tblCellMar>
        </w:tblPrEx>
        <w:trPr>
          <w:trHeight w:val="2792" w:hRule="atLeast"/>
        </w:trPr>
        <w:tc>
          <w:tcPr>
            <w:tcW w:w="13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第二十七条</w:t>
            </w:r>
            <w:r>
              <w:rPr>
                <w:rFonts w:hint="eastAsia" w:ascii="仿宋_GB2312" w:hAnsi="仿宋_GB2312" w:eastAsia="仿宋_GB2312" w:cs="仿宋_GB2312"/>
                <w:bCs/>
                <w:sz w:val="24"/>
                <w:szCs w:val="32"/>
              </w:rPr>
              <w:t xml:space="preserve"> 机动车排放检验机构应当依法取得资质，接受生态环境、市场监督管理等部门的监督管理，并遵守下列规定：</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（二）公开检验程序、检验方法、排放限值、收费标准和监督投诉电话；</w:t>
            </w:r>
          </w:p>
          <w:p>
            <w:pPr>
              <w:jc w:val="left"/>
              <w:rPr>
                <w:rFonts w:hint="eastAsia" w:ascii="仿宋_GB2312" w:hAnsi="仿宋_GB2312" w:eastAsia="仿宋_GB2312" w:cs="仿宋_GB2312"/>
                <w:bCs/>
                <w:sz w:val="24"/>
                <w:szCs w:val="32"/>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第四十六条</w:t>
            </w:r>
            <w:r>
              <w:rPr>
                <w:rFonts w:hint="eastAsia" w:ascii="仿宋_GB2312" w:hAnsi="仿宋_GB2312" w:eastAsia="仿宋_GB2312" w:cs="仿宋_GB2312"/>
                <w:bCs/>
                <w:sz w:val="24"/>
                <w:szCs w:val="32"/>
              </w:rPr>
              <w:t xml:space="preserve"> 违反本条例规定，机动车排放检验机构有下列行为之一的，由生态环境主管部门责令改正，按照下列规定处罚：</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（一）未按照规定公开检验程序、检验方法、排放限值等内容的，处一千元以上五千元以下的罚款；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4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存在</w:t>
            </w:r>
            <w:r>
              <w:rPr>
                <w:rFonts w:hint="eastAsia" w:ascii="仿宋_GB2312" w:hAnsi="仿宋_GB2312" w:eastAsia="仿宋_GB2312" w:cs="仿宋_GB2312"/>
                <w:bCs/>
                <w:sz w:val="24"/>
              </w:rPr>
              <w:t>检验程序、检验方法、排放限值等部分内容</w:t>
            </w:r>
            <w:r>
              <w:rPr>
                <w:rFonts w:hint="eastAsia" w:ascii="仿宋_GB2312" w:hAnsi="仿宋_GB2312" w:eastAsia="仿宋_GB2312" w:cs="仿宋_GB2312"/>
                <w:sz w:val="24"/>
              </w:rPr>
              <w:t>未按规定向社会公开</w:t>
            </w:r>
            <w:r>
              <w:rPr>
                <w:rFonts w:hint="eastAsia" w:ascii="仿宋_GB2312" w:hAnsi="仿宋_GB2312" w:eastAsia="仿宋_GB2312" w:cs="仿宋_GB2312"/>
                <w:bCs/>
                <w:sz w:val="24"/>
              </w:rPr>
              <w:t>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bCs/>
                <w:sz w:val="24"/>
              </w:rPr>
              <w:t>检验程序、检验方法、排放限值等内容均</w:t>
            </w:r>
            <w:r>
              <w:rPr>
                <w:rFonts w:hint="eastAsia" w:ascii="仿宋_GB2312" w:hAnsi="仿宋_GB2312" w:eastAsia="仿宋_GB2312" w:cs="仿宋_GB2312"/>
                <w:sz w:val="24"/>
              </w:rPr>
              <w:t>未按规定向社会公开</w:t>
            </w:r>
            <w:r>
              <w:rPr>
                <w:rFonts w:hint="eastAsia" w:ascii="仿宋_GB2312" w:hAnsi="仿宋_GB2312" w:eastAsia="仿宋_GB2312" w:cs="仿宋_GB2312"/>
                <w:bCs/>
                <w:sz w:val="24"/>
              </w:rPr>
              <w:t>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未造成社会影响或生态破坏的</w:t>
            </w:r>
          </w:p>
        </w:tc>
        <w:tc>
          <w:tcPr>
            <w:tcW w:w="174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widowControl/>
        <w:textAlignment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br w:type="page"/>
      </w:r>
    </w:p>
    <w:tbl>
      <w:tblPr>
        <w:tblStyle w:val="9"/>
        <w:tblpPr w:leftFromText="180" w:rightFromText="180" w:vertAnchor="text" w:horzAnchor="page" w:tblpX="1460" w:tblpY="-506"/>
        <w:tblOverlap w:val="never"/>
        <w:tblW w:w="0" w:type="auto"/>
        <w:tblInd w:w="0" w:type="dxa"/>
        <w:tblLayout w:type="fixed"/>
        <w:tblCellMar>
          <w:top w:w="15" w:type="dxa"/>
          <w:left w:w="15" w:type="dxa"/>
          <w:bottom w:w="15" w:type="dxa"/>
          <w:right w:w="15" w:type="dxa"/>
        </w:tblCellMar>
      </w:tblPr>
      <w:tblGrid>
        <w:gridCol w:w="1383"/>
        <w:gridCol w:w="1773"/>
        <w:gridCol w:w="795"/>
        <w:gridCol w:w="3390"/>
        <w:gridCol w:w="1750"/>
      </w:tblGrid>
      <w:tr>
        <w:tblPrEx>
          <w:tblCellMar>
            <w:top w:w="15" w:type="dxa"/>
            <w:left w:w="15" w:type="dxa"/>
            <w:bottom w:w="15" w:type="dxa"/>
            <w:right w:w="15" w:type="dxa"/>
          </w:tblCellMar>
        </w:tblPrEx>
        <w:trPr>
          <w:trHeight w:val="681"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62</w:t>
            </w:r>
          </w:p>
        </w:tc>
      </w:tr>
      <w:tr>
        <w:tblPrEx>
          <w:tblCellMar>
            <w:top w:w="15" w:type="dxa"/>
            <w:left w:w="15" w:type="dxa"/>
            <w:bottom w:w="15" w:type="dxa"/>
            <w:right w:w="15" w:type="dxa"/>
          </w:tblCellMar>
        </w:tblPrEx>
        <w:trPr>
          <w:trHeight w:val="68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机动车排放检验机构未建立排放检验档案，按照相关规定期限保存纸质档案、电子档案和历史检验视频的</w:t>
            </w:r>
          </w:p>
        </w:tc>
      </w:tr>
      <w:tr>
        <w:tblPrEx>
          <w:tblCellMar>
            <w:top w:w="15" w:type="dxa"/>
            <w:left w:w="15" w:type="dxa"/>
            <w:bottom w:w="15" w:type="dxa"/>
            <w:right w:w="15" w:type="dxa"/>
          </w:tblCellMar>
        </w:tblPrEx>
        <w:trPr>
          <w:trHeight w:val="2792" w:hRule="atLeast"/>
        </w:trPr>
        <w:tc>
          <w:tcPr>
            <w:tcW w:w="13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第二十七条</w:t>
            </w:r>
            <w:r>
              <w:rPr>
                <w:rFonts w:hint="eastAsia" w:ascii="仿宋_GB2312" w:hAnsi="仿宋_GB2312" w:eastAsia="仿宋_GB2312" w:cs="仿宋_GB2312"/>
                <w:bCs/>
                <w:sz w:val="24"/>
                <w:szCs w:val="32"/>
              </w:rPr>
              <w:t xml:space="preserve"> 机动车排放检验机构应当依法取得资质，接受生态环境、市场监督管理等部门的监督管理，并遵守下列规定：</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（五）建立排放检验档案，按照相关规定期限保存纸质档案、电子档案和历史检验视频；</w:t>
            </w:r>
          </w:p>
          <w:p>
            <w:pPr>
              <w:jc w:val="left"/>
              <w:rPr>
                <w:rFonts w:hint="eastAsia" w:ascii="仿宋_GB2312" w:hAnsi="仿宋_GB2312" w:eastAsia="仿宋_GB2312" w:cs="仿宋_GB2312"/>
                <w:bCs/>
                <w:sz w:val="24"/>
                <w:szCs w:val="32"/>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第四十六条</w:t>
            </w:r>
            <w:r>
              <w:rPr>
                <w:rFonts w:hint="eastAsia" w:ascii="仿宋_GB2312" w:hAnsi="仿宋_GB2312" w:eastAsia="仿宋_GB2312" w:cs="仿宋_GB2312"/>
                <w:bCs/>
                <w:sz w:val="24"/>
                <w:szCs w:val="32"/>
              </w:rPr>
              <w:t xml:space="preserve"> 违反本条例规定，机动车排放检验机构有下列行为之一的，由生态环境主管部门责令改正，按照下列规定处罚：</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（二）未建立机动车排放检验档案，或者未保存纸质档案、电子档案和历史检验视频的，处五千元以上二万元以下的罚款；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14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7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bCs/>
                <w:sz w:val="24"/>
              </w:rPr>
              <w:t>机动车排放检验档案不完善，未按照规定保存纸质档案、电子档案和历史检验视频的（纸质档保存6年、电子档保存10年、监控视频保存12个月以上）</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5" w:type="dxa"/>
            <w:vMerge w:val="continue"/>
            <w:noWrap w:val="0"/>
            <w:vAlign w:val="center"/>
          </w:tcPr>
          <w:p>
            <w:pPr>
              <w:jc w:val="center"/>
              <w:rPr>
                <w:rFonts w:hint="eastAsia" w:ascii="仿宋_GB2312" w:hAnsi="仿宋_GB2312" w:eastAsia="仿宋_GB2312" w:cs="仿宋_GB2312"/>
                <w:sz w:val="24"/>
              </w:rPr>
            </w:pP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bCs/>
                <w:sz w:val="24"/>
              </w:rPr>
              <w:t>未建立排放检验档案，或者未保存纸质档案、电子档案和历史检验视频的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5" w:type="dxa"/>
            <w:vMerge w:val="continue"/>
            <w:noWrap w:val="0"/>
            <w:vAlign w:val="center"/>
          </w:tcPr>
          <w:p>
            <w:pPr>
              <w:jc w:val="center"/>
              <w:rPr>
                <w:rFonts w:hint="eastAsia" w:ascii="仿宋_GB2312" w:hAnsi="仿宋_GB2312" w:eastAsia="仿宋_GB2312" w:cs="仿宋_GB2312"/>
                <w:sz w:val="24"/>
              </w:rPr>
            </w:pP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left"/>
            </w:pPr>
          </w:p>
        </w:tc>
        <w:tc>
          <w:tcPr>
            <w:tcW w:w="1773" w:type="dxa"/>
            <w:vMerge w:val="continue"/>
            <w:tcBorders>
              <w:left w:val="single" w:color="auto" w:sz="4" w:space="0"/>
            </w:tcBorders>
            <w:noWrap w:val="0"/>
            <w:vAlign w:val="center"/>
          </w:tcPr>
          <w:p>
            <w:pPr>
              <w:jc w:val="center"/>
              <w:rPr>
                <w:sz w:val="24"/>
              </w:rPr>
            </w:pPr>
          </w:p>
        </w:tc>
        <w:tc>
          <w:tcPr>
            <w:tcW w:w="795" w:type="dxa"/>
            <w:vMerge w:val="continue"/>
            <w:noWrap w:val="0"/>
            <w:vAlign w:val="center"/>
          </w:tcPr>
          <w:p>
            <w:pPr>
              <w:jc w:val="center"/>
              <w:rPr>
                <w:sz w:val="24"/>
              </w:rPr>
            </w:pP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773"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5" w:type="dxa"/>
            <w:vMerge w:val="continue"/>
            <w:noWrap w:val="0"/>
            <w:vAlign w:val="center"/>
          </w:tcPr>
          <w:p>
            <w:pPr>
              <w:jc w:val="center"/>
              <w:rPr>
                <w:rFonts w:hint="eastAsia" w:ascii="仿宋_GB2312" w:hAnsi="仿宋_GB2312" w:eastAsia="仿宋_GB2312" w:cs="仿宋_GB2312"/>
                <w:sz w:val="24"/>
              </w:rPr>
            </w:pP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5" w:type="dxa"/>
            <w:vMerge w:val="continue"/>
            <w:noWrap w:val="0"/>
            <w:vAlign w:val="center"/>
          </w:tcPr>
          <w:p>
            <w:pPr>
              <w:jc w:val="center"/>
              <w:rPr>
                <w:rFonts w:hint="eastAsia" w:ascii="仿宋_GB2312" w:hAnsi="仿宋_GB2312" w:eastAsia="仿宋_GB2312" w:cs="仿宋_GB2312"/>
                <w:sz w:val="24"/>
              </w:rPr>
            </w:pP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5" w:type="dxa"/>
            <w:vMerge w:val="continue"/>
            <w:noWrap w:val="0"/>
            <w:vAlign w:val="center"/>
          </w:tcPr>
          <w:p>
            <w:pPr>
              <w:jc w:val="center"/>
              <w:rPr>
                <w:rFonts w:hint="eastAsia" w:ascii="仿宋_GB2312" w:hAnsi="仿宋_GB2312" w:eastAsia="仿宋_GB2312" w:cs="仿宋_GB2312"/>
                <w:sz w:val="24"/>
              </w:rPr>
            </w:pP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7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7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5" w:type="dxa"/>
            <w:vMerge w:val="continue"/>
            <w:noWrap w:val="0"/>
            <w:vAlign w:val="center"/>
          </w:tcPr>
          <w:p>
            <w:pPr>
              <w:jc w:val="center"/>
              <w:rPr>
                <w:rFonts w:hint="eastAsia" w:ascii="仿宋_GB2312" w:hAnsi="仿宋_GB2312" w:eastAsia="仿宋_GB2312" w:cs="仿宋_GB2312"/>
                <w:sz w:val="24"/>
              </w:rPr>
            </w:pPr>
          </w:p>
        </w:tc>
        <w:tc>
          <w:tcPr>
            <w:tcW w:w="33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7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5"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39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773" w:type="dxa"/>
            <w:vMerge w:val="continue"/>
            <w:noWrap w:val="0"/>
            <w:vAlign w:val="center"/>
          </w:tcPr>
          <w:p>
            <w:pPr>
              <w:jc w:val="center"/>
              <w:rPr>
                <w:rFonts w:hint="eastAsia" w:ascii="仿宋_GB2312" w:hAnsi="仿宋_GB2312" w:eastAsia="仿宋_GB2312" w:cs="仿宋_GB2312"/>
                <w:sz w:val="24"/>
                <w:szCs w:val="32"/>
              </w:rPr>
            </w:pPr>
          </w:p>
        </w:tc>
        <w:tc>
          <w:tcPr>
            <w:tcW w:w="795" w:type="dxa"/>
            <w:vMerge w:val="continue"/>
            <w:noWrap w:val="0"/>
            <w:vAlign w:val="center"/>
          </w:tcPr>
          <w:p>
            <w:pPr>
              <w:rPr>
                <w:rFonts w:hint="eastAsia" w:ascii="仿宋_GB2312" w:hAnsi="仿宋_GB2312" w:eastAsia="仿宋_GB2312" w:cs="仿宋_GB2312"/>
                <w:sz w:val="24"/>
                <w:szCs w:val="32"/>
              </w:rPr>
            </w:pPr>
          </w:p>
        </w:tc>
        <w:tc>
          <w:tcPr>
            <w:tcW w:w="3390"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未造成社会影响或生态破坏的</w:t>
            </w:r>
          </w:p>
        </w:tc>
        <w:tc>
          <w:tcPr>
            <w:tcW w:w="175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vanish/>
        </w:rPr>
      </w:pPr>
    </w:p>
    <w:tbl>
      <w:tblPr>
        <w:tblStyle w:val="9"/>
        <w:tblW w:w="9105" w:type="dxa"/>
        <w:tblInd w:w="0" w:type="dxa"/>
        <w:tblLayout w:type="fixed"/>
        <w:tblCellMar>
          <w:top w:w="15" w:type="dxa"/>
          <w:left w:w="15" w:type="dxa"/>
          <w:bottom w:w="15" w:type="dxa"/>
          <w:right w:w="15" w:type="dxa"/>
        </w:tblCellMar>
      </w:tblPr>
      <w:tblGrid>
        <w:gridCol w:w="1383"/>
        <w:gridCol w:w="1788"/>
        <w:gridCol w:w="102"/>
        <w:gridCol w:w="793"/>
        <w:gridCol w:w="3290"/>
        <w:gridCol w:w="222"/>
        <w:gridCol w:w="1513"/>
        <w:gridCol w:w="14"/>
      </w:tblGrid>
      <w:tr>
        <w:tblPrEx>
          <w:tblCellMar>
            <w:top w:w="15" w:type="dxa"/>
            <w:left w:w="15" w:type="dxa"/>
            <w:bottom w:w="15" w:type="dxa"/>
            <w:right w:w="15" w:type="dxa"/>
          </w:tblCellMar>
        </w:tblPrEx>
        <w:trPr>
          <w:gridAfter w:val="1"/>
          <w:wAfter w:w="14" w:type="dxa"/>
          <w:trHeight w:val="681" w:hRule="atLeast"/>
        </w:trPr>
        <w:tc>
          <w:tcPr>
            <w:tcW w:w="909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gridAfter w:val="1"/>
          <w:wAfter w:w="14" w:type="dxa"/>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08"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63</w:t>
            </w:r>
          </w:p>
        </w:tc>
      </w:tr>
      <w:tr>
        <w:tblPrEx>
          <w:tblCellMar>
            <w:top w:w="15" w:type="dxa"/>
            <w:left w:w="15" w:type="dxa"/>
            <w:bottom w:w="15" w:type="dxa"/>
            <w:right w:w="15" w:type="dxa"/>
          </w:tblCellMar>
        </w:tblPrEx>
        <w:trPr>
          <w:gridAfter w:val="1"/>
          <w:wAfter w:w="14" w:type="dxa"/>
          <w:trHeight w:val="613"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0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机动车排放检验机构未与生态环境主管部门联网，实时上传排放检验数据、视频监控数据及其他相关管理数据和资料的</w:t>
            </w:r>
          </w:p>
        </w:tc>
      </w:tr>
      <w:tr>
        <w:tblPrEx>
          <w:tblCellMar>
            <w:top w:w="15" w:type="dxa"/>
            <w:left w:w="15" w:type="dxa"/>
            <w:bottom w:w="15" w:type="dxa"/>
            <w:right w:w="15" w:type="dxa"/>
          </w:tblCellMar>
        </w:tblPrEx>
        <w:trPr>
          <w:gridAfter w:val="1"/>
          <w:wAfter w:w="14" w:type="dxa"/>
          <w:trHeight w:val="2792" w:hRule="atLeast"/>
        </w:trPr>
        <w:tc>
          <w:tcPr>
            <w:tcW w:w="13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70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bCs/>
                <w:sz w:val="24"/>
                <w:szCs w:val="32"/>
              </w:rPr>
              <w:t>《中华人民共和国大气污染防治法》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第五十四条 第一款</w:t>
            </w:r>
            <w:r>
              <w:rPr>
                <w:rFonts w:hint="eastAsia" w:ascii="仿宋_GB2312" w:hAnsi="仿宋_GB2312" w:eastAsia="仿宋_GB2312" w:cs="仿宋_GB2312"/>
                <w:sz w:val="24"/>
                <w:szCs w:val="32"/>
              </w:rPr>
              <w:t xml:space="preserve">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spacing w:line="280" w:lineRule="exact"/>
              <w:jc w:val="left"/>
              <w:rPr>
                <w:rFonts w:hint="eastAsia" w:ascii="仿宋_GB2312" w:hAnsi="仿宋_GB2312" w:eastAsia="仿宋_GB2312" w:cs="仿宋_GB2312"/>
                <w:sz w:val="24"/>
                <w:szCs w:val="32"/>
              </w:rPr>
            </w:pPr>
          </w:p>
          <w:p>
            <w:pPr>
              <w:spacing w:line="280" w:lineRule="exact"/>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spacing w:line="280" w:lineRule="exact"/>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第二十七条</w:t>
            </w:r>
            <w:r>
              <w:rPr>
                <w:rFonts w:hint="eastAsia" w:ascii="仿宋_GB2312" w:hAnsi="仿宋_GB2312" w:eastAsia="仿宋_GB2312" w:cs="仿宋_GB2312"/>
                <w:bCs/>
                <w:sz w:val="24"/>
                <w:szCs w:val="32"/>
              </w:rPr>
              <w:t xml:space="preserve"> 机动车排放检验机构应当依法取得资质，接受生态环境、市场监督管理等部门的监督管理，并遵守下列规定：</w:t>
            </w:r>
          </w:p>
          <w:p>
            <w:pPr>
              <w:spacing w:line="280" w:lineRule="exact"/>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（四）与生态环境主管部门联网，实时上传排放检验数据、视频监控数据及其他相关管理数据和资料；</w:t>
            </w:r>
          </w:p>
          <w:p>
            <w:pPr>
              <w:spacing w:line="280" w:lineRule="exact"/>
              <w:jc w:val="left"/>
              <w:rPr>
                <w:rFonts w:hint="eastAsia" w:ascii="仿宋_GB2312" w:hAnsi="仿宋_GB2312" w:eastAsia="仿宋_GB2312" w:cs="仿宋_GB2312"/>
                <w:bCs/>
                <w:sz w:val="24"/>
                <w:szCs w:val="32"/>
              </w:rPr>
            </w:pPr>
          </w:p>
          <w:p>
            <w:pPr>
              <w:spacing w:line="280" w:lineRule="exact"/>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3.《</w:t>
            </w:r>
            <w:r>
              <w:rPr>
                <w:rFonts w:hint="eastAsia" w:ascii="仿宋_GB2312" w:hAnsi="仿宋_GB2312" w:eastAsia="仿宋_GB2312" w:cs="仿宋_GB2312"/>
                <w:b/>
                <w:sz w:val="24"/>
                <w:szCs w:val="32"/>
              </w:rPr>
              <w:t>河北省机动车和非道路移动机械排放污染防治条例》</w:t>
            </w:r>
          </w:p>
          <w:p>
            <w:pPr>
              <w:spacing w:line="280" w:lineRule="exact"/>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第四十六条</w:t>
            </w:r>
            <w:r>
              <w:rPr>
                <w:rFonts w:hint="eastAsia" w:ascii="仿宋_GB2312" w:hAnsi="仿宋_GB2312" w:eastAsia="仿宋_GB2312" w:cs="仿宋_GB2312"/>
                <w:bCs/>
                <w:sz w:val="24"/>
                <w:szCs w:val="32"/>
              </w:rPr>
              <w:t xml:space="preserve"> 违反本条例规定，机动车排放检验机构有下列行为之一的，由生态环境主管部门责令改正，按照下列规定处罚：</w:t>
            </w:r>
          </w:p>
          <w:p>
            <w:pPr>
              <w:spacing w:line="280" w:lineRule="exact"/>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（三）未与生态环境主管部门联网，或者未向生态环境主管部门实时上传排放检验数据、视频监控数据及其他相关管理数据和资料的，处二万元以上五万元以下的罚款；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7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8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89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5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51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83"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88"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895"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512"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bCs/>
                <w:sz w:val="24"/>
              </w:rPr>
              <w:t>向生态环境主管部门实时上传的排放检验数据、视频监控数据及其他相关管理数据和资料不全的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88"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895" w:type="dxa"/>
            <w:gridSpan w:val="2"/>
            <w:vMerge w:val="continue"/>
            <w:noWrap w:val="0"/>
            <w:vAlign w:val="center"/>
          </w:tcPr>
          <w:p>
            <w:pPr>
              <w:jc w:val="center"/>
              <w:rPr>
                <w:rFonts w:hint="eastAsia" w:ascii="仿宋_GB2312" w:hAnsi="仿宋_GB2312" w:eastAsia="仿宋_GB2312" w:cs="仿宋_GB2312"/>
                <w:sz w:val="24"/>
              </w:rPr>
            </w:pPr>
          </w:p>
        </w:tc>
        <w:tc>
          <w:tcPr>
            <w:tcW w:w="351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bCs/>
                <w:sz w:val="24"/>
              </w:rPr>
              <w:t>未与生态环境主管部门联网的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62"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788"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895"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51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88"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895" w:type="dxa"/>
            <w:gridSpan w:val="2"/>
            <w:vMerge w:val="continue"/>
            <w:noWrap w:val="0"/>
            <w:vAlign w:val="center"/>
          </w:tcPr>
          <w:p>
            <w:pPr>
              <w:jc w:val="center"/>
              <w:rPr>
                <w:rFonts w:hint="eastAsia" w:ascii="仿宋_GB2312" w:hAnsi="仿宋_GB2312" w:eastAsia="仿宋_GB2312" w:cs="仿宋_GB2312"/>
                <w:sz w:val="24"/>
              </w:rPr>
            </w:pPr>
          </w:p>
        </w:tc>
        <w:tc>
          <w:tcPr>
            <w:tcW w:w="351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383" w:type="dxa"/>
            <w:vMerge w:val="continue"/>
            <w:tcBorders>
              <w:right w:val="single" w:color="auto" w:sz="4" w:space="0"/>
            </w:tcBorders>
            <w:noWrap w:val="0"/>
            <w:vAlign w:val="center"/>
          </w:tcPr>
          <w:p>
            <w:pPr>
              <w:jc w:val="left"/>
            </w:pPr>
          </w:p>
        </w:tc>
        <w:tc>
          <w:tcPr>
            <w:tcW w:w="1788" w:type="dxa"/>
            <w:vMerge w:val="continue"/>
            <w:tcBorders>
              <w:left w:val="single" w:color="auto" w:sz="4" w:space="0"/>
            </w:tcBorders>
            <w:noWrap w:val="0"/>
            <w:vAlign w:val="center"/>
          </w:tcPr>
          <w:p>
            <w:pPr>
              <w:jc w:val="center"/>
              <w:rPr>
                <w:sz w:val="24"/>
              </w:rPr>
            </w:pPr>
          </w:p>
        </w:tc>
        <w:tc>
          <w:tcPr>
            <w:tcW w:w="895" w:type="dxa"/>
            <w:gridSpan w:val="2"/>
            <w:vMerge w:val="continue"/>
            <w:noWrap w:val="0"/>
            <w:vAlign w:val="center"/>
          </w:tcPr>
          <w:p>
            <w:pPr>
              <w:jc w:val="center"/>
              <w:rPr>
                <w:sz w:val="24"/>
              </w:rPr>
            </w:pPr>
          </w:p>
        </w:tc>
        <w:tc>
          <w:tcPr>
            <w:tcW w:w="351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38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788"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895" w:type="dxa"/>
            <w:gridSpan w:val="2"/>
            <w:vMerge w:val="continue"/>
            <w:noWrap w:val="0"/>
            <w:vAlign w:val="center"/>
          </w:tcPr>
          <w:p>
            <w:pPr>
              <w:jc w:val="center"/>
              <w:rPr>
                <w:rFonts w:hint="eastAsia" w:ascii="仿宋_GB2312" w:hAnsi="仿宋_GB2312" w:eastAsia="仿宋_GB2312" w:cs="仿宋_GB2312"/>
                <w:sz w:val="24"/>
              </w:rPr>
            </w:pPr>
          </w:p>
        </w:tc>
        <w:tc>
          <w:tcPr>
            <w:tcW w:w="351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87"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88"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895"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51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57"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88"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895" w:type="dxa"/>
            <w:gridSpan w:val="2"/>
            <w:vMerge w:val="continue"/>
            <w:noWrap w:val="0"/>
            <w:vAlign w:val="center"/>
          </w:tcPr>
          <w:p>
            <w:pPr>
              <w:jc w:val="center"/>
              <w:rPr>
                <w:rFonts w:hint="eastAsia" w:ascii="仿宋_GB2312" w:hAnsi="仿宋_GB2312" w:eastAsia="仿宋_GB2312" w:cs="仿宋_GB2312"/>
                <w:sz w:val="24"/>
              </w:rPr>
            </w:pPr>
          </w:p>
        </w:tc>
        <w:tc>
          <w:tcPr>
            <w:tcW w:w="3512"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88"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895" w:type="dxa"/>
            <w:gridSpan w:val="2"/>
            <w:vMerge w:val="continue"/>
            <w:noWrap w:val="0"/>
            <w:vAlign w:val="center"/>
          </w:tcPr>
          <w:p>
            <w:pPr>
              <w:jc w:val="center"/>
              <w:rPr>
                <w:rFonts w:hint="eastAsia" w:ascii="仿宋_GB2312" w:hAnsi="仿宋_GB2312" w:eastAsia="仿宋_GB2312" w:cs="仿宋_GB2312"/>
                <w:sz w:val="24"/>
              </w:rPr>
            </w:pPr>
          </w:p>
        </w:tc>
        <w:tc>
          <w:tcPr>
            <w:tcW w:w="351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51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88"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89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512"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51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3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88"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895" w:type="dxa"/>
            <w:gridSpan w:val="2"/>
            <w:vMerge w:val="continue"/>
            <w:noWrap w:val="0"/>
            <w:vAlign w:val="center"/>
          </w:tcPr>
          <w:p>
            <w:pPr>
              <w:jc w:val="center"/>
              <w:rPr>
                <w:rFonts w:hint="eastAsia" w:ascii="仿宋_GB2312" w:hAnsi="仿宋_GB2312" w:eastAsia="仿宋_GB2312" w:cs="仿宋_GB2312"/>
                <w:sz w:val="24"/>
                <w:szCs w:val="32"/>
              </w:rPr>
            </w:pPr>
          </w:p>
        </w:tc>
        <w:tc>
          <w:tcPr>
            <w:tcW w:w="3512"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51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88"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89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512"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51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4"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788" w:type="dxa"/>
            <w:vMerge w:val="continue"/>
            <w:noWrap w:val="0"/>
            <w:vAlign w:val="center"/>
          </w:tcPr>
          <w:p>
            <w:pPr>
              <w:jc w:val="center"/>
              <w:rPr>
                <w:rFonts w:hint="eastAsia" w:ascii="仿宋_GB2312" w:hAnsi="仿宋_GB2312" w:eastAsia="仿宋_GB2312" w:cs="仿宋_GB2312"/>
                <w:sz w:val="24"/>
                <w:szCs w:val="32"/>
              </w:rPr>
            </w:pPr>
          </w:p>
        </w:tc>
        <w:tc>
          <w:tcPr>
            <w:tcW w:w="895" w:type="dxa"/>
            <w:gridSpan w:val="2"/>
            <w:vMerge w:val="continue"/>
            <w:noWrap w:val="0"/>
            <w:vAlign w:val="center"/>
          </w:tcPr>
          <w:p>
            <w:pPr>
              <w:rPr>
                <w:rFonts w:hint="eastAsia" w:ascii="仿宋_GB2312" w:hAnsi="仿宋_GB2312" w:eastAsia="仿宋_GB2312" w:cs="仿宋_GB2312"/>
                <w:sz w:val="24"/>
                <w:szCs w:val="32"/>
              </w:rPr>
            </w:pPr>
          </w:p>
        </w:tc>
        <w:tc>
          <w:tcPr>
            <w:tcW w:w="3512"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未造成社会影响或生态破坏的</w:t>
            </w:r>
          </w:p>
        </w:tc>
        <w:tc>
          <w:tcPr>
            <w:tcW w:w="151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wAfter w:w="0" w:type="auto"/>
          <w:trHeight w:val="681" w:hRule="atLeast"/>
        </w:trPr>
        <w:tc>
          <w:tcPr>
            <w:tcW w:w="910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wAfter w:w="0" w:type="auto"/>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2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64</w:t>
            </w:r>
          </w:p>
        </w:tc>
      </w:tr>
      <w:tr>
        <w:tblPrEx>
          <w:tblCellMar>
            <w:top w:w="15" w:type="dxa"/>
            <w:left w:w="15" w:type="dxa"/>
            <w:bottom w:w="15" w:type="dxa"/>
            <w:right w:w="15" w:type="dxa"/>
          </w:tblCellMar>
        </w:tblPrEx>
        <w:trPr>
          <w:wAfter w:w="0" w:type="auto"/>
          <w:trHeight w:val="68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22"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机动车排放检验机构未按照国家及本省规定的检验方法、技术规范和排放标准进行排放检验的</w:t>
            </w:r>
          </w:p>
        </w:tc>
      </w:tr>
      <w:tr>
        <w:tblPrEx>
          <w:tblCellMar>
            <w:top w:w="15" w:type="dxa"/>
            <w:left w:w="15" w:type="dxa"/>
            <w:bottom w:w="15" w:type="dxa"/>
            <w:right w:w="15" w:type="dxa"/>
          </w:tblCellMar>
        </w:tblPrEx>
        <w:trPr>
          <w:wAfter w:w="0" w:type="auto"/>
          <w:trHeight w:val="2792" w:hRule="atLeast"/>
        </w:trPr>
        <w:tc>
          <w:tcPr>
            <w:tcW w:w="13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722"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第二十七条</w:t>
            </w:r>
            <w:r>
              <w:rPr>
                <w:rFonts w:hint="eastAsia" w:ascii="仿宋_GB2312" w:hAnsi="仿宋_GB2312" w:eastAsia="仿宋_GB2312" w:cs="仿宋_GB2312"/>
                <w:bCs/>
                <w:sz w:val="24"/>
                <w:szCs w:val="32"/>
              </w:rPr>
              <w:t xml:space="preserve"> 机动车排放检验机构应当依法取得资质，接受生态环境、市场监督管理等部门的监督管理，并遵守下列规定：</w:t>
            </w:r>
          </w:p>
          <w:p>
            <w:pPr>
              <w:numPr>
                <w:ilvl w:val="0"/>
                <w:numId w:val="2"/>
              </w:num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按照国家及本省规定的检验方法、技术规范和排放标准进行排放检验，出具由生态环境主管部门统一编码的排放检验报告，不得出具虚假排放检验报告；</w:t>
            </w:r>
          </w:p>
          <w:p>
            <w:pPr>
              <w:jc w:val="left"/>
              <w:rPr>
                <w:rFonts w:hint="eastAsia" w:ascii="仿宋_GB2312" w:hAnsi="仿宋_GB2312" w:eastAsia="仿宋_GB2312" w:cs="仿宋_GB2312"/>
                <w:bCs/>
                <w:sz w:val="24"/>
                <w:szCs w:val="32"/>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第四十六条</w:t>
            </w:r>
            <w:r>
              <w:rPr>
                <w:rFonts w:hint="eastAsia" w:ascii="仿宋_GB2312" w:hAnsi="仿宋_GB2312" w:eastAsia="仿宋_GB2312" w:cs="仿宋_GB2312"/>
                <w:bCs/>
                <w:sz w:val="24"/>
                <w:szCs w:val="32"/>
              </w:rPr>
              <w:t xml:space="preserve"> 违反本条例规定，机动车排放检验机构有下列行为之一的，由生态环境主管部门责令改正，按照下列规定处罚：</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（四）未按照国家及本省规定的排放检验方法、技术规范和排放标准进行排放检验的，处十万元以上二十万元以下的罚款。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4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未按照</w:t>
            </w:r>
            <w:r>
              <w:rPr>
                <w:rFonts w:hint="eastAsia" w:ascii="仿宋_GB2312" w:hAnsi="仿宋_GB2312" w:eastAsia="仿宋_GB2312" w:cs="仿宋_GB2312"/>
                <w:bCs/>
                <w:sz w:val="24"/>
              </w:rPr>
              <w:t>规定的排放检验方法、技术规范和排放标准进行排放检验</w:t>
            </w:r>
            <w:r>
              <w:rPr>
                <w:rFonts w:hint="eastAsia" w:ascii="仿宋_GB2312" w:hAnsi="仿宋_GB2312" w:eastAsia="仿宋_GB2312" w:cs="仿宋_GB2312"/>
                <w:sz w:val="24"/>
              </w:rPr>
              <w:t>3辆以下的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未按照</w:t>
            </w:r>
            <w:r>
              <w:rPr>
                <w:rFonts w:hint="eastAsia" w:ascii="仿宋_GB2312" w:hAnsi="仿宋_GB2312" w:eastAsia="仿宋_GB2312" w:cs="仿宋_GB2312"/>
                <w:bCs/>
                <w:sz w:val="24"/>
              </w:rPr>
              <w:t>规定的排放检验方法、技术规范和排放标准进行排放检验</w:t>
            </w:r>
            <w:r>
              <w:rPr>
                <w:rFonts w:hint="eastAsia" w:ascii="仿宋_GB2312" w:hAnsi="仿宋_GB2312" w:eastAsia="仿宋_GB2312" w:cs="仿宋_GB2312"/>
                <w:sz w:val="24"/>
              </w:rPr>
              <w:t>3辆及以上的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3" w:type="dxa"/>
            <w:vMerge w:val="continue"/>
            <w:tcBorders>
              <w:right w:val="single" w:color="auto" w:sz="4" w:space="0"/>
            </w:tcBorders>
            <w:noWrap w:val="0"/>
            <w:vAlign w:val="center"/>
          </w:tcPr>
          <w:p>
            <w:pPr>
              <w:jc w:val="left"/>
            </w:pPr>
          </w:p>
        </w:tc>
        <w:tc>
          <w:tcPr>
            <w:tcW w:w="1890" w:type="dxa"/>
            <w:gridSpan w:val="2"/>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1"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4"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90"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未造成社会影响或生态破坏的</w:t>
            </w:r>
          </w:p>
        </w:tc>
        <w:tc>
          <w:tcPr>
            <w:tcW w:w="174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tbl>
      <w:tblPr>
        <w:tblStyle w:val="9"/>
        <w:tblW w:w="9119" w:type="dxa"/>
        <w:tblInd w:w="0" w:type="dxa"/>
        <w:tblLayout w:type="fixed"/>
        <w:tblCellMar>
          <w:top w:w="15" w:type="dxa"/>
          <w:left w:w="15" w:type="dxa"/>
          <w:bottom w:w="15" w:type="dxa"/>
          <w:right w:w="15" w:type="dxa"/>
        </w:tblCellMar>
      </w:tblPr>
      <w:tblGrid>
        <w:gridCol w:w="1383"/>
        <w:gridCol w:w="1713"/>
        <w:gridCol w:w="177"/>
        <w:gridCol w:w="633"/>
        <w:gridCol w:w="160"/>
        <w:gridCol w:w="3200"/>
        <w:gridCol w:w="165"/>
        <w:gridCol w:w="1647"/>
        <w:gridCol w:w="41"/>
      </w:tblGrid>
      <w:tr>
        <w:tblPrEx>
          <w:tblCellMar>
            <w:top w:w="15" w:type="dxa"/>
            <w:left w:w="15" w:type="dxa"/>
            <w:bottom w:w="15" w:type="dxa"/>
            <w:right w:w="15" w:type="dxa"/>
          </w:tblCellMar>
        </w:tblPrEx>
        <w:trPr>
          <w:gridAfter w:val="1"/>
          <w:wAfter w:w="41" w:type="dxa"/>
          <w:trHeight w:val="681" w:hRule="atLeast"/>
        </w:trPr>
        <w:tc>
          <w:tcPr>
            <w:tcW w:w="907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gridAfter w:val="1"/>
          <w:wAfter w:w="41" w:type="dxa"/>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9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65</w:t>
            </w:r>
          </w:p>
        </w:tc>
      </w:tr>
      <w:tr>
        <w:tblPrEx>
          <w:tblCellMar>
            <w:top w:w="15" w:type="dxa"/>
            <w:left w:w="15" w:type="dxa"/>
            <w:bottom w:w="15" w:type="dxa"/>
            <w:right w:w="15" w:type="dxa"/>
          </w:tblCellMar>
        </w:tblPrEx>
        <w:trPr>
          <w:gridAfter w:val="1"/>
          <w:wAfter w:w="41" w:type="dxa"/>
          <w:trHeight w:val="484"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95"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机动车排放检验机构出具虚假排放检验报告的</w:t>
            </w:r>
          </w:p>
        </w:tc>
      </w:tr>
      <w:tr>
        <w:tblPrEx>
          <w:tblCellMar>
            <w:top w:w="15" w:type="dxa"/>
            <w:left w:w="15" w:type="dxa"/>
            <w:bottom w:w="15" w:type="dxa"/>
            <w:right w:w="15" w:type="dxa"/>
          </w:tblCellMar>
        </w:tblPrEx>
        <w:trPr>
          <w:gridAfter w:val="1"/>
          <w:wAfter w:w="41" w:type="dxa"/>
          <w:trHeight w:val="2792" w:hRule="atLeast"/>
        </w:trPr>
        <w:tc>
          <w:tcPr>
            <w:tcW w:w="13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695"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第五十四条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第二十七条</w:t>
            </w:r>
            <w:r>
              <w:rPr>
                <w:rFonts w:hint="eastAsia" w:ascii="仿宋_GB2312" w:hAnsi="仿宋_GB2312" w:eastAsia="仿宋_GB2312" w:cs="仿宋_GB2312"/>
                <w:bCs/>
                <w:sz w:val="24"/>
                <w:szCs w:val="32"/>
              </w:rPr>
              <w:t xml:space="preserve"> 机动车排放检验机构应当依法取得资质，接受生态环境、市场监督管理等部门的监督管理，并遵守下列规定：</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Cs/>
                <w:sz w:val="24"/>
                <w:szCs w:val="32"/>
              </w:rPr>
              <w:t>（三）按照国家及本省规定的检验方法、技术规范和排放标准进行排放检验，出具由生态环境主管部门统一编码的排放检验报告，不得出具虚假排放检验报告；</w:t>
            </w:r>
          </w:p>
          <w:p>
            <w:pPr>
              <w:jc w:val="left"/>
              <w:rPr>
                <w:rFonts w:hint="eastAsia" w:ascii="仿宋_GB2312" w:hAnsi="仿宋_GB2312" w:eastAsia="仿宋_GB2312" w:cs="仿宋_GB2312"/>
                <w:bCs/>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《中华人民共和国大气污染防治法》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Cs/>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第四十六条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第二款</w:t>
            </w:r>
            <w:r>
              <w:rPr>
                <w:rFonts w:hint="eastAsia" w:ascii="仿宋_GB2312" w:hAnsi="仿宋_GB2312" w:eastAsia="仿宋_GB2312" w:cs="仿宋_GB2312"/>
                <w:bCs/>
                <w:sz w:val="24"/>
                <w:szCs w:val="32"/>
              </w:rPr>
              <w:t xml:space="preserve"> 违反本条例规定，机动车排放检验机构出具虚假排放检验报告的，由生态环境主管部门没收违法所得，并处十万元以上五十万元以下的罚款；情节严重的，由市场监督管理部门取消其检验资格。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90" w:hRule="atLeast"/>
        </w:trPr>
        <w:tc>
          <w:tcPr>
            <w:tcW w:w="390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172"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47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1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81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6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183"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1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81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c>
          <w:tcPr>
            <w:tcW w:w="336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二年内伪造结果或出具虚假报告1次的，为情节一般</w:t>
            </w:r>
          </w:p>
        </w:tc>
        <w:tc>
          <w:tcPr>
            <w:tcW w:w="181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385"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1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810" w:type="dxa"/>
            <w:gridSpan w:val="2"/>
            <w:vMerge w:val="continue"/>
            <w:noWrap w:val="0"/>
            <w:vAlign w:val="center"/>
          </w:tcPr>
          <w:p>
            <w:pPr>
              <w:jc w:val="center"/>
              <w:rPr>
                <w:rFonts w:hint="eastAsia" w:ascii="仿宋_GB2312" w:hAnsi="仿宋_GB2312" w:eastAsia="仿宋_GB2312" w:cs="仿宋_GB2312"/>
                <w:sz w:val="24"/>
              </w:rPr>
            </w:pPr>
          </w:p>
        </w:tc>
        <w:tc>
          <w:tcPr>
            <w:tcW w:w="336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二年内伪造结果或出具虚假报告2次及以上的，或者1次检查发现出具虚假报告5份及以上的，为情节严重</w:t>
            </w:r>
          </w:p>
        </w:tc>
        <w:tc>
          <w:tcPr>
            <w:tcW w:w="181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162"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713"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81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6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1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9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13"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810" w:type="dxa"/>
            <w:gridSpan w:val="2"/>
            <w:vMerge w:val="continue"/>
            <w:noWrap w:val="0"/>
            <w:vAlign w:val="center"/>
          </w:tcPr>
          <w:p>
            <w:pPr>
              <w:jc w:val="center"/>
              <w:rPr>
                <w:rFonts w:hint="eastAsia" w:ascii="仿宋_GB2312" w:hAnsi="仿宋_GB2312" w:eastAsia="仿宋_GB2312" w:cs="仿宋_GB2312"/>
                <w:sz w:val="24"/>
              </w:rPr>
            </w:pPr>
          </w:p>
        </w:tc>
        <w:tc>
          <w:tcPr>
            <w:tcW w:w="336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1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444"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1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810"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360"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1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 w:type="dxa"/>
          <w:trHeight w:val="434"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713" w:type="dxa"/>
            <w:vMerge w:val="continue"/>
            <w:noWrap w:val="0"/>
            <w:vAlign w:val="center"/>
          </w:tcPr>
          <w:p>
            <w:pPr>
              <w:jc w:val="center"/>
              <w:rPr>
                <w:rFonts w:hint="eastAsia" w:ascii="仿宋_GB2312" w:hAnsi="仿宋_GB2312" w:eastAsia="仿宋_GB2312" w:cs="仿宋_GB2312"/>
                <w:sz w:val="24"/>
                <w:szCs w:val="32"/>
              </w:rPr>
            </w:pPr>
          </w:p>
        </w:tc>
        <w:tc>
          <w:tcPr>
            <w:tcW w:w="810" w:type="dxa"/>
            <w:gridSpan w:val="2"/>
            <w:vMerge w:val="continue"/>
            <w:noWrap w:val="0"/>
            <w:vAlign w:val="center"/>
          </w:tcPr>
          <w:p>
            <w:pPr>
              <w:rPr>
                <w:rFonts w:hint="eastAsia" w:ascii="仿宋_GB2312" w:hAnsi="仿宋_GB2312" w:eastAsia="仿宋_GB2312" w:cs="仿宋_GB2312"/>
                <w:sz w:val="24"/>
                <w:szCs w:val="32"/>
              </w:rPr>
            </w:pPr>
          </w:p>
        </w:tc>
        <w:tc>
          <w:tcPr>
            <w:tcW w:w="3360"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未造成社会影响或生态破坏的</w:t>
            </w:r>
          </w:p>
        </w:tc>
        <w:tc>
          <w:tcPr>
            <w:tcW w:w="181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wAfter w:w="0" w:type="auto"/>
          <w:trHeight w:val="681" w:hRule="atLeast"/>
        </w:trPr>
        <w:tc>
          <w:tcPr>
            <w:tcW w:w="911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wAfter w:w="0" w:type="auto"/>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36"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66</w:t>
            </w:r>
          </w:p>
        </w:tc>
      </w:tr>
      <w:tr>
        <w:tblPrEx>
          <w:tblCellMar>
            <w:top w:w="15" w:type="dxa"/>
            <w:left w:w="15" w:type="dxa"/>
            <w:bottom w:w="15" w:type="dxa"/>
            <w:right w:w="15" w:type="dxa"/>
          </w:tblCellMar>
        </w:tblPrEx>
        <w:trPr>
          <w:wAfter w:w="0" w:type="auto"/>
          <w:trHeight w:val="68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排放检验机构及其工作人员直接或者间接从事机动车排放污染治理维修业务的</w:t>
            </w:r>
          </w:p>
        </w:tc>
      </w:tr>
      <w:tr>
        <w:tblPrEx>
          <w:tblCellMar>
            <w:top w:w="15" w:type="dxa"/>
            <w:left w:w="15" w:type="dxa"/>
            <w:bottom w:w="15" w:type="dxa"/>
            <w:right w:w="15" w:type="dxa"/>
          </w:tblCellMar>
        </w:tblPrEx>
        <w:trPr>
          <w:wAfter w:w="0" w:type="auto"/>
          <w:trHeight w:val="2459" w:hRule="atLeast"/>
        </w:trPr>
        <w:tc>
          <w:tcPr>
            <w:tcW w:w="13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736"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第二十七条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第二款</w:t>
            </w:r>
            <w:r>
              <w:rPr>
                <w:rFonts w:hint="eastAsia" w:ascii="仿宋_GB2312" w:hAnsi="仿宋_GB2312" w:eastAsia="仿宋_GB2312" w:cs="仿宋_GB2312"/>
                <w:bCs/>
                <w:sz w:val="24"/>
                <w:szCs w:val="32"/>
              </w:rPr>
              <w:t xml:space="preserve"> 排放检验机构及其工作人员不得以任何方式直接或者间接从事机动车排放污染治理维修业务。</w:t>
            </w:r>
          </w:p>
          <w:p>
            <w:pPr>
              <w:jc w:val="left"/>
              <w:rPr>
                <w:rFonts w:hint="eastAsia" w:ascii="仿宋_GB2312" w:hAnsi="仿宋_GB2312" w:eastAsia="仿宋_GB2312" w:cs="仿宋_GB2312"/>
                <w:bCs/>
                <w:sz w:val="24"/>
                <w:szCs w:val="32"/>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rPr>
            </w:pPr>
            <w:r>
              <w:rPr>
                <w:rFonts w:hint="eastAsia" w:ascii="仿宋_GB2312" w:hAnsi="仿宋_GB2312" w:eastAsia="仿宋_GB2312" w:cs="仿宋_GB2312"/>
                <w:b/>
                <w:sz w:val="24"/>
                <w:szCs w:val="32"/>
              </w:rPr>
              <w:t>第四十六条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第三款</w:t>
            </w:r>
            <w:r>
              <w:rPr>
                <w:rFonts w:hint="eastAsia" w:ascii="仿宋_GB2312" w:hAnsi="仿宋_GB2312" w:eastAsia="仿宋_GB2312" w:cs="仿宋_GB2312"/>
                <w:bCs/>
                <w:sz w:val="24"/>
                <w:szCs w:val="32"/>
              </w:rPr>
              <w:t xml:space="preserve"> 违反本条例规定，排放检验机构及其工作人员直接或者间接从事机动车排放污染治理维修业务的，由生态环境主管部门责令改正，没收违法所得，并处二万元以上五万元以下的罚款。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66"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53"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6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88"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4" w:hRule="atLeast"/>
        </w:trPr>
        <w:tc>
          <w:tcPr>
            <w:tcW w:w="1383"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890" w:type="dxa"/>
            <w:gridSpan w:val="2"/>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793" w:type="dxa"/>
            <w:gridSpan w:val="2"/>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50%</w:t>
            </w: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违法行为持续1个月以下的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5" w:hRule="atLeast"/>
        </w:trPr>
        <w:tc>
          <w:tcPr>
            <w:tcW w:w="1383" w:type="dxa"/>
            <w:vMerge w:val="continue"/>
            <w:noWrap w:val="0"/>
            <w:vAlign w:val="center"/>
          </w:tcPr>
          <w:p>
            <w:pPr>
              <w:jc w:val="center"/>
              <w:rPr>
                <w:rFonts w:hint="eastAsia" w:ascii="仿宋_GB2312" w:hAnsi="仿宋_GB2312" w:eastAsia="仿宋_GB2312" w:cs="仿宋_GB2312"/>
                <w:b/>
                <w:bCs/>
                <w:sz w:val="24"/>
              </w:rPr>
            </w:pPr>
          </w:p>
        </w:tc>
        <w:tc>
          <w:tcPr>
            <w:tcW w:w="1890" w:type="dxa"/>
            <w:gridSpan w:val="2"/>
            <w:vMerge w:val="continue"/>
            <w:noWrap w:val="0"/>
            <w:vAlign w:val="center"/>
          </w:tcPr>
          <w:p>
            <w:pPr>
              <w:jc w:val="center"/>
              <w:rPr>
                <w:rFonts w:hint="eastAsia" w:ascii="仿宋_GB2312" w:hAnsi="仿宋_GB2312" w:eastAsia="仿宋_GB2312" w:cs="仿宋_GB2312"/>
                <w:b/>
                <w:bCs/>
                <w:sz w:val="24"/>
              </w:rPr>
            </w:pPr>
          </w:p>
        </w:tc>
        <w:tc>
          <w:tcPr>
            <w:tcW w:w="793" w:type="dxa"/>
            <w:gridSpan w:val="2"/>
            <w:vMerge w:val="continue"/>
            <w:noWrap w:val="0"/>
            <w:vAlign w:val="center"/>
          </w:tcPr>
          <w:p>
            <w:pPr>
              <w:jc w:val="center"/>
              <w:rPr>
                <w:rFonts w:hint="eastAsia" w:ascii="仿宋_GB2312" w:hAnsi="仿宋_GB2312" w:eastAsia="仿宋_GB2312" w:cs="仿宋_GB2312"/>
                <w:b/>
                <w:bCs/>
                <w:sz w:val="24"/>
              </w:rPr>
            </w:pP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违法行为持续1个月以上3个月以下的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2" w:hRule="atLeast"/>
        </w:trPr>
        <w:tc>
          <w:tcPr>
            <w:tcW w:w="1383" w:type="dxa"/>
            <w:vMerge w:val="continue"/>
            <w:noWrap w:val="0"/>
            <w:vAlign w:val="center"/>
          </w:tcPr>
          <w:p>
            <w:pPr>
              <w:jc w:val="center"/>
              <w:rPr>
                <w:rFonts w:hint="eastAsia" w:ascii="仿宋_GB2312" w:hAnsi="仿宋_GB2312" w:eastAsia="仿宋_GB2312" w:cs="仿宋_GB2312"/>
                <w:b/>
                <w:bCs/>
                <w:sz w:val="24"/>
              </w:rPr>
            </w:pPr>
          </w:p>
        </w:tc>
        <w:tc>
          <w:tcPr>
            <w:tcW w:w="1890" w:type="dxa"/>
            <w:gridSpan w:val="2"/>
            <w:vMerge w:val="continue"/>
            <w:noWrap w:val="0"/>
            <w:vAlign w:val="center"/>
          </w:tcPr>
          <w:p>
            <w:pPr>
              <w:jc w:val="center"/>
              <w:rPr>
                <w:rFonts w:hint="eastAsia" w:ascii="仿宋_GB2312" w:hAnsi="仿宋_GB2312" w:eastAsia="仿宋_GB2312" w:cs="仿宋_GB2312"/>
                <w:b/>
                <w:bCs/>
                <w:sz w:val="24"/>
              </w:rPr>
            </w:pPr>
          </w:p>
        </w:tc>
        <w:tc>
          <w:tcPr>
            <w:tcW w:w="793" w:type="dxa"/>
            <w:gridSpan w:val="2"/>
            <w:vMerge w:val="continue"/>
            <w:noWrap w:val="0"/>
            <w:vAlign w:val="center"/>
          </w:tcPr>
          <w:p>
            <w:pPr>
              <w:jc w:val="center"/>
              <w:rPr>
                <w:rFonts w:hint="eastAsia" w:ascii="仿宋_GB2312" w:hAnsi="仿宋_GB2312" w:eastAsia="仿宋_GB2312" w:cs="仿宋_GB2312"/>
                <w:b/>
                <w:bCs/>
                <w:sz w:val="24"/>
              </w:rPr>
            </w:pP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违法行为持续3个月以上的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3" w:type="dxa"/>
            <w:vMerge w:val="continue"/>
            <w:tcBorders>
              <w:right w:val="single" w:color="auto" w:sz="4" w:space="0"/>
            </w:tcBorders>
            <w:noWrap w:val="0"/>
            <w:vAlign w:val="center"/>
          </w:tcPr>
          <w:p>
            <w:pPr>
              <w:jc w:val="left"/>
            </w:pPr>
          </w:p>
        </w:tc>
        <w:tc>
          <w:tcPr>
            <w:tcW w:w="1890" w:type="dxa"/>
            <w:gridSpan w:val="2"/>
            <w:vMerge w:val="continue"/>
            <w:tcBorders>
              <w:left w:val="single" w:color="auto" w:sz="4" w:space="0"/>
            </w:tcBorders>
            <w:noWrap w:val="0"/>
            <w:vAlign w:val="center"/>
          </w:tcPr>
          <w:p>
            <w:pPr>
              <w:jc w:val="center"/>
              <w:rPr>
                <w:sz w:val="24"/>
              </w:rPr>
            </w:pPr>
          </w:p>
        </w:tc>
        <w:tc>
          <w:tcPr>
            <w:tcW w:w="793" w:type="dxa"/>
            <w:gridSpan w:val="2"/>
            <w:vMerge w:val="continue"/>
            <w:noWrap w:val="0"/>
            <w:vAlign w:val="center"/>
          </w:tcPr>
          <w:p>
            <w:pPr>
              <w:jc w:val="center"/>
              <w:rPr>
                <w:sz w:val="24"/>
              </w:rPr>
            </w:pP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2"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4"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rPr>
                <w:rFonts w:hint="eastAsia" w:ascii="仿宋_GB2312" w:hAnsi="仿宋_GB2312" w:eastAsia="仿宋_GB2312" w:cs="仿宋_GB2312"/>
                <w:sz w:val="24"/>
              </w:rPr>
            </w:pPr>
          </w:p>
        </w:tc>
        <w:tc>
          <w:tcPr>
            <w:tcW w:w="336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未造成社会影响或生态破坏的</w:t>
            </w:r>
          </w:p>
        </w:tc>
        <w:tc>
          <w:tcPr>
            <w:tcW w:w="16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tbl>
      <w:tblPr>
        <w:tblStyle w:val="9"/>
        <w:tblW w:w="0" w:type="auto"/>
        <w:tblInd w:w="0" w:type="dxa"/>
        <w:tblLayout w:type="fixed"/>
        <w:tblCellMar>
          <w:top w:w="15" w:type="dxa"/>
          <w:left w:w="15" w:type="dxa"/>
          <w:bottom w:w="15" w:type="dxa"/>
          <w:right w:w="15" w:type="dxa"/>
        </w:tblCellMar>
      </w:tblPr>
      <w:tblGrid>
        <w:gridCol w:w="1211"/>
        <w:gridCol w:w="172"/>
        <w:gridCol w:w="1890"/>
        <w:gridCol w:w="793"/>
        <w:gridCol w:w="3335"/>
        <w:gridCol w:w="1677"/>
      </w:tblGrid>
      <w:tr>
        <w:tblPrEx>
          <w:tblCellMar>
            <w:top w:w="15" w:type="dxa"/>
            <w:left w:w="15" w:type="dxa"/>
            <w:bottom w:w="15" w:type="dxa"/>
            <w:right w:w="15" w:type="dxa"/>
          </w:tblCellMar>
        </w:tblPrEx>
        <w:trPr>
          <w:trHeight w:val="681" w:hRule="atLeast"/>
        </w:trPr>
        <w:tc>
          <w:tcPr>
            <w:tcW w:w="907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唐山市生态环境行政处罚裁量规则（大气类）</w:t>
            </w:r>
          </w:p>
        </w:tc>
      </w:tr>
      <w:tr>
        <w:tblPrEx>
          <w:tblCellMar>
            <w:top w:w="15" w:type="dxa"/>
            <w:left w:w="15" w:type="dxa"/>
            <w:bottom w:w="15" w:type="dxa"/>
            <w:right w:w="15" w:type="dxa"/>
          </w:tblCellMar>
        </w:tblPrEx>
        <w:trPr>
          <w:trHeight w:val="510"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6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67</w:t>
            </w:r>
          </w:p>
        </w:tc>
      </w:tr>
      <w:tr>
        <w:tblPrEx>
          <w:tblCellMar>
            <w:top w:w="15" w:type="dxa"/>
            <w:left w:w="15" w:type="dxa"/>
            <w:bottom w:w="15" w:type="dxa"/>
            <w:right w:w="15" w:type="dxa"/>
          </w:tblCellMar>
        </w:tblPrEx>
        <w:trPr>
          <w:trHeight w:val="681" w:hRule="atLeast"/>
        </w:trPr>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6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在禁止使用高排放非道路移动机械区使用高排放非道路移动机械的</w:t>
            </w:r>
          </w:p>
        </w:tc>
      </w:tr>
      <w:tr>
        <w:tblPrEx>
          <w:tblCellMar>
            <w:top w:w="15" w:type="dxa"/>
            <w:left w:w="15" w:type="dxa"/>
            <w:bottom w:w="15" w:type="dxa"/>
            <w:right w:w="15" w:type="dxa"/>
          </w:tblCellMar>
        </w:tblPrEx>
        <w:trPr>
          <w:trHeight w:val="2792" w:hRule="atLeast"/>
        </w:trPr>
        <w:tc>
          <w:tcPr>
            <w:tcW w:w="12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867"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《中华人民共和国大气污染防治法》</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第一百一十四条 第二款</w:t>
            </w:r>
            <w:r>
              <w:rPr>
                <w:rFonts w:hint="eastAsia" w:ascii="仿宋_GB2312" w:hAnsi="仿宋_GB2312" w:eastAsia="仿宋_GB2312" w:cs="仿宋_GB2312"/>
                <w:bCs/>
                <w:sz w:val="24"/>
                <w:szCs w:val="32"/>
              </w:rPr>
              <w:t xml:space="preserve"> 违反本法规定，在禁止使用高排放非道路移动机械的区域使用高排放非道路移动机械的，由城市人民政府生态环境等主管部门依法予以处罚。</w:t>
            </w:r>
          </w:p>
          <w:p>
            <w:pPr>
              <w:jc w:val="left"/>
              <w:rPr>
                <w:rFonts w:hint="eastAsia" w:ascii="仿宋_GB2312" w:hAnsi="仿宋_GB2312" w:eastAsia="仿宋_GB2312" w:cs="仿宋_GB2312"/>
                <w:bCs/>
                <w:sz w:val="24"/>
                <w:szCs w:val="32"/>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sz w:val="24"/>
              </w:rPr>
            </w:pPr>
            <w:r>
              <w:rPr>
                <w:rFonts w:hint="eastAsia" w:ascii="仿宋_GB2312" w:hAnsi="仿宋_GB2312" w:eastAsia="仿宋_GB2312" w:cs="仿宋_GB2312"/>
                <w:b/>
                <w:sz w:val="24"/>
                <w:szCs w:val="32"/>
              </w:rPr>
              <w:t>第十一条 第一款</w:t>
            </w:r>
            <w:r>
              <w:rPr>
                <w:rFonts w:hint="eastAsia" w:ascii="仿宋_GB2312" w:hAnsi="仿宋_GB2312" w:eastAsia="仿宋_GB2312" w:cs="仿宋_GB2312"/>
                <w:sz w:val="24"/>
              </w:rPr>
              <w:t xml:space="preserve"> 城市人民政府根据大气环境质量状况，可以划定禁止使用高排放非道路移动机械的区域，并及时公布。</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3.</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机动车和非道路移动机械排放污染防治条例》</w:t>
            </w:r>
          </w:p>
          <w:p>
            <w:pPr>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第四十九条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第二款</w:t>
            </w:r>
            <w:r>
              <w:rPr>
                <w:rFonts w:hint="eastAsia" w:ascii="仿宋_GB2312" w:hAnsi="仿宋_GB2312" w:eastAsia="仿宋_GB2312" w:cs="仿宋_GB2312"/>
                <w:bCs/>
                <w:sz w:val="24"/>
                <w:szCs w:val="32"/>
              </w:rPr>
              <w:t xml:space="preserve"> 违反本条例规定，在禁止使用高排放非道路移动机械区域使用高排放非道路移动机械的，由城市人民政府生态环境主管部门处五万元以上十万元以下的罚款。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3"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3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7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3"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33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bCs/>
                <w:sz w:val="24"/>
              </w:rPr>
              <w:t>在禁止使用高排放非道路移动机械区域使用高排放非道路移动机械2辆以内的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335" w:type="dxa"/>
            <w:noWrap w:val="0"/>
            <w:vAlign w:val="center"/>
          </w:tcPr>
          <w:p>
            <w:pPr>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在禁止使用高排放非道路移动机械区域使用高排放非道路移动机械2辆以上的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83"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33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383" w:type="dxa"/>
            <w:gridSpan w:val="2"/>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33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383" w:type="dxa"/>
            <w:gridSpan w:val="2"/>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33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gridSpan w:val="2"/>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3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83" w:type="dxa"/>
            <w:gridSpan w:val="2"/>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33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83"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83"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33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未造成社会影响或生态破坏的</w:t>
            </w:r>
          </w:p>
        </w:tc>
        <w:tc>
          <w:tcPr>
            <w:tcW w:w="16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86"/>
        <w:gridCol w:w="772"/>
        <w:gridCol w:w="3482"/>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58"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以拖延、围堵、滞留执法人员等方式拒绝、阻挠环境保护主管部门或者其他依照本法规定行使监督管理权的部门的监督检查，或者在接受监督检查时弄虚作假的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第三十条</w:t>
            </w:r>
            <w:r>
              <w:rPr>
                <w:rFonts w:hint="eastAsia" w:ascii="仿宋_GB2312" w:hAnsi="仿宋_GB2312" w:eastAsia="仿宋_GB2312" w:cs="仿宋_GB2312"/>
                <w:sz w:val="24"/>
                <w:szCs w:val="32"/>
              </w:rPr>
              <w:t xml:space="preserve"> 环境保护主管部门和其他依照本法规定行使监督管理权的部门，有权对管辖范围内的排污单位进行现场检查，被检查的单位应当如实反映情况，提供必要的资料。检察机关有义务为被检查的单位保守在检查中获取的商业秘密。</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第八十一条</w:t>
            </w:r>
            <w:r>
              <w:rPr>
                <w:rFonts w:hint="eastAsia" w:ascii="仿宋_GB2312" w:hAnsi="仿宋_GB2312" w:eastAsia="仿宋_GB2312" w:cs="仿宋_GB2312"/>
                <w:sz w:val="24"/>
                <w:szCs w:val="32"/>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第七十六条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8"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5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6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拒绝检查情形</w:t>
            </w:r>
          </w:p>
        </w:tc>
        <w:tc>
          <w:tcPr>
            <w:tcW w:w="77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w:t>
            </w: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迟滞10分钟以上30分钟以内</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迟滞超过半小时</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阻碍或隐匿部分资料</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围堵、留滞执法人员或拒绝提供资料</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暴力抗法</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弄虚作假情形</w:t>
            </w: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提供非关键性假信息的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提供关键性假信息的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伪造现场或证据的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一年内违法次数</w:t>
            </w:r>
          </w:p>
        </w:tc>
        <w:tc>
          <w:tcPr>
            <w:tcW w:w="77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20%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首次实施违法行为的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再次实施违法行为的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pPr>
          </w:p>
        </w:tc>
        <w:tc>
          <w:tcPr>
            <w:tcW w:w="1686" w:type="dxa"/>
            <w:vMerge w:val="continue"/>
            <w:noWrap w:val="0"/>
            <w:vAlign w:val="center"/>
          </w:tcPr>
          <w:p>
            <w:pPr>
              <w:jc w:val="center"/>
            </w:pPr>
          </w:p>
        </w:tc>
        <w:tc>
          <w:tcPr>
            <w:tcW w:w="772" w:type="dxa"/>
            <w:vMerge w:val="continue"/>
            <w:noWrap w:val="0"/>
            <w:vAlign w:val="center"/>
          </w:tcPr>
          <w:p>
            <w:pPr>
              <w:jc w:val="cente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第三次实施违法行为的</w:t>
            </w:r>
          </w:p>
        </w:tc>
        <w:tc>
          <w:tcPr>
            <w:tcW w:w="176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2"/>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三次以上实施违法行为的</w:t>
            </w:r>
          </w:p>
        </w:tc>
        <w:tc>
          <w:tcPr>
            <w:tcW w:w="176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2"/>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0"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7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5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50"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72" w:type="dxa"/>
            <w:vMerge w:val="continue"/>
            <w:noWrap w:val="0"/>
            <w:vAlign w:val="center"/>
          </w:tcPr>
          <w:p>
            <w:pPr>
              <w:jc w:val="cente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造成社会影响与生态破坏的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rPr>
                <w:rFonts w:hint="eastAsia" w:ascii="仿宋_GB2312" w:hAnsi="仿宋_GB2312" w:eastAsia="仿宋_GB2312" w:cs="仿宋_GB2312"/>
                <w:sz w:val="24"/>
                <w:szCs w:val="32"/>
              </w:rPr>
            </w:pPr>
          </w:p>
        </w:tc>
        <w:tc>
          <w:tcPr>
            <w:tcW w:w="3482"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6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p/>
    <w:p/>
    <w:p/>
    <w:p>
      <w:pPr>
        <w:rPr>
          <w:rFonts w:hint="eastAsia"/>
        </w:rPr>
      </w:pPr>
    </w:p>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890"/>
        <w:gridCol w:w="793"/>
        <w:gridCol w:w="3203"/>
        <w:gridCol w:w="268"/>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145" w:type="dxa"/>
            <w:gridSpan w:val="6"/>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5"/>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未按照规定对所排放的水污染物自行监测，或者未保存原始监测记录的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5"/>
            <w:noWrap w:val="0"/>
            <w:vAlign w:val="center"/>
          </w:tcPr>
          <w:p>
            <w:pPr>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第二十三条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line="280" w:lineRule="exact"/>
              <w:rPr>
                <w:rFonts w:hint="eastAsia" w:ascii="仿宋_GB2312" w:hAnsi="仿宋_GB2312" w:eastAsia="仿宋_GB2312" w:cs="仿宋_GB2312"/>
                <w:sz w:val="24"/>
                <w:szCs w:val="32"/>
              </w:rPr>
            </w:pPr>
          </w:p>
          <w:p>
            <w:pPr>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第八十二条 </w:t>
            </w:r>
            <w:r>
              <w:rPr>
                <w:rFonts w:hint="eastAsia" w:ascii="仿宋_GB2312" w:hAnsi="仿宋_GB2312" w:eastAsia="仿宋_GB2312" w:cs="仿宋_GB2312"/>
                <w:sz w:val="24"/>
                <w:szCs w:val="32"/>
              </w:rPr>
              <w:t>违反本法规定，有下列行为之一的，由县级以上人民政府环境保护主管部门责令限期改正，处二万元以上二十万元以下的罚款；逾期不改正的，责令停产整治：</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（一）未按照规定对所排放的水污染物自行监测，或者未保存原始监测记录的；</w:t>
            </w:r>
          </w:p>
          <w:p>
            <w:pPr>
              <w:spacing w:line="280" w:lineRule="exact"/>
              <w:rPr>
                <w:rFonts w:hint="eastAsia" w:ascii="仿宋_GB2312" w:hAnsi="仿宋_GB2312" w:eastAsia="仿宋_GB2312" w:cs="仿宋_GB2312"/>
                <w:sz w:val="24"/>
                <w:szCs w:val="32"/>
              </w:rPr>
            </w:pPr>
          </w:p>
          <w:p>
            <w:pPr>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w:t>
            </w:r>
            <w:r>
              <w:rPr>
                <w:rFonts w:hint="eastAsia" w:ascii="仿宋_GB2312" w:hAnsi="仿宋_GB2312" w:eastAsia="仿宋_GB2312" w:cs="仿宋_GB2312"/>
                <w:b/>
                <w:bCs/>
                <w:kern w:val="0"/>
                <w:sz w:val="24"/>
                <w:lang w:bidi="ar"/>
              </w:rPr>
              <w:t xml:space="preserve"> </w:t>
            </w:r>
            <w:r>
              <w:rPr>
                <w:rFonts w:hint="eastAsia" w:ascii="仿宋_GB2312" w:hAnsi="仿宋_GB2312" w:eastAsia="仿宋_GB2312" w:cs="仿宋_GB2312"/>
                <w:sz w:val="24"/>
                <w:szCs w:val="32"/>
              </w:rPr>
              <w:t>违反本条例规定，有下列行为之一的，由环境保护主管部门责令限期改正，处三万元以上十万元以下的罚款；情节较重的，处十万元以上二十万元以下的罚款；逾期不改正的，责令停产整治：</w:t>
            </w:r>
          </w:p>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（一）未按照规定对所排放的水污染物进行监测，或者未保存原始监测记录的；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3"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71"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54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已开展自行监测，未保存原始记录的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未按照规定对所排放的水污染物自行监测的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排污口级别</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一般排污单位</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重点排污单位</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5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5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50" w:type="dxa"/>
            <w:vMerge w:val="continue"/>
            <w:noWrap w:val="0"/>
            <w:vAlign w:val="center"/>
          </w:tcPr>
          <w:p>
            <w:pPr>
              <w:jc w:val="left"/>
            </w:pPr>
          </w:p>
        </w:tc>
        <w:tc>
          <w:tcPr>
            <w:tcW w:w="1890" w:type="dxa"/>
            <w:vMerge w:val="continue"/>
            <w:noWrap w:val="0"/>
            <w:vAlign w:val="center"/>
          </w:tcPr>
          <w:p>
            <w:pPr>
              <w:jc w:val="center"/>
            </w:pPr>
          </w:p>
        </w:tc>
        <w:tc>
          <w:tcPr>
            <w:tcW w:w="793" w:type="dxa"/>
            <w:vMerge w:val="continue"/>
            <w:noWrap w:val="0"/>
            <w:vAlign w:val="center"/>
          </w:tcPr>
          <w:p>
            <w:pPr>
              <w:jc w:val="center"/>
            </w:pPr>
          </w:p>
        </w:tc>
        <w:tc>
          <w:tcPr>
            <w:tcW w:w="3471" w:type="dxa"/>
            <w:gridSpan w:val="2"/>
            <w:noWrap w:val="0"/>
            <w:vAlign w:val="center"/>
          </w:tcPr>
          <w:p>
            <w:pPr>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第三次实施违法行为的</w:t>
            </w:r>
          </w:p>
        </w:tc>
        <w:tc>
          <w:tcPr>
            <w:tcW w:w="15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50" w:type="dxa"/>
            <w:vMerge w:val="continue"/>
            <w:noWrap w:val="0"/>
            <w:vAlign w:val="center"/>
          </w:tcPr>
          <w:p>
            <w:pPr>
              <w:jc w:val="left"/>
              <w:rPr>
                <w:rFonts w:hint="eastAsia" w:ascii="仿宋_GB2312" w:hAnsi="仿宋_GB2312" w:eastAsia="仿宋_GB2312" w:cs="仿宋_GB2312"/>
                <w:sz w:val="24"/>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471" w:type="dxa"/>
            <w:gridSpan w:val="2"/>
            <w:noWrap w:val="0"/>
            <w:vAlign w:val="center"/>
          </w:tcPr>
          <w:p>
            <w:pPr>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三次以上实施违法行为的</w:t>
            </w:r>
          </w:p>
        </w:tc>
        <w:tc>
          <w:tcPr>
            <w:tcW w:w="15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5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471" w:type="dxa"/>
            <w:gridSpan w:val="2"/>
            <w:noWrap w:val="0"/>
            <w:vAlign w:val="center"/>
          </w:tcPr>
          <w:p>
            <w:pPr>
              <w:spacing w:line="26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71" w:type="dxa"/>
            <w:gridSpan w:val="2"/>
            <w:noWrap w:val="0"/>
            <w:vAlign w:val="center"/>
          </w:tcPr>
          <w:p>
            <w:pPr>
              <w:spacing w:line="26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471" w:type="dxa"/>
            <w:gridSpan w:val="2"/>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5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jc w:val="center"/>
        </w:trPr>
        <w:tc>
          <w:tcPr>
            <w:tcW w:w="9145" w:type="dxa"/>
            <w:gridSpan w:val="6"/>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jc w:val="center"/>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5"/>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3" w:hRule="atLeast"/>
          <w:jc w:val="center"/>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未按照规定安装水污染物排放自动监测设备，未按照规定与环境保护主管部门的监控设备联网，或者未保证监测设备正常运行的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73" w:hRule="atLeast"/>
          <w:jc w:val="center"/>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5"/>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第二十三条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第八十二条 </w:t>
            </w:r>
            <w:r>
              <w:rPr>
                <w:rFonts w:hint="eastAsia" w:ascii="仿宋_GB2312" w:hAnsi="仿宋_GB2312" w:eastAsia="仿宋_GB2312" w:cs="仿宋_GB2312"/>
                <w:sz w:val="24"/>
                <w:szCs w:val="32"/>
              </w:rPr>
              <w:t>违反本法规定，有下列行为之一的，由县级以上人民政府环境保护主管部门责令限期改正，处二万元以上二十万元以下的罚款；逾期不改正的，责令停产整治：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（二）未按照规定安装水污染物排放自动监测设备，未按照规定与环境保护主管部门的监控设备联网，或者未保证监测设备正常运行的；</w:t>
            </w:r>
          </w:p>
          <w:p>
            <w:pPr>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违反本条例规定，有下列行为之一的，由环境保护主管部门责令限期改正，处三万元以上十万元以下的罚款；情节较重的，处十万元以上二十万元以下的罚款；逾期不改正的，责令停产整治：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（二）未按照规定安装水污染物排放自动监测设备，未按照规定与环境保护主管部门的监控设备联网，或者未保证监测设备正常运行的；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《河北省生态环境保护条例》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w:t>
            </w:r>
            <w:r>
              <w:rPr>
                <w:rFonts w:hint="eastAsia" w:ascii="仿宋_GB2312" w:hAnsi="仿宋_GB2312" w:eastAsia="仿宋_GB2312" w:cs="仿宋_GB2312"/>
                <w:sz w:val="24"/>
                <w:szCs w:val="32"/>
              </w:rPr>
              <w:t xml:space="preserve"> 违反本条例规定，重点排污单位有下列行为之一的，由生态环境主管部门责令改正，处二万元以上二十万元以下的罚款；拒不改正的，责令停产整治：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（一）未按照规定安装使用自动监测设备，或者未与生态环境主管部门的监控设备联网的；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4133"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jc w:val="center"/>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已安装水污染物排放自动监测设备，但未按规定与生态环境主管部门联网的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34"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已安装水污染物排放自动监测设备，但不能保证正常运行的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未安装水污染物排放自动监测设备的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1"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jc w:val="center"/>
        </w:trPr>
        <w:tc>
          <w:tcPr>
            <w:tcW w:w="1450" w:type="dxa"/>
            <w:vMerge w:val="continue"/>
            <w:noWrap w:val="0"/>
            <w:vAlign w:val="center"/>
          </w:tcPr>
          <w:p>
            <w:pPr>
              <w:jc w:val="left"/>
            </w:pPr>
          </w:p>
        </w:tc>
        <w:tc>
          <w:tcPr>
            <w:tcW w:w="1890" w:type="dxa"/>
            <w:vMerge w:val="continue"/>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jc w:val="center"/>
        </w:trPr>
        <w:tc>
          <w:tcPr>
            <w:tcW w:w="1450" w:type="dxa"/>
            <w:vMerge w:val="continue"/>
            <w:noWrap w:val="0"/>
            <w:vAlign w:val="center"/>
          </w:tcPr>
          <w:p>
            <w:pPr>
              <w:jc w:val="left"/>
              <w:rPr>
                <w:rFonts w:hint="eastAsia" w:ascii="仿宋_GB2312" w:hAnsi="仿宋_GB2312" w:eastAsia="仿宋_GB2312" w:cs="仿宋_GB2312"/>
                <w:sz w:val="24"/>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3"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nil"/>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2"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9"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8" w:hRule="atLeast"/>
          <w:jc w:val="center"/>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3" w:hRule="atLeast"/>
          <w:jc w:val="center"/>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890"/>
        <w:gridCol w:w="793"/>
        <w:gridCol w:w="3203"/>
        <w:gridCol w:w="431"/>
        <w:gridCol w:w="1378"/>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58" w:type="dxa"/>
            <w:gridSpan w:val="7"/>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6"/>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未按照规定对有毒有害水污染物的排污口和周边环境进行监测，或者未公开有毒有害水污染物信息的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8"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6"/>
            <w:noWrap w:val="0"/>
            <w:vAlign w:val="center"/>
          </w:tcPr>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第三十二条</w:t>
            </w:r>
            <w:r>
              <w:rPr>
                <w:rFonts w:hint="eastAsia" w:ascii="仿宋_GB2312" w:hAnsi="仿宋_GB2312" w:eastAsia="仿宋_GB2312" w:cs="仿宋_GB2312"/>
                <w:sz w:val="24"/>
                <w:szCs w:val="32"/>
              </w:rPr>
              <w:t xml:space="preserve"> 国务院环境保护主管部门应当会同国务院卫生主管部门，根据对公众健康和生态环境的危害和影响程度，公布有毒有害水污染物名录，实行风险管理。</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spacing w:line="280" w:lineRule="exact"/>
              <w:jc w:val="left"/>
              <w:rPr>
                <w:rFonts w:hint="eastAsia" w:ascii="仿宋_GB2312" w:hAnsi="仿宋_GB2312" w:eastAsia="仿宋_GB2312" w:cs="仿宋_GB2312"/>
                <w:b/>
                <w:bCs/>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2.《中华人民共和国水污染防治法》</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第八十二条 </w:t>
            </w:r>
            <w:r>
              <w:rPr>
                <w:rFonts w:hint="eastAsia" w:ascii="仿宋_GB2312" w:hAnsi="仿宋_GB2312" w:eastAsia="仿宋_GB2312" w:cs="仿宋_GB2312"/>
                <w:sz w:val="24"/>
                <w:szCs w:val="32"/>
              </w:rPr>
              <w:t>违反本法规定，有下列行为之一的，由县级以上人民政府环境保护主管部门责令限期改正，处二万元以上二十万元以下的罚款；逾期不改正的，责令停产整治：</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（三）未按照规定对有毒有害水污染物的排污口和周边环境进行监测，或者未公开有毒有害水污染物信息的。</w:t>
            </w:r>
          </w:p>
          <w:p>
            <w:pPr>
              <w:spacing w:line="280" w:lineRule="exact"/>
              <w:jc w:val="left"/>
              <w:rPr>
                <w:rFonts w:hint="eastAsia" w:ascii="仿宋_GB2312" w:hAnsi="仿宋_GB2312" w:eastAsia="仿宋_GB2312" w:cs="仿宋_GB2312"/>
                <w:b/>
                <w:bCs/>
                <w:sz w:val="24"/>
                <w:szCs w:val="32"/>
              </w:rPr>
            </w:pPr>
          </w:p>
          <w:p>
            <w:pPr>
              <w:spacing w:line="28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第七十二条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违反本条例规定，有下列行为之一的，由环境保护主管部门责令限期改正，处三万元以上十万元以下的罚款；情节较重的，处十万元以上二十万元以下的罚款；逾期不改正的，责令停产整治：</w:t>
            </w:r>
          </w:p>
          <w:p>
            <w:pPr>
              <w:spacing w:line="280" w:lineRule="exact"/>
              <w:jc w:val="left"/>
              <w:rPr>
                <w:rFonts w:hint="eastAsia" w:ascii="仿宋_GB2312" w:hAnsi="仿宋_GB2312" w:eastAsia="仿宋_GB2312" w:cs="仿宋_GB2312"/>
                <w:kern w:val="0"/>
                <w:sz w:val="24"/>
                <w:lang w:bidi="ar"/>
              </w:rPr>
            </w:pPr>
            <w:r>
              <w:rPr>
                <w:rFonts w:hint="eastAsia" w:ascii="仿宋_GB2312" w:hAnsi="仿宋_GB2312" w:eastAsia="仿宋_GB2312" w:cs="仿宋_GB2312"/>
                <w:sz w:val="24"/>
                <w:szCs w:val="32"/>
              </w:rPr>
              <w:t>（三）未按照规定对有毒有害水污染物的排污口和周边环境进行监测，或者未公开有毒有害水污染物信息的。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3"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634"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391"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未公开有毒有害水污染物信息的</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未按照规定对有毒有害水污染物的排污口和周边环境进行监测的      </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pPr>
          </w:p>
        </w:tc>
        <w:tc>
          <w:tcPr>
            <w:tcW w:w="1890" w:type="dxa"/>
            <w:vMerge w:val="continue"/>
            <w:noWrap w:val="0"/>
            <w:vAlign w:val="center"/>
          </w:tcPr>
          <w:p>
            <w:pPr>
              <w:jc w:val="center"/>
              <w:rPr>
                <w:sz w:val="24"/>
              </w:rPr>
            </w:pPr>
          </w:p>
        </w:tc>
        <w:tc>
          <w:tcPr>
            <w:tcW w:w="793" w:type="dxa"/>
            <w:vMerge w:val="continue"/>
            <w:noWrap w:val="0"/>
            <w:vAlign w:val="center"/>
          </w:tcPr>
          <w:p>
            <w:pPr>
              <w:jc w:val="center"/>
              <w:rPr>
                <w:sz w:val="24"/>
              </w:rPr>
            </w:pP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rPr>
                <w:rFonts w:hint="eastAsia" w:ascii="仿宋_GB2312" w:hAnsi="仿宋_GB2312" w:eastAsia="仿宋_GB2312" w:cs="仿宋_GB2312"/>
                <w:sz w:val="24"/>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634"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39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634"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39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634"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39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634"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39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634" w:type="dxa"/>
            <w:gridSpan w:val="2"/>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39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634" w:type="dxa"/>
            <w:gridSpan w:val="2"/>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39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1" w:hRule="atLeast"/>
        </w:trPr>
        <w:tc>
          <w:tcPr>
            <w:tcW w:w="9145" w:type="dxa"/>
            <w:gridSpan w:val="6"/>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5"/>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64"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未依法取得排污许可证排放水污染物的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6"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5"/>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第二十一条 </w:t>
            </w:r>
            <w:r>
              <w:rPr>
                <w:rFonts w:hint="eastAsia" w:ascii="仿宋_GB2312" w:hAnsi="仿宋_GB2312" w:eastAsia="仿宋_GB2312" w:cs="仿宋_GB2312"/>
                <w:sz w:val="24"/>
                <w:szCs w:val="32"/>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jc w:val="left"/>
            </w:pPr>
            <w:r>
              <w:rPr>
                <w:rFonts w:hint="eastAsia" w:ascii="仿宋_GB2312" w:hAnsi="仿宋_GB2312" w:eastAsia="仿宋_GB2312" w:cs="仿宋_GB2312"/>
                <w:sz w:val="24"/>
                <w:szCs w:val="32"/>
              </w:rPr>
              <w:t>禁止企业事业单位和其他生产经营者无排污许可证或者违反排污许可证的规定向水体排放前款规定的废水、污水</w:t>
            </w:r>
            <w:r>
              <w:t>。</w:t>
            </w:r>
          </w:p>
          <w:p>
            <w:pPr>
              <w:jc w:val="left"/>
              <w:rPr>
                <w:rFonts w:hint="eastAsia"/>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第八十三条 </w:t>
            </w:r>
            <w:r>
              <w:rPr>
                <w:rFonts w:hint="eastAsia" w:ascii="仿宋_GB2312" w:hAnsi="仿宋_GB2312" w:eastAsia="仿宋_GB2312" w:cs="仿宋_GB2312"/>
                <w:sz w:val="24"/>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（一)未依法取得排污许可证排放水污染物的；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《河北省生态环境保护条例》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第六十九条</w:t>
            </w:r>
            <w:r>
              <w:rPr>
                <w:rFonts w:hint="eastAsia" w:ascii="仿宋_GB2312" w:hAnsi="仿宋_GB2312" w:eastAsia="仿宋_GB2312" w:cs="仿宋_GB2312"/>
                <w:sz w:val="24"/>
                <w:szCs w:val="32"/>
              </w:rPr>
              <w:t xml:space="preserve"> 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《河北省水污染防治条例》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违反本条例规定，有下列行为之一的，由环境保护主管部门责令改正或者责令限制生产、停产整治，并处二十万元以上一百万元以下的罚款；情节严重的，报经有批准权的人民政府批准，责令停业、关闭：</w:t>
            </w:r>
          </w:p>
          <w:p>
            <w:pPr>
              <w:numPr>
                <w:ilvl w:val="0"/>
                <w:numId w:val="3"/>
              </w:num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未依法取得排污许可证排放水污染物的；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4133"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环境影响评价项目类型</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列入环境影响登记表类项目的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列入环境影响报告表类项目的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6"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列入环境影响报告书类项目的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是否经过收集处理</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经收集处理</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1"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未经收集处理</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5"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是否超标</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水污染物不超标的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水污染物超标的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3"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6"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9"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01"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0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890"/>
        <w:gridCol w:w="793"/>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58"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超过水污染物排放标准或者超过重点水污染物排放总量控制指标排放水污染物的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第十条</w:t>
            </w:r>
            <w:r>
              <w:rPr>
                <w:rFonts w:hint="eastAsia" w:ascii="仿宋_GB2312" w:hAnsi="仿宋_GB2312" w:eastAsia="仿宋_GB2312" w:cs="仿宋_GB2312"/>
                <w:sz w:val="24"/>
                <w:szCs w:val="32"/>
              </w:rPr>
              <w:t xml:space="preserve"> 排放水污染物，不得超过国家或者地方规定的水污染物排放标准和重点水污染物排放总量控制指标。</w:t>
            </w:r>
          </w:p>
          <w:p>
            <w:pPr>
              <w:jc w:val="left"/>
              <w:rPr>
                <w:rFonts w:hint="eastAsia"/>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第八十三条 </w:t>
            </w:r>
            <w:r>
              <w:rPr>
                <w:rFonts w:hint="eastAsia" w:ascii="仿宋_GB2312" w:hAnsi="仿宋_GB2312" w:eastAsia="仿宋_GB2312" w:cs="仿宋_GB2312"/>
                <w:sz w:val="24"/>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（二）超过水污染物排放标准或者超过重点水污染物排放总量控制指标排放水污染物的；</w:t>
            </w:r>
          </w:p>
          <w:p>
            <w:pPr>
              <w:ind w:left="420"/>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违反本条例规定，有下列行为之一的，由环境保护主管部门责令改正或者责令限制生产、停产整治，并处二十万元以上一百万元以下的罚款；情节严重的，报经有批准权的人民政府批准，责令停业、关闭：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（一）超过水污染物排放标准或者超过重点水污染物排放总量控制指标排放水污染物的；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3"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超过水污染物排放标准</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超标一倍以内的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超标一倍以上二倍以下的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超标两倍以上的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环境影响评价项目类型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列入环境影响登记表类项目的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列入环境影响报告表类项目的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列入环境影响报告书类项目的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pPr>
          </w:p>
        </w:tc>
        <w:tc>
          <w:tcPr>
            <w:tcW w:w="1890" w:type="dxa"/>
            <w:vMerge w:val="continue"/>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rPr>
                <w:rFonts w:hint="eastAsia" w:ascii="仿宋_GB2312" w:hAnsi="仿宋_GB2312" w:eastAsia="仿宋_GB2312" w:cs="仿宋_GB2312"/>
                <w:sz w:val="24"/>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jc w:val="left"/>
        <w:rPr>
          <w:rFonts w:hint="eastAsia" w:ascii="仿宋_GB2312" w:hAnsi="仿宋_GB2312" w:eastAsia="仿宋_GB2312" w:cs="仿宋_GB2312"/>
        </w:rPr>
      </w:pPr>
    </w:p>
    <w:p>
      <w:pPr>
        <w:spacing w:line="360" w:lineRule="auto"/>
        <w:jc w:val="left"/>
        <w:rPr>
          <w:rFonts w:hint="eastAsia" w:ascii="仿宋_GB2312" w:hAnsi="仿宋_GB2312" w:eastAsia="仿宋_GB2312" w:cs="仿宋_GB2312"/>
          <w:b/>
          <w:bCs/>
        </w:rPr>
      </w:pPr>
      <w:r>
        <w:rPr>
          <w:rFonts w:hint="eastAsia" w:ascii="仿宋_GB2312" w:hAnsi="仿宋_GB2312" w:eastAsia="仿宋_GB2312" w:cs="仿宋_GB2312"/>
          <w:b/>
          <w:bCs/>
        </w:rPr>
        <w:t>注释：污染物超标以超标幅度最高的因子为准。</w:t>
      </w:r>
    </w:p>
    <w:p>
      <w:pPr>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1.当10≤pH＜10.5，或4.5＜pH≤5，适用污染因子超标1倍以内的裁定范围；</w:t>
      </w:r>
    </w:p>
    <w:p>
      <w:pPr>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2.当10.5≤pH＜11，或4＜pH≤4.5，适用污染因子超标1-2倍的裁定范围；</w:t>
      </w:r>
    </w:p>
    <w:p>
      <w:pPr>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3.当pH≥11，或pH≤4，可视作污染因子超标2倍以上的裁定范围。</w:t>
      </w:r>
    </w:p>
    <w:p/>
    <w:p>
      <w:pPr>
        <w:jc w:val="center"/>
      </w:pPr>
    </w:p>
    <w:p>
      <w:pPr>
        <w:jc w:val="center"/>
      </w:pPr>
    </w:p>
    <w:p>
      <w:pPr>
        <w:jc w:val="left"/>
      </w:pPr>
    </w:p>
    <w:p/>
    <w:p/>
    <w:p/>
    <w:p/>
    <w:p/>
    <w:p/>
    <w:p/>
    <w:p/>
    <w:p/>
    <w:p/>
    <w:p/>
    <w:p/>
    <w:p/>
    <w:p/>
    <w:p/>
    <w:p/>
    <w:p/>
    <w:p/>
    <w:p/>
    <w:p/>
    <w:p/>
    <w:p/>
    <w:p/>
    <w:p/>
    <w:p/>
    <w:p/>
    <w:p/>
    <w:p/>
    <w:p/>
    <w:p/>
    <w:p/>
    <w:p/>
    <w:p/>
    <w:p/>
    <w:p/>
    <w:p>
      <w:pPr>
        <w:jc w:val="left"/>
      </w:pPr>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890"/>
        <w:gridCol w:w="793"/>
        <w:gridCol w:w="32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72"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利用渗井、渗坑、裂隙、溶洞，私设暗管，篡改、伪造监测数据，或者不正常运行水污染防治设施等逃避监管的方式排放水污染物的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第三十九条</w:t>
            </w:r>
            <w:r>
              <w:rPr>
                <w:rFonts w:hint="eastAsia" w:ascii="仿宋_GB2312" w:hAnsi="仿宋_GB2312" w:eastAsia="仿宋_GB2312" w:cs="仿宋_GB2312"/>
                <w:sz w:val="24"/>
                <w:szCs w:val="32"/>
              </w:rPr>
              <w:t xml:space="preserve"> 禁止利用渗井、渗坑、裂隙、溶洞，私设暗管，篡改、伪造监测数据，或者不正常运行水污染防治设施等逃避监管的方式排放水污染物。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第八十三条 </w:t>
            </w:r>
            <w:r>
              <w:rPr>
                <w:rFonts w:hint="eastAsia" w:ascii="仿宋_GB2312" w:hAnsi="仿宋_GB2312" w:eastAsia="仿宋_GB2312" w:cs="仿宋_GB2312"/>
                <w:sz w:val="24"/>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（三)利用渗井、渗坑、裂隙、溶洞，私设暗管，篡改、伪造监测数据，或者不正常运行水污染防治设施等逃避监管的方式排放水污染物的；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禁止下列污染地表水体和地下水体的行为：</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（九）利用渗井、渗坑、裂隙、溶洞，私设暗管，篡改、伪造监测数据，或者不正常运行水污染防治设施等逃避监管的方式排放水污染物；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《河北省水污染防治条例》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kern w:val="0"/>
                <w:sz w:val="24"/>
                <w:lang w:bidi="ar"/>
              </w:rPr>
              <w:t xml:space="preserve">第七十条 </w:t>
            </w:r>
            <w:r>
              <w:rPr>
                <w:rFonts w:hint="eastAsia" w:ascii="仿宋_GB2312" w:hAnsi="仿宋_GB2312" w:eastAsia="仿宋_GB2312" w:cs="仿宋_GB2312"/>
                <w:sz w:val="24"/>
                <w:szCs w:val="32"/>
              </w:rPr>
              <w:t>违反本条例规定，有下列行为之一的，由环境保护主管部门责令改正或者责令限制生产、停产整治，并处二十万元以上一百万元以下的罚款；情节严重的，报经有批准权的人民政府批准，责令停业、关闭：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（三）利用渗井、渗坑、裂隙、溶洞，私设暗管，篡改、伪造监测数据，或者不正常运行水污染防治设施等逃避监管的方式排放水污染物的；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5.</w:t>
            </w:r>
            <w:r>
              <w:rPr>
                <w:rFonts w:hint="eastAsia" w:ascii="仿宋_GB2312" w:hAnsi="仿宋_GB2312" w:eastAsia="仿宋_GB2312" w:cs="仿宋_GB2312"/>
                <w:b/>
                <w:bCs/>
                <w:sz w:val="24"/>
                <w:szCs w:val="32"/>
              </w:rPr>
              <w:t>《河北省生态环境保护条例》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第七十条</w:t>
            </w:r>
            <w:r>
              <w:rPr>
                <w:rFonts w:hint="eastAsia" w:ascii="仿宋_GB2312" w:hAnsi="仿宋_GB2312" w:eastAsia="仿宋_GB2312" w:cs="仿宋_GB2312"/>
                <w:sz w:val="24"/>
                <w:szCs w:val="32"/>
              </w:rPr>
              <w:t xml:space="preserve"> 违反本条例规定，企业事业单位和其他生产经营者有下列行为之一的，受到罚款处罚，被责令改正拒不改正的，依法作出处罚决定的行政主管部门可以自责令改正之日的次日起，按照原处罚数额按日连续处罚：</w:t>
            </w:r>
          </w:p>
          <w:p>
            <w:pPr>
              <w:numPr>
                <w:ilvl w:val="0"/>
                <w:numId w:val="3"/>
              </w:num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通过暗管、渗井、渗坑、灌注或者篡改、伪造监测数据，或者不正常运行防治污染设施等逃避监管的方式排放污染物的;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3"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部分处理设施不能正常运行的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部分处理设施停运的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整体或关键处理设施不能正常运行的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整体或关键处理设施停运/为逃避现场检查临时停产的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正常生产时利用渗井、渗坑、裂隙、溶洞，私设暗管等逃避监管的方式排放水污染物或者篡改、伪造监测数据的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废水类别</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非工业废水的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一般工业废水的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含其他有毒有害物质的废水、医疗废水的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日排放量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日排放量10吨以下的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日排放量10吨以上的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pPr>
          </w:p>
        </w:tc>
        <w:tc>
          <w:tcPr>
            <w:tcW w:w="1890" w:type="dxa"/>
            <w:vMerge w:val="continue"/>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0" w:type="dxa"/>
            <w:vMerge w:val="continue"/>
            <w:noWrap w:val="0"/>
            <w:vAlign w:val="center"/>
          </w:tcPr>
          <w:p>
            <w:pPr>
              <w:jc w:val="left"/>
              <w:rPr>
                <w:rFonts w:hint="eastAsia" w:ascii="仿宋_GB2312" w:hAnsi="仿宋_GB2312" w:eastAsia="仿宋_GB2312" w:cs="仿宋_GB2312"/>
                <w:sz w:val="24"/>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751"/>
        <w:gridCol w:w="246"/>
        <w:gridCol w:w="493"/>
        <w:gridCol w:w="193"/>
        <w:gridCol w:w="3257"/>
        <w:gridCol w:w="37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6" w:type="dxa"/>
            <w:gridSpan w:val="8"/>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7"/>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7"/>
            <w:noWrap w:val="0"/>
            <w:vAlign w:val="center"/>
          </w:tcPr>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未按照规定进行预处理，向污水集中处理设施排放不符合处理工艺要求的工业废水的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7"/>
            <w:noWrap w:val="0"/>
            <w:vAlign w:val="center"/>
          </w:tcPr>
          <w:p>
            <w:pPr>
              <w:spacing w:line="27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第四十五条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第三款</w:t>
            </w:r>
            <w:r>
              <w:rPr>
                <w:rFonts w:hint="eastAsia" w:ascii="仿宋_GB2312" w:hAnsi="仿宋_GB2312" w:eastAsia="仿宋_GB2312" w:cs="仿宋_GB2312"/>
                <w:sz w:val="24"/>
                <w:szCs w:val="32"/>
              </w:rPr>
              <w:t xml:space="preserve"> 向污水集中处理设施排放工业废水的，应当按照国家有关规定进行预处理，达到集中处理设施处理工艺要求后方可排放。</w:t>
            </w:r>
          </w:p>
          <w:p>
            <w:pPr>
              <w:spacing w:line="270" w:lineRule="exact"/>
              <w:jc w:val="left"/>
              <w:rPr>
                <w:rFonts w:hint="eastAsia" w:ascii="仿宋_GB2312" w:hAnsi="仿宋_GB2312" w:eastAsia="仿宋_GB2312" w:cs="仿宋_GB2312"/>
                <w:sz w:val="24"/>
                <w:szCs w:val="32"/>
              </w:rPr>
            </w:pPr>
          </w:p>
          <w:p>
            <w:pPr>
              <w:spacing w:line="27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第八十三条 </w:t>
            </w:r>
            <w:r>
              <w:rPr>
                <w:rFonts w:hint="eastAsia" w:ascii="仿宋_GB2312" w:hAnsi="仿宋_GB2312" w:eastAsia="仿宋_GB2312" w:cs="仿宋_GB2312"/>
                <w:sz w:val="24"/>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（四)未按照规定进行预处理，向污水集中处理设施排放不符合处理工艺要求的工业废水的。</w:t>
            </w:r>
          </w:p>
          <w:p>
            <w:pPr>
              <w:spacing w:line="270" w:lineRule="exact"/>
              <w:jc w:val="left"/>
              <w:rPr>
                <w:rFonts w:hint="eastAsia" w:ascii="仿宋_GB2312" w:hAnsi="仿宋_GB2312" w:eastAsia="仿宋_GB2312" w:cs="仿宋_GB2312"/>
                <w:sz w:val="24"/>
                <w:szCs w:val="32"/>
              </w:rPr>
            </w:pPr>
          </w:p>
          <w:p>
            <w:pPr>
              <w:spacing w:line="27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第七十条 </w:t>
            </w:r>
            <w:r>
              <w:rPr>
                <w:rFonts w:hint="eastAsia" w:ascii="仿宋_GB2312" w:hAnsi="仿宋_GB2312" w:eastAsia="仿宋_GB2312" w:cs="仿宋_GB2312"/>
                <w:sz w:val="24"/>
                <w:szCs w:val="32"/>
              </w:rPr>
              <w:t>违反本条例规定，有下列行为之一的，由环境保护主管部门责令改正或者责令限制生产、停产整治，并处二十万元以上一百万元以</w:t>
            </w:r>
            <w:r>
              <w:rPr>
                <w:rFonts w:hint="eastAsia" w:ascii="仿宋_GB2312" w:hAnsi="仿宋_GB2312" w:eastAsia="仿宋_GB2312" w:cs="仿宋_GB2312"/>
                <w:spacing w:val="-6"/>
                <w:sz w:val="24"/>
                <w:szCs w:val="32"/>
              </w:rPr>
              <w:t>下的罚款；情节严重的，报经有批准权的人民政府批准，责令停业、关闭：</w:t>
            </w:r>
          </w:p>
          <w:p>
            <w:pPr>
              <w:spacing w:line="27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（四）未按照规定进行预处理，向污水集中处理设施排放不符合处理工艺要求的工业废水的。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864" w:type="dxa"/>
            <w:gridSpan w:val="4"/>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32" w:type="dxa"/>
            <w:gridSpan w:val="4"/>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spacing w:line="28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51" w:type="dxa"/>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39" w:type="dxa"/>
            <w:gridSpan w:val="2"/>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827" w:type="dxa"/>
            <w:gridSpan w:val="3"/>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405" w:type="dxa"/>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74" w:type="dxa"/>
            <w:vMerge w:val="restart"/>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51" w:type="dxa"/>
            <w:vMerge w:val="restart"/>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向污水处理厂设施中超标</w:t>
            </w:r>
          </w:p>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排放废水</w:t>
            </w:r>
          </w:p>
        </w:tc>
        <w:tc>
          <w:tcPr>
            <w:tcW w:w="739" w:type="dxa"/>
            <w:gridSpan w:val="2"/>
            <w:vMerge w:val="restart"/>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超标20%以下的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超标20%以上50%以下的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超标50%以上100%以下的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超标100%以上的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日排放量</w:t>
            </w:r>
          </w:p>
        </w:tc>
        <w:tc>
          <w:tcPr>
            <w:tcW w:w="739" w:type="dxa"/>
            <w:gridSpan w:val="2"/>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日排放量10吨以下的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rPr>
            </w:pP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日排放量10吨以上20吨以下的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rPr>
            </w:pP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日排放量20吨以上的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74" w:type="dxa"/>
            <w:vMerge w:val="restart"/>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751"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39" w:type="dxa"/>
            <w:gridSpan w:val="2"/>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rPr>
            </w:pP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374" w:type="dxa"/>
            <w:vMerge w:val="continue"/>
            <w:noWrap w:val="0"/>
            <w:vAlign w:val="center"/>
          </w:tcPr>
          <w:p>
            <w:pPr>
              <w:spacing w:line="280" w:lineRule="exact"/>
              <w:jc w:val="left"/>
            </w:pPr>
          </w:p>
        </w:tc>
        <w:tc>
          <w:tcPr>
            <w:tcW w:w="1751" w:type="dxa"/>
            <w:vMerge w:val="continue"/>
            <w:noWrap w:val="0"/>
            <w:vAlign w:val="center"/>
          </w:tcPr>
          <w:p>
            <w:pPr>
              <w:spacing w:line="280" w:lineRule="exact"/>
              <w:jc w:val="center"/>
              <w:rPr>
                <w:sz w:val="24"/>
              </w:rPr>
            </w:pPr>
          </w:p>
        </w:tc>
        <w:tc>
          <w:tcPr>
            <w:tcW w:w="739" w:type="dxa"/>
            <w:gridSpan w:val="2"/>
            <w:vMerge w:val="continue"/>
            <w:noWrap w:val="0"/>
            <w:vAlign w:val="center"/>
          </w:tcPr>
          <w:p>
            <w:pPr>
              <w:spacing w:line="280" w:lineRule="exact"/>
              <w:jc w:val="center"/>
              <w:rPr>
                <w:sz w:val="24"/>
              </w:rPr>
            </w:pP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374" w:type="dxa"/>
            <w:vMerge w:val="continue"/>
            <w:noWrap w:val="0"/>
            <w:vAlign w:val="center"/>
          </w:tcPr>
          <w:p>
            <w:pPr>
              <w:spacing w:line="280" w:lineRule="exact"/>
              <w:jc w:val="left"/>
              <w:rPr>
                <w:rFonts w:hint="eastAsia" w:ascii="仿宋_GB2312" w:hAnsi="仿宋_GB2312" w:eastAsia="仿宋_GB2312" w:cs="仿宋_GB2312"/>
                <w:sz w:val="24"/>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rPr>
            </w:pP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51"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39" w:type="dxa"/>
            <w:gridSpan w:val="2"/>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827" w:type="dxa"/>
            <w:gridSpan w:val="3"/>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405"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left"/>
              <w:rPr>
                <w:rFonts w:hint="eastAsia" w:ascii="仿宋_GB2312" w:hAnsi="仿宋_GB2312" w:eastAsia="仿宋_GB2312" w:cs="仿宋_GB2312"/>
                <w:sz w:val="24"/>
                <w:szCs w:val="32"/>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left"/>
              <w:rPr>
                <w:rFonts w:hint="eastAsia" w:ascii="仿宋_GB2312" w:hAnsi="仿宋_GB2312" w:eastAsia="仿宋_GB2312" w:cs="仿宋_GB2312"/>
                <w:sz w:val="24"/>
                <w:szCs w:val="32"/>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74" w:type="dxa"/>
            <w:vMerge w:val="restart"/>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751" w:type="dxa"/>
            <w:vMerge w:val="restart"/>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39" w:type="dxa"/>
            <w:gridSpan w:val="2"/>
            <w:vMerge w:val="restart"/>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739" w:type="dxa"/>
            <w:gridSpan w:val="2"/>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3827" w:type="dxa"/>
            <w:gridSpan w:val="3"/>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74" w:type="dxa"/>
            <w:vMerge w:val="restart"/>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51" w:type="dxa"/>
            <w:vMerge w:val="restart"/>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39" w:type="dxa"/>
            <w:gridSpan w:val="2"/>
            <w:vMerge w:val="restart"/>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827" w:type="dxa"/>
            <w:gridSpan w:val="3"/>
            <w:noWrap w:val="0"/>
            <w:vAlign w:val="center"/>
          </w:tcPr>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74"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751" w:type="dxa"/>
            <w:vMerge w:val="continue"/>
            <w:noWrap w:val="0"/>
            <w:vAlign w:val="center"/>
          </w:tcPr>
          <w:p>
            <w:pPr>
              <w:spacing w:line="280" w:lineRule="exact"/>
              <w:jc w:val="center"/>
              <w:rPr>
                <w:rFonts w:hint="eastAsia" w:ascii="仿宋_GB2312" w:hAnsi="仿宋_GB2312" w:eastAsia="仿宋_GB2312" w:cs="仿宋_GB2312"/>
                <w:sz w:val="24"/>
                <w:szCs w:val="32"/>
              </w:rPr>
            </w:pPr>
          </w:p>
        </w:tc>
        <w:tc>
          <w:tcPr>
            <w:tcW w:w="739" w:type="dxa"/>
            <w:gridSpan w:val="2"/>
            <w:vMerge w:val="continue"/>
            <w:noWrap w:val="0"/>
            <w:vAlign w:val="center"/>
          </w:tcPr>
          <w:p>
            <w:pPr>
              <w:spacing w:line="280" w:lineRule="exact"/>
              <w:rPr>
                <w:rFonts w:hint="eastAsia" w:ascii="仿宋_GB2312" w:hAnsi="仿宋_GB2312" w:eastAsia="仿宋_GB2312" w:cs="仿宋_GB2312"/>
                <w:sz w:val="24"/>
                <w:szCs w:val="32"/>
              </w:rPr>
            </w:pPr>
          </w:p>
        </w:tc>
        <w:tc>
          <w:tcPr>
            <w:tcW w:w="3827" w:type="dxa"/>
            <w:gridSpan w:val="3"/>
            <w:noWrap w:val="0"/>
            <w:vAlign w:val="center"/>
          </w:tcPr>
          <w:p>
            <w:pPr>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405" w:type="dxa"/>
            <w:noWrap w:val="0"/>
            <w:vAlign w:val="center"/>
          </w:tcPr>
          <w:p>
            <w:pPr>
              <w:spacing w:line="280" w:lineRule="exact"/>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trPr>
        <w:tc>
          <w:tcPr>
            <w:tcW w:w="9096" w:type="dxa"/>
            <w:gridSpan w:val="8"/>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7"/>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违反法律、行政法规和国务院环境保护主管部门的规定设置排污口的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7"/>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第二十二条 </w:t>
            </w:r>
            <w:r>
              <w:rPr>
                <w:rFonts w:hint="eastAsia" w:ascii="仿宋_GB2312" w:hAnsi="仿宋_GB2312" w:eastAsia="仿宋_GB2312" w:cs="仿宋_GB2312"/>
                <w:sz w:val="24"/>
                <w:szCs w:val="32"/>
              </w:rPr>
              <w:t>向水体排放污染物的企业事业单位和其他生产经营者，应当按照法律、行政法规和国务院环境保护主管部门的规定设置排污口；在江河、湖泊设置排污口的，还应当遵守国务院水行政主管部门的规定。</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第七十五条</w:t>
            </w:r>
            <w:r>
              <w:rPr>
                <w:rFonts w:hint="eastAsia" w:ascii="仿宋_GB2312" w:hAnsi="仿宋_GB2312" w:eastAsia="仿宋_GB2312" w:cs="仿宋_GB2312"/>
                <w:sz w:val="24"/>
                <w:szCs w:val="32"/>
              </w:rPr>
              <w:t xml:space="preserve"> 在风景名胜区水体、重要渔业水体和其他具有特殊经济文化价值的水体的保护区内，不得新建排污口。在保护区附近新建排污口，应当保证保护区水体不受污染。</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第八十四条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57"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8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排污口设置位置</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在江河中设置排污口的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在水库、湖泊、地下水中设置排污口的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5"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在风景名胜区水体、重要渔业水体和其他具有特殊经济文化价值的水体的保护区内设置排污口的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74" w:type="dxa"/>
            <w:vMerge w:val="continue"/>
            <w:noWrap w:val="0"/>
            <w:vAlign w:val="center"/>
          </w:tcPr>
          <w:p>
            <w:pPr>
              <w:jc w:val="left"/>
            </w:pPr>
          </w:p>
        </w:tc>
        <w:tc>
          <w:tcPr>
            <w:tcW w:w="1997" w:type="dxa"/>
            <w:gridSpan w:val="2"/>
            <w:vMerge w:val="continue"/>
            <w:noWrap w:val="0"/>
            <w:vAlign w:val="center"/>
          </w:tcPr>
          <w:p>
            <w:pPr>
              <w:jc w:val="center"/>
              <w:rPr>
                <w:sz w:val="24"/>
              </w:rPr>
            </w:pPr>
          </w:p>
        </w:tc>
        <w:tc>
          <w:tcPr>
            <w:tcW w:w="686" w:type="dxa"/>
            <w:gridSpan w:val="2"/>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left"/>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left"/>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5"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8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5"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8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left"/>
              <w:rPr>
                <w:rFonts w:hint="eastAsia" w:ascii="仿宋_GB2312" w:hAnsi="仿宋_GB2312" w:eastAsia="仿宋_GB2312" w:cs="仿宋_GB2312"/>
                <w:sz w:val="24"/>
                <w:szCs w:val="32"/>
              </w:rPr>
            </w:pPr>
          </w:p>
        </w:tc>
        <w:tc>
          <w:tcPr>
            <w:tcW w:w="686" w:type="dxa"/>
            <w:gridSpan w:val="2"/>
            <w:vMerge w:val="continue"/>
            <w:noWrap w:val="0"/>
            <w:vAlign w:val="center"/>
          </w:tcPr>
          <w:p>
            <w:pPr>
              <w:jc w:val="left"/>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82"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方正小标宋简体" w:hAnsi="方正小标宋简体" w:eastAsia="方正小标宋简体" w:cs="方正小标宋简体"/>
          <w:sz w:val="40"/>
          <w:szCs w:val="40"/>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5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9"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向水体排放油类、酸液、碱液的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第三十三条 </w:t>
            </w:r>
            <w:r>
              <w:rPr>
                <w:rFonts w:hint="eastAsia" w:ascii="仿宋_GB2312" w:hAnsi="仿宋_GB2312" w:eastAsia="仿宋_GB2312" w:cs="仿宋_GB2312"/>
                <w:sz w:val="24"/>
                <w:szCs w:val="32"/>
              </w:rPr>
              <w:t>禁止向水体排放油类、酸液、碱液或者剧毒废液。</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禁止在水体清洗装贮过油类或者有毒污染物的车辆和容器。</w:t>
            </w:r>
          </w:p>
          <w:p>
            <w:pPr>
              <w:jc w:val="left"/>
              <w:rPr>
                <w:rFonts w:hint="eastAsia" w:ascii="仿宋_GB2312" w:hAnsi="仿宋_GB2312" w:eastAsia="仿宋_GB2312" w:cs="仿宋_GB2312"/>
                <w:b/>
                <w:bCs/>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第八十五条 </w:t>
            </w:r>
            <w:r>
              <w:rPr>
                <w:rFonts w:hint="eastAsia" w:ascii="仿宋_GB2312" w:hAnsi="仿宋_GB2312" w:eastAsia="仿宋_GB2312" w:cs="仿宋_GB2312"/>
                <w:sz w:val="24"/>
                <w:szCs w:val="32"/>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（一）向水体排放油类、酸液、碱液的；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有前款第一项、第二项、第五项、第九项行为之一的，处十万元以上一百万元以下的罚款。</w:t>
            </w:r>
          </w:p>
          <w:p>
            <w:pPr>
              <w:jc w:val="left"/>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禁止下列污染地表水体和地下水体的行为：</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（一）向水体排放油类、酸液、碱液或者剧毒废液；</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《河北省水污染防治条例》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kern w:val="0"/>
                <w:sz w:val="24"/>
                <w:lang w:bidi="ar"/>
              </w:rPr>
              <w:t>第七十一条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违反本条例第二十二条第一项、第三项、第七项、第二十九条第一款规定的，处十万元以上三十万元以下的罚款；情节较重的，处三十万元以上一百万元以下的罚款；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废水类别</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排放油类的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排放酸液的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排放碱液的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排放剧毒废液的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废水去向</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向江河中排放的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向水库、湖泊、地下水中排放的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风景名胜区水体、重要渔业水体和其他具有特殊经济文化价值水体中排放的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向生活饮用水水源保护区或准保护区内水体中排放的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left"/>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Pr>
        <w:rPr>
          <w:rFonts w:hint="eastAsia"/>
        </w:rPr>
      </w:pPr>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57"/>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10"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向水体排放剧毒废液，或者将含有汞、镉、砷、铬、铅、氰化物、黄磷等的可溶性剧毒废渣向水体排放、倾倒或者直接埋入地下的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第三十七条 </w:t>
            </w:r>
            <w:r>
              <w:rPr>
                <w:rFonts w:hint="eastAsia" w:ascii="仿宋_GB2312" w:hAnsi="仿宋_GB2312" w:eastAsia="仿宋_GB2312" w:cs="仿宋_GB2312"/>
                <w:sz w:val="24"/>
                <w:szCs w:val="32"/>
              </w:rPr>
              <w:t>禁止向水体排放、倾倒工业废渣、城镇垃圾和其他废弃物。</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禁止将含有汞、镉、砷、铬、铅、氰化物、黄磷等的可溶性剧毒废渣向水体排放、倾倒或者直接埋入地下。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存放可溶性剧毒废渣的场所，应当采取防水、防渗漏、防流失的措施。</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第八十五条 </w:t>
            </w:r>
            <w:r>
              <w:rPr>
                <w:rFonts w:hint="eastAsia" w:ascii="仿宋_GB2312" w:hAnsi="仿宋_GB2312" w:eastAsia="仿宋_GB2312" w:cs="仿宋_GB2312"/>
                <w:sz w:val="24"/>
                <w:szCs w:val="32"/>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（二）向水体排放剧毒废液，或者将含有汞、镉、砷、铬、铅、氰化物、黄磷等的可溶性剧毒废渣向水体排放、倾倒或者直接埋入地下的；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有前款第一项、第二项、第五项、第九项行为之一的，处十万元以上一百万元以下的罚款。</w:t>
            </w:r>
          </w:p>
          <w:p>
            <w:pPr>
              <w:jc w:val="left"/>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禁止下列污染地表水体和地下水体的行为：</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（一）向水体排放油类、酸液、碱液或者剧毒废液；</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（七）将含有汞、镉、砷、铬、铅、氰化物、黄磷等的可溶性剧毒废渣向水体排放、倾倒或者直接埋入地下；</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《河北省水污染防治条例》</w:t>
            </w:r>
          </w:p>
          <w:p>
            <w:pPr>
              <w:rPr>
                <w:rFonts w:ascii="仿宋_GB2312" w:hAnsi="仿宋_GB2312" w:eastAsia="仿宋_GB2312" w:cs="仿宋_GB2312"/>
                <w:sz w:val="24"/>
                <w:szCs w:val="32"/>
              </w:rPr>
            </w:pPr>
            <w:r>
              <w:rPr>
                <w:rFonts w:hint="eastAsia" w:ascii="仿宋_GB2312" w:hAnsi="仿宋_GB2312" w:eastAsia="仿宋_GB2312" w:cs="仿宋_GB2312"/>
                <w:b/>
                <w:bCs/>
                <w:kern w:val="0"/>
                <w:sz w:val="24"/>
                <w:lang w:bidi="ar"/>
              </w:rPr>
              <w:t>第七十一条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违反本条例第二十二条第一项、第三项、第七项、第二十九条第一款规定的，处十万元以上三十万元以下的罚款；情节较重的，处三十万元以上一百万元以下的罚款；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废水类别</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排放剧毒废液的</w:t>
            </w:r>
          </w:p>
        </w:tc>
        <w:tc>
          <w:tcPr>
            <w:tcW w:w="178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排放含有汞、镉、砷、铬、铅、氰化物、黄磷等的可溶性剧毒废渣的</w:t>
            </w:r>
          </w:p>
        </w:tc>
        <w:tc>
          <w:tcPr>
            <w:tcW w:w="178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废水去向</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向江河中排放的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向水库、湖泊、地下水中排放的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风景名胜区水体、重要渔业水体和其他具有特殊经济文化价值水体中排放的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向生活饮用水水源保护区或准保护区内水体中排放的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left"/>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997"/>
        <w:gridCol w:w="686"/>
        <w:gridCol w:w="325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28"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47"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81"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47"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81"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在水体清洗装贮过油类、有毒污染物的车辆或者容器的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47"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81"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第三十三条 </w:t>
            </w:r>
            <w:r>
              <w:rPr>
                <w:rFonts w:hint="eastAsia" w:ascii="仿宋_GB2312" w:hAnsi="仿宋_GB2312" w:eastAsia="仿宋_GB2312" w:cs="仿宋_GB2312"/>
                <w:sz w:val="24"/>
                <w:szCs w:val="32"/>
              </w:rPr>
              <w:t>禁止向水体排放油类、酸液、碱液或者剧毒废液。</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禁止在水体清洗装贮过油类或者有毒污染物的车辆和容器。</w:t>
            </w:r>
          </w:p>
          <w:p>
            <w:pPr>
              <w:jc w:val="left"/>
              <w:rPr>
                <w:rFonts w:hint="eastAsia" w:ascii="仿宋_GB2312" w:hAnsi="仿宋_GB2312" w:eastAsia="仿宋_GB2312" w:cs="仿宋_GB2312"/>
                <w:b/>
                <w:bCs/>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第八十五条 </w:t>
            </w:r>
            <w:r>
              <w:rPr>
                <w:rFonts w:hint="eastAsia" w:ascii="仿宋_GB2312" w:hAnsi="仿宋_GB2312" w:eastAsia="仿宋_GB2312" w:cs="仿宋_GB2312"/>
                <w:sz w:val="24"/>
                <w:szCs w:val="32"/>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（三）在水体清洗装贮过油类、有毒污染物的车辆或者容器的；</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有前款第三项、第四项、第六项、第七项、第八项行为之一的，处二万元以上二十万元以下的罚款。</w:t>
            </w:r>
          </w:p>
          <w:p>
            <w:pPr>
              <w:rPr>
                <w:rFonts w:hint="eastAsia" w:ascii="仿宋_GB2312" w:hAnsi="仿宋_GB2312" w:eastAsia="仿宋_GB2312" w:cs="仿宋_GB2312"/>
                <w:b/>
                <w:bCs/>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禁止下列污染地表水体和地下水体的行为：</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（二）在水体清洗装贮过油类或者有毒污染物的车辆和容器；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《河北省水污染防治条例》</w:t>
            </w:r>
          </w:p>
          <w:p>
            <w:pPr>
              <w:rPr>
                <w:rFonts w:ascii="仿宋_GB2312" w:hAnsi="仿宋_GB2312" w:eastAsia="仿宋_GB2312" w:cs="仿宋_GB2312"/>
                <w:sz w:val="24"/>
                <w:szCs w:val="32"/>
              </w:rPr>
            </w:pPr>
            <w:r>
              <w:rPr>
                <w:rFonts w:hint="eastAsia" w:ascii="仿宋_GB2312" w:hAnsi="仿宋_GB2312" w:eastAsia="仿宋_GB2312" w:cs="仿宋_GB2312"/>
                <w:b/>
                <w:bCs/>
                <w:kern w:val="0"/>
                <w:sz w:val="24"/>
                <w:lang w:bidi="ar"/>
              </w:rPr>
              <w:t>第七十一条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违反本条例第二十二条第二项、第四项、第五项、第六项、第八项、第二十四条第二款规定的，处二万元以上五万元以下的罚款；情节严重的，处五万元以上二十万元以下的罚款。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0"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98"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4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4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4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清洗容器</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在水体清洗装贮过油类的车辆或者容器的</w:t>
            </w:r>
          </w:p>
        </w:tc>
        <w:tc>
          <w:tcPr>
            <w:tcW w:w="17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在水体清洗装贮过有毒污染物的车辆或者容器的</w:t>
            </w:r>
          </w:p>
        </w:tc>
        <w:tc>
          <w:tcPr>
            <w:tcW w:w="17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利用水体</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在江河中清洗的</w:t>
            </w:r>
          </w:p>
        </w:tc>
        <w:tc>
          <w:tcPr>
            <w:tcW w:w="17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在水库、湖泊、地下水中清洗的</w:t>
            </w:r>
          </w:p>
        </w:tc>
        <w:tc>
          <w:tcPr>
            <w:tcW w:w="17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在风景名胜区水体、重要渔业水体和其他具有特殊经济文化价值水体中清洗的</w:t>
            </w:r>
          </w:p>
        </w:tc>
        <w:tc>
          <w:tcPr>
            <w:tcW w:w="17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在生活饮用水水源保护区或准保护区内水体中清洗的</w:t>
            </w:r>
          </w:p>
        </w:tc>
        <w:tc>
          <w:tcPr>
            <w:tcW w:w="1741"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47"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47"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4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4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4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47"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left"/>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4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p/>
    <w:p/>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997"/>
        <w:gridCol w:w="686"/>
        <w:gridCol w:w="325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5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违反国家有关规定或者标准，向水体排放含低放射性物质的废水、热废水或者含病原体的污水的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第三十四条</w:t>
            </w:r>
            <w:r>
              <w:rPr>
                <w:rFonts w:hint="eastAsia" w:ascii="仿宋_GB2312" w:hAnsi="仿宋_GB2312" w:eastAsia="仿宋_GB2312" w:cs="仿宋_GB2312"/>
                <w:sz w:val="24"/>
                <w:szCs w:val="32"/>
              </w:rPr>
              <w:t xml:space="preserve"> 禁止向水体排放、倾倒放射性固体废物或者含有高放射性和中放射性物质的废水。</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向水体排放含低放射性物质的废水，应当符合国家有关放射性污染防治的规定和标准。</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第八十五条</w:t>
            </w:r>
            <w:r>
              <w:rPr>
                <w:rFonts w:hint="eastAsia" w:ascii="仿宋_GB2312" w:hAnsi="仿宋_GB2312" w:eastAsia="仿宋_GB2312" w:cs="仿宋_GB2312"/>
                <w:sz w:val="24"/>
                <w:szCs w:val="32"/>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（六） 违反国家有关规定或者标准，向水体排放含低放射性物质的废水、热废水或者含病原体的污水的；</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有前款第三项、第四项、第六项、第七项、第八项行为之一的，处二万元以上二十万元以下的罚款。</w:t>
            </w:r>
          </w:p>
          <w:p>
            <w:pPr>
              <w:rPr>
                <w:rFonts w:hint="eastAsia" w:ascii="仿宋_GB2312" w:hAnsi="仿宋_GB2312" w:eastAsia="仿宋_GB2312" w:cs="仿宋_GB2312"/>
                <w:sz w:val="24"/>
                <w:szCs w:val="32"/>
              </w:rPr>
            </w:pPr>
          </w:p>
          <w:p>
            <w:pPr>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《河北省水污染防治条例》</w:t>
            </w:r>
          </w:p>
          <w:p>
            <w:pPr>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禁止下列污染地表水体和地下水体的行为：</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（四）向水体排放含有不符合国家有关放射性污染防治规定和标准的低放射性物质的废水；</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《河北省水污染防治条例》</w:t>
            </w:r>
          </w:p>
          <w:p>
            <w:pPr>
              <w:rPr>
                <w:rFonts w:ascii="仿宋_GB2312" w:hAnsi="仿宋_GB2312" w:eastAsia="仿宋_GB2312" w:cs="仿宋_GB2312"/>
                <w:kern w:val="0"/>
                <w:sz w:val="24"/>
                <w:lang w:bidi="ar"/>
              </w:rPr>
            </w:pPr>
            <w:r>
              <w:rPr>
                <w:rFonts w:hint="eastAsia" w:ascii="仿宋_GB2312" w:hAnsi="仿宋_GB2312" w:eastAsia="仿宋_GB2312" w:cs="仿宋_GB2312"/>
                <w:b/>
                <w:bCs/>
                <w:kern w:val="0"/>
                <w:sz w:val="24"/>
                <w:lang w:bidi="ar"/>
              </w:rPr>
              <w:t>第七十一条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违反本条例第二十二条第二项、第四项、第五项、第六项、第八项、第二十四条第二款规定的，处二万元以上五万元以下的罚款；情节严重的，处五万元以上二十万元以下的罚款。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4"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废水类别</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向水体排放含低放射性物质的废水、热废水的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向水体排放含病原体的污水的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废水去向</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向江河中排放的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向水库、湖泊、地下水中排放的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风景名胜区水体、重要渔业水体和其他具有特殊经济文化价值水体中排放的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向生活饮用水水源保护区或准保护区内水体中排放的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一年内违法次数</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2"/>
                <w:szCs w:val="28"/>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997" w:type="dxa"/>
            <w:vMerge w:val="continue"/>
            <w:noWrap w:val="0"/>
            <w:vAlign w:val="center"/>
          </w:tcPr>
          <w:p>
            <w:pPr>
              <w:jc w:val="center"/>
            </w:pPr>
          </w:p>
        </w:tc>
        <w:tc>
          <w:tcPr>
            <w:tcW w:w="686" w:type="dxa"/>
            <w:vMerge w:val="continue"/>
            <w:noWrap w:val="0"/>
            <w:vAlign w:val="center"/>
          </w:tcPr>
          <w:p>
            <w:pPr>
              <w:jc w:val="cente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left"/>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5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3"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未采取防渗漏等措施，或者未建设地下水水质监测井进行监测的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 xml:space="preserve">第一款 </w:t>
            </w:r>
            <w:r>
              <w:rPr>
                <w:rFonts w:hint="eastAsia" w:ascii="仿宋_GB2312" w:hAnsi="仿宋_GB2312" w:eastAsia="仿宋_GB2312" w:cs="仿宋_GB2312"/>
                <w:sz w:val="24"/>
                <w:szCs w:val="32"/>
              </w:rPr>
              <w:t>化学品生产企业以及工业集聚区、矿山开采区、尾矿库、危险废物处置场、垃圾填埋场等的运营、管理单位，应当采取防渗漏等措施，并建设地下水水质监测井进行监测，防止地下水污染。</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第八十五条 </w:t>
            </w:r>
            <w:r>
              <w:rPr>
                <w:rFonts w:hint="eastAsia" w:ascii="仿宋_GB2312" w:hAnsi="仿宋_GB2312" w:eastAsia="仿宋_GB2312" w:cs="仿宋_GB2312"/>
                <w:sz w:val="24"/>
                <w:szCs w:val="32"/>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（七）未采取防渗漏等措施，或者未建设地下水水质监测井进行监测的；</w:t>
            </w:r>
          </w:p>
          <w:p>
            <w:pPr>
              <w:rPr>
                <w:rFonts w:hint="eastAsia" w:ascii="宋体" w:hAnsi="宋体" w:cs="宋体"/>
                <w:kern w:val="0"/>
                <w:sz w:val="24"/>
                <w:lang w:bidi="ar"/>
              </w:rPr>
            </w:pPr>
            <w:r>
              <w:rPr>
                <w:rFonts w:hint="eastAsia" w:ascii="仿宋_GB2312" w:hAnsi="仿宋_GB2312" w:eastAsia="仿宋_GB2312" w:cs="仿宋_GB2312"/>
                <w:sz w:val="24"/>
                <w:szCs w:val="32"/>
              </w:rPr>
              <w:t>有前款第三项、第四项、第六项、第七项、第八项行为之一的，处二万元以上二十万元以下的罚款。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未建设地下水水质监测井进行监测的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未采取防渗漏等措施的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left"/>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r>
        <w:br w:type="page"/>
      </w:r>
    </w:p>
    <w:tbl>
      <w:tblPr>
        <w:tblStyle w:val="9"/>
        <w:tblpPr w:leftFromText="180" w:rightFromText="180" w:vertAnchor="text" w:horzAnchor="page" w:tblpX="1535" w:tblpY="-1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97"/>
        <w:gridCol w:w="686"/>
        <w:gridCol w:w="325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7"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加油站等的地下油罐未使用双层罐或者采取建造防渗池等其他有效措施，或者未进行防渗漏监测的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第四十条 第二款</w:t>
            </w:r>
            <w:r>
              <w:rPr>
                <w:rFonts w:hint="eastAsia" w:ascii="仿宋_GB2312" w:hAnsi="仿宋_GB2312" w:eastAsia="仿宋_GB2312" w:cs="仿宋_GB2312"/>
                <w:sz w:val="24"/>
                <w:szCs w:val="32"/>
              </w:rPr>
              <w:t xml:space="preserve"> 加油站等的地下油罐应当使用双层罐或者采取建造防渗池等其他有效措施，并进行防渗漏监测，防止地下水污染。                     </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第八十五条 </w:t>
            </w:r>
            <w:r>
              <w:rPr>
                <w:rFonts w:hint="eastAsia" w:ascii="仿宋_GB2312" w:hAnsi="仿宋_GB2312" w:eastAsia="仿宋_GB2312" w:cs="仿宋_GB2312"/>
                <w:sz w:val="24"/>
                <w:szCs w:val="32"/>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（八）加油站等的地下油罐未使用双层罐或者采取建造防渗池等其他有效措施，或者未进行防渗漏监测的；</w:t>
            </w:r>
          </w:p>
          <w:p>
            <w:pPr>
              <w:rPr>
                <w:rFonts w:hint="eastAsia" w:ascii="宋体" w:hAnsi="宋体" w:cs="宋体"/>
                <w:kern w:val="0"/>
                <w:sz w:val="24"/>
                <w:lang w:bidi="ar"/>
              </w:rPr>
            </w:pPr>
            <w:r>
              <w:rPr>
                <w:rFonts w:hint="eastAsia" w:ascii="仿宋_GB2312" w:hAnsi="仿宋_GB2312" w:eastAsia="仿宋_GB2312" w:cs="仿宋_GB2312"/>
                <w:sz w:val="24"/>
                <w:szCs w:val="32"/>
              </w:rPr>
              <w:t>有前款第三项、第四项、第六项、第七项、第八项行为之一的，处二万元以上二十万元以下的罚款。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未进行防渗漏监测的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未使用双层罐或者采取建造防渗池等其他有效措施的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72" w:type="dxa"/>
            <w:vMerge w:val="restart"/>
            <w:noWrap w:val="0"/>
            <w:vAlign w:val="center"/>
          </w:tcPr>
          <w:p>
            <w:pPr>
              <w:jc w:val="center"/>
              <w:rPr>
                <w:rFonts w:hint="eastAsia" w:ascii="仿宋_GB2312" w:hAnsi="仿宋_GB2312" w:eastAsia="仿宋_GB2312" w:cs="仿宋_GB2312"/>
                <w:b/>
                <w:bCs/>
                <w:spacing w:val="-20"/>
                <w:sz w:val="24"/>
                <w:szCs w:val="32"/>
              </w:rPr>
            </w:pPr>
            <w:r>
              <w:rPr>
                <w:rFonts w:hint="eastAsia" w:ascii="仿宋_GB2312" w:hAnsi="仿宋_GB2312" w:eastAsia="仿宋_GB2312" w:cs="仿宋_GB2312"/>
                <w:b/>
                <w:bCs/>
                <w:spacing w:val="-20"/>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pacing w:val="-23"/>
                <w:sz w:val="24"/>
                <w:szCs w:val="32"/>
              </w:rPr>
              <w:t>未造成社会影响与生态破坏的</w:t>
            </w:r>
          </w:p>
        </w:tc>
        <w:tc>
          <w:tcPr>
            <w:tcW w:w="1755"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57"/>
        <w:gridCol w:w="432"/>
        <w:gridCol w:w="1323"/>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1" w:hRule="atLeast"/>
        </w:trPr>
        <w:tc>
          <w:tcPr>
            <w:tcW w:w="9069" w:type="dxa"/>
            <w:gridSpan w:val="6"/>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5"/>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未按照规定采取防护性措施，或者利用无防渗漏措施的沟渠、坑塘等输送或者存贮含有毒污染物的废水、含病原体的污水或者其他废弃物的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838"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5"/>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第四十条 第三款</w:t>
            </w:r>
            <w:r>
              <w:rPr>
                <w:rFonts w:hint="eastAsia" w:ascii="仿宋_GB2312" w:hAnsi="仿宋_GB2312" w:eastAsia="仿宋_GB2312" w:cs="仿宋_GB2312"/>
                <w:sz w:val="24"/>
                <w:szCs w:val="32"/>
              </w:rPr>
              <w:t xml:space="preserve"> 禁止利用无防渗漏措施的沟渠、坑塘等输送或者存贮含有毒污染物的废水、含病原体的污水和其他废弃物。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第八十五条 </w:t>
            </w:r>
            <w:r>
              <w:rPr>
                <w:rFonts w:hint="eastAsia" w:ascii="仿宋_GB2312" w:hAnsi="仿宋_GB2312" w:eastAsia="仿宋_GB2312" w:cs="仿宋_GB2312"/>
                <w:sz w:val="24"/>
                <w:szCs w:val="32"/>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（九）未按照规定采取防护性措施，或者利用无防渗漏措施的沟渠、坑塘等输送或者存贮含有毒污染物的废水、含病原体的污水或者其他废弃物的。</w:t>
            </w:r>
          </w:p>
          <w:p>
            <w:pPr>
              <w:rPr>
                <w:rFonts w:hint="eastAsia" w:ascii="宋体" w:hAnsi="宋体" w:cs="宋体"/>
                <w:kern w:val="0"/>
                <w:sz w:val="24"/>
                <w:lang w:bidi="ar"/>
              </w:rPr>
            </w:pPr>
            <w:r>
              <w:rPr>
                <w:rFonts w:hint="eastAsia" w:ascii="仿宋_GB2312" w:hAnsi="仿宋_GB2312" w:eastAsia="仿宋_GB2312" w:cs="仿宋_GB2312"/>
                <w:sz w:val="24"/>
                <w:szCs w:val="32"/>
              </w:rPr>
              <w:t>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68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32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未按照规定采取防护性措施的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1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利用无防渗漏措施的沟渠、坑塘等存贮含有毒污染物的废水、含病原体的污水或者其他废弃物的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利用无防渗漏措施的沟渠、坑塘等输送含有毒污染物的废水、含病原体的污水或者其他废弃物的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6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3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68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32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68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32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68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32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68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32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68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32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trPr>
        <w:tc>
          <w:tcPr>
            <w:tcW w:w="9082" w:type="dxa"/>
            <w:gridSpan w:val="7"/>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6"/>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（一）在饮用水水源一级保护区内新建、改建、扩建与供水设施和保护水源无关的建设项目的；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（二）在饮用水水源二级保护区内新建、改建、扩建排放污染物的建设项目的；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（三）在饮用水水源准保护区内新建、扩建对水体污染严重的建设项目，或者改建建设项目增加排污量的。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49"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6"/>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第六十五条 </w:t>
            </w:r>
            <w:r>
              <w:rPr>
                <w:rFonts w:hint="eastAsia" w:ascii="仿宋_GB2312" w:hAnsi="仿宋_GB2312" w:eastAsia="仿宋_GB2312" w:cs="仿宋_GB2312"/>
                <w:sz w:val="24"/>
                <w:szCs w:val="32"/>
              </w:rPr>
              <w:t>禁止在饮用水水源一级保护区内新建、改建、扩建与供水设施和保护水源无关的建设项目；已建成的与供水设施和保护水源无关的建设项目，由县级以上人民政府责令拆除或者关闭。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禁止在饮用水水源一级保护区内从事网箱养殖、旅游、游泳、垂钓或者其他可能污染饮用水水体的活动。 </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第六十六条 </w:t>
            </w:r>
            <w:r>
              <w:rPr>
                <w:rFonts w:hint="eastAsia" w:ascii="仿宋_GB2312" w:hAnsi="仿宋_GB2312" w:eastAsia="仿宋_GB2312" w:cs="仿宋_GB2312"/>
                <w:sz w:val="24"/>
                <w:szCs w:val="32"/>
              </w:rPr>
              <w:t>禁止在饮用水水源二级保护区内新建、改建、扩建排放污染物的建设项目；已建成的排放污染物的建设项目，由县级以上人民政府责令拆除或者关闭。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在饮用水水源二级保护区内从事网箱养殖、旅游等活动的，应当按照规定采取措施，防止污染饮用水水体。</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第六十七条</w:t>
            </w:r>
            <w:r>
              <w:rPr>
                <w:rFonts w:hint="eastAsia" w:ascii="仿宋_GB2312" w:hAnsi="仿宋_GB2312" w:eastAsia="仿宋_GB2312" w:cs="仿宋_GB2312"/>
                <w:sz w:val="24"/>
                <w:szCs w:val="32"/>
              </w:rPr>
              <w:t xml:space="preserve"> 禁止在饮用水水源准保护区内新建、扩建对水体污染严重的建设项目；改建建设项目，不得增加排污量。</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第九十一条 第一款</w:t>
            </w:r>
            <w:r>
              <w:rPr>
                <w:rFonts w:hint="eastAsia" w:ascii="仿宋_GB2312" w:hAnsi="仿宋_GB2312" w:eastAsia="仿宋_GB2312" w:cs="仿宋_GB2312"/>
                <w:sz w:val="24"/>
                <w:szCs w:val="32"/>
              </w:rPr>
              <w:t xml:space="preserve"> 有下列行为之一的，由县级以上地方人民政府环境保护主管部门责令停止违法行为，处十万元以上五十万元以下的罚款；并报经有批准权的人民政府批准，责令拆除或者关闭：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（一）在饮用水水源一级保护区内新建、改建、扩建与供水设施和保护水源无关的建设项目的；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（二）在饮用水水源二级保护区内新建、改建、扩建排放污染物的建设项目的；</w:t>
            </w:r>
          </w:p>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（三）在饮用水水源准保护区内新建、扩建对水体污染严重的建设项目，或者改建建设项目增加排污量的。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68"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在饮用水水源准保护区内新建、扩建对水体污染严重的建设项目，或者改建建设项目增加排污量的</w:t>
            </w:r>
          </w:p>
        </w:tc>
        <w:tc>
          <w:tcPr>
            <w:tcW w:w="1768"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1"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在饮用水水源二级保护区内新建、改建、扩建排放污染物的建设项目的</w:t>
            </w:r>
          </w:p>
        </w:tc>
        <w:tc>
          <w:tcPr>
            <w:tcW w:w="1768"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在饮用水水源一级保护区内新建、改建、扩建与供水设施和保护水源无关的建设项目的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74" w:type="dxa"/>
            <w:vMerge w:val="continue"/>
            <w:noWrap w:val="0"/>
            <w:vAlign w:val="center"/>
          </w:tcPr>
          <w:p>
            <w:pPr>
              <w:jc w:val="left"/>
            </w:pPr>
          </w:p>
        </w:tc>
        <w:tc>
          <w:tcPr>
            <w:tcW w:w="1997" w:type="dxa"/>
            <w:vMerge w:val="continue"/>
            <w:noWrap w:val="0"/>
            <w:vAlign w:val="center"/>
          </w:tcPr>
          <w:p>
            <w:pPr>
              <w:jc w:val="center"/>
            </w:pPr>
          </w:p>
        </w:tc>
        <w:tc>
          <w:tcPr>
            <w:tcW w:w="686" w:type="dxa"/>
            <w:vMerge w:val="continue"/>
            <w:noWrap w:val="0"/>
            <w:vAlign w:val="center"/>
          </w:tcPr>
          <w:p>
            <w:pPr>
              <w:jc w:val="cente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1"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6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r>
        <w:br w:type="page"/>
      </w:r>
    </w:p>
    <w:tbl>
      <w:tblPr>
        <w:tblStyle w:val="9"/>
        <w:tblpPr w:leftFromText="180" w:rightFromText="180" w:vertAnchor="text" w:horzAnchor="page" w:tblpX="1535"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997"/>
        <w:gridCol w:w="686"/>
        <w:gridCol w:w="325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54"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在饮用水水源一级保护区内从事网箱养殖或者组织进行旅游、垂钓或者其他可能污染饮用水水体的活动的；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个人在饮用水水源一级保护区内游泳、垂钓或者从事其他可能污染饮用水水体的活动的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第六十五条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禁止在饮用水水源一级保护区内从事网箱养殖、旅游、游泳、垂钓或者其他可能污染饮用水水体的活动。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第九十一条 第二款</w:t>
            </w:r>
            <w:r>
              <w:rPr>
                <w:rFonts w:hint="eastAsia" w:ascii="仿宋_GB2312" w:hAnsi="仿宋_GB2312" w:eastAsia="仿宋_GB2312" w:cs="仿宋_GB2312"/>
                <w:sz w:val="24"/>
                <w:szCs w:val="32"/>
              </w:rPr>
              <w:t xml:space="preserve">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5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垂钓或从事其他可能污染饮用水水体的活动的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组织旅游的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网箱养殖的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59"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pacing w:val="-20"/>
                <w:sz w:val="24"/>
              </w:rPr>
              <w:t>未造成社会影响与生态破坏的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（一）不按照规定制定水污染事故的应急方案的；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（二）水污染事故发生后，未及时启动水污染事故的应急方案，采取有关应急措施的。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第七十七条</w:t>
            </w:r>
            <w:r>
              <w:rPr>
                <w:rFonts w:hint="eastAsia" w:ascii="仿宋_GB2312" w:hAnsi="仿宋_GB2312" w:eastAsia="仿宋_GB2312" w:cs="仿宋_GB2312"/>
                <w:sz w:val="24"/>
                <w:szCs w:val="32"/>
              </w:rPr>
              <w:t xml:space="preserve"> 可能发生水污染事故的企业事业单位，应当制定有关水污染事故的应急方案，做好应急准备，并定期进行演练。</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生产、储存危险化学品的企业事业单位，应当采取措施，防止在处理安全生产事故过程中产生的可能严重污染水体的消防废水、废液直接排入水体。</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第七十八条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《中华人民共和国水污染防治法》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第九十三条</w:t>
            </w:r>
            <w:r>
              <w:rPr>
                <w:rFonts w:hint="eastAsia" w:ascii="仿宋_GB2312" w:hAnsi="仿宋_GB2312" w:eastAsia="仿宋_GB2312" w:cs="仿宋_GB2312"/>
                <w:sz w:val="24"/>
                <w:szCs w:val="32"/>
              </w:rPr>
              <w:t xml:space="preserve"> 企业事业单位有下列行为之一的，由县级以上人民政府环境保护主管部门责令改正；情节严重的，处二万元以上十万元以下的罚款：</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（一）不按照规定制定水污染事故的应急方案的；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（二）水污染事故发生后，未及时启动水污染事故的应急方案，采取有关应急措施的。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kern w:val="0"/>
                <w:sz w:val="24"/>
                <w:lang w:bidi="ar"/>
              </w:rPr>
            </w:pPr>
            <w:r>
              <w:rPr>
                <w:rFonts w:hint="eastAsia" w:ascii="仿宋_GB2312" w:hAnsi="仿宋_GB2312" w:eastAsia="仿宋_GB2312" w:cs="仿宋_GB2312"/>
                <w:kern w:val="0"/>
                <w:sz w:val="24"/>
                <w:lang w:bidi="ar"/>
              </w:rPr>
              <w:t>3.</w:t>
            </w:r>
            <w:r>
              <w:rPr>
                <w:rFonts w:hint="eastAsia" w:ascii="仿宋_GB2312" w:hAnsi="仿宋_GB2312" w:eastAsia="仿宋_GB2312" w:cs="仿宋_GB2312"/>
                <w:b/>
                <w:bCs/>
                <w:kern w:val="0"/>
                <w:sz w:val="24"/>
                <w:lang w:bidi="ar"/>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kern w:val="0"/>
                <w:sz w:val="24"/>
                <w:lang w:bidi="ar"/>
              </w:rPr>
              <w:t>水污染防治条例》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第七十三条</w:t>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sz w:val="24"/>
                <w:szCs w:val="32"/>
              </w:rPr>
              <w:t>违反本条例规定，企业事业单位有下列行为之一的，由环境保护主管部门责令改正；情节严重的，处二万元以上十万元以下的罚款：</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（一）不按照规定制定水污染事故的应急方案的；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（二）水污染事故发生后，未及时启动水污染事故的应急方案，采取有关应急措施的。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水污染事故发生后，未及时启动水污染事故的应急方案，采取有关应急措施的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不按照规定制定水污染事故的应急方案的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8"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p>
      <w:pPr>
        <w:rPr>
          <w:rFonts w:ascii="方正小标宋简体" w:hAnsi="方正小标宋简体" w:eastAsia="方正小标宋简体" w:cs="方正小标宋简体"/>
          <w:sz w:val="22"/>
          <w:szCs w:val="22"/>
        </w:rPr>
      </w:pPr>
    </w:p>
    <w:p>
      <w:pPr>
        <w:rPr>
          <w:rFonts w:hint="eastAsia" w:ascii="方正小标宋简体" w:hAnsi="方正小标宋简体" w:eastAsia="方正小标宋简体" w:cs="方正小标宋简体"/>
          <w:sz w:val="22"/>
          <w:szCs w:val="22"/>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土壤污染重点监管单位未制定、实施自行监测方案，或者未将监测数据报生态环境主管部门的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第二十一条 第二款 </w:t>
            </w:r>
            <w:r>
              <w:rPr>
                <w:rFonts w:hint="eastAsia" w:ascii="仿宋_GB2312" w:hAnsi="仿宋_GB2312" w:eastAsia="仿宋_GB2312" w:cs="仿宋_GB2312"/>
                <w:sz w:val="24"/>
              </w:rPr>
              <w:t>土壤污染重点监管单位应当履行下列义务：</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（一）严格控制有毒有害物质排放，并按年度向生态环境主管部门报告排放情况；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（二）建立土壤污染隐患排查制度，保证持续有效防止有毒有害物质渗漏、流失、扬散；</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（三）制定、实施自行监测方案，并将监测数据报生态环境主管部门。</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第八十六条</w:t>
            </w:r>
            <w:r>
              <w:rPr>
                <w:rFonts w:hint="eastAsia" w:ascii="仿宋_GB2312" w:hAnsi="仿宋_GB2312" w:eastAsia="仿宋_GB2312" w:cs="仿宋_GB2312"/>
                <w:sz w:val="24"/>
              </w:rPr>
              <w:t xml:space="preserve"> 违反本法规定，有下列行为之一的，由地方人民政府生态环境主管部门或者其他负有土壤污染防治监督管理职责的部门责令改正，处以罚款；拒不改正的，责令停产整治：</w:t>
            </w:r>
          </w:p>
          <w:p>
            <w:pPr>
              <w:rPr>
                <w:rFonts w:hint="eastAsia" w:ascii="仿宋_GB2312" w:hAnsi="仿宋_GB2312" w:eastAsia="仿宋_GB2312" w:cs="仿宋_GB2312"/>
                <w:sz w:val="24"/>
              </w:rPr>
            </w:pPr>
            <w:r>
              <w:rPr>
                <w:rFonts w:hint="eastAsia" w:ascii="仿宋_GB2312" w:hAnsi="仿宋_GB2312" w:eastAsia="仿宋_GB2312" w:cs="仿宋_GB2312"/>
                <w:sz w:val="24"/>
              </w:rPr>
              <w:t>（一）土壤污染重点监管单位未制定、实施自行监测方案，或者未将监测数据报生态环境主管部门的；</w:t>
            </w:r>
          </w:p>
          <w:p>
            <w:pPr>
              <w:rPr>
                <w:rFonts w:hint="eastAsia" w:ascii="仿宋_GB2312" w:hAnsi="仿宋_GB2312" w:eastAsia="仿宋_GB2312" w:cs="仿宋_GB2312"/>
                <w:sz w:val="24"/>
              </w:rPr>
            </w:pPr>
            <w:r>
              <w:rPr>
                <w:rFonts w:hint="eastAsia" w:ascii="仿宋_GB2312" w:hAnsi="仿宋_GB2312" w:eastAsia="仿宋_GB2312" w:cs="仿宋_GB2312"/>
                <w:sz w:val="24"/>
              </w:rPr>
              <w:t>有前款规定行为之一的，处二万元以上二十万元以下的罚款；</w:t>
            </w:r>
          </w:p>
          <w:p>
            <w:pPr>
              <w:rPr>
                <w:rFonts w:hint="eastAsia" w:ascii="仿宋_GB2312" w:hAnsi="仿宋_GB2312" w:eastAsia="仿宋_GB2312" w:cs="仿宋_GB2312"/>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rPr>
                <w:rFonts w:hint="eastAsia" w:ascii="仿宋_GB2312" w:hAnsi="仿宋_GB2312" w:eastAsia="仿宋_GB2312" w:cs="仿宋_GB2312"/>
                <w:sz w:val="24"/>
              </w:rPr>
            </w:pPr>
            <w:r>
              <w:rPr>
                <w:rFonts w:hint="eastAsia" w:ascii="仿宋_GB2312" w:hAnsi="仿宋_GB2312" w:eastAsia="仿宋_GB2312" w:cs="仿宋_GB2312"/>
                <w:b/>
                <w:bCs/>
                <w:sz w:val="24"/>
              </w:rPr>
              <w:t>第二十一条</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第一款</w:t>
            </w:r>
            <w:r>
              <w:rPr>
                <w:rFonts w:ascii="仿宋_GB2312" w:hAnsi="仿宋_GB2312" w:eastAsia="仿宋_GB2312" w:cs="仿宋_GB2312"/>
                <w:sz w:val="24"/>
              </w:rPr>
              <w:t xml:space="preserve"> </w:t>
            </w:r>
            <w:r>
              <w:rPr>
                <w:rFonts w:hint="eastAsia" w:ascii="仿宋_GB2312" w:hAnsi="仿宋_GB2312" w:eastAsia="仿宋_GB2312" w:cs="仿宋_GB2312"/>
                <w:sz w:val="24"/>
              </w:rPr>
              <w:t>土壤污染重点监管单位应当履行下列义务：</w:t>
            </w:r>
          </w:p>
          <w:p>
            <w:pPr>
              <w:numPr>
                <w:ilvl w:val="0"/>
                <w:numId w:val="4"/>
              </w:numPr>
              <w:rPr>
                <w:rFonts w:ascii="仿宋_GB2312" w:hAnsi="仿宋_GB2312" w:eastAsia="仿宋_GB2312" w:cs="仿宋_GB2312"/>
                <w:sz w:val="24"/>
              </w:rPr>
            </w:pPr>
            <w:r>
              <w:rPr>
                <w:rFonts w:ascii="仿宋_GB2312" w:hAnsi="仿宋_GB2312" w:eastAsia="仿宋_GB2312" w:cs="仿宋_GB2312"/>
                <w:sz w:val="24"/>
              </w:rPr>
              <w:t>制定、实施自行监测方案，按照相关技术规范要求开展土壤、地下水环境监测，并将监测数据报所在地生态环境主管部门。</w:t>
            </w:r>
          </w:p>
          <w:p>
            <w:pPr>
              <w:rPr>
                <w:rFonts w:ascii="仿宋_GB2312" w:hAnsi="仿宋_GB2312" w:eastAsia="仿宋_GB2312" w:cs="仿宋_GB2312"/>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rPr>
                <w:rFonts w:ascii="仿宋_GB2312" w:hAnsi="仿宋_GB2312" w:eastAsia="仿宋_GB2312" w:cs="仿宋_GB2312"/>
                <w:sz w:val="24"/>
              </w:rPr>
            </w:pPr>
            <w:r>
              <w:rPr>
                <w:rFonts w:ascii="仿宋_GB2312" w:hAnsi="仿宋_GB2312" w:eastAsia="仿宋_GB2312" w:cs="仿宋_GB2312"/>
                <w:b/>
                <w:bCs/>
                <w:sz w:val="24"/>
              </w:rPr>
              <w:t xml:space="preserve">第七十六条 </w:t>
            </w:r>
            <w:r>
              <w:rPr>
                <w:rFonts w:ascii="仿宋_GB2312" w:hAnsi="仿宋_GB2312" w:eastAsia="仿宋_GB2312" w:cs="仿宋_GB2312"/>
                <w:sz w:val="24"/>
              </w:rPr>
              <w:t>违反本条例规定，有下列行为之一的，由生态环境主管部门或者其他负有土壤污染防治监督管理职责的部门责令改正，处以罚款；拒不改正的，责令停产整治：</w:t>
            </w:r>
          </w:p>
          <w:p>
            <w:pPr>
              <w:numPr>
                <w:ilvl w:val="0"/>
                <w:numId w:val="5"/>
              </w:numPr>
              <w:rPr>
                <w:rFonts w:ascii="仿宋_GB2312" w:hAnsi="仿宋_GB2312" w:eastAsia="仿宋_GB2312" w:cs="仿宋_GB2312"/>
                <w:sz w:val="24"/>
              </w:rPr>
            </w:pPr>
            <w:r>
              <w:rPr>
                <w:rFonts w:ascii="仿宋_GB2312" w:hAnsi="仿宋_GB2312" w:eastAsia="仿宋_GB2312" w:cs="仿宋_GB2312"/>
                <w:sz w:val="24"/>
              </w:rPr>
              <w:t>土壤污染重点监管单位未制定、实施自行监测方案，或者未将监测数据报生态环境主管部门的；</w:t>
            </w:r>
          </w:p>
          <w:p>
            <w:pPr>
              <w:rPr>
                <w:rFonts w:ascii="仿宋_GB2312" w:hAnsi="仿宋_GB2312" w:eastAsia="仿宋_GB2312" w:cs="仿宋_GB2312"/>
                <w:sz w:val="24"/>
              </w:rPr>
            </w:pPr>
            <w:r>
              <w:rPr>
                <w:rFonts w:ascii="仿宋_GB2312" w:hAnsi="仿宋_GB2312" w:eastAsia="仿宋_GB2312" w:cs="仿宋_GB2312"/>
                <w:sz w:val="24"/>
              </w:rPr>
              <w:t>有前款规定行为之一的，处二万元以上二十万元以下的罚款；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土壤污染重点监管单位制定、实施了自行监测方案，但未将监测数据报生态环境主管部门的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土壤污染重点监管单位制定自行监测方案，但未实施的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土壤污染重点监管单位未制定自行监测方案的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10"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36"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36"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土壤污染重点监管单位篡改、伪造监测数据的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36"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《中华人民共和国土壤污染防治法》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第二十一条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第三款</w:t>
            </w:r>
            <w:r>
              <w:rPr>
                <w:rFonts w:hint="eastAsia" w:ascii="仿宋_GB2312" w:hAnsi="仿宋_GB2312" w:eastAsia="仿宋_GB2312" w:cs="仿宋_GB2312"/>
                <w:sz w:val="24"/>
                <w:szCs w:val="32"/>
              </w:rPr>
              <w:t xml:space="preserve"> 土壤污染重点监管单位应当对监测数据的真实性和准确性负责。生态环境主管部门发现土壤污染重点监管单位监测数据异常，应当及时进行调查。</w:t>
            </w:r>
          </w:p>
          <w:p>
            <w:pPr>
              <w:jc w:val="left"/>
              <w:rPr>
                <w:rFonts w:hint="eastAsia" w:ascii="仿宋_GB2312" w:hAnsi="仿宋_GB2312" w:eastAsia="仿宋_GB2312" w:cs="仿宋_GB2312"/>
                <w:b/>
                <w:bCs/>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《中华人民共和国土壤污染防治法》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第八十六条</w:t>
            </w:r>
            <w:r>
              <w:rPr>
                <w:rFonts w:hint="eastAsia" w:ascii="仿宋_GB2312" w:hAnsi="仿宋_GB2312" w:eastAsia="仿宋_GB2312" w:cs="仿宋_GB2312"/>
                <w:sz w:val="24"/>
                <w:szCs w:val="32"/>
              </w:rPr>
              <w:t xml:space="preserve"> 违反本法规定，有下列行为之一的，由地方人民政府生态环境主管部门或者其他负有土壤污染防治监督管理职责的部门责令改正，处以罚款；拒不改正的，责令停产整治：</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（二）土壤污染重点监管单位篡改、伪造监测数据的；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有前款规定行为之一的，处二万元以上二十万元以下的罚款；有前款第二项、第四项、第五项、第七项规定行为之一，造成严重后果的，处二十万元以上二百万元以下的罚款。</w:t>
            </w:r>
          </w:p>
          <w:p>
            <w:pPr>
              <w:jc w:val="left"/>
              <w:rPr>
                <w:rFonts w:hint="eastAsia" w:ascii="仿宋_GB2312" w:hAnsi="仿宋_GB2312" w:eastAsia="仿宋_GB2312" w:cs="仿宋_GB2312"/>
                <w:b/>
                <w:bCs/>
                <w:sz w:val="24"/>
                <w:szCs w:val="32"/>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第二十一条 第三款 </w:t>
            </w:r>
            <w:r>
              <w:rPr>
                <w:rFonts w:hint="eastAsia" w:ascii="仿宋_GB2312" w:hAnsi="仿宋_GB2312" w:eastAsia="仿宋_GB2312" w:cs="仿宋_GB2312"/>
                <w:sz w:val="24"/>
                <w:szCs w:val="32"/>
              </w:rPr>
              <w:t>土壤污染重点监管单位应当对监测数据的真实性和准确性负责。生态环境主管部门发现土壤污染重点监管单位监测数据异常，应当及时进行调查。</w:t>
            </w:r>
          </w:p>
          <w:p>
            <w:pPr>
              <w:rPr>
                <w:rFonts w:hint="eastAsia" w:ascii="仿宋_GB2312" w:hAnsi="仿宋_GB2312" w:eastAsia="仿宋_GB2312" w:cs="仿宋_GB2312"/>
                <w:b/>
                <w:bCs/>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rPr>
                <w:rFonts w:hint="eastAsia" w:ascii="仿宋_GB2312" w:hAnsi="仿宋_GB2312" w:eastAsia="仿宋_GB2312" w:cs="仿宋_GB2312"/>
                <w:b/>
                <w:bCs/>
                <w:sz w:val="24"/>
              </w:rPr>
            </w:pPr>
            <w:r>
              <w:rPr>
                <w:rFonts w:ascii="仿宋_GB2312" w:hAnsi="仿宋_GB2312" w:eastAsia="仿宋_GB2312" w:cs="仿宋_GB2312"/>
                <w:b/>
                <w:bCs/>
                <w:sz w:val="24"/>
              </w:rPr>
              <w:t xml:space="preserve">第七十六条 </w:t>
            </w:r>
            <w:r>
              <w:rPr>
                <w:rFonts w:ascii="仿宋_GB2312" w:hAnsi="仿宋_GB2312" w:eastAsia="仿宋_GB2312" w:cs="仿宋_GB2312"/>
                <w:sz w:val="24"/>
              </w:rPr>
              <w:t>违反本条例规定，有下列行为之一的，由生态环境主管部门或者其他负有土壤污染防治监督管理职责的部门责令改正，处以罚款；拒不改正的，责令停产整治：</w:t>
            </w:r>
          </w:p>
          <w:p>
            <w:pPr>
              <w:numPr>
                <w:ilvl w:val="0"/>
                <w:numId w:val="5"/>
              </w:numPr>
              <w:jc w:val="left"/>
              <w:rPr>
                <w:rFonts w:ascii="仿宋_GB2312" w:hAnsi="仿宋_GB2312" w:eastAsia="仿宋_GB2312" w:cs="仿宋_GB2312"/>
                <w:sz w:val="24"/>
                <w:szCs w:val="32"/>
              </w:rPr>
            </w:pPr>
            <w:r>
              <w:rPr>
                <w:rFonts w:ascii="仿宋_GB2312" w:hAnsi="仿宋_GB2312" w:eastAsia="仿宋_GB2312" w:cs="仿宋_GB2312"/>
                <w:sz w:val="24"/>
                <w:szCs w:val="32"/>
              </w:rPr>
              <w:t>土壤污染重点监管单位篡改、伪造监测数据的；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53"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持续时间</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不足5天的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5天以上20天以下的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20天以上的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土壤污染重点监管单位未按年度报告有毒有害物质排放情况，或者未建立土壤污染隐患排查制度的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《中华人民共和国土壤污染防治法》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第二十一条 第二款 </w:t>
            </w:r>
            <w:r>
              <w:rPr>
                <w:rFonts w:hint="eastAsia" w:ascii="仿宋_GB2312" w:hAnsi="仿宋_GB2312" w:eastAsia="仿宋_GB2312" w:cs="仿宋_GB2312"/>
                <w:sz w:val="24"/>
                <w:szCs w:val="32"/>
              </w:rPr>
              <w:t>土壤污染重点监管单位应当履行下列义务：</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（一）严格控制有毒有害物质排放，并按年度向生态环境主管部门报告排放情况；</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（二）建立土壤污染隐患排查制度，保证持续有效防止有毒有害物质渗漏、流失、扬散；</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（三）制定、实施自行监测方案，并将监测数据报生态环境主管部门。</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《中华人民共和国土壤污染防治法》</w:t>
            </w:r>
          </w:p>
          <w:p>
            <w:pPr>
              <w:spacing w:line="300" w:lineRule="exact"/>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第八十六条</w:t>
            </w:r>
            <w:r>
              <w:rPr>
                <w:rFonts w:hint="eastAsia" w:ascii="仿宋_GB2312" w:hAnsi="仿宋_GB2312" w:eastAsia="仿宋_GB2312" w:cs="仿宋_GB2312"/>
                <w:sz w:val="24"/>
                <w:szCs w:val="32"/>
              </w:rPr>
              <w:t xml:space="preserve"> 违反本法规定，有下列行为之一的，由地方人民政府生态环境主管部门或者其他负有土壤污染防治监督管理职责的部门责令改正，处以罚款；拒不改正的，责令停产整治：</w:t>
            </w:r>
          </w:p>
          <w:p>
            <w:pPr>
              <w:spacing w:line="300" w:lineRule="exact"/>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（三）土壤污染重点监管单位未按年度报告有毒有害物质排放情况，或者未建立土壤污染隐患排查制度的；</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有前款规定行为之一的，处二万元以上二十万元以下的罚款；</w:t>
            </w:r>
          </w:p>
          <w:p>
            <w:pPr>
              <w:spacing w:line="300" w:lineRule="exact"/>
              <w:jc w:val="left"/>
              <w:rPr>
                <w:rFonts w:hint="eastAsia" w:ascii="仿宋_GB2312" w:hAnsi="仿宋_GB2312" w:eastAsia="仿宋_GB2312" w:cs="仿宋_GB2312"/>
                <w:b/>
                <w:bCs/>
                <w:sz w:val="24"/>
                <w:szCs w:val="32"/>
              </w:rPr>
            </w:pPr>
          </w:p>
          <w:p>
            <w:pPr>
              <w:spacing w:line="300" w:lineRule="exact"/>
              <w:rPr>
                <w:rFonts w:hint="eastAsia" w:ascii="仿宋_GB2312" w:hAnsi="仿宋_GB2312" w:eastAsia="仿宋_GB2312" w:cs="仿宋_GB2312"/>
                <w:b/>
                <w:bCs/>
                <w:sz w:val="24"/>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第二十一条</w:t>
            </w:r>
            <w:r>
              <w:rPr>
                <w:rFonts w:ascii="仿宋_GB2312" w:hAnsi="仿宋_GB2312" w:eastAsia="仿宋_GB2312" w:cs="仿宋_GB2312"/>
                <w:b/>
                <w:bCs/>
                <w:sz w:val="24"/>
                <w:szCs w:val="32"/>
              </w:rPr>
              <w:t xml:space="preserve"> </w:t>
            </w:r>
            <w:r>
              <w:rPr>
                <w:rFonts w:hint="eastAsia" w:ascii="仿宋_GB2312" w:hAnsi="仿宋_GB2312" w:eastAsia="仿宋_GB2312" w:cs="仿宋_GB2312"/>
                <w:b/>
                <w:bCs/>
                <w:sz w:val="24"/>
                <w:szCs w:val="32"/>
              </w:rPr>
              <w:t>第一款</w:t>
            </w:r>
            <w:r>
              <w:rPr>
                <w:rFonts w:ascii="仿宋_GB2312" w:hAnsi="仿宋_GB2312" w:eastAsia="仿宋_GB2312" w:cs="仿宋_GB2312"/>
                <w:b/>
                <w:bCs/>
                <w:sz w:val="24"/>
                <w:szCs w:val="32"/>
              </w:rPr>
              <w:t xml:space="preserve"> </w:t>
            </w:r>
            <w:r>
              <w:rPr>
                <w:rFonts w:hint="eastAsia" w:ascii="仿宋_GB2312" w:hAnsi="仿宋_GB2312" w:eastAsia="仿宋_GB2312" w:cs="仿宋_GB2312"/>
                <w:sz w:val="24"/>
                <w:szCs w:val="32"/>
              </w:rPr>
              <w:t>土壤污染重点监管单位应当履行下列义务：</w:t>
            </w:r>
          </w:p>
          <w:p>
            <w:pPr>
              <w:numPr>
                <w:ilvl w:val="0"/>
                <w:numId w:val="6"/>
              </w:num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严格控制有毒有害物质排放，并按年度向所在地生态环境主管部门报告排放情况；</w:t>
            </w:r>
          </w:p>
          <w:p>
            <w:pPr>
              <w:spacing w:line="300" w:lineRule="exact"/>
              <w:jc w:val="left"/>
              <w:rPr>
                <w:rFonts w:hint="eastAsia" w:ascii="仿宋_GB2312" w:hAnsi="仿宋_GB2312" w:eastAsia="仿宋_GB2312" w:cs="仿宋_GB2312"/>
                <w:b/>
                <w:bCs/>
                <w:sz w:val="24"/>
                <w:szCs w:val="32"/>
              </w:rPr>
            </w:pPr>
          </w:p>
          <w:p>
            <w:pPr>
              <w:spacing w:line="300" w:lineRule="exact"/>
              <w:rPr>
                <w:rFonts w:hint="eastAsia" w:ascii="仿宋_GB2312" w:hAnsi="仿宋_GB2312" w:eastAsia="仿宋_GB2312" w:cs="仿宋_GB2312"/>
                <w:b/>
                <w:bCs/>
                <w:sz w:val="24"/>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spacing w:line="300" w:lineRule="exact"/>
              <w:rPr>
                <w:rFonts w:ascii="仿宋_GB2312" w:hAnsi="仿宋_GB2312" w:eastAsia="仿宋_GB2312" w:cs="仿宋_GB2312"/>
                <w:sz w:val="24"/>
              </w:rPr>
            </w:pPr>
            <w:r>
              <w:rPr>
                <w:rFonts w:ascii="仿宋_GB2312" w:hAnsi="仿宋_GB2312" w:eastAsia="仿宋_GB2312" w:cs="仿宋_GB2312"/>
                <w:b/>
                <w:bCs/>
                <w:sz w:val="24"/>
              </w:rPr>
              <w:t xml:space="preserve">第七十六条 </w:t>
            </w:r>
            <w:r>
              <w:rPr>
                <w:rFonts w:ascii="仿宋_GB2312" w:hAnsi="仿宋_GB2312" w:eastAsia="仿宋_GB2312" w:cs="仿宋_GB2312"/>
                <w:sz w:val="24"/>
              </w:rPr>
              <w:t>违反本条例规定，有下列行为之一的，由生态环境主管部门或者其他负有土壤污染防治监督管理职责的部门责令改正，处以罚款；拒不改正的，责令停产整治：</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szCs w:val="32"/>
              </w:rPr>
              <w:t>（三）土壤污染重点监管单位未按年度报告有毒有害物质排放情况、未建立土壤污染隐患排查制度或者未开展隐患排查的；</w:t>
            </w:r>
          </w:p>
          <w:p>
            <w:pPr>
              <w:spacing w:line="300" w:lineRule="exact"/>
              <w:rPr>
                <w:rFonts w:hint="eastAsia" w:ascii="仿宋_GB2312" w:hAnsi="仿宋_GB2312" w:eastAsia="仿宋_GB2312" w:cs="仿宋_GB2312"/>
                <w:sz w:val="24"/>
                <w:szCs w:val="32"/>
              </w:rPr>
            </w:pPr>
            <w:r>
              <w:rPr>
                <w:rFonts w:ascii="仿宋_GB2312" w:hAnsi="仿宋_GB2312" w:eastAsia="仿宋_GB2312" w:cs="仿宋_GB2312"/>
                <w:sz w:val="24"/>
                <w:szCs w:val="32"/>
              </w:rPr>
              <w:t>有前款规定行为之一的，处二万元以上二十万元以下的罚款；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土壤污染重点监管单位未按年度报告有毒有害物质排放情况</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土壤污染重点监管单位未建立土壤污染隐患排查制度的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9"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拆除设施、设备或者建筑物、构筑物，企业事业单位未采取相应的土壤污染防治措施或者土壤污染重点监管单位未制定、实施土壤污染防治工作方案的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第二十二条 </w:t>
            </w:r>
            <w:r>
              <w:rPr>
                <w:rFonts w:hint="eastAsia" w:ascii="仿宋_GB2312" w:hAnsi="仿宋_GB2312" w:eastAsia="仿宋_GB2312" w:cs="仿宋_GB2312"/>
                <w:sz w:val="24"/>
              </w:rPr>
              <w:t>企业事业单位拆除设施、设备或者建筑物、构筑物的，应当采取相应的土壤污染防治措施。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土壤污染重点监管单位拆除设施、设备或者建筑物、构筑物的，应当制定包括应急措施在内的土壤污染防治工作方案，报地方人民政府生态环境、工业和信息化主管部门备案并实施。</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ascii="仿宋_GB2312" w:hAnsi="仿宋_GB2312" w:eastAsia="仿宋_GB2312" w:cs="仿宋_GB2312"/>
                <w:sz w:val="24"/>
              </w:rPr>
            </w:pPr>
            <w:r>
              <w:rPr>
                <w:rFonts w:hint="eastAsia" w:ascii="仿宋_GB2312" w:hAnsi="仿宋_GB2312" w:eastAsia="仿宋_GB2312" w:cs="仿宋_GB2312"/>
                <w:b/>
                <w:bCs/>
                <w:sz w:val="24"/>
              </w:rPr>
              <w:t>第八十六条</w:t>
            </w:r>
            <w:r>
              <w:rPr>
                <w:rFonts w:hint="eastAsia" w:ascii="仿宋_GB2312" w:hAnsi="仿宋_GB2312" w:eastAsia="仿宋_GB2312" w:cs="仿宋_GB2312"/>
                <w:sz w:val="24"/>
              </w:rPr>
              <w:t xml:space="preserve"> 违反本法规定，有下列行为之一的，由地方人民政府生态环境主管部门或者其他负有土壤污染防治监督管理职责的部门责令改正，处以罚款；拒不改正的，责令停产整治：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（四）拆除设施、设备或者建筑物、构筑物，企业事业单位未采取相应的土壤污染防治措施或者土壤污染重点监管单位未制定、实施土壤污染防治工作方案的；</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有前款规定行为之一的，处二万元以上二十万元以下的罚款；有前款第二项、第四项、第五项、第七项规定行为之一，造成严重后果的，处二十万元以上二百万元以下的罚款。</w:t>
            </w:r>
          </w:p>
          <w:p>
            <w:pPr>
              <w:jc w:val="left"/>
              <w:rPr>
                <w:rFonts w:hint="eastAsia" w:ascii="仿宋_GB2312" w:hAnsi="仿宋_GB2312" w:eastAsia="仿宋_GB2312" w:cs="仿宋_GB2312"/>
                <w:b/>
                <w:bCs/>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第二十三条</w:t>
            </w:r>
            <w:r>
              <w:rPr>
                <w:rFonts w:ascii="仿宋_GB2312" w:hAnsi="仿宋_GB2312" w:eastAsia="仿宋_GB2312" w:cs="仿宋_GB2312"/>
                <w:sz w:val="24"/>
              </w:rPr>
              <w:t xml:space="preserve"> </w:t>
            </w:r>
            <w:r>
              <w:rPr>
                <w:rFonts w:hint="eastAsia" w:ascii="仿宋_GB2312" w:hAnsi="仿宋_GB2312" w:eastAsia="仿宋_GB2312" w:cs="仿宋_GB2312"/>
                <w:sz w:val="24"/>
              </w:rPr>
              <w:t>企业事业单位拆除设施、设备或者建筑物、构筑物的，应当采取相应的土壤污染防治措施，安全处置残留物料、污染物、污染设施和设备，防范拆除活动污染土壤。</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拆除设施、设备或者建筑物、构筑物的，应当制定土壤污染防治工作方案并组织实施，方案包括被拆除设施、设备或者建筑物、构筑物的基本情况，残留物料、污染物、污染设施和设备的安全处置以及应急措施，土壤污染防治要求和对周边环境的污染防治措施等内容。土壤污染防治工作方案应当在拆除活动十五个工作日前报所在地生态环境、工业和信息化主管部门备案。拆除活动相关记录应当归档保存。</w:t>
            </w:r>
          </w:p>
          <w:p>
            <w:pPr>
              <w:rPr>
                <w:rFonts w:hint="eastAsia" w:ascii="仿宋_GB2312" w:hAnsi="仿宋_GB2312" w:eastAsia="仿宋_GB2312" w:cs="仿宋_GB2312"/>
                <w:b/>
                <w:bCs/>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rPr>
                <w:rFonts w:hint="eastAsia" w:ascii="仿宋_GB2312" w:hAnsi="仿宋_GB2312" w:eastAsia="仿宋_GB2312" w:cs="仿宋_GB2312"/>
                <w:b/>
                <w:bCs/>
                <w:sz w:val="24"/>
              </w:rPr>
            </w:pPr>
            <w:r>
              <w:rPr>
                <w:rFonts w:ascii="仿宋_GB2312" w:hAnsi="仿宋_GB2312" w:eastAsia="仿宋_GB2312" w:cs="仿宋_GB2312"/>
                <w:b/>
                <w:bCs/>
                <w:sz w:val="24"/>
              </w:rPr>
              <w:t xml:space="preserve">第七十六条 </w:t>
            </w:r>
            <w:r>
              <w:rPr>
                <w:rFonts w:ascii="仿宋_GB2312" w:hAnsi="仿宋_GB2312" w:eastAsia="仿宋_GB2312" w:cs="仿宋_GB2312"/>
                <w:sz w:val="24"/>
              </w:rPr>
              <w:t>违反本条例规定，有下列行为之一的，由生态环境主管部门或者其他负有土壤污染防治监督管理职责的部门责令改正，处以罚款；拒不改正的，责令停产整治：</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（四）拆除设施、设备或者建筑物、构筑物，企业事业单位未采取相应的土壤污染防治措施或者土壤污染重点监管单位未制定、实施土壤污染防治工作方案的；</w:t>
            </w:r>
          </w:p>
          <w:p>
            <w:pPr>
              <w:jc w:val="left"/>
              <w:rPr>
                <w:rFonts w:hint="eastAsia" w:ascii="仿宋_GB2312" w:hAnsi="仿宋_GB2312" w:eastAsia="仿宋_GB2312" w:cs="仿宋_GB2312"/>
                <w:sz w:val="24"/>
              </w:rPr>
            </w:pPr>
            <w:r>
              <w:rPr>
                <w:rFonts w:ascii="仿宋_GB2312" w:hAnsi="仿宋_GB2312" w:eastAsia="仿宋_GB2312" w:cs="仿宋_GB2312"/>
                <w:sz w:val="24"/>
                <w:szCs w:val="32"/>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企业事业单位已制定但未实施相应的土壤污染防治措施的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土壤污染重点监管单位未制定、实施土壤污染防治工作方案的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3"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尾矿库运营、管理单位未按照规定采取措施防止土壤污染的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第二十三条 第二款</w:t>
            </w:r>
            <w:r>
              <w:rPr>
                <w:rFonts w:hint="eastAsia" w:ascii="仿宋_GB2312" w:hAnsi="仿宋_GB2312" w:eastAsia="仿宋_GB2312" w:cs="仿宋_GB2312"/>
                <w:sz w:val="24"/>
              </w:rPr>
              <w:t xml:space="preserve"> 尾矿库运营、管理单位应当按照规定，加强尾矿库的安全管理，采取措施防止土壤污染。危库、险库、病库以及其他需要重点监管的尾矿库的运营、管理单位应当按照规定，进行土壤污染状况监测和定期评估。</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第八十六条 </w:t>
            </w:r>
            <w:r>
              <w:rPr>
                <w:rFonts w:hint="eastAsia" w:ascii="仿宋_GB2312" w:hAnsi="仿宋_GB2312" w:eastAsia="仿宋_GB2312" w:cs="仿宋_GB2312"/>
                <w:sz w:val="24"/>
              </w:rPr>
              <w:t>违反本法规定，有下列行为之一的，由地方人民政府生态环境主管部门或者其他负有土壤污染防治监督管理职责的部门责令改正，处以罚款；拒不改正的，责令停产整治：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（五）尾矿库运营、管理单位未按照规定采取措施防止土壤污染的；</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有前款规定行为之一的，处二万元以上二十万元以下的罚款；有前款第二项、第四项、第五项、第七项规定行为之一，造成严重后果的，处二十万元以上二百万元以下的罚款。</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第二十四条 第二款 </w:t>
            </w:r>
            <w:r>
              <w:rPr>
                <w:rFonts w:hint="eastAsia" w:ascii="仿宋_GB2312" w:hAnsi="仿宋_GB2312" w:eastAsia="仿宋_GB2312" w:cs="仿宋_GB2312"/>
                <w:sz w:val="24"/>
              </w:rPr>
              <w:t>尾矿库运营、管理单位应当按照规定加强尾矿库的安全管理，采取措施防止土壤污染。危库、险库、病库以及其他需要重点监管的尾矿库运营、管理单位应当按照规定进行土壤污染状况监测和定期评估。</w:t>
            </w:r>
          </w:p>
          <w:p>
            <w:pPr>
              <w:jc w:val="left"/>
              <w:rPr>
                <w:rFonts w:hint="eastAsia" w:ascii="仿宋_GB2312" w:hAnsi="仿宋_GB2312" w:eastAsia="仿宋_GB2312" w:cs="仿宋_GB2312"/>
                <w:b/>
                <w:bCs/>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rPr>
                <w:rFonts w:hint="eastAsia" w:ascii="仿宋_GB2312" w:hAnsi="仿宋_GB2312" w:eastAsia="仿宋_GB2312" w:cs="仿宋_GB2312"/>
                <w:b/>
                <w:bCs/>
                <w:sz w:val="24"/>
              </w:rPr>
            </w:pPr>
            <w:r>
              <w:rPr>
                <w:rFonts w:ascii="仿宋_GB2312" w:hAnsi="仿宋_GB2312" w:eastAsia="仿宋_GB2312" w:cs="仿宋_GB2312"/>
                <w:b/>
                <w:bCs/>
                <w:sz w:val="24"/>
              </w:rPr>
              <w:t xml:space="preserve">第七十六条 </w:t>
            </w:r>
            <w:r>
              <w:rPr>
                <w:rFonts w:ascii="仿宋_GB2312" w:hAnsi="仿宋_GB2312" w:eastAsia="仿宋_GB2312" w:cs="仿宋_GB2312"/>
                <w:sz w:val="24"/>
              </w:rPr>
              <w:t>违反本条例规定，有下列行为之一的，由生态环境主管部门或者其他负有土壤污染防治监督管理职责的部门责令改正，处以罚款；拒不改正的，责令停产整治：</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（五）矿山企业以及尾矿库运营、管理单位未按照规定采取措施防止土壤污染的；</w:t>
            </w:r>
          </w:p>
          <w:p>
            <w:pPr>
              <w:jc w:val="left"/>
              <w:rPr>
                <w:rFonts w:hint="eastAsia" w:ascii="仿宋_GB2312" w:hAnsi="仿宋_GB2312" w:eastAsia="仿宋_GB2312" w:cs="仿宋_GB2312"/>
                <w:sz w:val="24"/>
              </w:rPr>
            </w:pPr>
            <w:r>
              <w:rPr>
                <w:rFonts w:ascii="仿宋_GB2312" w:hAnsi="仿宋_GB2312" w:eastAsia="仿宋_GB2312" w:cs="仿宋_GB2312"/>
                <w:sz w:val="24"/>
                <w:szCs w:val="32"/>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尾矿库运营、管理单位已采取防止土壤污染措施，未严格按照规定的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尾矿库运营、管理单位未采取措施防止土壤污染的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8"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5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hd w:val="clear" w:color="auto" w:fill="FFFFFF"/>
              </w:rPr>
              <w:t>尾矿库运营、管理单位未按照规定进行土壤污染状况监测的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第二十三条 第二款</w:t>
            </w:r>
            <w:r>
              <w:rPr>
                <w:rFonts w:hint="eastAsia" w:ascii="仿宋_GB2312" w:hAnsi="仿宋_GB2312" w:eastAsia="仿宋_GB2312" w:cs="仿宋_GB2312"/>
                <w:sz w:val="24"/>
              </w:rPr>
              <w:t xml:space="preserve"> 尾矿库运营、管理单位应当按照规定，加强尾矿库的安全管理，采取措施防止土壤污染。危库、险库、病库以及其他需要重点监管的尾矿库的运营、管理单位应当按照规定，进行土壤污染状况监测和定期评估。</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第八十六条</w:t>
            </w:r>
            <w:r>
              <w:rPr>
                <w:rFonts w:hint="eastAsia" w:ascii="仿宋_GB2312" w:hAnsi="仿宋_GB2312" w:eastAsia="仿宋_GB2312" w:cs="仿宋_GB2312"/>
                <w:sz w:val="24"/>
              </w:rPr>
              <w:t xml:space="preserve"> 违反本法规定，有下列行为之一的，由地方人民政府生态环境主管部门或者其他负有土壤污染防治监督管理职责的部门责令改正，处以罚款；拒不改正的，责令停产整治：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（六）尾矿库运营、管理单位未按照规定进行土壤污染状况监测的；</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有前款规定行为之一的，处二万元以上二十万元以下的罚款；</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第二十四条 第二款 </w:t>
            </w:r>
            <w:r>
              <w:rPr>
                <w:rFonts w:hint="eastAsia" w:ascii="仿宋_GB2312" w:hAnsi="仿宋_GB2312" w:eastAsia="仿宋_GB2312" w:cs="仿宋_GB2312"/>
                <w:sz w:val="24"/>
              </w:rPr>
              <w:t>尾矿库运营、管理单位应当按照规定加强尾矿库的安全管理，采取措施防止土壤污染。危库、险库、病库以及其他需要重点监管的尾矿库运营、管理单位应当按照规定进行土壤污染状况监测和定期评估。</w:t>
            </w:r>
          </w:p>
          <w:p>
            <w:pPr>
              <w:jc w:val="left"/>
              <w:rPr>
                <w:rFonts w:hint="eastAsia" w:ascii="仿宋_GB2312" w:hAnsi="仿宋_GB2312" w:eastAsia="仿宋_GB2312" w:cs="仿宋_GB2312"/>
                <w:b/>
                <w:bCs/>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rPr>
                <w:rFonts w:hint="eastAsia" w:ascii="仿宋_GB2312" w:hAnsi="仿宋_GB2312" w:eastAsia="仿宋_GB2312" w:cs="仿宋_GB2312"/>
                <w:b/>
                <w:bCs/>
                <w:sz w:val="24"/>
              </w:rPr>
            </w:pPr>
            <w:r>
              <w:rPr>
                <w:rFonts w:ascii="仿宋_GB2312" w:hAnsi="仿宋_GB2312" w:eastAsia="仿宋_GB2312" w:cs="仿宋_GB2312"/>
                <w:b/>
                <w:bCs/>
                <w:sz w:val="24"/>
              </w:rPr>
              <w:t xml:space="preserve">第七十六条 </w:t>
            </w:r>
            <w:r>
              <w:rPr>
                <w:rFonts w:ascii="仿宋_GB2312" w:hAnsi="仿宋_GB2312" w:eastAsia="仿宋_GB2312" w:cs="仿宋_GB2312"/>
                <w:sz w:val="24"/>
              </w:rPr>
              <w:t>违反本条例规定，有下列行为之一的，由生态环境主管部门或者其他负有土壤污染防治监督管理职责的部门责令改正，处以罚款；拒不改正的，责令停产整治：</w:t>
            </w:r>
          </w:p>
          <w:p>
            <w:pPr>
              <w:numPr>
                <w:ilvl w:val="0"/>
                <w:numId w:val="7"/>
              </w:numPr>
              <w:jc w:val="left"/>
              <w:rPr>
                <w:rFonts w:ascii="仿宋_GB2312" w:hAnsi="仿宋_GB2312" w:eastAsia="仿宋_GB2312" w:cs="仿宋_GB2312"/>
                <w:sz w:val="24"/>
                <w:szCs w:val="32"/>
              </w:rPr>
            </w:pPr>
            <w:r>
              <w:rPr>
                <w:rFonts w:ascii="仿宋_GB2312" w:hAnsi="仿宋_GB2312" w:eastAsia="仿宋_GB2312" w:cs="仿宋_GB2312"/>
                <w:sz w:val="24"/>
                <w:szCs w:val="32"/>
              </w:rPr>
              <w:t>尾矿库运营、管理单位未按照规定进行土壤污染状况监测的；</w:t>
            </w:r>
          </w:p>
          <w:p>
            <w:pPr>
              <w:jc w:val="left"/>
              <w:rPr>
                <w:rFonts w:hint="eastAsia" w:ascii="仿宋_GB2312" w:hAnsi="仿宋_GB2312" w:eastAsia="仿宋_GB2312" w:cs="仿宋_GB2312"/>
                <w:sz w:val="24"/>
              </w:rPr>
            </w:pPr>
            <w:r>
              <w:rPr>
                <w:rFonts w:ascii="仿宋_GB2312" w:hAnsi="仿宋_GB2312" w:eastAsia="仿宋_GB2312" w:cs="仿宋_GB2312"/>
                <w:sz w:val="24"/>
                <w:szCs w:val="32"/>
              </w:rPr>
              <w:t>有前款规定行为之一的，处二万元以上二十万元以下的罚款；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4"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尾矿库运营、管理单位已进行土壤污染状况监测，但未按照规定的    </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尾矿库运营、管理单位未进行土壤污染状况监测的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61"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p/>
    <w:p/>
    <w:p/>
    <w:p/>
    <w:p/>
    <w:p/>
    <w:p>
      <w:pPr>
        <w:rPr>
          <w:rFonts w:hint="eastAsia"/>
        </w:rPr>
      </w:pP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建设和运行生活垃圾处置设施、污水集中处理设施、固体废物处置设施，未依照法律法规和相关标准的要求采取措施防止土壤污染的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spacing w:line="30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spacing w:line="3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第二十五条 第一款 </w:t>
            </w:r>
            <w:r>
              <w:rPr>
                <w:rFonts w:hint="eastAsia" w:ascii="仿宋_GB2312" w:hAnsi="仿宋_GB2312" w:eastAsia="仿宋_GB2312" w:cs="仿宋_GB2312"/>
                <w:sz w:val="24"/>
              </w:rPr>
              <w:t>建设和运行污水集中处理设施、固体废物处置设施，应当依照法律法规和相关标准的要求，采取措施防止土壤污染。</w:t>
            </w:r>
          </w:p>
          <w:p>
            <w:pPr>
              <w:spacing w:line="300" w:lineRule="exact"/>
              <w:jc w:val="left"/>
              <w:rPr>
                <w:rFonts w:hint="eastAsia" w:ascii="仿宋_GB2312" w:hAnsi="仿宋_GB2312" w:eastAsia="仿宋_GB2312" w:cs="仿宋_GB2312"/>
                <w:b/>
                <w:bCs/>
                <w:sz w:val="24"/>
              </w:rPr>
            </w:pPr>
          </w:p>
          <w:p>
            <w:pPr>
              <w:spacing w:line="30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第八十六条</w:t>
            </w:r>
            <w:r>
              <w:rPr>
                <w:rFonts w:hint="eastAsia" w:ascii="仿宋_GB2312" w:hAnsi="仿宋_GB2312" w:eastAsia="仿宋_GB2312" w:cs="仿宋_GB2312"/>
                <w:sz w:val="24"/>
              </w:rPr>
              <w:t xml:space="preserve"> 违反本法规定，有下列行为之一的，由地方人民政府生态环境主管部门或者其他负有土壤污染防治监督管理职责的部门责令改正，处以罚款；拒不改正的，责令停产整治：</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（七）建设和运行污水集中处理设施、固体废物处置设施，未依照法律法规和相关标准的要求采取措施防止土壤污染的。</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有前款规定行为之一的，处二万元以上二十万元以下的罚款；有前款第二项、第四项、第五项、第七项规定行为之一，造成严重后果的，处二十万元以上二百万元以下的罚款。</w:t>
            </w: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第二十四条 第二款 </w:t>
            </w:r>
            <w:r>
              <w:rPr>
                <w:rFonts w:hint="eastAsia" w:ascii="仿宋_GB2312" w:hAnsi="仿宋_GB2312" w:eastAsia="仿宋_GB2312" w:cs="仿宋_GB2312"/>
                <w:sz w:val="24"/>
              </w:rPr>
              <w:t>尾矿库运营、管理单位应当按照规定加强尾矿库的安全管理，采取措施防止土壤污染。危库、险库、病库以及其他需要重点监管的尾矿库运营、管理单位应当按照规定进行土壤污染状况监测和定期评估。</w:t>
            </w:r>
          </w:p>
          <w:p>
            <w:pPr>
              <w:spacing w:line="300" w:lineRule="exact"/>
              <w:jc w:val="left"/>
              <w:rPr>
                <w:rFonts w:hint="eastAsia" w:ascii="仿宋_GB2312" w:hAnsi="仿宋_GB2312" w:eastAsia="仿宋_GB2312" w:cs="仿宋_GB2312"/>
                <w:b/>
                <w:bCs/>
                <w:sz w:val="24"/>
              </w:rPr>
            </w:pPr>
          </w:p>
          <w:p>
            <w:pPr>
              <w:spacing w:line="300" w:lineRule="exact"/>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spacing w:line="300" w:lineRule="exact"/>
              <w:rPr>
                <w:rFonts w:hint="eastAsia" w:ascii="仿宋_GB2312" w:hAnsi="仿宋_GB2312" w:eastAsia="仿宋_GB2312" w:cs="仿宋_GB2312"/>
                <w:b/>
                <w:bCs/>
                <w:sz w:val="24"/>
              </w:rPr>
            </w:pPr>
            <w:r>
              <w:rPr>
                <w:rFonts w:ascii="仿宋_GB2312" w:hAnsi="仿宋_GB2312" w:eastAsia="仿宋_GB2312" w:cs="仿宋_GB2312"/>
                <w:b/>
                <w:bCs/>
                <w:sz w:val="24"/>
              </w:rPr>
              <w:t xml:space="preserve">第七十六条 </w:t>
            </w:r>
            <w:r>
              <w:rPr>
                <w:rFonts w:ascii="仿宋_GB2312" w:hAnsi="仿宋_GB2312" w:eastAsia="仿宋_GB2312" w:cs="仿宋_GB2312"/>
                <w:sz w:val="24"/>
              </w:rPr>
              <w:t>违反本条例规定，有下列行为之一的，由生态环境主管部门或者其他负有土壤污染防治监督管理职责的部门责令改正，处以罚款；拒不改正的，责令停产整治：</w:t>
            </w:r>
          </w:p>
          <w:p>
            <w:pPr>
              <w:numPr>
                <w:ilvl w:val="0"/>
                <w:numId w:val="7"/>
              </w:numPr>
              <w:spacing w:line="300" w:lineRule="exact"/>
              <w:jc w:val="left"/>
              <w:rPr>
                <w:rFonts w:ascii="仿宋_GB2312" w:hAnsi="仿宋_GB2312" w:eastAsia="仿宋_GB2312" w:cs="仿宋_GB2312"/>
                <w:sz w:val="24"/>
                <w:szCs w:val="32"/>
              </w:rPr>
            </w:pPr>
            <w:r>
              <w:rPr>
                <w:rFonts w:ascii="仿宋_GB2312" w:hAnsi="仿宋_GB2312" w:eastAsia="仿宋_GB2312" w:cs="仿宋_GB2312"/>
                <w:sz w:val="24"/>
                <w:szCs w:val="32"/>
              </w:rPr>
              <w:t>建设和运行生活垃圾处置设施、固体废物处置设施、污水集中处理设施，未按照法律、法规和相关标准的要求采取措施防止土壤污染的。有前款规定行为之一的，处二万元以上二十万元以下的罚款；</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已采取防止土壤污染措施，但未按照规定的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未采取防止土壤污染措施的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8"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2"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向农用地排放重金属或者其他有毒有害物质含量超标的污水、污泥，以及可能造成土壤污染的清淤底泥、尾矿、矿渣等的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第二十八条 </w:t>
            </w:r>
            <w:r>
              <w:rPr>
                <w:rFonts w:hint="eastAsia" w:ascii="仿宋_GB2312" w:hAnsi="仿宋_GB2312" w:eastAsia="仿宋_GB2312" w:cs="仿宋_GB2312"/>
                <w:sz w:val="24"/>
              </w:rPr>
              <w:t>禁止向农用地排放重金属或者其他有毒有害物质含量超标的污水、污泥，以及可能造成土壤污染的清淤底泥、尾矿、矿渣等。</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pStyle w:val="7"/>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第八十七条 </w:t>
            </w:r>
            <w:r>
              <w:rPr>
                <w:rFonts w:hint="eastAsia" w:ascii="仿宋_GB2312" w:hAnsi="仿宋_GB2312" w:eastAsia="仿宋_GB2312" w:cs="仿宋_GB2312"/>
                <w:sz w:val="24"/>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pStyle w:val="7"/>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pStyle w:val="7"/>
              <w:rPr>
                <w:rFonts w:hint="eastAsia" w:ascii="仿宋_GB2312" w:hAnsi="仿宋_GB2312" w:eastAsia="仿宋_GB2312" w:cs="仿宋_GB2312"/>
                <w:sz w:val="24"/>
              </w:rPr>
            </w:pPr>
            <w:r>
              <w:rPr>
                <w:rFonts w:hint="eastAsia" w:ascii="仿宋_GB2312" w:hAnsi="仿宋_GB2312" w:eastAsia="仿宋_GB2312" w:cs="仿宋_GB2312"/>
                <w:b/>
                <w:bCs/>
                <w:sz w:val="24"/>
              </w:rPr>
              <w:t>第二十七条</w:t>
            </w:r>
            <w:r>
              <w:rPr>
                <w:rFonts w:ascii="仿宋_GB2312" w:hAnsi="仿宋_GB2312" w:eastAsia="仿宋_GB2312" w:cs="仿宋_GB2312"/>
                <w:b/>
                <w:bCs/>
                <w:sz w:val="24"/>
              </w:rPr>
              <w:t xml:space="preserve"> </w:t>
            </w:r>
            <w:r>
              <w:rPr>
                <w:rFonts w:hint="eastAsia" w:ascii="仿宋_GB2312" w:hAnsi="仿宋_GB2312" w:eastAsia="仿宋_GB2312" w:cs="仿宋_GB2312"/>
                <w:sz w:val="24"/>
              </w:rPr>
              <w:t>禁止向农用地排放重金属或者其他有毒有害物质含量超标的污水、污泥，以及可能造成土壤污染的清淤底泥、尾矿、矿渣等。</w:t>
            </w:r>
          </w:p>
          <w:p>
            <w:pPr>
              <w:pStyle w:val="7"/>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pStyle w:val="7"/>
              <w:rPr>
                <w:rFonts w:hint="eastAsia" w:ascii="仿宋_GB2312" w:hAnsi="仿宋_GB2312" w:eastAsia="仿宋_GB2312" w:cs="仿宋_GB2312"/>
                <w:sz w:val="24"/>
              </w:rPr>
            </w:pPr>
            <w:r>
              <w:rPr>
                <w:rFonts w:hint="eastAsia" w:ascii="仿宋_GB2312" w:hAnsi="仿宋_GB2312" w:eastAsia="仿宋_GB2312" w:cs="仿宋_GB2312"/>
                <w:b/>
                <w:bCs/>
                <w:sz w:val="24"/>
              </w:rPr>
              <w:t>第七十七条</w:t>
            </w:r>
            <w:r>
              <w:rPr>
                <w:rFonts w:ascii="仿宋_GB2312" w:hAnsi="仿宋_GB2312" w:eastAsia="仿宋_GB2312" w:cs="仿宋_GB2312"/>
                <w:sz w:val="24"/>
              </w:rPr>
              <w:t xml:space="preserve"> </w:t>
            </w:r>
            <w:r>
              <w:rPr>
                <w:rFonts w:hint="eastAsia" w:ascii="仿宋_GB2312" w:hAnsi="仿宋_GB2312" w:eastAsia="仿宋_GB2312" w:cs="仿宋_GB2312"/>
                <w:sz w:val="24"/>
              </w:rPr>
              <w:t>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依法将案件移送公安机关，由公安机关按照《中华人民共和国土壤污染防治法》的规定对直接负责的主管人员和其他直接责任人员处以拘留；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农用地类型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严格管控类农用地</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安全利用类农用地</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优先保护类农用地</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污染物类型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排放重金属或者其他有毒有害物质含量超标的污水、污泥的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排放可能造成土壤污染的清淤底泥、尾矿、矿渣等的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jc w:val="left"/>
        <w:rPr>
          <w:rFonts w:hint="eastAsia" w:ascii="仿宋_GB2312" w:hAnsi="仿宋_GB2312" w:eastAsia="仿宋_GB2312" w:cs="仿宋_GB2312"/>
          <w:b/>
          <w:bCs/>
          <w:sz w:val="24"/>
        </w:rPr>
      </w:pPr>
    </w:p>
    <w:p>
      <w:pPr>
        <w:jc w:val="left"/>
        <w:rPr>
          <w:rFonts w:hint="eastAsia"/>
          <w:sz w:val="28"/>
          <w:szCs w:val="28"/>
        </w:rPr>
      </w:pPr>
      <w:r>
        <w:rPr>
          <w:rFonts w:hint="eastAsia" w:ascii="仿宋_GB2312" w:hAnsi="仿宋_GB2312" w:eastAsia="仿宋_GB2312" w:cs="仿宋_GB2312"/>
          <w:b/>
          <w:bCs/>
          <w:sz w:val="24"/>
        </w:rPr>
        <w:t>注释：</w:t>
      </w:r>
      <w:r>
        <w:rPr>
          <w:rFonts w:hint="eastAsia" w:ascii="仿宋_GB2312" w:hAnsi="仿宋_GB2312" w:eastAsia="仿宋_GB2312" w:cs="仿宋_GB2312"/>
          <w:sz w:val="24"/>
        </w:rPr>
        <w:t>处以罚款五十万元以上二百万元以下的，及时移交公安机关采取行政拘留措施</w:t>
      </w:r>
      <w:r>
        <w:rPr>
          <w:rFonts w:hint="eastAsia"/>
          <w:sz w:val="24"/>
        </w:rPr>
        <w:t>。</w:t>
      </w:r>
    </w:p>
    <w:p>
      <w:pP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将重金属或者其他有毒有害物质含量超标的工业固体废物、生活垃圾或者污染土壤用于土地复垦的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spacing w:line="28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第三十三条 第二款 </w:t>
            </w:r>
            <w:r>
              <w:rPr>
                <w:rFonts w:hint="eastAsia" w:ascii="仿宋_GB2312" w:hAnsi="仿宋_GB2312" w:eastAsia="仿宋_GB2312" w:cs="仿宋_GB2312"/>
                <w:sz w:val="24"/>
              </w:rPr>
              <w:t>禁止将重金属或者其他有毒有害物质含量超标的工业固体废物、生活垃圾或者污染土壤用于土地复垦。</w:t>
            </w:r>
          </w:p>
          <w:p>
            <w:pPr>
              <w:spacing w:line="280" w:lineRule="exact"/>
              <w:jc w:val="left"/>
              <w:rPr>
                <w:rFonts w:hint="eastAsia" w:ascii="仿宋_GB2312" w:hAnsi="仿宋_GB2312" w:eastAsia="仿宋_GB2312" w:cs="仿宋_GB2312"/>
                <w:b/>
                <w:bCs/>
                <w:sz w:val="24"/>
              </w:rPr>
            </w:pPr>
          </w:p>
          <w:p>
            <w:pPr>
              <w:spacing w:line="28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pStyle w:val="7"/>
              <w:spacing w:line="28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第八十九条</w:t>
            </w:r>
            <w:r>
              <w:rPr>
                <w:rFonts w:hint="eastAsia" w:ascii="仿宋_GB2312" w:hAnsi="仿宋_GB2312" w:eastAsia="仿宋_GB2312" w:cs="仿宋_GB2312"/>
                <w:sz w:val="24"/>
              </w:rPr>
              <w:t xml:space="preserve">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spacing w:line="280" w:lineRule="exact"/>
              <w:jc w:val="left"/>
              <w:rPr>
                <w:rFonts w:hint="eastAsia" w:ascii="仿宋_GB2312" w:hAnsi="仿宋_GB2312" w:eastAsia="仿宋_GB2312" w:cs="仿宋_GB2312"/>
                <w:b/>
                <w:bCs/>
                <w:sz w:val="24"/>
              </w:rPr>
            </w:pPr>
          </w:p>
          <w:p>
            <w:pPr>
              <w:spacing w:line="28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pStyle w:val="7"/>
              <w:spacing w:line="28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第三十二条</w:t>
            </w:r>
            <w:r>
              <w:rPr>
                <w:rFonts w:ascii="仿宋_GB2312" w:hAnsi="仿宋_GB2312" w:eastAsia="仿宋_GB2312" w:cs="仿宋_GB2312"/>
                <w:sz w:val="24"/>
              </w:rPr>
              <w:t xml:space="preserve"> </w:t>
            </w:r>
            <w:r>
              <w:rPr>
                <w:rFonts w:hint="eastAsia" w:ascii="仿宋_GB2312" w:hAnsi="仿宋_GB2312" w:eastAsia="仿宋_GB2312" w:cs="仿宋_GB2312"/>
                <w:b/>
                <w:bCs/>
                <w:sz w:val="24"/>
              </w:rPr>
              <w:t xml:space="preserve">第二款 </w:t>
            </w:r>
            <w:r>
              <w:rPr>
                <w:rFonts w:hint="eastAsia" w:ascii="仿宋_GB2312" w:hAnsi="仿宋_GB2312" w:eastAsia="仿宋_GB2312" w:cs="仿宋_GB2312"/>
                <w:sz w:val="24"/>
              </w:rPr>
              <w:t>禁止将重金属或者其他有毒有害物质含量超标的工业固体废物、生活垃圾或者污染土壤用于土地复垦。</w:t>
            </w:r>
          </w:p>
          <w:p>
            <w:pPr>
              <w:spacing w:line="280" w:lineRule="exact"/>
              <w:jc w:val="left"/>
              <w:rPr>
                <w:rFonts w:hint="eastAsia" w:ascii="仿宋_GB2312" w:hAnsi="仿宋_GB2312" w:eastAsia="仿宋_GB2312" w:cs="仿宋_GB2312"/>
                <w:b/>
                <w:bCs/>
                <w:sz w:val="24"/>
              </w:rPr>
            </w:pPr>
          </w:p>
          <w:p>
            <w:pPr>
              <w:spacing w:line="28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pStyle w:val="7"/>
              <w:spacing w:line="28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第七十九条</w:t>
            </w:r>
            <w:r>
              <w:rPr>
                <w:rFonts w:ascii="仿宋_GB2312" w:hAnsi="仿宋_GB2312" w:eastAsia="仿宋_GB2312" w:cs="仿宋_GB2312"/>
                <w:sz w:val="24"/>
              </w:rPr>
              <w:t xml:space="preserve"> </w:t>
            </w:r>
            <w:r>
              <w:rPr>
                <w:rFonts w:hint="eastAsia" w:ascii="仿宋_GB2312" w:hAnsi="仿宋_GB2312" w:eastAsia="仿宋_GB2312" w:cs="仿宋_GB2312"/>
                <w:sz w:val="24"/>
              </w:rPr>
              <w:t>违反本条例规定，将重金属或者其他有毒有害物质含量超标的工业固体废物、生活垃圾或者污染土壤用于土地复垦的，由生态环境主管部门责令改正，处十万元以上一百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生活垃圾或者污染土壤用于土地复垦的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将重金属或者其他有毒有害物质含量超标的工业固体废物用于土地复垦的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719"/>
        <w:gridCol w:w="985"/>
        <w:gridCol w:w="3193"/>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7"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36"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36"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受委托从事土壤污染状况调查和土壤污染风险评估、风险管控效果评估、修复效果评估活动的单位，出具虚假调查报告、风险评估报告、风险管控效果评估报告、修复效果评估报告的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36"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《中华人民共和国土壤污染防治法》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第四十三条 </w:t>
            </w:r>
            <w:r>
              <w:rPr>
                <w:rFonts w:hint="eastAsia" w:ascii="仿宋_GB2312" w:hAnsi="仿宋_GB2312" w:eastAsia="仿宋_GB2312" w:cs="仿宋_GB2312"/>
                <w:sz w:val="24"/>
                <w:szCs w:val="32"/>
              </w:rPr>
              <w:t>从事土壤污染状况调查和土壤污染风险评估、风险管控、修复、风险管控效果评估、修复效果评估、后期管理等活动的单位，应当具备相应的专业能力。</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受委托从事前款活动的单位对其出具的调查报告、风险评估报告、风险管控效果评估报告、修复效果评估报告的真实性、准确性、完整性负责，并按照约定对风险管控、修复、后期管理等活动结果负责。</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《中华人民共和国土壤污染防治法》</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第九十条</w:t>
            </w:r>
            <w:r>
              <w:rPr>
                <w:rFonts w:hint="eastAsia" w:ascii="仿宋_GB2312" w:hAnsi="仿宋_GB2312" w:eastAsia="仿宋_GB2312" w:cs="仿宋_GB2312"/>
                <w:sz w:val="24"/>
                <w:szCs w:val="32"/>
              </w:rPr>
              <w:t xml:space="preserve">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7"/>
              <w:rPr>
                <w:rFonts w:hint="eastAsia" w:ascii="仿宋_GB2312" w:hAnsi="仿宋_GB2312" w:eastAsia="仿宋_GB2312" w:cs="仿宋_GB2312"/>
                <w:sz w:val="24"/>
                <w:szCs w:val="32"/>
              </w:rPr>
            </w:pPr>
          </w:p>
          <w:p>
            <w:pPr>
              <w:pStyle w:val="7"/>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《河北省土壤污染防治条例》</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第四十二条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从事土壤污染状况调查和土壤污染风险评估、风险管控、修复、风险管控效果评估、修复效果评估、后期管理等活动的单位，应当具备相应的专业能力，包括具备与其承担业务相适应的工作场所、相关专业技术人员和设备等，并加强专业技术人员生态环境保护法律法规、管理政策和专业知识培训，建立质量管理体系。</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受委托从事前款活动的单位对其出具的调查报告、风险评估报告、风险管控效果评估报告、修复效果评估报告的真实性、准确性、完整性负责，并按照约定对风险管控、修复、后期管理等活动结果负责。</w:t>
            </w:r>
          </w:p>
          <w:p>
            <w:pPr>
              <w:pStyle w:val="7"/>
              <w:ind w:firstLine="480"/>
              <w:rPr>
                <w:rFonts w:hint="eastAsia" w:ascii="仿宋_GB2312" w:hAnsi="仿宋_GB2312" w:eastAsia="仿宋_GB2312" w:cs="仿宋_GB2312"/>
                <w:b/>
                <w:bCs/>
                <w:sz w:val="24"/>
                <w:szCs w:val="32"/>
              </w:rPr>
            </w:pPr>
          </w:p>
          <w:p>
            <w:pPr>
              <w:pStyle w:val="7"/>
              <w:rPr>
                <w:rFonts w:ascii="仿宋_GB2312" w:hAnsi="仿宋_GB2312" w:eastAsia="仿宋_GB2312" w:cs="仿宋_GB2312"/>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《河北省土壤污染防治条例》</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第八十三条</w:t>
            </w:r>
            <w:r>
              <w:rPr>
                <w:rFonts w:ascii="仿宋_GB2312" w:hAnsi="仿宋_GB2312" w:eastAsia="仿宋_GB2312" w:cs="仿宋_GB2312"/>
                <w:b/>
                <w:bCs/>
                <w:sz w:val="24"/>
                <w:szCs w:val="32"/>
              </w:rPr>
              <w:t xml:space="preserve"> </w:t>
            </w:r>
            <w:r>
              <w:rPr>
                <w:rFonts w:hint="eastAsia" w:ascii="仿宋_GB2312" w:hAnsi="仿宋_GB2312" w:eastAsia="仿宋_GB2312" w:cs="仿宋_GB2312"/>
                <w:sz w:val="24"/>
                <w:szCs w:val="32"/>
              </w:rPr>
              <w:t>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06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3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71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71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98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出具虚假调查报告的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719" w:type="dxa"/>
            <w:vMerge w:val="continue"/>
            <w:noWrap w:val="0"/>
            <w:vAlign w:val="center"/>
          </w:tcPr>
          <w:p>
            <w:pPr>
              <w:jc w:val="center"/>
              <w:rPr>
                <w:rFonts w:hint="eastAsia" w:ascii="仿宋_GB2312" w:hAnsi="仿宋_GB2312" w:eastAsia="仿宋_GB2312" w:cs="仿宋_GB2312"/>
                <w:sz w:val="24"/>
              </w:rPr>
            </w:pPr>
          </w:p>
        </w:tc>
        <w:tc>
          <w:tcPr>
            <w:tcW w:w="985" w:type="dxa"/>
            <w:vMerge w:val="continue"/>
            <w:noWrap w:val="0"/>
            <w:vAlign w:val="center"/>
          </w:tcPr>
          <w:p>
            <w:pPr>
              <w:jc w:val="center"/>
              <w:rPr>
                <w:rFonts w:hint="eastAsia" w:ascii="仿宋_GB2312" w:hAnsi="仿宋_GB2312" w:eastAsia="仿宋_GB2312" w:cs="仿宋_GB2312"/>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出具虚假风险评估报告的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719" w:type="dxa"/>
            <w:vMerge w:val="continue"/>
            <w:noWrap w:val="0"/>
            <w:vAlign w:val="center"/>
          </w:tcPr>
          <w:p>
            <w:pPr>
              <w:jc w:val="center"/>
              <w:rPr>
                <w:rFonts w:hint="eastAsia" w:ascii="仿宋_GB2312" w:hAnsi="仿宋_GB2312" w:eastAsia="仿宋_GB2312" w:cs="仿宋_GB2312"/>
                <w:sz w:val="24"/>
              </w:rPr>
            </w:pPr>
          </w:p>
        </w:tc>
        <w:tc>
          <w:tcPr>
            <w:tcW w:w="985" w:type="dxa"/>
            <w:vMerge w:val="continue"/>
            <w:noWrap w:val="0"/>
            <w:vAlign w:val="center"/>
          </w:tcPr>
          <w:p>
            <w:pPr>
              <w:jc w:val="center"/>
              <w:rPr>
                <w:rFonts w:hint="eastAsia" w:ascii="仿宋_GB2312" w:hAnsi="仿宋_GB2312" w:eastAsia="仿宋_GB2312" w:cs="仿宋_GB2312"/>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出具虚假风险管控效果评估报告的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719" w:type="dxa"/>
            <w:vMerge w:val="continue"/>
            <w:noWrap w:val="0"/>
            <w:vAlign w:val="center"/>
          </w:tcPr>
          <w:p>
            <w:pPr>
              <w:jc w:val="center"/>
              <w:rPr>
                <w:rFonts w:hint="eastAsia" w:ascii="仿宋_GB2312" w:hAnsi="仿宋_GB2312" w:eastAsia="仿宋_GB2312" w:cs="仿宋_GB2312"/>
                <w:sz w:val="24"/>
              </w:rPr>
            </w:pPr>
          </w:p>
        </w:tc>
        <w:tc>
          <w:tcPr>
            <w:tcW w:w="985" w:type="dxa"/>
            <w:vMerge w:val="continue"/>
            <w:noWrap w:val="0"/>
            <w:vAlign w:val="center"/>
          </w:tcPr>
          <w:p>
            <w:pPr>
              <w:jc w:val="center"/>
              <w:rPr>
                <w:rFonts w:hint="eastAsia" w:ascii="仿宋_GB2312" w:hAnsi="仿宋_GB2312" w:eastAsia="仿宋_GB2312" w:cs="仿宋_GB2312"/>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出具虚假修复效果评估报告的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71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8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719" w:type="dxa"/>
            <w:vMerge w:val="continue"/>
            <w:noWrap w:val="0"/>
            <w:vAlign w:val="center"/>
          </w:tcPr>
          <w:p>
            <w:pPr>
              <w:jc w:val="center"/>
              <w:rPr>
                <w:rFonts w:hint="eastAsia" w:ascii="仿宋_GB2312" w:hAnsi="仿宋_GB2312" w:eastAsia="仿宋_GB2312" w:cs="仿宋_GB2312"/>
                <w:sz w:val="24"/>
              </w:rPr>
            </w:pPr>
          </w:p>
        </w:tc>
        <w:tc>
          <w:tcPr>
            <w:tcW w:w="985" w:type="dxa"/>
            <w:vMerge w:val="continue"/>
            <w:noWrap w:val="0"/>
            <w:vAlign w:val="center"/>
          </w:tcPr>
          <w:p>
            <w:pPr>
              <w:jc w:val="center"/>
              <w:rPr>
                <w:rFonts w:hint="eastAsia" w:ascii="仿宋_GB2312" w:hAnsi="仿宋_GB2312" w:eastAsia="仿宋_GB2312" w:cs="仿宋_GB2312"/>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719" w:type="dxa"/>
            <w:vMerge w:val="continue"/>
            <w:noWrap w:val="0"/>
            <w:vAlign w:val="center"/>
          </w:tcPr>
          <w:p>
            <w:pPr>
              <w:jc w:val="center"/>
              <w:rPr>
                <w:sz w:val="24"/>
              </w:rPr>
            </w:pPr>
          </w:p>
        </w:tc>
        <w:tc>
          <w:tcPr>
            <w:tcW w:w="985" w:type="dxa"/>
            <w:vMerge w:val="continue"/>
            <w:noWrap w:val="0"/>
            <w:vAlign w:val="center"/>
          </w:tcPr>
          <w:p>
            <w:pPr>
              <w:jc w:val="center"/>
              <w:rPr>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719" w:type="dxa"/>
            <w:vMerge w:val="continue"/>
            <w:noWrap w:val="0"/>
            <w:vAlign w:val="center"/>
          </w:tcPr>
          <w:p>
            <w:pPr>
              <w:jc w:val="center"/>
              <w:rPr>
                <w:rFonts w:hint="eastAsia" w:ascii="仿宋_GB2312" w:hAnsi="仿宋_GB2312" w:eastAsia="仿宋_GB2312" w:cs="仿宋_GB2312"/>
                <w:sz w:val="24"/>
              </w:rPr>
            </w:pPr>
          </w:p>
        </w:tc>
        <w:tc>
          <w:tcPr>
            <w:tcW w:w="985" w:type="dxa"/>
            <w:vMerge w:val="continue"/>
            <w:noWrap w:val="0"/>
            <w:vAlign w:val="center"/>
          </w:tcPr>
          <w:p>
            <w:pPr>
              <w:jc w:val="center"/>
              <w:rPr>
                <w:rFonts w:hint="eastAsia" w:ascii="仿宋_GB2312" w:hAnsi="仿宋_GB2312" w:eastAsia="仿宋_GB2312" w:cs="仿宋_GB2312"/>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71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98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719" w:type="dxa"/>
            <w:vMerge w:val="continue"/>
            <w:noWrap w:val="0"/>
            <w:vAlign w:val="center"/>
          </w:tcPr>
          <w:p>
            <w:pPr>
              <w:jc w:val="left"/>
              <w:rPr>
                <w:rFonts w:hint="eastAsia" w:ascii="仿宋_GB2312" w:hAnsi="仿宋_GB2312" w:eastAsia="仿宋_GB2312" w:cs="仿宋_GB2312"/>
                <w:sz w:val="24"/>
              </w:rPr>
            </w:pPr>
          </w:p>
        </w:tc>
        <w:tc>
          <w:tcPr>
            <w:tcW w:w="985" w:type="dxa"/>
            <w:vMerge w:val="continue"/>
            <w:noWrap w:val="0"/>
            <w:vAlign w:val="center"/>
          </w:tcPr>
          <w:p>
            <w:pPr>
              <w:jc w:val="center"/>
              <w:rPr>
                <w:rFonts w:hint="eastAsia" w:ascii="仿宋_GB2312" w:hAnsi="仿宋_GB2312" w:eastAsia="仿宋_GB2312" w:cs="仿宋_GB2312"/>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719" w:type="dxa"/>
            <w:vMerge w:val="continue"/>
            <w:noWrap w:val="0"/>
            <w:vAlign w:val="center"/>
          </w:tcPr>
          <w:p>
            <w:pPr>
              <w:jc w:val="left"/>
              <w:rPr>
                <w:rFonts w:hint="eastAsia" w:ascii="仿宋_GB2312" w:hAnsi="仿宋_GB2312" w:eastAsia="仿宋_GB2312" w:cs="仿宋_GB2312"/>
                <w:sz w:val="24"/>
              </w:rPr>
            </w:pPr>
          </w:p>
        </w:tc>
        <w:tc>
          <w:tcPr>
            <w:tcW w:w="985" w:type="dxa"/>
            <w:vMerge w:val="continue"/>
            <w:noWrap w:val="0"/>
            <w:vAlign w:val="center"/>
          </w:tcPr>
          <w:p>
            <w:pPr>
              <w:jc w:val="center"/>
              <w:rPr>
                <w:rFonts w:hint="eastAsia" w:ascii="仿宋_GB2312" w:hAnsi="仿宋_GB2312" w:eastAsia="仿宋_GB2312" w:cs="仿宋_GB2312"/>
                <w:sz w:val="24"/>
              </w:rPr>
            </w:pP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71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98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9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719" w:type="dxa"/>
            <w:vMerge w:val="continue"/>
            <w:noWrap w:val="0"/>
            <w:vAlign w:val="center"/>
          </w:tcPr>
          <w:p>
            <w:pPr>
              <w:jc w:val="center"/>
              <w:rPr>
                <w:rFonts w:hint="eastAsia" w:ascii="仿宋_GB2312" w:hAnsi="仿宋_GB2312" w:eastAsia="仿宋_GB2312" w:cs="仿宋_GB2312"/>
                <w:sz w:val="24"/>
                <w:szCs w:val="32"/>
              </w:rPr>
            </w:pPr>
          </w:p>
        </w:tc>
        <w:tc>
          <w:tcPr>
            <w:tcW w:w="985" w:type="dxa"/>
            <w:vMerge w:val="continue"/>
            <w:noWrap w:val="0"/>
            <w:vAlign w:val="center"/>
          </w:tcPr>
          <w:p>
            <w:pPr>
              <w:jc w:val="center"/>
              <w:rPr>
                <w:rFonts w:hint="eastAsia" w:ascii="仿宋_GB2312" w:hAnsi="仿宋_GB2312" w:eastAsia="仿宋_GB2312" w:cs="仿宋_GB2312"/>
                <w:sz w:val="24"/>
                <w:szCs w:val="32"/>
              </w:rPr>
            </w:pPr>
          </w:p>
        </w:tc>
        <w:tc>
          <w:tcPr>
            <w:tcW w:w="319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3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71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985"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19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61"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719"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985"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19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Pr>
        <w:rPr>
          <w:rFonts w:hint="eastAsia"/>
        </w:rPr>
      </w:pPr>
    </w:p>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997"/>
        <w:gridCol w:w="686"/>
        <w:gridCol w:w="32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3"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未单独收集、存放开发建设过程中剥离的表土的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《中华人民共和国土壤污染防治法》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第三十三条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国家加强对土壤资源的保护和合理利用。对开发建设过程中剥离的表土，应当单独收集和存放，符合条件的应当优先用于土地复垦、土壤改良、造地和绿化等。</w:t>
            </w:r>
          </w:p>
          <w:p>
            <w:pPr>
              <w:jc w:val="left"/>
              <w:rPr>
                <w:rFonts w:hint="eastAsia" w:ascii="仿宋_GB2312" w:hAnsi="仿宋_GB2312" w:eastAsia="仿宋_GB2312" w:cs="仿宋_GB2312"/>
                <w:b/>
                <w:bCs/>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《中华人民共和国土壤污染防治法》</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第九十一条</w:t>
            </w:r>
            <w:r>
              <w:rPr>
                <w:rFonts w:hint="eastAsia" w:ascii="仿宋_GB2312" w:hAnsi="仿宋_GB2312" w:eastAsia="仿宋_GB2312" w:cs="仿宋_GB2312"/>
                <w:sz w:val="24"/>
                <w:szCs w:val="32"/>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7"/>
              <w:numPr>
                <w:ilvl w:val="0"/>
                <w:numId w:val="8"/>
              </w:num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未单独收集、存放开发建设过程中剥离的表土的；</w:t>
            </w:r>
          </w:p>
          <w:p>
            <w:pPr>
              <w:pStyle w:val="7"/>
              <w:rPr>
                <w:rFonts w:hint="eastAsia" w:ascii="仿宋_GB2312" w:hAnsi="仿宋_GB2312" w:eastAsia="仿宋_GB2312" w:cs="仿宋_GB2312"/>
                <w:b/>
                <w:bCs/>
                <w:sz w:val="24"/>
                <w:szCs w:val="32"/>
              </w:rPr>
            </w:pPr>
          </w:p>
          <w:p>
            <w:pPr>
              <w:pStyle w:val="7"/>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《河北省土壤污染防治条例》</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本省加强对土壤资源的保护和合理利用。对开发建设过程中剥离的表土，应当单独收集和存放，符合条件的应当优先用于土地复垦、土壤改良、造地和绿化等。</w:t>
            </w:r>
          </w:p>
          <w:p>
            <w:pPr>
              <w:pStyle w:val="7"/>
              <w:rPr>
                <w:rFonts w:hint="eastAsia" w:ascii="仿宋_GB2312" w:hAnsi="仿宋_GB2312" w:eastAsia="仿宋_GB2312" w:cs="仿宋_GB2312"/>
                <w:sz w:val="24"/>
                <w:szCs w:val="32"/>
              </w:rPr>
            </w:pPr>
          </w:p>
          <w:p>
            <w:pPr>
              <w:pStyle w:val="7"/>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《河北省土壤污染防治条例》</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（一）未单独收集、存放开发建设过程中剥离的表土的；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44"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建设过程中剥离的表土与固体废物、生活垃圾混入的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建设过程中剥离的表土混入有毒有害物体，影响回填使用的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p/>
    <w:p/>
    <w:p/>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879"/>
        <w:gridCol w:w="118"/>
        <w:gridCol w:w="622"/>
        <w:gridCol w:w="64"/>
        <w:gridCol w:w="3268"/>
        <w:gridCol w:w="435"/>
        <w:gridCol w:w="132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trPr>
        <w:tc>
          <w:tcPr>
            <w:tcW w:w="9082" w:type="dxa"/>
            <w:gridSpan w:val="8"/>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7"/>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9"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7"/>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实施风险管控、修复活动对土壤、周边环境造成新的污染的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514"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7"/>
            <w:noWrap w:val="0"/>
            <w:vAlign w:val="center"/>
          </w:tcPr>
          <w:p>
            <w:pPr>
              <w:spacing w:line="28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spacing w:line="28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第三十八条</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第二款</w:t>
            </w:r>
            <w:r>
              <w:rPr>
                <w:rFonts w:hint="eastAsia" w:ascii="仿宋_GB2312" w:hAnsi="仿宋_GB2312" w:eastAsia="仿宋_GB2312" w:cs="仿宋_GB2312"/>
                <w:sz w:val="24"/>
              </w:rPr>
              <w:t xml:space="preserve"> 实施风险管控、修复活动，不得对土壤和周边环境造成新的污染。</w:t>
            </w:r>
          </w:p>
          <w:p>
            <w:pPr>
              <w:spacing w:line="280" w:lineRule="exact"/>
              <w:jc w:val="left"/>
              <w:rPr>
                <w:rFonts w:hint="eastAsia" w:ascii="仿宋_GB2312" w:hAnsi="仿宋_GB2312" w:eastAsia="仿宋_GB2312" w:cs="仿宋_GB2312"/>
                <w:b/>
                <w:bCs/>
                <w:sz w:val="24"/>
              </w:rPr>
            </w:pPr>
          </w:p>
          <w:p>
            <w:pPr>
              <w:spacing w:line="28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pStyle w:val="7"/>
              <w:spacing w:line="28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第九十一条</w:t>
            </w:r>
            <w:r>
              <w:rPr>
                <w:rFonts w:hint="eastAsia" w:ascii="仿宋_GB2312" w:hAnsi="仿宋_GB2312" w:eastAsia="仿宋_GB2312" w:cs="仿宋_GB2312"/>
                <w:sz w:val="24"/>
                <w:shd w:val="clear" w:color="auto" w:fill="FFFFFF"/>
              </w:rPr>
              <w:t xml:space="preserve"> </w:t>
            </w:r>
            <w:r>
              <w:rPr>
                <w:rFonts w:hint="eastAsia" w:ascii="仿宋_GB2312" w:hAnsi="仿宋_GB2312" w:eastAsia="仿宋_GB2312" w:cs="仿宋_GB2312"/>
                <w:sz w:val="24"/>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numPr>
                <w:ilvl w:val="0"/>
                <w:numId w:val="8"/>
              </w:num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实施风险管控、修复活动对土壤、周边环境造成新的污染的；</w:t>
            </w:r>
          </w:p>
          <w:p>
            <w:pPr>
              <w:spacing w:line="280" w:lineRule="exact"/>
              <w:rPr>
                <w:rFonts w:hint="eastAsia" w:ascii="仿宋_GB2312" w:hAnsi="仿宋_GB2312" w:eastAsia="仿宋_GB2312" w:cs="仿宋_GB2312"/>
                <w:sz w:val="24"/>
              </w:rPr>
            </w:pPr>
          </w:p>
          <w:p>
            <w:pPr>
              <w:pStyle w:val="7"/>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《河北省土壤污染防治条例》</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第三十七条</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 xml:space="preserve">第二款 </w:t>
            </w:r>
            <w:r>
              <w:rPr>
                <w:rFonts w:hint="eastAsia" w:ascii="仿宋_GB2312" w:hAnsi="仿宋_GB2312" w:eastAsia="仿宋_GB2312" w:cs="仿宋_GB2312"/>
                <w:sz w:val="24"/>
              </w:rPr>
              <w:t>实施风险管控、修复活动，不得对土壤和周边环境造成新的污染。对活动中产生的废水、废气和固体废物，应当按照法律、法规和相关标准的要求进行处理、处置。</w:t>
            </w:r>
          </w:p>
          <w:p>
            <w:pPr>
              <w:pStyle w:val="7"/>
              <w:spacing w:line="280" w:lineRule="exact"/>
              <w:rPr>
                <w:rFonts w:hint="eastAsia" w:ascii="仿宋_GB2312" w:hAnsi="仿宋_GB2312" w:eastAsia="仿宋_GB2312" w:cs="仿宋_GB2312"/>
                <w:sz w:val="24"/>
                <w:szCs w:val="32"/>
              </w:rPr>
            </w:pPr>
          </w:p>
          <w:p>
            <w:pPr>
              <w:pStyle w:val="7"/>
              <w:spacing w:line="280" w:lineRule="exac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《河北省土壤污染防治条例》</w:t>
            </w:r>
          </w:p>
          <w:p>
            <w:pPr>
              <w:pStyle w:val="7"/>
              <w:spacing w:line="280" w:lineRule="exac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（二）实施风险管控、修复活动对土壤、周边环境造成新的污染的；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39" w:hRule="atLeast"/>
        </w:trPr>
        <w:tc>
          <w:tcPr>
            <w:tcW w:w="4057"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70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3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703" w:type="dxa"/>
            <w:gridSpan w:val="2"/>
            <w:noWrap w:val="0"/>
            <w:vAlign w:val="center"/>
          </w:tcPr>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对工业用地土壤、周边环境造成新的污染的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1"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703" w:type="dxa"/>
            <w:gridSpan w:val="2"/>
            <w:noWrap w:val="0"/>
            <w:vAlign w:val="center"/>
          </w:tcPr>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对农业用地土壤、周边环境造成新的污染的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374" w:type="dxa"/>
            <w:vMerge w:val="continue"/>
            <w:noWrap w:val="0"/>
            <w:vAlign w:val="center"/>
          </w:tcPr>
          <w:p>
            <w:pPr>
              <w:jc w:val="left"/>
            </w:pPr>
          </w:p>
        </w:tc>
        <w:tc>
          <w:tcPr>
            <w:tcW w:w="1997" w:type="dxa"/>
            <w:gridSpan w:val="2"/>
            <w:vMerge w:val="continue"/>
            <w:noWrap w:val="0"/>
            <w:vAlign w:val="center"/>
          </w:tcPr>
          <w:p>
            <w:pPr>
              <w:jc w:val="center"/>
              <w:rPr>
                <w:sz w:val="24"/>
              </w:rPr>
            </w:pPr>
          </w:p>
        </w:tc>
        <w:tc>
          <w:tcPr>
            <w:tcW w:w="686" w:type="dxa"/>
            <w:gridSpan w:val="2"/>
            <w:vMerge w:val="continue"/>
            <w:noWrap w:val="0"/>
            <w:vAlign w:val="center"/>
          </w:tcPr>
          <w:p>
            <w:pPr>
              <w:jc w:val="center"/>
              <w:rPr>
                <w:sz w:val="24"/>
              </w:rPr>
            </w:pP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left"/>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正在整改但违法行为未完全消除的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left"/>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noWrap w:val="0"/>
            <w:vAlign w:val="center"/>
          </w:tcPr>
          <w:p>
            <w:pPr>
              <w:jc w:val="center"/>
              <w:rPr>
                <w:rFonts w:hint="eastAsia" w:ascii="仿宋_GB2312" w:hAnsi="仿宋_GB2312" w:eastAsia="仿宋_GB2312" w:cs="仿宋_GB2312"/>
                <w:sz w:val="24"/>
              </w:rPr>
            </w:pPr>
          </w:p>
        </w:tc>
        <w:tc>
          <w:tcPr>
            <w:tcW w:w="686" w:type="dxa"/>
            <w:gridSpan w:val="2"/>
            <w:vMerge w:val="continue"/>
            <w:noWrap w:val="0"/>
            <w:vAlign w:val="center"/>
          </w:tcPr>
          <w:p>
            <w:pPr>
              <w:jc w:val="center"/>
              <w:rPr>
                <w:rFonts w:hint="eastAsia" w:ascii="仿宋_GB2312" w:hAnsi="仿宋_GB2312" w:eastAsia="仿宋_GB2312" w:cs="仿宋_GB2312"/>
                <w:sz w:val="24"/>
              </w:rPr>
            </w:pP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95"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gridSpan w:val="2"/>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gridSpan w:val="2"/>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70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3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trPr>
        <w:tc>
          <w:tcPr>
            <w:tcW w:w="9096" w:type="dxa"/>
            <w:gridSpan w:val="9"/>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8"/>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8"/>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转运污染土壤，未将运输时间、方式、线路和污染土壤数量、去向、最终处置措施等提前报所在地和接收地生态环境主管部门的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51"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8"/>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第四十一条 第一款 </w:t>
            </w:r>
            <w:r>
              <w:rPr>
                <w:rFonts w:hint="eastAsia" w:ascii="仿宋_GB2312" w:hAnsi="仿宋_GB2312" w:eastAsia="仿宋_GB2312" w:cs="仿宋_GB2312"/>
                <w:sz w:val="24"/>
              </w:rPr>
              <w:t>修复施工单位转运污染土壤的，应当制定转运计划，将运输时间、方式、线路和污染土壤数量、去向、最终处置措施等，提前报所在地和接收地生态环境主管部门。</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第九十一条</w:t>
            </w:r>
            <w:r>
              <w:rPr>
                <w:rFonts w:hint="eastAsia" w:ascii="仿宋_GB2312" w:hAnsi="仿宋_GB2312" w:eastAsia="仿宋_GB2312" w:cs="仿宋_GB2312"/>
                <w:sz w:val="24"/>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numPr>
                <w:ilvl w:val="0"/>
                <w:numId w:val="8"/>
              </w:numPr>
              <w:jc w:val="left"/>
              <w:rPr>
                <w:rFonts w:hint="eastAsia" w:ascii="仿宋_GB2312" w:hAnsi="仿宋_GB2312" w:eastAsia="仿宋_GB2312" w:cs="仿宋_GB2312"/>
                <w:sz w:val="24"/>
              </w:rPr>
            </w:pPr>
            <w:r>
              <w:rPr>
                <w:rFonts w:hint="eastAsia" w:ascii="仿宋_GB2312" w:hAnsi="仿宋_GB2312" w:eastAsia="仿宋_GB2312" w:cs="仿宋_GB2312"/>
                <w:sz w:val="24"/>
              </w:rPr>
              <w:t>转运污染土壤，未将运输时间、方式、线路和污染土壤数量、去向、最终处置措施等提前报所在地和接收地生态环境主管部门的；</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《河北省土壤污染防治条例》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修复施工单位转运污染土壤的，应当制定转运计划，将运输时间、方式、线路和污染土壤数量、去向、最终处置措施等，提前报所在地和接收地生态环境主管部门。转运的污染土壤属于危险废物的，修复施工单位应当按照法律、法规和相关标准的要求进行处置。</w:t>
            </w:r>
          </w:p>
          <w:p>
            <w:pPr>
              <w:jc w:val="left"/>
              <w:rPr>
                <w:rFonts w:hint="eastAsia" w:ascii="仿宋_GB2312" w:hAnsi="仿宋_GB2312" w:eastAsia="仿宋_GB2312" w:cs="仿宋_GB2312"/>
                <w:sz w:val="24"/>
                <w:szCs w:val="32"/>
              </w:rPr>
            </w:pPr>
          </w:p>
          <w:p>
            <w:pPr>
              <w:pStyle w:val="7"/>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《河北省土壤污染防治条例》</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（三）转运污染土壤，未将运输时间、方式、线路和污染土壤数量、去向、最终处置措施等提前报所在地和接收地生态环境主管部门的；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3993"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103"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7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4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3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4"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7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4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涉及污染土壤数量5吨以下的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879" w:type="dxa"/>
            <w:vMerge w:val="continue"/>
            <w:noWrap w:val="0"/>
            <w:vAlign w:val="center"/>
          </w:tcPr>
          <w:p>
            <w:pPr>
              <w:jc w:val="center"/>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涉及污染土壤数量5吨以上10吨以下的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879" w:type="dxa"/>
            <w:vMerge w:val="continue"/>
            <w:noWrap w:val="0"/>
            <w:vAlign w:val="center"/>
          </w:tcPr>
          <w:p>
            <w:pPr>
              <w:jc w:val="center"/>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涉及污染土壤数量10吨以上20吨以下的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879" w:type="dxa"/>
            <w:vMerge w:val="continue"/>
            <w:noWrap w:val="0"/>
            <w:vAlign w:val="center"/>
          </w:tcPr>
          <w:p>
            <w:pPr>
              <w:jc w:val="center"/>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涉及污染土壤数量20吨以上的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7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4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879" w:type="dxa"/>
            <w:vMerge w:val="continue"/>
            <w:noWrap w:val="0"/>
            <w:vAlign w:val="center"/>
          </w:tcPr>
          <w:p>
            <w:pPr>
              <w:jc w:val="center"/>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4" w:hRule="atLeast"/>
        </w:trPr>
        <w:tc>
          <w:tcPr>
            <w:tcW w:w="1374" w:type="dxa"/>
            <w:vMerge w:val="continue"/>
            <w:noWrap w:val="0"/>
            <w:vAlign w:val="center"/>
          </w:tcPr>
          <w:p>
            <w:pPr>
              <w:jc w:val="left"/>
            </w:pPr>
          </w:p>
        </w:tc>
        <w:tc>
          <w:tcPr>
            <w:tcW w:w="1879" w:type="dxa"/>
            <w:vMerge w:val="continue"/>
            <w:noWrap w:val="0"/>
            <w:vAlign w:val="center"/>
          </w:tcPr>
          <w:p>
            <w:pPr>
              <w:jc w:val="center"/>
              <w:rPr>
                <w:sz w:val="24"/>
              </w:rPr>
            </w:pPr>
          </w:p>
        </w:tc>
        <w:tc>
          <w:tcPr>
            <w:tcW w:w="740" w:type="dxa"/>
            <w:gridSpan w:val="2"/>
            <w:vMerge w:val="continue"/>
            <w:noWrap w:val="0"/>
            <w:vAlign w:val="center"/>
          </w:tcPr>
          <w:p>
            <w:pPr>
              <w:jc w:val="center"/>
              <w:rPr>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4"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879" w:type="dxa"/>
            <w:vMerge w:val="continue"/>
            <w:noWrap w:val="0"/>
            <w:vAlign w:val="center"/>
          </w:tcPr>
          <w:p>
            <w:pPr>
              <w:jc w:val="center"/>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7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4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879" w:type="dxa"/>
            <w:vMerge w:val="continue"/>
            <w:noWrap w:val="0"/>
            <w:vAlign w:val="center"/>
          </w:tcPr>
          <w:p>
            <w:pPr>
              <w:jc w:val="left"/>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879" w:type="dxa"/>
            <w:vMerge w:val="continue"/>
            <w:noWrap w:val="0"/>
            <w:vAlign w:val="center"/>
          </w:tcPr>
          <w:p>
            <w:pPr>
              <w:jc w:val="left"/>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7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4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879" w:type="dxa"/>
            <w:vMerge w:val="continue"/>
            <w:noWrap w:val="0"/>
            <w:vAlign w:val="center"/>
          </w:tcPr>
          <w:p>
            <w:pPr>
              <w:jc w:val="center"/>
              <w:rPr>
                <w:rFonts w:hint="eastAsia" w:ascii="仿宋_GB2312" w:hAnsi="仿宋_GB2312" w:eastAsia="仿宋_GB2312" w:cs="仿宋_GB2312"/>
                <w:sz w:val="24"/>
              </w:rPr>
            </w:pPr>
          </w:p>
        </w:tc>
        <w:tc>
          <w:tcPr>
            <w:tcW w:w="740" w:type="dxa"/>
            <w:gridSpan w:val="2"/>
            <w:vMerge w:val="continue"/>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79"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4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79"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740" w:type="dxa"/>
            <w:gridSpan w:val="2"/>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332"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71"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p/>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9"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未达到土壤污染风险评估报告确定的风险管控、修复目标的建设用地地块，开工建设与风险管控、修复无关的项目的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第六十六条 第三款</w:t>
            </w:r>
            <w:r>
              <w:rPr>
                <w:rFonts w:hint="eastAsia" w:ascii="仿宋_GB2312" w:hAnsi="仿宋_GB2312" w:eastAsia="仿宋_GB2312" w:cs="仿宋_GB2312"/>
                <w:sz w:val="24"/>
              </w:rPr>
              <w:t xml:space="preserve"> 未达到土壤污染风险评估报告确定的风险管控、修复目标的建设用地地块，禁止开工建设任何与风险管控、修复无关的项目。</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第九十一条</w:t>
            </w:r>
            <w:r>
              <w:rPr>
                <w:rFonts w:hint="eastAsia" w:ascii="仿宋_GB2312" w:hAnsi="仿宋_GB2312" w:eastAsia="仿宋_GB2312" w:cs="仿宋_GB2312"/>
                <w:sz w:val="24"/>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numPr>
                <w:ilvl w:val="0"/>
                <w:numId w:val="8"/>
              </w:numPr>
              <w:jc w:val="left"/>
              <w:rPr>
                <w:rFonts w:hint="eastAsia" w:ascii="仿宋_GB2312" w:hAnsi="仿宋_GB2312" w:eastAsia="仿宋_GB2312" w:cs="仿宋_GB2312"/>
                <w:sz w:val="24"/>
              </w:rPr>
            </w:pPr>
            <w:r>
              <w:rPr>
                <w:rFonts w:hint="eastAsia" w:ascii="仿宋_GB2312" w:hAnsi="仿宋_GB2312" w:eastAsia="仿宋_GB2312" w:cs="仿宋_GB2312"/>
                <w:sz w:val="24"/>
              </w:rPr>
              <w:t>未达到土壤污染风险评估报告确定的风险管控、修复目标的建设用地地块，开工建设与风险管控、修复无关的项目的。</w:t>
            </w:r>
          </w:p>
          <w:p>
            <w:pPr>
              <w:jc w:val="left"/>
              <w:rPr>
                <w:rFonts w:hint="eastAsia" w:ascii="仿宋_GB2312" w:hAnsi="仿宋_GB2312" w:eastAsia="仿宋_GB2312" w:cs="仿宋_GB2312"/>
                <w:sz w:val="24"/>
              </w:rPr>
            </w:pPr>
          </w:p>
          <w:p>
            <w:pPr>
              <w:pStyle w:val="7"/>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《河北省土壤污染防治条例》</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第六十一条 第四款</w:t>
            </w:r>
            <w:r>
              <w:rPr>
                <w:rFonts w:hint="eastAsia" w:ascii="仿宋_GB2312" w:hAnsi="仿宋_GB2312" w:eastAsia="仿宋_GB2312" w:cs="仿宋_GB2312"/>
                <w:sz w:val="24"/>
              </w:rPr>
              <w:t xml:space="preserve"> 未达到土壤污染风险评估报告确定的风险管控、修复目标的建设用地地块，禁止开工建设任何与风险管控、修复无关的项目。</w:t>
            </w:r>
          </w:p>
          <w:p>
            <w:pPr>
              <w:jc w:val="left"/>
              <w:rPr>
                <w:rFonts w:hint="eastAsia" w:ascii="仿宋_GB2312" w:hAnsi="仿宋_GB2312" w:eastAsia="仿宋_GB2312" w:cs="仿宋_GB2312"/>
                <w:sz w:val="24"/>
              </w:rPr>
            </w:pPr>
          </w:p>
          <w:p>
            <w:pPr>
              <w:pStyle w:val="7"/>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《河北省土壤污染防治条例》</w:t>
            </w:r>
          </w:p>
          <w:p>
            <w:pPr>
              <w:pStyle w:val="7"/>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（四）未达到土壤污染风险评估报告确定的风险管控目标、修复目标的建设用地地块，开工建设与风险管控、修复无关的项目的。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44"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ascii="仿宋_GB2312" w:hAnsi="仿宋_GB2312" w:eastAsia="仿宋_GB2312" w:cs="仿宋_GB2312"/>
                <w:sz w:val="24"/>
              </w:rPr>
              <w:t>已开工建设但主体工程未建成</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ascii="仿宋_GB2312" w:hAnsi="仿宋_GB2312" w:eastAsia="仿宋_GB2312" w:cs="仿宋_GB2312"/>
                <w:sz w:val="24"/>
              </w:rPr>
              <w:t>主体工程已建成但尚未投入生产或者使用的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ascii="仿宋_GB2312" w:hAnsi="仿宋_GB2312" w:eastAsia="仿宋_GB2312" w:cs="仿宋_GB2312"/>
                <w:sz w:val="24"/>
              </w:rPr>
              <w:t>主体工程已投入生产或者使用的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61"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9"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土壤污染责任人或者土地使用权人未按照规定实施后期管理的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第四十二条 第三款 </w:t>
            </w:r>
            <w:r>
              <w:rPr>
                <w:rFonts w:hint="eastAsia" w:ascii="仿宋_GB2312" w:hAnsi="仿宋_GB2312" w:eastAsia="仿宋_GB2312" w:cs="仿宋_GB2312"/>
                <w:sz w:val="24"/>
              </w:rPr>
              <w:t>风险管控、修复活动完成后，需要实施后期管理的，土壤污染责任人应当按照要求实施后期管理。</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ascii="仿宋_GB2312" w:hAnsi="仿宋_GB2312" w:eastAsia="仿宋_GB2312" w:cs="仿宋_GB2312"/>
                <w:sz w:val="24"/>
              </w:rPr>
            </w:pPr>
            <w:r>
              <w:rPr>
                <w:rFonts w:hint="eastAsia" w:ascii="仿宋_GB2312" w:hAnsi="仿宋_GB2312" w:eastAsia="仿宋_GB2312" w:cs="仿宋_GB2312"/>
                <w:b/>
                <w:bCs/>
                <w:sz w:val="24"/>
              </w:rPr>
              <w:t>第九十二条</w:t>
            </w:r>
            <w:r>
              <w:rPr>
                <w:rFonts w:hint="eastAsia" w:ascii="仿宋_GB2312" w:hAnsi="仿宋_GB2312" w:eastAsia="仿宋_GB2312" w:cs="仿宋_GB2312"/>
                <w:sz w:val="24"/>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已实施后期管理，但未按照要求的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未实施后期管理的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86"/>
        <w:gridCol w:w="772"/>
        <w:gridCol w:w="3482"/>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56"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被检查者拒不配合检查，或者在接受检查时弄虚作假的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第七十七条 第二款 </w:t>
            </w:r>
            <w:r>
              <w:rPr>
                <w:rFonts w:hint="eastAsia" w:ascii="仿宋_GB2312" w:hAnsi="仿宋_GB2312" w:eastAsia="仿宋_GB2312" w:cs="仿宋_GB2312"/>
                <w:sz w:val="24"/>
              </w:rPr>
              <w:t>被检查者应当配合检查工作，如实反映情况，提供必要的资料。</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第九十三条</w:t>
            </w:r>
            <w:r>
              <w:rPr>
                <w:rFonts w:hint="eastAsia" w:ascii="仿宋_GB2312" w:hAnsi="仿宋_GB2312" w:eastAsia="仿宋_GB2312" w:cs="仿宋_GB2312"/>
                <w:sz w:val="24"/>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37"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拒绝检查情形</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迟滞10分钟以上30分钟以内</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迟滞超过半小时</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阻碍或隐匿部分资料</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围堵、留滞执法人员或拒绝提供资料</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暴力抗法</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弄虚作假情形</w:t>
            </w: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提供非关键性假信息的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提供关键性假信息的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伪造现场或证据的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686" w:type="dxa"/>
            <w:vMerge w:val="continue"/>
            <w:noWrap w:val="0"/>
            <w:vAlign w:val="center"/>
          </w:tcPr>
          <w:p>
            <w:pPr>
              <w:jc w:val="center"/>
              <w:rPr>
                <w:sz w:val="24"/>
              </w:rPr>
            </w:pPr>
          </w:p>
        </w:tc>
        <w:tc>
          <w:tcPr>
            <w:tcW w:w="772" w:type="dxa"/>
            <w:vMerge w:val="continue"/>
            <w:noWrap w:val="0"/>
            <w:vAlign w:val="center"/>
          </w:tcPr>
          <w:p>
            <w:pPr>
              <w:jc w:val="center"/>
              <w:rPr>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36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36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rPr>
                <w:rFonts w:hint="eastAsia" w:ascii="仿宋_GB2312" w:hAnsi="仿宋_GB2312" w:eastAsia="仿宋_GB2312" w:cs="仿宋_GB2312"/>
                <w:sz w:val="24"/>
              </w:rPr>
            </w:pP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686"/>
        <w:gridCol w:w="772"/>
        <w:gridCol w:w="38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2"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pStyle w:val="7"/>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（一）未按照规定进行土壤污染状况调查的；</w:t>
            </w:r>
          </w:p>
          <w:p>
            <w:pPr>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（二）未按照规定进行土壤污染风险评估的；</w:t>
            </w:r>
          </w:p>
          <w:p>
            <w:pPr>
              <w:pStyle w:val="7"/>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（三）未按照规定采取风险管控措施的；</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（四）未按照规定实施修复的；</w:t>
            </w:r>
          </w:p>
          <w:p>
            <w:pPr>
              <w:pStyle w:val="7"/>
              <w:spacing w:line="280" w:lineRule="exact"/>
              <w:rPr>
                <w:rFonts w:hint="eastAsia" w:ascii="仿宋_GB2312" w:hAnsi="仿宋_GB2312" w:eastAsia="仿宋_GB2312" w:cs="仿宋_GB2312"/>
                <w:sz w:val="24"/>
              </w:rPr>
            </w:pPr>
            <w:r>
              <w:rPr>
                <w:rFonts w:hint="eastAsia" w:ascii="仿宋_GB2312" w:hAnsi="仿宋_GB2312" w:eastAsia="仿宋_GB2312" w:cs="仿宋_GB2312"/>
                <w:sz w:val="24"/>
              </w:rPr>
              <w:t>（五）风险管控、修复活动完成后，未另行委托有关单位对风险管控效果、修复效果进行评估的。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6"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spacing w:line="30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《中华人民共和国土壤污染防治法》</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第五十九条 </w:t>
            </w:r>
            <w:r>
              <w:rPr>
                <w:rFonts w:hint="eastAsia" w:ascii="仿宋_GB2312" w:hAnsi="仿宋_GB2312" w:eastAsia="仿宋_GB2312" w:cs="仿宋_GB2312"/>
                <w:sz w:val="24"/>
              </w:rPr>
              <w:t>对土壤污染状况普查、详查和监测、现场检查表明有土壤污染风险的建设用地地块，地方人民政府生态环境主管部门应当要求土地使用权人按照规定进行土壤污染状况调查。</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用途变更为住宅、公共管理与公共服务用地的，变更前应当按照规定进行土壤污染状况调查。</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前两款规定的土壤污染状况调查报告应当报地方人民政府生态环境主管部门，由地方人民政府生态环境主管部门会同自然资源主管部门组织评审。</w:t>
            </w:r>
          </w:p>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第六十条</w:t>
            </w:r>
            <w:r>
              <w:rPr>
                <w:rFonts w:hint="eastAsia" w:ascii="仿宋_GB2312" w:hAnsi="仿宋_GB2312" w:eastAsia="仿宋_GB2312" w:cs="仿宋_GB2312"/>
                <w:sz w:val="24"/>
              </w:rPr>
              <w:t xml:space="preserve"> </w:t>
            </w:r>
            <w:r>
              <w:rPr>
                <w:rFonts w:ascii="仿宋_GB2312" w:hAnsi="仿宋_GB2312" w:eastAsia="仿宋_GB2312" w:cs="仿宋_GB2312"/>
                <w:sz w:val="24"/>
              </w:rPr>
              <w:t>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spacing w:line="300" w:lineRule="exact"/>
              <w:jc w:val="left"/>
              <w:rPr>
                <w:rFonts w:ascii="仿宋_GB2312" w:hAnsi="仿宋_GB2312" w:eastAsia="仿宋_GB2312" w:cs="仿宋_GB2312"/>
                <w:sz w:val="24"/>
              </w:rPr>
            </w:pPr>
            <w:r>
              <w:rPr>
                <w:rFonts w:ascii="仿宋_GB2312" w:hAnsi="仿宋_GB2312" w:eastAsia="仿宋_GB2312" w:cs="仿宋_GB2312"/>
                <w:b/>
                <w:bCs/>
                <w:sz w:val="24"/>
              </w:rPr>
              <w:t>第六十二条</w:t>
            </w:r>
            <w:r>
              <w:rPr>
                <w:rFonts w:ascii="仿宋_GB2312" w:hAnsi="仿宋_GB2312" w:eastAsia="仿宋_GB2312" w:cs="仿宋_GB2312"/>
                <w:sz w:val="24"/>
              </w:rPr>
              <w:t xml:space="preserve">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第六十四条</w:t>
            </w:r>
            <w:r>
              <w:rPr>
                <w:rFonts w:hint="eastAsia" w:ascii="仿宋_GB2312" w:hAnsi="仿宋_GB2312" w:eastAsia="仿宋_GB2312" w:cs="仿宋_GB2312"/>
                <w:sz w:val="24"/>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第六十五条</w:t>
            </w:r>
            <w:r>
              <w:rPr>
                <w:rFonts w:hint="eastAsia" w:ascii="仿宋_GB2312" w:hAnsi="仿宋_GB2312" w:eastAsia="仿宋_GB2312" w:cs="仿宋_GB2312"/>
                <w:sz w:val="24"/>
              </w:rPr>
              <w:t xml:space="preserve"> 风险管控、修复活动完成后，土壤污染责任人应当另行委托有关单位对风险管控效果、修复效果进行评估，并将效果评估报告报地方人民政府生态环境主管部门备案。</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第六十七条</w:t>
            </w:r>
            <w:r>
              <w:rPr>
                <w:rFonts w:hint="eastAsia" w:ascii="仿宋_GB2312" w:hAnsi="仿宋_GB2312" w:eastAsia="仿宋_GB2312" w:cs="仿宋_GB2312"/>
                <w:sz w:val="24"/>
                <w:szCs w:val="32"/>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《中华人民共和国土壤污染防治法》</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第九十四条</w:t>
            </w:r>
            <w:r>
              <w:rPr>
                <w:rFonts w:hint="eastAsia" w:ascii="仿宋_GB2312" w:hAnsi="仿宋_GB2312" w:eastAsia="仿宋_GB2312" w:cs="仿宋_GB2312"/>
                <w:sz w:val="24"/>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（一）未按照规定进行土壤污染状况调查的；</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（二）未按照规定进行土壤污染风险评估的；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（三）未按照规定采取风险管控措施的；</w:t>
            </w: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（四）未按照规定实施修复的；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（五）风险管控、修复活动完成后，未另行委托有关单位对风险管控效果、修复效果进行评估的。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pStyle w:val="7"/>
              <w:spacing w:line="300" w:lineRule="exact"/>
              <w:rPr>
                <w:rFonts w:hint="eastAsia" w:ascii="仿宋_GB2312" w:hAnsi="仿宋_GB2312" w:eastAsia="仿宋_GB2312" w:cs="仿宋_GB2312"/>
                <w:sz w:val="24"/>
              </w:rPr>
            </w:pPr>
          </w:p>
          <w:p>
            <w:pPr>
              <w:pStyle w:val="7"/>
              <w:spacing w:line="300" w:lineRule="exact"/>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pStyle w:val="7"/>
              <w:spacing w:line="300" w:lineRule="exact"/>
              <w:rPr>
                <w:rFonts w:ascii="仿宋_GB2312" w:hAnsi="仿宋_GB2312" w:eastAsia="仿宋_GB2312" w:cs="仿宋_GB2312"/>
                <w:sz w:val="24"/>
              </w:rPr>
            </w:pPr>
            <w:r>
              <w:rPr>
                <w:rFonts w:ascii="仿宋_GB2312" w:hAnsi="仿宋_GB2312" w:eastAsia="仿宋_GB2312" w:cs="仿宋_GB2312"/>
                <w:b/>
                <w:bCs/>
                <w:sz w:val="24"/>
              </w:rPr>
              <w:t>第五十四条</w:t>
            </w:r>
            <w:r>
              <w:rPr>
                <w:rFonts w:ascii="仿宋_GB2312" w:hAnsi="仿宋_GB2312" w:eastAsia="仿宋_GB2312" w:cs="仿宋_GB2312"/>
                <w:sz w:val="24"/>
              </w:rPr>
              <w:t xml:space="preserve"> 对土壤污染状况普查、详查和监测、现场检查表明有土壤污染风险的建设用地地块，生态环境主管部门应当要求土地使用权人按照规定进行土壤污染状况调查。</w:t>
            </w:r>
          </w:p>
          <w:p>
            <w:pPr>
              <w:pStyle w:val="7"/>
              <w:spacing w:line="300" w:lineRule="exact"/>
              <w:rPr>
                <w:rFonts w:ascii="仿宋_GB2312" w:hAnsi="仿宋_GB2312" w:eastAsia="仿宋_GB2312" w:cs="仿宋_GB2312"/>
                <w:sz w:val="24"/>
              </w:rPr>
            </w:pPr>
            <w:r>
              <w:rPr>
                <w:rFonts w:ascii="仿宋_GB2312" w:hAnsi="仿宋_GB2312" w:eastAsia="仿宋_GB2312" w:cs="仿宋_GB2312"/>
                <w:sz w:val="24"/>
              </w:rPr>
              <w:t>用途变更为住宅、公共管理与公共服务用地的，变更前应当按照规定进行土壤污染状况调查。</w:t>
            </w:r>
          </w:p>
          <w:p>
            <w:pPr>
              <w:pStyle w:val="7"/>
              <w:spacing w:line="300" w:lineRule="exact"/>
              <w:rPr>
                <w:rFonts w:ascii="仿宋_GB2312" w:hAnsi="仿宋_GB2312" w:eastAsia="仿宋_GB2312" w:cs="仿宋_GB2312"/>
                <w:sz w:val="24"/>
              </w:rPr>
            </w:pPr>
            <w:r>
              <w:rPr>
                <w:rFonts w:ascii="仿宋_GB2312" w:hAnsi="仿宋_GB2312" w:eastAsia="仿宋_GB2312" w:cs="仿宋_GB2312"/>
                <w:sz w:val="24"/>
              </w:rPr>
              <w:t>前两款规定的土壤污染状况调查报告应当报所在地生态环境主管部门。生态环境主管部门自收到调查报告之日起，应当会同自然资源等主管部门在三十个工作日内组织完成评审。需要开展抽样检测的，其时间不计算在内。</w:t>
            </w:r>
          </w:p>
          <w:p>
            <w:pPr>
              <w:pStyle w:val="7"/>
              <w:spacing w:line="300" w:lineRule="exact"/>
              <w:rPr>
                <w:rFonts w:ascii="仿宋_GB2312" w:hAnsi="仿宋_GB2312" w:eastAsia="仿宋_GB2312" w:cs="仿宋_GB2312"/>
                <w:sz w:val="24"/>
              </w:rPr>
            </w:pPr>
            <w:r>
              <w:rPr>
                <w:rFonts w:ascii="仿宋_GB2312" w:hAnsi="仿宋_GB2312" w:eastAsia="仿宋_GB2312" w:cs="仿宋_GB2312"/>
                <w:b/>
                <w:bCs/>
                <w:sz w:val="24"/>
              </w:rPr>
              <w:t>第五十五条</w:t>
            </w:r>
            <w:r>
              <w:rPr>
                <w:rFonts w:ascii="仿宋_GB2312" w:hAnsi="仿宋_GB2312" w:eastAsia="仿宋_GB2312" w:cs="仿宋_GB2312"/>
                <w:sz w:val="24"/>
              </w:rPr>
              <w:t xml:space="preserve"> 土壤污染重点监管单位生产经营用地的用途变更或者在其土地使用权收回、转让前，应当由土地使用权人按照规定进行土壤污染状况调查。土壤污染状况调查报告应当作为不动产登记资料送交所在地不动产登记机构，并报所在地生态环境主管部门备案。</w:t>
            </w:r>
          </w:p>
          <w:p>
            <w:pPr>
              <w:pStyle w:val="7"/>
              <w:spacing w:line="300" w:lineRule="exact"/>
              <w:rPr>
                <w:rFonts w:ascii="仿宋_GB2312" w:hAnsi="仿宋_GB2312" w:eastAsia="仿宋_GB2312" w:cs="仿宋_GB2312"/>
                <w:sz w:val="24"/>
              </w:rPr>
            </w:pPr>
            <w:r>
              <w:rPr>
                <w:rFonts w:ascii="仿宋_GB2312" w:hAnsi="仿宋_GB2312" w:eastAsia="仿宋_GB2312" w:cs="仿宋_GB2312"/>
                <w:b/>
                <w:bCs/>
                <w:sz w:val="24"/>
              </w:rPr>
              <w:t xml:space="preserve">第五十六条 </w:t>
            </w:r>
            <w:r>
              <w:rPr>
                <w:rFonts w:ascii="仿宋_GB2312" w:hAnsi="仿宋_GB2312" w:eastAsia="仿宋_GB2312" w:cs="仿宋_GB2312"/>
                <w:sz w:val="24"/>
              </w:rPr>
              <w:t>对土壤污染状况调查表明污染物含量超过土壤污染风险管控标准的建设用地地块，土壤污染责任人、土地使用权人应当按照国家有关规定进行土壤污染风险评估，并将土壤污染风险评估报告报省人民政府生态环境主管部门。省人民政府生态环境主管部门自收到风险评估报告之日起，应当按照国家有关规定会同自然资源等主管部门在三十个工作日内组织完成评审，将需要实施风险管控、修复的地块纳入建设用地土壤污染风险管控和修复名录。需要开展抽样检测的，其时间不计算在内。</w:t>
            </w:r>
          </w:p>
          <w:p>
            <w:pPr>
              <w:pStyle w:val="7"/>
              <w:spacing w:line="300" w:lineRule="exact"/>
              <w:rPr>
                <w:rFonts w:ascii="仿宋_GB2312" w:hAnsi="仿宋_GB2312" w:eastAsia="仿宋_GB2312" w:cs="仿宋_GB2312"/>
                <w:sz w:val="24"/>
              </w:rPr>
            </w:pPr>
            <w:r>
              <w:rPr>
                <w:rFonts w:ascii="仿宋_GB2312" w:hAnsi="仿宋_GB2312" w:eastAsia="仿宋_GB2312" w:cs="仿宋_GB2312"/>
                <w:b/>
                <w:bCs/>
                <w:sz w:val="24"/>
              </w:rPr>
              <w:t>第五十七条</w:t>
            </w:r>
            <w:r>
              <w:rPr>
                <w:rFonts w:ascii="仿宋_GB2312" w:hAnsi="仿宋_GB2312" w:eastAsia="仿宋_GB2312" w:cs="仿宋_GB2312"/>
                <w:sz w:val="24"/>
              </w:rPr>
              <w:t xml:space="preserve"> 对建设用地土壤污染风险管控和修复名录中的地块，土壤污染责任人应当按照国家有关规定以及土壤污染风险评估报告的要求，制定风险管控方案，采取下列风险管控措施，并定期向所在地生态环境主管部门报告：</w:t>
            </w:r>
          </w:p>
          <w:p>
            <w:pPr>
              <w:pStyle w:val="7"/>
              <w:spacing w:line="300" w:lineRule="exact"/>
              <w:rPr>
                <w:rFonts w:ascii="仿宋_GB2312" w:hAnsi="仿宋_GB2312" w:eastAsia="仿宋_GB2312" w:cs="仿宋_GB2312"/>
                <w:sz w:val="24"/>
              </w:rPr>
            </w:pPr>
            <w:r>
              <w:rPr>
                <w:rFonts w:ascii="仿宋_GB2312" w:hAnsi="仿宋_GB2312" w:eastAsia="仿宋_GB2312" w:cs="仿宋_GB2312"/>
                <w:sz w:val="24"/>
              </w:rPr>
              <w:t>（一）及时移除或者清理污染源；</w:t>
            </w:r>
          </w:p>
          <w:p>
            <w:pPr>
              <w:pStyle w:val="7"/>
              <w:spacing w:line="300" w:lineRule="exact"/>
              <w:rPr>
                <w:rFonts w:ascii="仿宋_GB2312" w:hAnsi="仿宋_GB2312" w:eastAsia="仿宋_GB2312" w:cs="仿宋_GB2312"/>
                <w:sz w:val="24"/>
              </w:rPr>
            </w:pPr>
            <w:r>
              <w:rPr>
                <w:rFonts w:ascii="仿宋_GB2312" w:hAnsi="仿宋_GB2312" w:eastAsia="仿宋_GB2312" w:cs="仿宋_GB2312"/>
                <w:sz w:val="24"/>
              </w:rPr>
              <w:t>（二）采取污染隔离、阻断等措施防止污染扩散；</w:t>
            </w:r>
          </w:p>
          <w:p>
            <w:pPr>
              <w:pStyle w:val="7"/>
              <w:spacing w:line="300" w:lineRule="exact"/>
              <w:rPr>
                <w:rFonts w:ascii="仿宋_GB2312" w:hAnsi="仿宋_GB2312" w:eastAsia="仿宋_GB2312" w:cs="仿宋_GB2312"/>
                <w:sz w:val="24"/>
              </w:rPr>
            </w:pPr>
            <w:r>
              <w:rPr>
                <w:rFonts w:ascii="仿宋_GB2312" w:hAnsi="仿宋_GB2312" w:eastAsia="仿宋_GB2312" w:cs="仿宋_GB2312"/>
                <w:sz w:val="24"/>
              </w:rPr>
              <w:t>（三）开展土壤、地表水、地下水、空气环境监测；</w:t>
            </w:r>
          </w:p>
          <w:p>
            <w:pPr>
              <w:pStyle w:val="7"/>
              <w:spacing w:line="300" w:lineRule="exact"/>
              <w:rPr>
                <w:rFonts w:ascii="仿宋_GB2312" w:hAnsi="仿宋_GB2312" w:eastAsia="仿宋_GB2312" w:cs="仿宋_GB2312"/>
                <w:sz w:val="24"/>
              </w:rPr>
            </w:pPr>
            <w:r>
              <w:rPr>
                <w:rFonts w:ascii="仿宋_GB2312" w:hAnsi="仿宋_GB2312" w:eastAsia="仿宋_GB2312" w:cs="仿宋_GB2312"/>
                <w:sz w:val="24"/>
              </w:rPr>
              <w:t>（四）发现污染扩散的，及时采取有效补救措施；</w:t>
            </w:r>
          </w:p>
          <w:p>
            <w:pPr>
              <w:pStyle w:val="7"/>
              <w:spacing w:line="300" w:lineRule="exact"/>
              <w:rPr>
                <w:rFonts w:ascii="仿宋_GB2312" w:hAnsi="仿宋_GB2312" w:eastAsia="仿宋_GB2312" w:cs="仿宋_GB2312"/>
                <w:sz w:val="24"/>
              </w:rPr>
            </w:pPr>
            <w:r>
              <w:rPr>
                <w:rFonts w:ascii="仿宋_GB2312" w:hAnsi="仿宋_GB2312" w:eastAsia="仿宋_GB2312" w:cs="仿宋_GB2312"/>
                <w:sz w:val="24"/>
              </w:rPr>
              <w:t>（五）其他风险管控措施。</w:t>
            </w:r>
          </w:p>
          <w:p>
            <w:pPr>
              <w:pStyle w:val="7"/>
              <w:spacing w:line="300" w:lineRule="exact"/>
              <w:rPr>
                <w:rFonts w:ascii="仿宋_GB2312" w:hAnsi="仿宋_GB2312" w:eastAsia="仿宋_GB2312" w:cs="仿宋_GB2312"/>
                <w:sz w:val="24"/>
              </w:rPr>
            </w:pPr>
            <w:r>
              <w:rPr>
                <w:rFonts w:ascii="仿宋_GB2312" w:hAnsi="仿宋_GB2312" w:eastAsia="仿宋_GB2312" w:cs="仿宋_GB2312"/>
                <w:b/>
                <w:bCs/>
                <w:sz w:val="24"/>
              </w:rPr>
              <w:t>第五十九条</w:t>
            </w:r>
            <w:r>
              <w:rPr>
                <w:rFonts w:ascii="仿宋_GB2312" w:hAnsi="仿宋_GB2312" w:eastAsia="仿宋_GB2312" w:cs="仿宋_GB2312"/>
                <w:sz w:val="24"/>
              </w:rPr>
              <w:t xml:space="preserve"> 对建设用地土壤污染风险管控和修复名录中需要实施修复的地块，土壤污染责任人应当根据规划土地用途编制修复方案，报所在地生态环境主管部门备案并实施。修复方案应当包括修复范围和目标、技术路线和二次污染防范措施、地下水污染防治等内容。</w:t>
            </w:r>
          </w:p>
          <w:p>
            <w:pPr>
              <w:pStyle w:val="7"/>
              <w:spacing w:line="300" w:lineRule="exact"/>
              <w:rPr>
                <w:rFonts w:ascii="仿宋_GB2312" w:hAnsi="仿宋_GB2312" w:eastAsia="仿宋_GB2312" w:cs="仿宋_GB2312"/>
                <w:sz w:val="24"/>
              </w:rPr>
            </w:pPr>
            <w:r>
              <w:rPr>
                <w:rFonts w:ascii="仿宋_GB2312" w:hAnsi="仿宋_GB2312" w:eastAsia="仿宋_GB2312" w:cs="仿宋_GB2312"/>
                <w:b/>
                <w:bCs/>
                <w:sz w:val="24"/>
              </w:rPr>
              <w:t>第六十条</w:t>
            </w:r>
            <w:r>
              <w:rPr>
                <w:rFonts w:ascii="仿宋_GB2312" w:hAnsi="仿宋_GB2312" w:eastAsia="仿宋_GB2312" w:cs="仿宋_GB2312"/>
                <w:sz w:val="24"/>
              </w:rPr>
              <w:t xml:space="preserve"> 风险管控、修复活动完成后，土壤污染责任人应当另行委托有关单位对风险管控效果、修复效果进行评估，并将效果评估报告报所在地生态环境主管部门备案。</w:t>
            </w:r>
          </w:p>
          <w:p>
            <w:pPr>
              <w:pStyle w:val="7"/>
              <w:spacing w:line="300" w:lineRule="exact"/>
              <w:rPr>
                <w:rFonts w:ascii="仿宋_GB2312" w:hAnsi="仿宋_GB2312" w:eastAsia="仿宋_GB2312" w:cs="仿宋_GB2312"/>
                <w:sz w:val="24"/>
              </w:rPr>
            </w:pPr>
          </w:p>
          <w:p>
            <w:pPr>
              <w:pStyle w:val="7"/>
              <w:spacing w:line="300" w:lineRule="exact"/>
              <w:rPr>
                <w:rFonts w:hint="eastAsia" w:ascii="仿宋_GB2312" w:hAnsi="仿宋_GB2312" w:eastAsia="仿宋_GB2312" w:cs="仿宋_GB2312"/>
                <w:b/>
                <w:bCs/>
                <w:sz w:val="24"/>
              </w:rPr>
            </w:pPr>
            <w:r>
              <w:rPr>
                <w:rFonts w:hint="eastAsia" w:ascii="仿宋_GB2312" w:hAnsi="仿宋_GB2312" w:eastAsia="仿宋_GB2312" w:cs="仿宋_GB2312"/>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土壤污染防治条例》</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第八十一条</w:t>
            </w:r>
            <w:r>
              <w:rPr>
                <w:rFonts w:ascii="仿宋_GB2312" w:hAnsi="仿宋_GB2312" w:eastAsia="仿宋_GB2312" w:cs="仿宋_GB2312"/>
                <w:sz w:val="24"/>
              </w:rPr>
              <w:t xml:space="preserve"> </w:t>
            </w:r>
            <w:r>
              <w:rPr>
                <w:rFonts w:hint="eastAsia" w:ascii="仿宋_GB2312" w:hAnsi="仿宋_GB2312" w:eastAsia="仿宋_GB2312" w:cs="仿宋_GB2312"/>
                <w:sz w:val="24"/>
              </w:rPr>
              <w:t>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（一）未按照规定进行土壤污染状况调查的；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（二）未按照规定进行土壤污染风险评估的；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（三）未按照规定采取风险管控措施的；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（四）未按照规定实施修复的；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（五）风险管控、修复活动完成后，未另行委托有关单位对风险管控效果、修复效果进行评估的。</w:t>
            </w:r>
          </w:p>
          <w:p>
            <w:pPr>
              <w:pStyle w:val="7"/>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土壤污染责任人或者土地使用权人有前款第三项、第四项规定行为之一，情节严重的，生态环境主管部门或者其他负有土壤污染防治监督管理职责的部门可以依法将案件移送公安机关，由公安机关按照《中华人民共和国土壤污染防治法》的规定对直接负责的主管人员和其他直接责任人员处以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5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81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43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74"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对环境影响程度</w:t>
            </w:r>
          </w:p>
        </w:tc>
        <w:tc>
          <w:tcPr>
            <w:tcW w:w="168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772"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819" w:type="dxa"/>
            <w:noWrap w:val="0"/>
            <w:vAlign w:val="center"/>
          </w:tcPr>
          <w:p>
            <w:pPr>
              <w:spacing w:line="26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已进行土壤污染状况调查/已进行风险评估/已采取风险管控措施/已实施修复/已另行委托有关单位对风险管控效果、修复效果进行评估，但未按照要求的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74"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772" w:type="dxa"/>
            <w:vMerge w:val="continue"/>
            <w:noWrap w:val="0"/>
            <w:vAlign w:val="center"/>
          </w:tcPr>
          <w:p>
            <w:pPr>
              <w:jc w:val="center"/>
              <w:rPr>
                <w:rFonts w:hint="eastAsia" w:ascii="仿宋_GB2312" w:hAnsi="仿宋_GB2312" w:eastAsia="仿宋_GB2312" w:cs="仿宋_GB2312"/>
                <w:b/>
                <w:bCs/>
                <w:sz w:val="24"/>
              </w:rPr>
            </w:pPr>
          </w:p>
        </w:tc>
        <w:tc>
          <w:tcPr>
            <w:tcW w:w="3819" w:type="dxa"/>
            <w:noWrap w:val="0"/>
            <w:vAlign w:val="center"/>
          </w:tcPr>
          <w:p>
            <w:pPr>
              <w:spacing w:line="26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 xml:space="preserve">未进行土壤污染状况调查/未进行土壤污染风险评估/未采取风险管控措施/未实施修复/未另行委托有关单位对风险管控效果、修复效果进行评估的 </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686" w:type="dxa"/>
            <w:vMerge w:val="continue"/>
            <w:noWrap w:val="0"/>
            <w:vAlign w:val="center"/>
          </w:tcPr>
          <w:p>
            <w:pPr>
              <w:jc w:val="center"/>
              <w:rPr>
                <w:sz w:val="24"/>
              </w:rPr>
            </w:pPr>
          </w:p>
        </w:tc>
        <w:tc>
          <w:tcPr>
            <w:tcW w:w="772" w:type="dxa"/>
            <w:vMerge w:val="continue"/>
            <w:noWrap w:val="0"/>
            <w:vAlign w:val="center"/>
          </w:tcPr>
          <w:p>
            <w:pPr>
              <w:jc w:val="center"/>
              <w:rPr>
                <w:sz w:val="24"/>
              </w:rPr>
            </w:pP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4"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7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7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4"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374"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81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4" w:type="dxa"/>
            <w:vMerge w:val="restart"/>
            <w:noWrap w:val="0"/>
            <w:vAlign w:val="center"/>
          </w:tcPr>
          <w:p>
            <w:pPr>
              <w:spacing w:line="30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819"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rPr>
                <w:rFonts w:hint="eastAsia" w:ascii="仿宋_GB2312" w:hAnsi="仿宋_GB2312" w:eastAsia="仿宋_GB2312" w:cs="仿宋_GB2312"/>
                <w:sz w:val="24"/>
              </w:rPr>
            </w:pPr>
          </w:p>
        </w:tc>
        <w:tc>
          <w:tcPr>
            <w:tcW w:w="3819"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4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仿宋_GB2312" w:hAnsi="仿宋_GB2312" w:eastAsia="仿宋_GB2312" w:cs="仿宋_GB2312"/>
          <w:sz w:val="24"/>
        </w:rPr>
      </w:pPr>
      <w:r>
        <w:rPr>
          <w:rFonts w:hint="eastAsia" w:ascii="仿宋_GB2312" w:hAnsi="仿宋_GB2312" w:eastAsia="仿宋_GB2312" w:cs="仿宋_GB2312"/>
          <w:b/>
          <w:bCs/>
          <w:sz w:val="24"/>
        </w:rPr>
        <w:t>注释：</w:t>
      </w:r>
      <w:r>
        <w:rPr>
          <w:rFonts w:hint="eastAsia" w:ascii="仿宋_GB2312" w:hAnsi="仿宋_GB2312" w:eastAsia="仿宋_GB2312" w:cs="仿宋_GB2312"/>
          <w:sz w:val="24"/>
        </w:rPr>
        <w:t>处以罚款二十万元以上一百万元以下的，符合移送行政拘留条件的，及时移交公安机关采取行政拘留措施。</w:t>
      </w: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97"/>
        <w:gridCol w:w="686"/>
        <w:gridCol w:w="3203"/>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67"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唐山市生态环境行政处罚裁量规则（土壤类）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8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8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8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（一）土壤污染重点监管单位未按照规定将土壤污染防治工作方案报地方人民政府生态环境、工业和信息化主管部门备案的；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（二）土壤污染责任人或者土地使用权人未按照规定将修复方案、效果评估报告报地方人民政府生态环境、农业农村、林业草原主管部门备案的；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（三）土地使用权人未按照规定将土壤污染状况调查报告报地方人民政府生态环境主管部门备案的。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38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8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w:t>
            </w:r>
            <w:r>
              <w:rPr>
                <w:rFonts w:hint="eastAsia" w:ascii="仿宋_GB2312" w:hAnsi="仿宋_GB2312" w:eastAsia="仿宋_GB2312" w:cs="仿宋_GB2312"/>
                <w:b/>
                <w:bCs/>
                <w:sz w:val="24"/>
              </w:rPr>
              <w:t>中华人民共和国土壤污染防治法</w:t>
            </w:r>
            <w:r>
              <w:rPr>
                <w:rFonts w:hint="eastAsia" w:ascii="仿宋_GB2312" w:hAnsi="仿宋_GB2312" w:eastAsia="仿宋_GB2312" w:cs="仿宋_GB2312"/>
                <w:b/>
                <w:bCs/>
                <w:sz w:val="24"/>
                <w:szCs w:val="32"/>
              </w:rPr>
              <w:t>》</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sz w:val="24"/>
                <w:szCs w:val="32"/>
              </w:rPr>
              <w:t xml:space="preserve"> 企业事业单位拆除设施、设备或者建筑物、构筑物的，应当采取相应的土壤污染防治措施。</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土壤污染重点监管单位拆除设施、设备或者建筑物、构筑物的，应当制定包括应急措施在内的土壤污染防治工作方案，报地方人民政府生态环境、工业和信息化主管部门备案并实施。</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第六十四条</w:t>
            </w:r>
            <w:r>
              <w:rPr>
                <w:rFonts w:hint="eastAsia" w:ascii="仿宋_GB2312" w:hAnsi="仿宋_GB2312" w:eastAsia="仿宋_GB2312" w:cs="仿宋_GB2312"/>
                <w:sz w:val="24"/>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第六十五条</w:t>
            </w:r>
            <w:r>
              <w:rPr>
                <w:rFonts w:hint="eastAsia" w:ascii="仿宋_GB2312" w:hAnsi="仿宋_GB2312" w:eastAsia="仿宋_GB2312" w:cs="仿宋_GB2312"/>
                <w:sz w:val="24"/>
                <w:szCs w:val="32"/>
              </w:rPr>
              <w:t xml:space="preserve"> 风险管控、修复活动完成后，土壤污染责任人应当另行委托有关单位对风险管控效果、修复效果进行评估，并将效果评估报告报地方人民政府生态环境主管部门备案。</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第六十七条</w:t>
            </w:r>
            <w:r>
              <w:rPr>
                <w:rFonts w:hint="eastAsia" w:ascii="仿宋_GB2312" w:hAnsi="仿宋_GB2312" w:eastAsia="仿宋_GB2312" w:cs="仿宋_GB2312"/>
                <w:sz w:val="24"/>
                <w:szCs w:val="32"/>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w:t>
            </w:r>
            <w:r>
              <w:rPr>
                <w:rFonts w:hint="eastAsia" w:ascii="仿宋_GB2312" w:hAnsi="仿宋_GB2312" w:eastAsia="仿宋_GB2312" w:cs="仿宋_GB2312"/>
                <w:b/>
                <w:bCs/>
                <w:sz w:val="24"/>
              </w:rPr>
              <w:t>中华人民共和国土壤污染防治法</w:t>
            </w:r>
            <w:r>
              <w:rPr>
                <w:rFonts w:hint="eastAsia" w:ascii="仿宋_GB2312" w:hAnsi="仿宋_GB2312" w:eastAsia="仿宋_GB2312" w:cs="仿宋_GB2312"/>
                <w:b/>
                <w:bCs/>
                <w:sz w:val="24"/>
                <w:szCs w:val="32"/>
              </w:rPr>
              <w:t>》</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第九十五条</w:t>
            </w:r>
            <w:r>
              <w:rPr>
                <w:rFonts w:hint="eastAsia" w:ascii="仿宋_GB2312" w:hAnsi="仿宋_GB2312" w:eastAsia="仿宋_GB2312" w:cs="仿宋_GB2312"/>
                <w:sz w:val="24"/>
                <w:szCs w:val="32"/>
              </w:rPr>
              <w:t xml:space="preserve"> 违反本法规定，有下列行为之一的，由地方人民政府有关部门责令改正；拒不改正的，处一万元以上五万元以下的罚款：</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（一）土壤污染重点监管单位未按照规定将土壤污染防治工作方案报地方人民政府生态环境、工业和信息化主管部门备案的；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（二）土壤污染责任人或者土地使用权人未按照规定将修复方案、效果评估报告报地方人民政府生态环境、农业农村、林业草原主管部门备案的；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（三）土地使用权人未按照规定将土壤污染状况调查报告报地方人民政府生态环境主管部门备案的。</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《河北省土壤污染防治条例》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第二十三条</w:t>
            </w:r>
            <w:r>
              <w:rPr>
                <w:rFonts w:ascii="仿宋_GB2312" w:hAnsi="仿宋_GB2312" w:eastAsia="仿宋_GB2312" w:cs="仿宋_GB2312"/>
                <w:b/>
                <w:bCs/>
                <w:sz w:val="24"/>
                <w:szCs w:val="32"/>
              </w:rPr>
              <w:t xml:space="preserve"> </w:t>
            </w:r>
            <w:r>
              <w:rPr>
                <w:rFonts w:hint="eastAsia" w:ascii="仿宋_GB2312" w:hAnsi="仿宋_GB2312" w:eastAsia="仿宋_GB2312" w:cs="仿宋_GB2312"/>
                <w:sz w:val="24"/>
                <w:szCs w:val="32"/>
              </w:rPr>
              <w:t>企业事业单位拆除设施、设备或者建筑物、构筑物的，应当采取相应的土壤污染防治措施，安全处置残留物料、污染物、污染设施和设备，防范拆除活动污染土壤。</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土壤污染重点监管单位拆除设施、设备或者建筑物、构筑物的，应当制定土壤污染防治工作方案并组织实施，方案包括被拆除设施、设备或者建筑物、构筑物的基本情况，残留物料、污染物、污染设施和设备的安全处置以及应急措施，土壤污染防治要求和对周边环境的污染防治措施等内容。土壤污染防治工作方案应当在拆除活动十五个工作日前报所在地生态环境、工业和信息化主管部门备案。拆除活动相关记录应当归档保存。</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第五十五条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土壤污染重点监管单位生产经营用地的用途变更或者在其土地使用权收回、转让前，应当由土地使用权人按照规定进行土壤污染状况调查。土壤污染状况调查报告应当作为不动产登记资料送交所在地不动产登记机构，并报所在地生态环境主管部门备案。</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第五十九条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对建设用地土壤污染风险管控和修复名录中需要实施修复的地块，土壤污染责任人应当根据规划土地用途编制修复方案，报所在地生态环境主管部门备案并实施。修复方案应当包括修复范围和目标、技术路线和二次污染防范措施、地下水污染防治等内容。</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第六十条</w:t>
            </w:r>
            <w:r>
              <w:rPr>
                <w:rFonts w:hint="eastAsia" w:ascii="仿宋_GB2312" w:hAnsi="仿宋_GB2312" w:eastAsia="仿宋_GB2312" w:cs="仿宋_GB2312"/>
                <w:sz w:val="24"/>
                <w:szCs w:val="32"/>
              </w:rPr>
              <w:t xml:space="preserve"> 风险管控、修复活动完成后，土壤污染责任人应当另行委托有关单位对风险管控效果、修复效果进行评估，并将效果评估报告报所在地生态环境主管部门备案。</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4.</w:t>
            </w:r>
            <w:r>
              <w:rPr>
                <w:rFonts w:hint="eastAsia" w:ascii="仿宋_GB2312" w:hAnsi="仿宋_GB2312" w:eastAsia="仿宋_GB2312" w:cs="仿宋_GB2312"/>
                <w:b/>
                <w:bCs/>
                <w:sz w:val="24"/>
                <w:szCs w:val="32"/>
              </w:rPr>
              <w:t>《河北省土壤污染防治条例》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第八十二条</w:t>
            </w:r>
            <w:r>
              <w:rPr>
                <w:rFonts w:hint="eastAsia" w:ascii="仿宋_GB2312" w:hAnsi="仿宋_GB2312" w:eastAsia="仿宋_GB2312" w:cs="仿宋_GB2312"/>
                <w:sz w:val="24"/>
                <w:szCs w:val="32"/>
              </w:rPr>
              <w:t xml:space="preserve"> 违反本条例规定，有下列行为之一的，由有关部门责令改正；拒不改正的，处一万元以上五万元以下的罚款：</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（一）土壤污染重点监管单位未按照规定将土壤污染防治工作方案报生态环境、工业和信息化主管部门备案的；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（二）土壤污染责任人或者土地使用权人未按照规定将修复方案、效果评估报告报生态环境、农业农村、林业和草原主管部门备案的；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（三）土地使用权人未按照规定将土壤污染状况调查报告报生态环境主管部门备案的。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6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0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9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已制定土壤污染防治工作方案/已委托有关单位对风险管控效果、修复效果进行评估/已按规定土壤污染状况调查报告，但未按规定报地方人民政府生态环境主管部门备案</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8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未制定土壤污染防治工作方案/未委托有关单位对风险管控效果、修复效果进行评估/未按规定土壤污染状况调查报告</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8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2"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2"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8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8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2"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r>
        <w:br w:type="page"/>
      </w:r>
    </w:p>
    <w:tbl>
      <w:tblPr>
        <w:tblStyle w:val="9"/>
        <w:tblpPr w:leftFromText="180" w:rightFromText="180" w:vertAnchor="text" w:horzAnchor="page" w:tblpX="1498"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58"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产生、收集、贮存、运输、利用、处置固体废物的单位未依法及时公开固体废物污染环境防治信息的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45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第二十九条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 xml:space="preserve">第二款 </w:t>
            </w:r>
            <w:r>
              <w:rPr>
                <w:rFonts w:hint="eastAsia" w:ascii="仿宋_GB2312" w:hAnsi="仿宋_GB2312" w:eastAsia="仿宋_GB2312" w:cs="仿宋_GB2312"/>
                <w:sz w:val="24"/>
                <w:szCs w:val="32"/>
              </w:rPr>
              <w:t>产生、收集、贮存、运输、利用、处置固体废物的单位，应当依法及时公开固体废物污染环境防治信息，主动接受社会监督。</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（一）产生、收集、贮存、运输、利用、处置固体废物的单位未依法及时公开固体废物污染环境防治信息的；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有前款第一项、第八项行为之一，处五万元以上二十万元以下的罚款；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133"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 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持续时间3天以内的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持续时间3天以上的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450"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450"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0"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5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450"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3"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生活垃圾处理单位未按照国家有关规定安装使用监测设备、实时监测污染物的排放情况并公开污染排放数据的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第五十六条</w:t>
            </w:r>
            <w:r>
              <w:rPr>
                <w:rFonts w:hint="eastAsia" w:ascii="仿宋_GB2312" w:hAnsi="仿宋_GB2312" w:eastAsia="仿宋_GB2312" w:cs="仿宋_GB2312"/>
                <w:sz w:val="24"/>
                <w:szCs w:val="32"/>
              </w:rPr>
              <w:t xml:space="preserve"> 生活垃圾处理单位应当按照国家有关规定，安装使用监测设备，实时监测污染物的排放情况，将污染排放数据实时公开。监测设备应当与所在地生态环境主管部门的监控设备联网。</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（二）生活垃圾处理单位未按照国家有关规定安装使用监测设备、实时监测污染物的排放情况并公开污染排放数据的；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有前款第二项、第三项、第四项、第五项、第六项、第九项、第十项、第十一项行为之一，处十万元以上一百万元以下的罚款；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已安装监测设备，实时监测污染物的排放情况，但未公开污染物排放数据的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已安装监测设备，但未实时监测污染物的排放情况的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未安装监测设备的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8"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r>
        <w:br w:type="page"/>
      </w:r>
    </w:p>
    <w:tbl>
      <w:tblPr>
        <w:tblStyle w:val="9"/>
        <w:tblpPr w:leftFromText="180" w:rightFromText="180" w:vertAnchor="text" w:horzAnchor="page" w:tblpX="1508"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4"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9"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9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将列入限期淘汰名录被淘汰的设备转让给他人使用的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39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第三十三条</w:t>
            </w:r>
            <w:r>
              <w:rPr>
                <w:rFonts w:hint="eastAsia" w:ascii="仿宋_GB2312" w:hAnsi="仿宋_GB2312" w:eastAsia="仿宋_GB2312" w:cs="仿宋_GB2312"/>
                <w:sz w:val="24"/>
                <w:szCs w:val="32"/>
              </w:rPr>
              <w:t xml:space="preserve"> 列入限期淘汰名录被淘汰的设备，不得转让给他人使用。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（三）将列入限期淘汰名录被淘汰的设备转让给他人使用的；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有前款第二项、第三项、第四项、第五项、第六项、第九项、第十项、第十一项行为之一，处十万元以上一百万元以下的罚款；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8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9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设备原值&lt;50万的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50万≤设备原值&lt;100万的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100万≤设备原值&lt;200万的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设备原值≥200万的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99" w:type="dxa"/>
            <w:vMerge w:val="continue"/>
            <w:noWrap w:val="0"/>
            <w:vAlign w:val="center"/>
          </w:tcPr>
          <w:p>
            <w:pPr>
              <w:jc w:val="left"/>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99"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99"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363"/>
        <w:gridCol w:w="144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1" w:hRule="atLeast"/>
        </w:trPr>
        <w:tc>
          <w:tcPr>
            <w:tcW w:w="9069" w:type="dxa"/>
            <w:gridSpan w:val="6"/>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5"/>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5"/>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在生态保护红线区域、永久基本农田集中区域和其他需要特别保护的区域内，建设工业固体废物、危险废物集中贮存、利用、处置的设施、场所和生活垃圾填埋场的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65"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5"/>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第二十一条</w:t>
            </w:r>
            <w:r>
              <w:rPr>
                <w:rFonts w:hint="eastAsia" w:ascii="仿宋_GB2312" w:hAnsi="仿宋_GB2312" w:eastAsia="仿宋_GB2312" w:cs="仿宋_GB2312"/>
                <w:sz w:val="24"/>
                <w:szCs w:val="32"/>
              </w:rPr>
              <w:t xml:space="preserve"> 在生态保护红线区域、永久基本农田集中区域和其他需要特别保护的区域内，禁止建设工业固体废物、危险废物集中贮存、利用、处置的设施、场所和生活垃圾填埋场。</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（四）在生态保护红线区域、永久基本农田集中区域和其他需要特别保护的区域内，建设工业固体废物、危险废物集中贮存、利用、处置的设施、场所和生活垃圾填埋场的；</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有前款第二项、第三项、第四项、第五项、第六项、第九项、第十项、第十一项行为之一，处十万元以上一百万元以下的罚款；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56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44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贮存、处置、填埋能力为1000立方米以下的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贮存、处置、填埋能力为1000立方米以上5000立方米以下的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贮存、处置、填埋能力为5000立方米以上10000立方米以下的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贮存、处置、填埋能力为10000立方米以上的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1"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1"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1"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66" w:type="dxa"/>
            <w:gridSpan w:val="2"/>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44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566" w:type="dxa"/>
            <w:gridSpan w:val="2"/>
            <w:noWrap w:val="0"/>
            <w:vAlign w:val="center"/>
          </w:tcPr>
          <w:p>
            <w:pPr>
              <w:spacing w:line="28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44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566"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44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566"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44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566"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44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trPr>
        <w:tc>
          <w:tcPr>
            <w:tcW w:w="9082" w:type="dxa"/>
            <w:gridSpan w:val="7"/>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6"/>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转移固体废物出省、自治区、直辖市行政区域贮存、处置未经批准的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65"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（五）转移固体废物出省、自治区、直辖市行政区域贮存、处置未经批准的；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有前款第二项、第三项、第四项、第五项、第六项、第九项、第十项、第十一项行为之一，处十万元以上一百万元以下的罚款；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转移5吨以下的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转移5吨以上10吨以下的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6"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转移10吨以上20吨以下的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转移20吨以上的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1"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8"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6"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r>
        <w:br w:type="page"/>
      </w:r>
    </w:p>
    <w:tbl>
      <w:tblPr>
        <w:tblStyle w:val="9"/>
        <w:tblpPr w:leftFromText="180" w:rightFromText="180" w:vertAnchor="text" w:horzAnchor="page" w:tblpX="1508"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997"/>
        <w:gridCol w:w="686"/>
        <w:gridCol w:w="320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1"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9"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82"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9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8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转移固体废物出省、自治区、直辖市行政区域利用未报备案的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39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8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（六）转移固体废物出省、自治区、直辖市行政区域利用未报备案的；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有前款第二项、第三项、第四项、第五项、第六项、第九项、第十项、第十一项行为之一，处十万元以上一百万元以下的罚款；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8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499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9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9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转移10吨以下的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转移10吨以上20吨以下的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转移20吨以上30吨以下的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转移30吨以上的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99"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99"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9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99"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9"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擅自倾倒、堆放、丢弃、遗撒工业固体废物，或者未采取相应防范措施，造成工业固体废物扬散、流失、渗漏或者其他环境污染的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产生、收集、贮存、运输、利用、处置固体废物的单位和其他生产经营者，应当采取防扬散、防流失、防渗漏或者其他防止污染环境的措施，不得擅自倾倒、堆放、丢弃、遗撒固体废物。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（七）擅自倾倒、堆放、丢弃、遗撒工业固体废物，或者未采取相应防范措施，造成工业固体废物扬散、流失、渗漏或者其他环境污染的；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有前款第七项行为，处所需处置费用一倍以上三倍以下的罚款，所需处置费用不足十万元的，按十万元计算。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44"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扬散、流失、渗漏或者造成其他环境污染的工业固体废物数量5吨以下的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扬散、流失、渗漏或者造成其他环境污染的工业固体废物数量5吨以上10吨以下的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扬散、流失、渗漏或者造成其他环境污染的工业固体废物数量10吨以上20吨以下的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扬散、流失、渗漏或者造成其他环境污染的工业固体废物数量20吨以上的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擅自倾倒、堆放、丢弃、遗撒工业固体废物数量1吨以下的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擅自倾倒、堆放、丢弃、遗撒固体废物数量1吨以上3吨以下的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擅自倾倒、堆放、丢弃、遗撒固体废物数量3吨以上的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61"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61"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227"/>
        <w:gridCol w:w="158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10" w:type="dxa"/>
            <w:gridSpan w:val="7"/>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6"/>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产生工业固体废物的单位未建立固体废物管理台账并如实记录的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6"/>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第三十六条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（八）产生工业固体废物的单位未建立固体废物管理台账并如实记录的；</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有前款第一项、第八项行为之一，处五万元以上二十万元以下的罚款；</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《河北省固体废物污染环境防治条例》</w:t>
            </w:r>
          </w:p>
          <w:p>
            <w:pPr>
              <w:spacing w:line="300" w:lineRule="exact"/>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第六十八条</w:t>
            </w:r>
            <w:r>
              <w:rPr>
                <w:rFonts w:hint="eastAsia" w:ascii="仿宋_GB2312" w:hAnsi="仿宋_GB2312" w:eastAsia="仿宋_GB2312" w:cs="仿宋_GB2312"/>
                <w:sz w:val="24"/>
                <w:szCs w:val="32"/>
              </w:rPr>
              <w:t xml:space="preserve"> 违反本条例规定，产生工业固体废物的单位，未建立工业固体废物管理台账并如实记录的，由生态环境主管部门责令改正，处五万元以上二十万元以下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0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39"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3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0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台账记录不全或更新不及时的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台账未如实记录的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未建立台账的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8"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430"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6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91" w:hRule="atLeast"/>
        </w:trPr>
        <w:tc>
          <w:tcPr>
            <w:tcW w:w="9083" w:type="dxa"/>
            <w:gridSpan w:val="6"/>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10" w:hRule="atLeast"/>
        </w:trPr>
        <w:tc>
          <w:tcPr>
            <w:tcW w:w="1388"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5"/>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产生工业固体废物的单位违反本法规定委托他人运输、利用、处置工业固体废物的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5"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第三十七条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产生工业固体废物的单位委托他人运输、利用、处置工业固体废物的，应当对受托方的主体资格和技术能力进行核实，依法签订书面合同，在合同中约定污染防治要求。</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（九）产生工业固体废物的单位违反本法规定委托他人运输、利用、处置工业固体废物的；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有前款第二项、第三项、第四项、第五项、第六项、第九项、第十项、第十一项行为之一，处十万元以上一百万元以下的罚款；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94" w:hRule="atLeast"/>
        </w:trPr>
        <w:tc>
          <w:tcPr>
            <w:tcW w:w="40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涉及数量5吨以下的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涉及数量5吨以上10吨以下的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涉及数量10吨以上20吨以下的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涉及数量20吨以上的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0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2"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2"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9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93"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2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74"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32"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0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9" w:hRule="atLeast"/>
        </w:trPr>
        <w:tc>
          <w:tcPr>
            <w:tcW w:w="1388"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
        <w:gridCol w:w="1374"/>
        <w:gridCol w:w="1997"/>
        <w:gridCol w:w="686"/>
        <w:gridCol w:w="3203"/>
        <w:gridCol w:w="12"/>
        <w:gridCol w:w="44"/>
        <w:gridCol w:w="1753"/>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691" w:hRule="atLeast"/>
        </w:trPr>
        <w:tc>
          <w:tcPr>
            <w:tcW w:w="9082" w:type="dxa"/>
            <w:gridSpan w:val="8"/>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510" w:hRule="atLeast"/>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7"/>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贮存工业固体废物未采取符合国家环境保护标准的防护措施的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265"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（十）贮存工业固体废物未采取符合国家环境保护标准的防护措施的；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有前款第二项、第三项、第四项、第五项、第六项、第九项、第十项、第十一项行为之一，处十万元以上一百万元以下的罚款；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80"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1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10"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涉及数量5吨以下的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涉及数量5吨以上10吨以下的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涉及数量10吨以上20吨以下的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涉及数量20吨以上的 </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0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13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CellMar>
            <w:top w:w="0" w:type="dxa"/>
            <w:left w:w="108" w:type="dxa"/>
            <w:bottom w:w="0" w:type="dxa"/>
            <w:right w:w="108" w:type="dxa"/>
          </w:tblCellMar>
        </w:tblPrEx>
        <w:trPr>
          <w:gridBefore w:val="1"/>
          <w:wBefore w:w="76" w:type="dxa"/>
          <w:trHeight w:val="132"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132"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9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1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2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56"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3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1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1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4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15"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10"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249" w:hRule="atLeast"/>
        </w:trPr>
        <w:tc>
          <w:tcPr>
            <w:tcW w:w="1374"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15"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10"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691" w:hRule="atLeast"/>
        </w:trPr>
        <w:tc>
          <w:tcPr>
            <w:tcW w:w="9082" w:type="dxa"/>
            <w:gridSpan w:val="8"/>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510" w:hRule="atLeast"/>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7"/>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以拖延、围堵、滞留执法人员等方式拒绝、阻挠监督检查，或者在接受监督检查时弄虚作假的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265"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第二十六条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jc w:val="left"/>
              <w:rPr>
                <w:rFonts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第一百零三条</w:t>
            </w:r>
            <w:r>
              <w:rPr>
                <w:rFonts w:hint="eastAsia" w:ascii="仿宋_GB2312" w:hAnsi="仿宋_GB2312" w:eastAsia="仿宋_GB2312" w:cs="仿宋_GB2312"/>
                <w:sz w:val="24"/>
                <w:szCs w:val="32"/>
              </w:rPr>
              <w:t xml:space="preserve">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6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拒绝检查情形</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迟滞10分钟以上30分钟以内</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迟滞超过半小时</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0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阻碍或隐匿部分资料</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0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围堵、留滞执法人员或拒绝提供资料</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暴力抗法</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41%-50%</w:t>
            </w:r>
          </w:p>
        </w:tc>
      </w:tr>
      <w:tr>
        <w:tblPrEx>
          <w:tblCellMar>
            <w:top w:w="0" w:type="dxa"/>
            <w:left w:w="108" w:type="dxa"/>
            <w:bottom w:w="0" w:type="dxa"/>
            <w:right w:w="108" w:type="dxa"/>
          </w:tblCellMar>
        </w:tblPrEx>
        <w:trPr>
          <w:gridBefore w:val="1"/>
          <w:wBefore w:w="76" w:type="dxa"/>
          <w:trHeight w:val="39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弄虚作假情形</w:t>
            </w: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提供非关键性假信息的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422"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提供关键性假信息的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93"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伪造现场或证据的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33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14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144"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144"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2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59"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233"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9" w:type="dxa"/>
            <w:gridSpan w:val="3"/>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6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6" w:type="dxa"/>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rPr>
                <w:rFonts w:hint="eastAsia" w:ascii="仿宋_GB2312" w:hAnsi="仿宋_GB2312" w:eastAsia="仿宋_GB2312" w:cs="仿宋_GB2312"/>
                <w:sz w:val="24"/>
                <w:szCs w:val="32"/>
              </w:rPr>
            </w:pPr>
          </w:p>
        </w:tc>
        <w:tc>
          <w:tcPr>
            <w:tcW w:w="3259" w:type="dxa"/>
            <w:gridSpan w:val="3"/>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6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1" w:hRule="atLeast"/>
        </w:trPr>
        <w:tc>
          <w:tcPr>
            <w:tcW w:w="9145" w:type="dxa"/>
            <w:gridSpan w:val="8"/>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1450" w:type="dxa"/>
            <w:gridSpan w:val="2"/>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6"/>
            <w:tcBorders>
              <w:top w:val="single" w:color="auto"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trPr>
        <w:tc>
          <w:tcPr>
            <w:tcW w:w="1450"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未依法取得排污许可证产生工业固体废物的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40" w:hRule="atLeast"/>
        </w:trPr>
        <w:tc>
          <w:tcPr>
            <w:tcW w:w="1450"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第三十九条</w:t>
            </w:r>
            <w:r>
              <w:rPr>
                <w:rFonts w:hint="eastAsia" w:ascii="仿宋_GB2312" w:hAnsi="仿宋_GB2312" w:eastAsia="仿宋_GB2312" w:cs="仿宋_GB2312"/>
                <w:sz w:val="24"/>
                <w:szCs w:val="32"/>
              </w:rPr>
              <w:t xml:space="preserve"> 产生工业固体废物的单位应当取得排污许可证。排污许可的具体办法和实施步骤由国务院规定。</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第一百零四条</w:t>
            </w:r>
            <w:r>
              <w:rPr>
                <w:rFonts w:hint="eastAsia" w:ascii="仿宋_GB2312" w:hAnsi="仿宋_GB2312" w:eastAsia="仿宋_GB2312" w:cs="仿宋_GB2312"/>
                <w:sz w:val="24"/>
                <w:szCs w:val="32"/>
              </w:rPr>
              <w:t xml:space="preserve">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4133"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450"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9" w:hRule="atLeast"/>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列入环境影响登记表类项目的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列入环境影响报告表类项目的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7"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列入环境影响报告书类项目的</w:t>
            </w:r>
          </w:p>
        </w:tc>
        <w:tc>
          <w:tcPr>
            <w:tcW w:w="1809" w:type="dxa"/>
            <w:gridSpan w:val="3"/>
            <w:noWrap w:val="0"/>
            <w:vAlign w:val="center"/>
          </w:tcPr>
          <w:p>
            <w:pPr>
              <w:tabs>
                <w:tab w:val="left" w:pos="300"/>
              </w:tabs>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7"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违法行为形式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经收集处理的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7"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未经收集处理的</w:t>
            </w:r>
          </w:p>
        </w:tc>
        <w:tc>
          <w:tcPr>
            <w:tcW w:w="1809" w:type="dxa"/>
            <w:gridSpan w:val="3"/>
            <w:noWrap w:val="0"/>
            <w:vAlign w:val="center"/>
          </w:tcPr>
          <w:p>
            <w:pPr>
              <w:tabs>
                <w:tab w:val="left" w:pos="300"/>
              </w:tabs>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2" w:hRule="atLeast"/>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 w:hRule="atLeast"/>
        </w:trPr>
        <w:tc>
          <w:tcPr>
            <w:tcW w:w="1450" w:type="dxa"/>
            <w:gridSpan w:val="2"/>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 w:hRule="atLeast"/>
        </w:trPr>
        <w:tc>
          <w:tcPr>
            <w:tcW w:w="1450" w:type="dxa"/>
            <w:gridSpan w:val="2"/>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9" w:hRule="atLeast"/>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9"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9"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9" w:hRule="atLeast"/>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9" w:hRule="atLeast"/>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180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91" w:hRule="atLeast"/>
        </w:trPr>
        <w:tc>
          <w:tcPr>
            <w:tcW w:w="9083"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10" w:hRule="atLeast"/>
        </w:trPr>
        <w:tc>
          <w:tcPr>
            <w:tcW w:w="1388"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从事畜禽规模养殖未及时收集、贮存、利用或者处置养殖过程中产生的畜禽粪污等固体废物的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668"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第六十五条 第二款</w:t>
            </w:r>
            <w:r>
              <w:rPr>
                <w:rFonts w:hint="eastAsia" w:ascii="仿宋_GB2312" w:hAnsi="仿宋_GB2312" w:eastAsia="仿宋_GB2312" w:cs="仿宋_GB2312"/>
                <w:sz w:val="24"/>
                <w:szCs w:val="32"/>
              </w:rPr>
              <w:t xml:space="preserve"> 从事畜禽规模养殖应当及时收集、贮存、利用或者处置养殖过程中产生的畜禽粪污等固体废物，避免造成环境污染。</w:t>
            </w:r>
          </w:p>
          <w:p>
            <w:pPr>
              <w:spacing w:line="290" w:lineRule="exact"/>
              <w:jc w:val="left"/>
              <w:rPr>
                <w:rFonts w:hint="eastAsia" w:ascii="仿宋_GB2312" w:hAnsi="仿宋_GB2312" w:eastAsia="仿宋_GB2312" w:cs="仿宋_GB2312"/>
                <w:sz w:val="24"/>
                <w:szCs w:val="32"/>
              </w:rPr>
            </w:pPr>
          </w:p>
          <w:p>
            <w:pPr>
              <w:spacing w:line="29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spacing w:line="29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第一百零七条</w:t>
            </w:r>
            <w:r>
              <w:rPr>
                <w:rFonts w:hint="eastAsia" w:ascii="仿宋_GB2312" w:hAnsi="仿宋_GB2312" w:eastAsia="仿宋_GB2312" w:cs="仿宋_GB2312"/>
                <w:sz w:val="24"/>
                <w:szCs w:val="32"/>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39" w:hRule="atLeast"/>
        </w:trPr>
        <w:tc>
          <w:tcPr>
            <w:tcW w:w="40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常年存栏量在100头以上500头以下猪、2000羽以上5000羽以下鸡、50头以上100头以下牛或其他同规模的畜禽养殖场</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常年存栏量在500头以上1000头以下猪、5000羽以上10000羽以下鸡、100头以上200头以下牛或其他同规模的畜禽养殖场</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0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常年存栏量在1000头以上猪、10000羽以上鸡、200头以上牛或其他同规模的畜禽养殖场</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3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44"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44"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44"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1" w:hRule="atLeast"/>
        </w:trPr>
        <w:tc>
          <w:tcPr>
            <w:tcW w:w="9110" w:type="dxa"/>
            <w:gridSpan w:val="6"/>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trPr>
        <w:tc>
          <w:tcPr>
            <w:tcW w:w="1388"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5"/>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尾矿、煤矸石、废石等矿业固体废物贮存设施停止使用后，未按照国家有关环境保护规定进行封场的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4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 xml:space="preserve">第三款 </w:t>
            </w:r>
            <w:r>
              <w:rPr>
                <w:rFonts w:hint="eastAsia" w:ascii="仿宋_GB2312" w:hAnsi="仿宋_GB2312" w:eastAsia="仿宋_GB2312" w:cs="仿宋_GB2312"/>
                <w:sz w:val="24"/>
                <w:szCs w:val="32"/>
              </w:rPr>
              <w:t>尾矿、煤矸石、废石等矿业固体废物贮存设施停止使用后，矿山企业应当按照国家有关环境保护等规定进行封场，防止造成环境污染和生态破坏。</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第一百一十条</w:t>
            </w:r>
            <w:r>
              <w:rPr>
                <w:rFonts w:hint="eastAsia" w:ascii="仿宋_GB2312" w:hAnsi="仿宋_GB2312" w:eastAsia="仿宋_GB2312" w:cs="仿宋_GB2312"/>
                <w:sz w:val="24"/>
                <w:szCs w:val="32"/>
              </w:rPr>
              <w:t xml:space="preserve"> 尾矿、煤矸石、废石等矿业固体废物贮存设施停止使用后，未按照国家有关环境保护规定进行封场的，由生态环境主管部门责令改正，处二十万元以上一百万元以下的罚款。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40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3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应封场3万立方米以下的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应封场3万立方米以上5万立方米以下的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应封场5万立方米以上的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4"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4"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4"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Pr>
        <w:ind w:firstLine="420" w:firstLineChars="200"/>
        <w:rPr>
          <w:rFonts w:hint="eastAsia"/>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2"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未按照规定设置危险废物识别标志的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第七十七条</w:t>
            </w:r>
            <w:r>
              <w:rPr>
                <w:rFonts w:hint="eastAsia" w:ascii="仿宋_GB2312" w:hAnsi="仿宋_GB2312" w:eastAsia="仿宋_GB2312" w:cs="仿宋_GB2312"/>
                <w:sz w:val="24"/>
                <w:szCs w:val="32"/>
              </w:rPr>
              <w:t xml:space="preserve"> 对危险废物的容器和包装物以及收集、贮存、运输、利用、处置危险废物的设施、场所，应当按照规定设置危险废物识别标志。</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（一）未按照规定设置危险废物识别标志的；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未按国家规定设置</w:t>
            </w:r>
            <w:r>
              <w:rPr>
                <w:rFonts w:ascii="仿宋_GB2312" w:hAnsi="仿宋_GB2312" w:eastAsia="仿宋_GB2312" w:cs="仿宋_GB2312"/>
                <w:sz w:val="24"/>
              </w:rPr>
              <w:t>危险废物识别标志的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未设置</w:t>
            </w:r>
            <w:r>
              <w:rPr>
                <w:rFonts w:ascii="仿宋_GB2312" w:hAnsi="仿宋_GB2312" w:eastAsia="仿宋_GB2312" w:cs="仿宋_GB2312"/>
                <w:sz w:val="24"/>
              </w:rPr>
              <w:t>危险废物识别标志</w:t>
            </w:r>
            <w:r>
              <w:rPr>
                <w:rFonts w:hint="eastAsia" w:ascii="仿宋_GB2312" w:hAnsi="仿宋_GB2312" w:eastAsia="仿宋_GB2312" w:cs="仿宋_GB2312"/>
                <w:sz w:val="24"/>
              </w:rPr>
              <w:t>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2"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未按照国家有关规定制定危险废物管理计划或者申报危险废物有关资料的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第七十八条 第一款</w:t>
            </w:r>
            <w:r>
              <w:rPr>
                <w:rFonts w:hint="eastAsia" w:ascii="仿宋_GB2312" w:hAnsi="仿宋_GB2312" w:eastAsia="仿宋_GB2312" w:cs="仿宋_GB2312"/>
                <w:sz w:val="24"/>
                <w:szCs w:val="32"/>
              </w:rPr>
              <w:t xml:space="preserve">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（二）未按照国家有关规定制定危险废物管理计划或者申报危险废物有关资料的；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涉及危险废物数量1吨以下的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涉及危险废物数量1吨以上5吨以下的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涉及危险废物数量5吨以上10吨以下的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涉及危险废物数量10吨以上的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sz w:val="10"/>
          <w:szCs w:val="10"/>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9"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擅自倾倒、堆放危险废物的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第七十九条</w:t>
            </w:r>
            <w:r>
              <w:rPr>
                <w:rFonts w:hint="eastAsia" w:ascii="仿宋_GB2312" w:hAnsi="仿宋_GB2312" w:eastAsia="仿宋_GB2312" w:cs="仿宋_GB2312"/>
                <w:sz w:val="24"/>
                <w:szCs w:val="32"/>
              </w:rPr>
              <w:t xml:space="preserve"> 产生危险废物的单位，应当按照国家有关规定和环境保护标准要求贮存、利用、处置危险废物，不得擅自倾倒、堆放。</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（三）擅自倾倒、堆放危险废物的；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涉及危险废物数量1吨以上5吨以下的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涉及危险废物数量5吨以上10吨以下的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涉及危险废物数量10吨以上的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pacing w:val="-20"/>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pacing w:val="-20"/>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r>
        <w:br w:type="page"/>
      </w:r>
    </w:p>
    <w:tbl>
      <w:tblPr>
        <w:tblStyle w:val="9"/>
        <w:tblpPr w:leftFromText="180" w:rightFromText="180" w:vertAnchor="text" w:horzAnchor="page" w:tblpX="1535"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7"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2"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将危险废物提供或者委托给无许可证的单位或者其他生产经营者从事经营活动的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 第三款</w:t>
            </w:r>
            <w:r>
              <w:rPr>
                <w:rFonts w:hint="eastAsia" w:ascii="仿宋_GB2312" w:hAnsi="仿宋_GB2312" w:eastAsia="仿宋_GB2312" w:cs="仿宋_GB2312"/>
                <w:sz w:val="24"/>
                <w:szCs w:val="32"/>
              </w:rPr>
              <w:t xml:space="preserve"> 禁止将危险废物提供或者委托给无许可证的单位或者其他生产经营者从事收集、贮存、利用、处置活动。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（四）将危险废物提供或者委托给无许可证的单位或者其他生产经营者从事经营活动的；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5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涉及数量10吨以下的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涉及数量10吨以上20吨以下的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涉及数量20吨以上的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72"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72"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pacing w:val="-20"/>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pacing w:val="-20"/>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rPr>
      </w:pPr>
      <w:r>
        <w:rPr>
          <w:rFonts w:hint="eastAsia"/>
        </w:rPr>
        <w:br w:type="page"/>
      </w:r>
    </w:p>
    <w:tbl>
      <w:tblPr>
        <w:tblStyle w:val="9"/>
        <w:tblpPr w:leftFromText="180" w:rightFromText="180" w:vertAnchor="text" w:horzAnchor="page" w:tblpXSpec="center" w:tblpY="-1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80"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5"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85"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未按照国家有关规定填写、运行危险废物转移联单或者未经批准擅自转移危险废物的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1385"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转移危险废物的，应当按照国家有关规定填写、运行危险废物电子或者纸质转移联单。</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（五）未按照国家有关规定填写、运行危险废物转移联单或者未经批准擅自转移危险废物的；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068"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85"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涉及危险废物数量1吨以上5吨以下的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涉及危险废物数量5吨以上10吨以下的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涉及危险废物数量10吨以上的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8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385"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385"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8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8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8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pacing w:val="-20"/>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85"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pacing w:val="-20"/>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vanish/>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9"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4"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未按照国家环境保护标准贮存、利用、处置危险废物或者将危险废物混入非危险废物中贮存的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1374"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第七十九条</w:t>
            </w:r>
            <w:r>
              <w:rPr>
                <w:rFonts w:hint="eastAsia" w:ascii="仿宋_GB2312" w:hAnsi="仿宋_GB2312" w:eastAsia="仿宋_GB2312" w:cs="仿宋_GB2312"/>
                <w:sz w:val="24"/>
                <w:szCs w:val="32"/>
              </w:rPr>
              <w:t xml:space="preserve"> 产生危险废物的单位，应当按照国家有关规定和环境保护标准要求贮存、利用、处置危险废物，不得擅自倾倒、堆放。</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第八十一条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贮存危险废物应当采取符合国家环境保护标准的防护措施。禁止将危险废物混入非危险废物中贮存。</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（六）未按照国家环境保护标准贮存、利用、处置危险废物或者将危险废物混入非危险废物中贮存的；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057"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74"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未按照国家环境保护标准贮存、利用、处置量1吨以下的</w:t>
            </w:r>
          </w:p>
        </w:tc>
        <w:tc>
          <w:tcPr>
            <w:tcW w:w="180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混合量1吨以下的</w:t>
            </w:r>
          </w:p>
        </w:tc>
        <w:tc>
          <w:tcPr>
            <w:tcW w:w="1809" w:type="dxa"/>
            <w:vMerge w:val="continue"/>
            <w:noWrap w:val="0"/>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未按照国家环境保护标准贮存、利用、处置量1吨以上5吨以下的</w:t>
            </w:r>
          </w:p>
        </w:tc>
        <w:tc>
          <w:tcPr>
            <w:tcW w:w="180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混合量1吨以上5吨以下的</w:t>
            </w:r>
          </w:p>
        </w:tc>
        <w:tc>
          <w:tcPr>
            <w:tcW w:w="1809" w:type="dxa"/>
            <w:vMerge w:val="continue"/>
            <w:noWrap w:val="0"/>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未按照国家环境保护标准贮存、利用、处置量5吨以上10吨以下的</w:t>
            </w:r>
          </w:p>
        </w:tc>
        <w:tc>
          <w:tcPr>
            <w:tcW w:w="180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混合量5吨以上10吨以下的</w:t>
            </w:r>
          </w:p>
        </w:tc>
        <w:tc>
          <w:tcPr>
            <w:tcW w:w="1809" w:type="dxa"/>
            <w:vMerge w:val="continue"/>
            <w:noWrap w:val="0"/>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未按照国家环境保护标准贮存、利用、处置量10吨以上的</w:t>
            </w:r>
          </w:p>
        </w:tc>
        <w:tc>
          <w:tcPr>
            <w:tcW w:w="180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混合量10吨以上的</w:t>
            </w:r>
          </w:p>
        </w:tc>
        <w:tc>
          <w:tcPr>
            <w:tcW w:w="1809" w:type="dxa"/>
            <w:vMerge w:val="continue"/>
            <w:noWrap w:val="0"/>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374"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374"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74"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74"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Pr>
        <w:rPr>
          <w:rFonts w:hint="eastAsia"/>
        </w:rPr>
      </w:pPr>
    </w:p>
    <w:p/>
    <w:p/>
    <w:p/>
    <w:p/>
    <w:p/>
    <w:p/>
    <w:p/>
    <w:p/>
    <w:p/>
    <w:p/>
    <w:p/>
    <w:p/>
    <w:p/>
    <w:p/>
    <w:p/>
    <w:p/>
    <w:p/>
    <w:p/>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3"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未经安全性处置，混合收集、贮存、运输、处置具有不相容性质的危险废物的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第八十一条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收集、贮存危险废物，应当按照危险废物特性分类进行。禁止混合收集、贮存、运输、处置性质不相容而未经安全性处置的危险废物。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（七）未经安全性处置，混合收集、贮存、运输、处置具有不相容性质的危险废物的；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混合量1吨以下的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混合量1吨以上5吨以下的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混合量5吨以上10吨以下的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混合量10吨以上的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3"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8"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将危险废物与旅客在同一运输工具上载运的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88"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第八十三条 第二款</w:t>
            </w:r>
            <w:r>
              <w:rPr>
                <w:rFonts w:hint="eastAsia" w:ascii="仿宋_GB2312" w:hAnsi="仿宋_GB2312" w:eastAsia="仿宋_GB2312" w:cs="仿宋_GB2312"/>
                <w:sz w:val="24"/>
                <w:szCs w:val="32"/>
              </w:rPr>
              <w:t xml:space="preserve"> 禁止将危险废物与旅客在同一运输工具上载运。</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（八）将危险废物与旅客在同一运输工具上载运的；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7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载运危险废物1公斤以下的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载运危险废物1公斤以上5公斤以下的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载运危险废物5公斤以上10公斤以下的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载运危险废物10公斤以上的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88"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88"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8"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997"/>
        <w:gridCol w:w="686"/>
        <w:gridCol w:w="3203"/>
        <w:gridCol w:w="170"/>
        <w:gridCol w:w="1652"/>
        <w:gridCol w:w="14"/>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691" w:hRule="atLeast"/>
        </w:trPr>
        <w:tc>
          <w:tcPr>
            <w:tcW w:w="9067" w:type="dxa"/>
            <w:gridSpan w:val="6"/>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510" w:hRule="atLeast"/>
        </w:trPr>
        <w:tc>
          <w:tcPr>
            <w:tcW w:w="1359"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5"/>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483"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未经消除污染处理，将收集、贮存、运输、处置危险废物的场所、设施、设备和容器、包装物及其他物品转作他用的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2940"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第八十四条</w:t>
            </w:r>
            <w:r>
              <w:rPr>
                <w:rFonts w:hint="eastAsia" w:ascii="仿宋_GB2312" w:hAnsi="仿宋_GB2312" w:eastAsia="仿宋_GB2312" w:cs="仿宋_GB2312"/>
                <w:sz w:val="24"/>
                <w:szCs w:val="32"/>
              </w:rPr>
              <w:t xml:space="preserve"> 收集、贮存、运输、利用、处置危险废物的场所、设施、设备和容器、包装物及其他物品转作他用时，应当按照国家有关规定经过消除污染处理，方可使用。</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（九）未经消除污染处理，将收集、贮存、运输、处置危险废物的场所、设施、设备和容器、包装物及其他物品转作他用的；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39" w:hRule="atLeast"/>
        </w:trPr>
        <w:tc>
          <w:tcPr>
            <w:tcW w:w="404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39" w:hRule="atLeast"/>
        </w:trPr>
        <w:tc>
          <w:tcPr>
            <w:tcW w:w="135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449"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将收集、贮存、运输、处置危险废物的容器、包装物及其他物品转作他用的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CellMar>
            <w:top w:w="0" w:type="dxa"/>
            <w:left w:w="108" w:type="dxa"/>
            <w:bottom w:w="0" w:type="dxa"/>
            <w:right w:w="108" w:type="dxa"/>
          </w:tblCellMar>
        </w:tblPrEx>
        <w:trPr>
          <w:gridAfter w:val="2"/>
          <w:wAfter w:w="30" w:type="dxa"/>
          <w:trHeight w:val="39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将收集、贮存、运输、处置危险废物的设施、设备转作他用的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9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将收集、贮存、运输、处置危险废物的场所转作他用的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5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144"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144" w:hRule="atLeast"/>
        </w:trPr>
        <w:tc>
          <w:tcPr>
            <w:tcW w:w="1359"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CellMar>
            <w:top w:w="0" w:type="dxa"/>
            <w:left w:w="108" w:type="dxa"/>
            <w:bottom w:w="0" w:type="dxa"/>
            <w:right w:w="108" w:type="dxa"/>
          </w:tblCellMar>
        </w:tblPrEx>
        <w:trPr>
          <w:gridAfter w:val="2"/>
          <w:wAfter w:w="30" w:type="dxa"/>
          <w:trHeight w:val="144" w:hRule="atLeast"/>
        </w:trPr>
        <w:tc>
          <w:tcPr>
            <w:tcW w:w="1359"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37"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7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7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5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34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260"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 w:type="dxa"/>
          <w:trHeight w:val="249"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7" w:type="dxa"/>
            <w:gridSpan w:val="8"/>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9"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38" w:type="dxa"/>
            <w:gridSpan w:val="7"/>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38"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未采取相应防范措施，造成危险废物扬散、流失、渗漏或者其他环境污染的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38"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产生、收集、贮存、运输、利用、处置固体废物的单位和其他生产经营者，应当采取防扬散、防流失、防渗漏或者其他防止污染环境的措施，不得擅自倾倒、堆放、丢弃、遗撒固体废物。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（十）未采取相应防范措施，造成危险废物扬散、流失、渗漏或者其他环境污染的；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4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55"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5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7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8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涉及危险废物数量1吨以下的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涉及危险废物数量1吨以上5吨以下的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涉及危险废物数量5吨以上10吨以下的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涉及危险废物数量10吨以上的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59"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59"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CellMar>
            <w:top w:w="0" w:type="dxa"/>
            <w:left w:w="108" w:type="dxa"/>
            <w:bottom w:w="0" w:type="dxa"/>
            <w:right w:w="108" w:type="dxa"/>
          </w:tblCellMar>
        </w:tblPrEx>
        <w:trPr>
          <w:trHeight w:val="337"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373"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82"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373" w:type="dxa"/>
            <w:gridSpan w:val="2"/>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82"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rPr>
                <w:rFonts w:hint="eastAsia" w:ascii="仿宋_GB2312" w:hAnsi="仿宋_GB2312" w:eastAsia="仿宋_GB2312" w:cs="仿宋_GB2312"/>
                <w:sz w:val="24"/>
                <w:szCs w:val="32"/>
              </w:rPr>
            </w:pPr>
          </w:p>
        </w:tc>
        <w:tc>
          <w:tcPr>
            <w:tcW w:w="3373" w:type="dxa"/>
            <w:gridSpan w:val="2"/>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82"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91" w:hRule="atLeast"/>
        </w:trPr>
        <w:tc>
          <w:tcPr>
            <w:tcW w:w="9081" w:type="dxa"/>
            <w:gridSpan w:val="7"/>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10" w:hRule="atLeast"/>
        </w:trPr>
        <w:tc>
          <w:tcPr>
            <w:tcW w:w="1359"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6"/>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83"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在运输过程中沿途丢弃、遗撒危险废物的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940"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产生、收集、贮存、运输、利用、处置固体废物的单位和其他生产经营者，应当采取防扬散、防流失、防渗漏或者其他防止污染环境的措施，不得擅自倾倒、堆放、丢弃、遗撒固体废物。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（十一）在运输过程中沿途丢弃、遗撒危险废物的；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39" w:hRule="atLeast"/>
        </w:trPr>
        <w:tc>
          <w:tcPr>
            <w:tcW w:w="404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39"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39" w:hRule="atLeast"/>
        </w:trPr>
        <w:tc>
          <w:tcPr>
            <w:tcW w:w="135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49"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涉及危险废物数量1吨以下的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涉及危险废物数量1吨以上5吨以下的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9"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涉及危险废物数量5吨以上10吨以下的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涉及危险废物数量10吨以上的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5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2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27" w:hRule="atLeast"/>
        </w:trPr>
        <w:tc>
          <w:tcPr>
            <w:tcW w:w="1359"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27" w:hRule="atLeast"/>
        </w:trPr>
        <w:tc>
          <w:tcPr>
            <w:tcW w:w="1359"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37"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5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7"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6"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49"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97"/>
        <w:gridCol w:w="686"/>
        <w:gridCol w:w="3203"/>
        <w:gridCol w:w="1822"/>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6" w:type="dxa"/>
            <w:gridSpan w:val="6"/>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2"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4" w:type="dxa"/>
            <w:gridSpan w:val="5"/>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4"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未制定危险废物意外事故防范措施或应急预案的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4"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第八十五条</w:t>
            </w:r>
            <w:r>
              <w:rPr>
                <w:rFonts w:hint="eastAsia" w:ascii="仿宋_GB2312" w:hAnsi="仿宋_GB2312" w:eastAsia="仿宋_GB2312" w:cs="仿宋_GB2312"/>
                <w:sz w:val="24"/>
                <w:szCs w:val="32"/>
              </w:rPr>
              <w:t xml:space="preserve">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（十二）未制定危险废物意外事故防范措施和应急预案的；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5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4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8"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涉及危险废物数量1吨以下的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涉及危险废物数量1吨以上5吨以下的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涉及危险废物数量5吨以上10吨以下的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涉及危险废物数量10吨以上的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72"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72"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8"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8"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91" w:hRule="atLeast"/>
        </w:trPr>
        <w:tc>
          <w:tcPr>
            <w:tcW w:w="9080"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10" w:hRule="atLeast"/>
        </w:trPr>
        <w:tc>
          <w:tcPr>
            <w:tcW w:w="1372"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83"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未按照国家有关规定建立危险废物管理台账并如实记录的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940"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第七十八条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第一百一十二条</w:t>
            </w:r>
            <w:r>
              <w:rPr>
                <w:rFonts w:hint="eastAsia" w:ascii="仿宋_GB2312" w:hAnsi="仿宋_GB2312" w:eastAsia="仿宋_GB2312" w:cs="仿宋_GB2312"/>
                <w:sz w:val="24"/>
                <w:szCs w:val="32"/>
              </w:rPr>
              <w:t xml:space="preserve"> 违反本法规定，有下列行为之一，由生态环境主管部门责令改正，处以罚款，没收违法所得；情节严重的，报经有批准权的人民政府批准，可以责令停业或者关闭：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（十三）未按照国家有关规定建立危险废物管理台账并如实记录的。</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39" w:hRule="atLeast"/>
        </w:trPr>
        <w:tc>
          <w:tcPr>
            <w:tcW w:w="405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39" w:hRule="atLeast"/>
        </w:trPr>
        <w:tc>
          <w:tcPr>
            <w:tcW w:w="13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1"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台账更新不及时的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台账弄虚作假的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未建立台账的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5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8"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8" w:hRule="atLeast"/>
        </w:trPr>
        <w:tc>
          <w:tcPr>
            <w:tcW w:w="1372"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8" w:hRule="atLeast"/>
        </w:trPr>
        <w:tc>
          <w:tcPr>
            <w:tcW w:w="1372"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37"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5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7"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2"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997"/>
        <w:gridCol w:w="686"/>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56" w:type="dxa"/>
            <w:gridSpan w:val="5"/>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危险废物产生者未按照规定处置其产生的危险废物被责令改正后拒不改正的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第七十九条</w:t>
            </w:r>
            <w:r>
              <w:rPr>
                <w:rFonts w:hint="eastAsia" w:ascii="仿宋_GB2312" w:hAnsi="仿宋_GB2312" w:eastAsia="仿宋_GB2312" w:cs="仿宋_GB2312"/>
                <w:sz w:val="24"/>
                <w:szCs w:val="32"/>
              </w:rPr>
              <w:t xml:space="preserve"> 产生危险废物的单位，应当按照国家有关规定和环境保护标准要求贮存、利用、处置危险废物，不得擅自倾倒、堆放。</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第一百一十三条</w:t>
            </w:r>
            <w:r>
              <w:rPr>
                <w:rFonts w:hint="eastAsia" w:ascii="仿宋_GB2312" w:hAnsi="仿宋_GB2312" w:eastAsia="仿宋_GB2312" w:cs="仿宋_GB2312"/>
                <w:sz w:val="24"/>
                <w:szCs w:val="32"/>
              </w:rPr>
              <w:t xml:space="preserve">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44"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涉及数量1吨以上3吨以下的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涉及数量3吨以上5吨以下的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涉及数量5吨以上的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61"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
        <w:gridCol w:w="1326"/>
        <w:gridCol w:w="62"/>
        <w:gridCol w:w="1997"/>
        <w:gridCol w:w="686"/>
        <w:gridCol w:w="3203"/>
        <w:gridCol w:w="86"/>
        <w:gridCol w:w="114"/>
        <w:gridCol w:w="134"/>
        <w:gridCol w:w="1475"/>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691" w:hRule="atLeast"/>
        </w:trPr>
        <w:tc>
          <w:tcPr>
            <w:tcW w:w="9112" w:type="dxa"/>
            <w:gridSpan w:val="10"/>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510" w:hRule="atLeast"/>
        </w:trPr>
        <w:tc>
          <w:tcPr>
            <w:tcW w:w="1388" w:type="dxa"/>
            <w:gridSpan w:val="2"/>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4" w:type="dxa"/>
            <w:gridSpan w:val="8"/>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483" w:hRule="atLeast"/>
        </w:trPr>
        <w:tc>
          <w:tcPr>
            <w:tcW w:w="1388"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4" w:type="dxa"/>
            <w:gridSpan w:val="8"/>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无许可证从事收集、贮存、利用、处置危险废物经营活动的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2940" w:hRule="atLeast"/>
        </w:trPr>
        <w:tc>
          <w:tcPr>
            <w:tcW w:w="1388"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4" w:type="dxa"/>
            <w:gridSpan w:val="8"/>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禁止无许可证或者未按照许可证规定从事危险废物收集、贮存、利用、处置的经营活动。</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第一百一十四条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《河北省固体废物污染环境防治条例》</w:t>
            </w:r>
          </w:p>
          <w:p>
            <w:pPr>
              <w:spacing w:line="300" w:lineRule="exact"/>
              <w:jc w:val="left"/>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第七十一条 第一款 </w:t>
            </w:r>
            <w:r>
              <w:rPr>
                <w:rFonts w:hint="eastAsia" w:ascii="仿宋_GB2312" w:hAnsi="仿宋_GB2312" w:eastAsia="仿宋_GB2312" w:cs="仿宋_GB2312"/>
                <w:sz w:val="24"/>
                <w:szCs w:val="32"/>
              </w:rPr>
              <w:t>违反本条例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39" w:hRule="atLeast"/>
        </w:trPr>
        <w:tc>
          <w:tcPr>
            <w:tcW w:w="4071"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41" w:type="dxa"/>
            <w:gridSpan w:val="6"/>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39" w:hRule="atLeast"/>
        </w:trPr>
        <w:tc>
          <w:tcPr>
            <w:tcW w:w="1388"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537"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504"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449"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涉及危险废物数量1吨以下的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9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涉及危险废物数量1吨以上5吨以下的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9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涉及危险废物数量5吨以上10吨以下的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9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涉及危险废物数量10吨以上的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5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118"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118" w:hRule="atLeast"/>
        </w:trPr>
        <w:tc>
          <w:tcPr>
            <w:tcW w:w="1388" w:type="dxa"/>
            <w:gridSpan w:val="2"/>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118" w:hRule="atLeast"/>
        </w:trPr>
        <w:tc>
          <w:tcPr>
            <w:tcW w:w="1388" w:type="dxa"/>
            <w:gridSpan w:val="2"/>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37"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7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7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5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537"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4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537" w:type="dxa"/>
            <w:gridSpan w:val="4"/>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9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537" w:type="dxa"/>
            <w:gridSpan w:val="4"/>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249"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537" w:type="dxa"/>
            <w:gridSpan w:val="4"/>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504"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691" w:hRule="atLeast"/>
        </w:trPr>
        <w:tc>
          <w:tcPr>
            <w:tcW w:w="9112" w:type="dxa"/>
            <w:gridSpan w:val="10"/>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510" w:hRule="atLeast"/>
        </w:trPr>
        <w:tc>
          <w:tcPr>
            <w:tcW w:w="1388" w:type="dxa"/>
            <w:gridSpan w:val="2"/>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4" w:type="dxa"/>
            <w:gridSpan w:val="8"/>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483" w:hRule="atLeast"/>
        </w:trPr>
        <w:tc>
          <w:tcPr>
            <w:tcW w:w="1388"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4" w:type="dxa"/>
            <w:gridSpan w:val="8"/>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未按照许可证规定从事收集、贮存、利用、处置危险废物经营活动的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2940" w:hRule="atLeast"/>
        </w:trPr>
        <w:tc>
          <w:tcPr>
            <w:tcW w:w="1388"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4" w:type="dxa"/>
            <w:gridSpan w:val="8"/>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禁止无许可证或者未按照许可证规定从事危险废物收集、贮存、利用、处置的经营活动。</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第一百一十四条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《河北省固体废物污染环境防治条例》</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第七十一条 第二款 </w:t>
            </w:r>
            <w:r>
              <w:rPr>
                <w:rFonts w:hint="eastAsia" w:ascii="仿宋_GB2312" w:hAnsi="仿宋_GB2312" w:eastAsia="仿宋_GB2312" w:cs="仿宋_GB2312"/>
                <w:sz w:val="24"/>
                <w:szCs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39" w:hRule="atLeast"/>
        </w:trPr>
        <w:tc>
          <w:tcPr>
            <w:tcW w:w="4071"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41" w:type="dxa"/>
            <w:gridSpan w:val="6"/>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39" w:hRule="atLeast"/>
        </w:trPr>
        <w:tc>
          <w:tcPr>
            <w:tcW w:w="1388"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03"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38"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449"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涉及危险废物数量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涉及数量5吨以下的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9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涉及数量5吨以上10吨以下的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9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涉及数量10吨以上的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5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118"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118" w:hRule="atLeast"/>
        </w:trPr>
        <w:tc>
          <w:tcPr>
            <w:tcW w:w="1388" w:type="dxa"/>
            <w:gridSpan w:val="2"/>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118" w:hRule="atLeast"/>
        </w:trPr>
        <w:tc>
          <w:tcPr>
            <w:tcW w:w="1388" w:type="dxa"/>
            <w:gridSpan w:val="2"/>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37"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636"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7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5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4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03"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39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03" w:type="dxa"/>
            <w:gridSpan w:val="3"/>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0" w:type="dxa"/>
          <w:trHeight w:val="249"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rPr>
                <w:rFonts w:hint="eastAsia" w:ascii="仿宋_GB2312" w:hAnsi="仿宋_GB2312" w:eastAsia="仿宋_GB2312" w:cs="仿宋_GB2312"/>
                <w:sz w:val="24"/>
              </w:rPr>
            </w:pPr>
          </w:p>
        </w:tc>
        <w:tc>
          <w:tcPr>
            <w:tcW w:w="3403" w:type="dxa"/>
            <w:gridSpan w:val="3"/>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638"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691" w:hRule="atLeast"/>
        </w:trPr>
        <w:tc>
          <w:tcPr>
            <w:tcW w:w="9083" w:type="dxa"/>
            <w:gridSpan w:val="9"/>
            <w:tcBorders>
              <w:top w:val="single" w:color="auto" w:sz="4" w:space="0"/>
              <w:bottom w:val="single" w:color="auto" w:sz="4" w:space="0"/>
            </w:tcBorders>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510" w:hRule="atLeast"/>
        </w:trPr>
        <w:tc>
          <w:tcPr>
            <w:tcW w:w="1388" w:type="dxa"/>
            <w:gridSpan w:val="2"/>
            <w:tcBorders>
              <w:top w:val="single" w:color="auto" w:sz="4" w:space="0"/>
            </w:tcBorders>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7"/>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483" w:hRule="atLeast"/>
        </w:trPr>
        <w:tc>
          <w:tcPr>
            <w:tcW w:w="1388"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95" w:type="dxa"/>
            <w:gridSpan w:val="7"/>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造成固体废物污染环境事故的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2940" w:hRule="atLeast"/>
        </w:trPr>
        <w:tc>
          <w:tcPr>
            <w:tcW w:w="1388"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7"/>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第五条 </w:t>
            </w:r>
            <w:r>
              <w:rPr>
                <w:rFonts w:hint="eastAsia" w:ascii="仿宋_GB2312" w:hAnsi="仿宋_GB2312" w:eastAsia="仿宋_GB2312" w:cs="仿宋_GB2312"/>
                <w:sz w:val="24"/>
                <w:szCs w:val="32"/>
              </w:rPr>
              <w:t>固体废物污染环境防治坚持污染担责的原则。</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产生、收集、贮存、运输、利用、处置固体废物的单位和个人，应当采取措施，防止或者减少固体废物对环境的污染，对所造成的环境污染依法承担责任。</w:t>
            </w:r>
          </w:p>
          <w:p>
            <w:pPr>
              <w:jc w:val="left"/>
              <w:rPr>
                <w:rFonts w:hint="eastAsia" w:ascii="仿宋_GB2312" w:hAnsi="仿宋_GB2312" w:eastAsia="仿宋_GB2312" w:cs="仿宋_GB2312"/>
                <w:b/>
                <w:bCs/>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《中华人民共和国固体废物污染环境防治法》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第一百一十八条</w:t>
            </w:r>
            <w:r>
              <w:rPr>
                <w:rFonts w:hint="eastAsia" w:ascii="仿宋_GB2312" w:hAnsi="仿宋_GB2312" w:eastAsia="仿宋_GB2312" w:cs="仿宋_GB2312"/>
                <w:sz w:val="24"/>
                <w:szCs w:val="32"/>
              </w:rPr>
              <w:t xml:space="preserve">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39" w:hRule="atLeast"/>
        </w:trPr>
        <w:tc>
          <w:tcPr>
            <w:tcW w:w="4071"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39" w:hRule="atLeast"/>
        </w:trPr>
        <w:tc>
          <w:tcPr>
            <w:tcW w:w="1388"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449"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违法行为种类</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发生一般环境事件（Ⅳ）及其他固体废物污染环境事故的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9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发生较大环境事件（Ⅲ）的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9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发生重大环境事件（Ⅱ）、特别重大环境事件（Ⅰ）的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5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118"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118" w:hRule="atLeast"/>
        </w:trPr>
        <w:tc>
          <w:tcPr>
            <w:tcW w:w="1388" w:type="dxa"/>
            <w:gridSpan w:val="2"/>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118" w:hRule="atLeast"/>
        </w:trPr>
        <w:tc>
          <w:tcPr>
            <w:tcW w:w="1388" w:type="dxa"/>
            <w:gridSpan w:val="2"/>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37"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7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7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5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gridSpan w:val="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47"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09"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392" w:hRule="atLeast"/>
        </w:trPr>
        <w:tc>
          <w:tcPr>
            <w:tcW w:w="1388"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09"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0" w:type="dxa"/>
          <w:wAfter w:w="29" w:type="dxa"/>
          <w:trHeight w:val="249" w:hRule="atLeast"/>
        </w:trPr>
        <w:tc>
          <w:tcPr>
            <w:tcW w:w="1388"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09"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69" w:hRule="atLeast"/>
        </w:trPr>
        <w:tc>
          <w:tcPr>
            <w:tcW w:w="9173" w:type="dxa"/>
            <w:gridSpan w:val="10"/>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510" w:hRule="atLeast"/>
        </w:trPr>
        <w:tc>
          <w:tcPr>
            <w:tcW w:w="1416"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57" w:type="dxa"/>
            <w:gridSpan w:val="8"/>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32" w:hRule="atLeast"/>
        </w:trPr>
        <w:tc>
          <w:tcPr>
            <w:tcW w:w="1416" w:type="dxa"/>
            <w:gridSpan w:val="2"/>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757" w:type="dxa"/>
            <w:gridSpan w:val="8"/>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转让、买卖医疗废物，邮寄或者通过铁路、航空运输医疗废物，或者违反本条例规定通过水路运输医疗废物的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287" w:hRule="atLeast"/>
        </w:trPr>
        <w:tc>
          <w:tcPr>
            <w:tcW w:w="1416"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57" w:type="dxa"/>
            <w:gridSpan w:val="8"/>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《医疗废物管理条例》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第十五条</w:t>
            </w:r>
            <w:r>
              <w:rPr>
                <w:rFonts w:hint="eastAsia" w:ascii="仿宋_GB2312" w:hAnsi="仿宋_GB2312" w:eastAsia="仿宋_GB2312" w:cs="仿宋_GB2312"/>
                <w:sz w:val="24"/>
                <w:szCs w:val="32"/>
              </w:rPr>
              <w:t xml:space="preserve"> 禁止邮寄医疗废物。</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禁止通过铁路、航空运输医疗废物。</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有陆路通道的，禁止通过水路运输医疗废物；没有陆路通道必需经水路运输医疗废物的，应当经设区的市级以上人民政府环境保护行政主管部门批准，并采取严格的环境保护措施后，方可通过水路运输。</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禁止将医疗废物与旅客在同一运输工具上载运。</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禁止在饮用水源保护区的水体上运输医疗废物。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《医疗废物管理条例》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第五十三条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《医疗废物管理行政处罚办法》</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第十六条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有</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"https://www.itslaw.com/search/lawsAndRegulations/lawAndRegulation?searchMode=lawsAndRegulations&amp;lawAndRegulationId=b9ffe1f5-7332-460e-af2a-4c0fbd03209d&amp;lawRegulationArticleId=2384554"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《条例》</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"https://www.itslaw.com/search/lawsAndRegulations/lawAndRegulation?searchMode=lawsAndRegulations&amp;lawAndRegulationId=b9ffe1f5-7332-460e-af2a-4c0fbd03209d&amp;lawRegulationArticleId=1000208437"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第五十三条</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规定的情形，转让、买卖医疗废物，邮寄或者通过铁路、航空运输医疗废物，或者违反</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"https://www.itslaw.com/search/lawsAndRegulations/lawAndRegulation?searchMode=lawsAndRegulations&amp;lawAndRegulationId=b9ffe1f5-7332-460e-af2a-4c0fbd03209d&amp;lawRegulationArticleId=2384554"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《条例》</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39" w:hRule="atLeast"/>
        </w:trPr>
        <w:tc>
          <w:tcPr>
            <w:tcW w:w="4161"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12" w:type="dxa"/>
            <w:gridSpan w:val="5"/>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39" w:hRule="atLeast"/>
        </w:trPr>
        <w:tc>
          <w:tcPr>
            <w:tcW w:w="1416"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5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8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23"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83" w:hRule="atLeast"/>
        </w:trPr>
        <w:tc>
          <w:tcPr>
            <w:tcW w:w="1416"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5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没有违法所得的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69" w:hRule="atLeast"/>
        </w:trPr>
        <w:tc>
          <w:tcPr>
            <w:tcW w:w="1416"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违法所得不足5000元的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0" w:hRule="atLeast"/>
        </w:trPr>
        <w:tc>
          <w:tcPr>
            <w:tcW w:w="1416"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违法所得5000元以上5万以下的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1416"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违法所得5万以上的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91" w:hRule="atLeast"/>
        </w:trPr>
        <w:tc>
          <w:tcPr>
            <w:tcW w:w="1416"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5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00" w:hRule="atLeast"/>
        </w:trPr>
        <w:tc>
          <w:tcPr>
            <w:tcW w:w="1416"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00" w:hRule="atLeast"/>
        </w:trPr>
        <w:tc>
          <w:tcPr>
            <w:tcW w:w="1416" w:type="dxa"/>
            <w:gridSpan w:val="2"/>
            <w:vMerge w:val="continue"/>
            <w:noWrap w:val="0"/>
            <w:vAlign w:val="center"/>
          </w:tcPr>
          <w:p>
            <w:pPr>
              <w:jc w:val="left"/>
            </w:pPr>
          </w:p>
        </w:tc>
        <w:tc>
          <w:tcPr>
            <w:tcW w:w="2059" w:type="dxa"/>
            <w:gridSpan w:val="2"/>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00" w:hRule="atLeast"/>
        </w:trPr>
        <w:tc>
          <w:tcPr>
            <w:tcW w:w="1416" w:type="dxa"/>
            <w:gridSpan w:val="2"/>
            <w:vMerge w:val="continue"/>
            <w:noWrap w:val="0"/>
            <w:vAlign w:val="center"/>
          </w:tcPr>
          <w:p>
            <w:pPr>
              <w:jc w:val="left"/>
              <w:rPr>
                <w:rFonts w:hint="eastAsia" w:ascii="仿宋_GB2312" w:hAnsi="仿宋_GB2312" w:eastAsia="仿宋_GB2312" w:cs="仿宋_GB2312"/>
                <w:sz w:val="24"/>
              </w:rPr>
            </w:pPr>
          </w:p>
        </w:tc>
        <w:tc>
          <w:tcPr>
            <w:tcW w:w="2059" w:type="dxa"/>
            <w:gridSpan w:val="2"/>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3" w:hRule="atLeast"/>
        </w:trPr>
        <w:tc>
          <w:tcPr>
            <w:tcW w:w="1416"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5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3" w:hRule="atLeast"/>
        </w:trPr>
        <w:tc>
          <w:tcPr>
            <w:tcW w:w="1416"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68" w:hRule="atLeast"/>
        </w:trPr>
        <w:tc>
          <w:tcPr>
            <w:tcW w:w="1416"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28" w:hRule="atLeast"/>
        </w:trPr>
        <w:tc>
          <w:tcPr>
            <w:tcW w:w="1416"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205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12" w:hRule="atLeast"/>
        </w:trPr>
        <w:tc>
          <w:tcPr>
            <w:tcW w:w="1416"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88" w:hRule="atLeast"/>
        </w:trPr>
        <w:tc>
          <w:tcPr>
            <w:tcW w:w="1416"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59"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23"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49" w:hRule="atLeast"/>
        </w:trPr>
        <w:tc>
          <w:tcPr>
            <w:tcW w:w="1416" w:type="dxa"/>
            <w:gridSpan w:val="2"/>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59" w:type="dxa"/>
            <w:gridSpan w:val="2"/>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89" w:type="dxa"/>
            <w:gridSpan w:val="2"/>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23" w:type="dxa"/>
            <w:gridSpan w:val="3"/>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890"/>
        <w:gridCol w:w="793"/>
        <w:gridCol w:w="32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08"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6"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承运人明知托运人违反规定运输医疗废物，仍予以运输的</w:t>
            </w:r>
            <w:r>
              <w:rPr>
                <w:rFonts w:hint="eastAsia" w:ascii="仿宋_GB2312" w:hAnsi="仿宋_GB2312" w:eastAsia="仿宋_GB2312" w:cs="仿宋_GB2312"/>
                <w:sz w:val="24"/>
                <w:szCs w:val="32"/>
              </w:rPr>
              <w:t>，</w:t>
            </w:r>
            <w:r>
              <w:rPr>
                <w:rFonts w:ascii="仿宋_GB2312" w:hAnsi="仿宋_GB2312" w:eastAsia="仿宋_GB2312" w:cs="仿宋_GB2312"/>
                <w:sz w:val="24"/>
                <w:szCs w:val="32"/>
              </w:rPr>
              <w:t>或者承运人将医疗废物与旅客在同一工具上载运的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《医疗废物管理条例》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第十五条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禁止邮寄医疗废物。</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禁止通过铁路、航空运输医疗废物。</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有陆路通道的，禁止通过水路运输医疗废物；没有陆路通道必需经水路运输医疗废物的，应当经设区的市级以上人民政府环境保护行政主管部门批准，并采取严格的环境保护措施后，方可通过水路运输。</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禁止将医疗废物与旅客在同一运输工具上载运。</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禁止在饮用水源保护区的水体上运输医疗废物。</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《医疗废物管理条例》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第五十三条</w:t>
            </w:r>
            <w:r>
              <w:rPr>
                <w:rFonts w:ascii="仿宋_GB2312" w:hAnsi="仿宋_GB2312" w:eastAsia="仿宋_GB2312" w:cs="仿宋_GB2312"/>
                <w:sz w:val="24"/>
                <w:szCs w:val="32"/>
              </w:rPr>
              <w:t xml:space="preserve">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承运人明知托运人违反本条例的规定运输医疗废物，仍予以运输的，或者承运人将医疗废物与旅客在同一工具上载运的，按照前款的规定予以处罚。</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《医疗废物管理行政处罚办法》</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第十六条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承运人明知托运人违反</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"https://www.itslaw.com/search/lawsAndRegulations/lawAndRegulation?searchMode=lawsAndRegulations&amp;lawAndRegulationId=b9ffe1f5-7332-460e-af2a-4c0fbd03209d&amp;lawRegulationArticleId=2384554"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《条例》</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的规定运输医疗废物，仍予以运输的，按照前款的规定予以处罚；承运人将医疗废物与旅客在同一工具上载运的，由县级以上人民政府环境保护行政主管部门依照</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"https://www.itslaw.com/search/lawsAndRegulations/lawAndRegulation?searchMode=lawsAndRegulations&amp;lawAndRegulationId=c26bc53c-b04e-4f36-b6be-64f4376335f8&amp;lawRegulationArticleId=2383014"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《中华人民共和国固体废物污染环境防治法》</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"https://www.itslaw.com/search/lawsAndRegulations/lawAndRegulation?searchMode=lawsAndRegulations&amp;lawAndRegulationId=c26bc53c-b04e-4f36-b6be-64f4376335f8&amp;lawRegulationArticleId=1000057246"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第七十五条</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规定责令停止违法行为，限期改正，处一万元以上十万元以下的罚款。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载运医疗废物1公斤以下的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载运医疗废物1公斤以上5公斤以下的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载运医疗废物5公斤以上10公斤以下的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载运医疗废物10公斤以上的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noWrap w:val="0"/>
            <w:vAlign w:val="center"/>
          </w:tcPr>
          <w:p>
            <w:pPr>
              <w:jc w:val="left"/>
            </w:pPr>
          </w:p>
        </w:tc>
        <w:tc>
          <w:tcPr>
            <w:tcW w:w="1890" w:type="dxa"/>
            <w:vMerge w:val="continue"/>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noWrap w:val="0"/>
            <w:vAlign w:val="center"/>
          </w:tcPr>
          <w:p>
            <w:pPr>
              <w:jc w:val="left"/>
              <w:rPr>
                <w:rFonts w:hint="eastAsia" w:ascii="仿宋_GB2312" w:hAnsi="仿宋_GB2312" w:eastAsia="仿宋_GB2312" w:cs="仿宋_GB2312"/>
                <w:sz w:val="24"/>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是否及时进行整改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造成社会影响与生态破坏</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w:t>
            </w:r>
          </w:p>
        </w:tc>
        <w:tc>
          <w:tcPr>
            <w:tcW w:w="183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890"/>
        <w:gridCol w:w="793"/>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054"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59"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jc w:val="left"/>
              <w:rPr>
                <w:rFonts w:ascii="仿宋_GB2312" w:hAnsi="仿宋_GB2312" w:eastAsia="仿宋_GB2312" w:cs="仿宋_GB2312"/>
                <w:sz w:val="24"/>
                <w:szCs w:val="32"/>
              </w:rPr>
            </w:pPr>
            <w:r>
              <w:rPr>
                <w:rFonts w:ascii="仿宋_GB2312" w:hAnsi="仿宋_GB2312" w:eastAsia="仿宋_GB2312" w:cs="仿宋_GB2312"/>
                <w:sz w:val="24"/>
                <w:szCs w:val="32"/>
              </w:rPr>
              <w:t>（一）贮存设施或者设备不符合环境保护、卫生要求的；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（二）未将医疗废物按照类别分置于专用包装物或者容器的；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（三）未使用符合标准的专用车辆运送医疗废物或者使用运送医疗废物的车辆运送其他物品的；</w:t>
            </w:r>
          </w:p>
          <w:p>
            <w:pPr>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（四）未安装污染物排放在线监控装置或者监控装置未经常处于正常运行状态的。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《医疗废物管理条例》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第十六条</w:t>
            </w:r>
            <w:r>
              <w:rPr>
                <w:rFonts w:hint="eastAsia" w:ascii="仿宋_GB2312" w:hAnsi="仿宋_GB2312" w:eastAsia="仿宋_GB2312" w:cs="仿宋_GB2312"/>
                <w:sz w:val="24"/>
                <w:szCs w:val="32"/>
              </w:rPr>
              <w:t xml:space="preserve"> 医疗卫生机构应当及时收集本单位产生的医疗废物，并按照类别分置于防渗漏、防锐器穿透的专用包装物或者密闭的容器内。</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医疗废物专用包装物、容器，应当有明显的警示标识和警示说明。</w:t>
            </w: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医疗废物专用包装物、容器的标准和警示标识的规定，由国务院卫生行政主管部门和环境保护行政主管部门共同制定。</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第十七条</w:t>
            </w:r>
            <w:r>
              <w:rPr>
                <w:rFonts w:hint="eastAsia" w:ascii="仿宋_GB2312" w:hAnsi="仿宋_GB2312" w:eastAsia="仿宋_GB2312" w:cs="仿宋_GB2312"/>
                <w:sz w:val="24"/>
                <w:szCs w:val="32"/>
              </w:rPr>
              <w:t xml:space="preserve"> 医疗卫生机构应当建立医疗废物的暂时贮存设施、设备，不得露天存放医疗废物；医疗废物暂时贮存的时间不得超过 2</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天。</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医疗废物的暂时贮存设施、设备，应当远离医疗区、食品加工区和人员活动区以及生活垃圾存放场所，并设置明显的警示标识和防渗漏、防鼠、防蚊蝇、防蟑螂、防盗以及预防儿童接触等安全措施。</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医疗废物的暂时贮存设施、设备应当定期消毒和清洁。</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第二十六条</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医疗废物集中处置单位运送医疗废物，应当遵守国家有关危险货物运输管理的规定，使用有明显医疗废物标识的专用车辆。医疗废物专用车辆应当达到防渗漏、防遗撒以及其他环境保护和卫生要求。</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运送医疗废物的专用车辆使用后，应当在医疗废物集中处置场所内及时进行消毒和清洁。</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运送医疗废物的专用车辆不得运送其他物品。</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第二十八条</w:t>
            </w:r>
            <w:r>
              <w:rPr>
                <w:rFonts w:hint="eastAsia" w:ascii="仿宋_GB2312" w:hAnsi="仿宋_GB2312" w:eastAsia="仿宋_GB2312" w:cs="仿宋_GB2312"/>
                <w:sz w:val="24"/>
                <w:szCs w:val="32"/>
              </w:rPr>
              <w:t xml:space="preserve"> 医疗废物集中处置单位应当安装污染物排放在线监控装置，并确保监控装置经常处于正常运行状态。</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《医疗废物管理条例》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第四十六条</w:t>
            </w:r>
            <w:r>
              <w:rPr>
                <w:rFonts w:ascii="仿宋_GB2312" w:hAnsi="仿宋_GB2312" w:eastAsia="仿宋_GB2312" w:cs="仿宋_GB2312"/>
                <w:sz w:val="24"/>
                <w:szCs w:val="32"/>
              </w:rPr>
              <w:t xml:space="preserve">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5000 元以上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3 万元以下的罚款：</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（一）贮存设施或者设备不符合环境保护、卫生要求的；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（二）未将医疗废物按照类别分置于专用包装物或者容器的；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（三）未使用符合标准的专用车辆运送医疗废物或者使用运送医疗废物的车辆运送其他物品的；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（四）未安装污染物排放在线监控装置或者监控装置未经常处于正常运行状态的。</w:t>
            </w:r>
          </w:p>
          <w:p>
            <w:pPr>
              <w:jc w:val="left"/>
              <w:rPr>
                <w:rFonts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hint="eastAsia" w:ascii="仿宋_GB2312" w:hAnsi="仿宋_GB2312" w:eastAsia="仿宋_GB2312" w:cs="仿宋_GB2312"/>
                <w:b/>
                <w:bCs/>
                <w:sz w:val="24"/>
                <w:szCs w:val="32"/>
              </w:rPr>
              <w:t>《医疗废物管理行政处罚办法》</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第六条</w:t>
            </w:r>
            <w:r>
              <w:rPr>
                <w:rFonts w:ascii="仿宋_GB2312" w:hAnsi="仿宋_GB2312" w:eastAsia="仿宋_GB2312" w:cs="仿宋_GB2312"/>
                <w:sz w:val="24"/>
                <w:szCs w:val="32"/>
              </w:rPr>
              <w:t xml:space="preserve"> 医疗废物集中处置单位有</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"https://www.itslaw.com/search/lawsAndRegulations/lawAndRegulation?searchMode=lawsAndRegulations&amp;lawAndRegulationId=b9ffe1f5-7332-460e-af2a-4c0fbd03209d&amp;lawRegulationArticleId=2384554"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《条例》</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HYPERLINK "https://www.itslaw.com/search/lawsAndRegulations/lawAndRegulation?searchMode=lawsAndRegulations&amp;lawAndRegulationId=b9ffe1f5-7332-460e-af2a-4c0fbd03209d&amp;lawRegulationArticleId=1000208413" \t "https://www.itslaw.com/_blank"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第四十六条</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规定的下列情形之一的，由县级以上地方人民政府环境保护行政主管部门责令限期改正，给予警告，可以并处5000元以下的罚款，逾期不改正的，处5000元以上3万元以下的罚款：</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（一）贮存设施或者设备不符合环境保护、卫生要求的；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（二）未将医疗废物按照类别分置于专用包装物或者容器的；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（三）未使用符合标准的专用车辆运送医疗废物的；</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（四）未安装污染物排放在线监控装置或者监控装置未经常处于正常运行状态的。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5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5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医疗机构级别</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一级医疗卫生机构的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35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二级医疗卫生机构的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5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三级医疗卫生机构/医疗废物集中处置单位的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5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5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5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5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890"/>
        <w:gridCol w:w="793"/>
        <w:gridCol w:w="3203"/>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067"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72"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widowControl/>
              <w:jc w:val="left"/>
              <w:textAlignment w:val="center"/>
              <w:rPr>
                <w:rFonts w:hint="eastAsia" w:ascii="仿宋_GB2312" w:hAnsi="仿宋_GB2312" w:eastAsia="仿宋_GB2312" w:cs="仿宋_GB2312"/>
                <w:sz w:val="24"/>
                <w:szCs w:val="32"/>
              </w:rPr>
            </w:pPr>
            <w:r>
              <w:rPr>
                <w:rFonts w:ascii="仿宋_GB2312" w:hAnsi="仿宋_GB2312" w:eastAsia="仿宋_GB2312" w:cs="仿宋_GB2312"/>
                <w:sz w:val="24"/>
                <w:szCs w:val="32"/>
              </w:rPr>
              <w:t>在运送过程中丢弃医疗废物，在非贮存地点倾倒、堆放医疗废物或者将医疗废物混入其他废物和生活垃圾的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《医疗废物管理条例》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第十四条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禁止在运送过程中丢弃医疗废物；禁止在非贮存地点倾倒、堆放医疗废物或者将医疗废物混入其他废物和生活垃圾。</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《医疗废物管理条例》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第四十七条</w:t>
            </w:r>
            <w:r>
              <w:rPr>
                <w:rFonts w:ascii="仿宋_GB2312" w:hAnsi="仿宋_GB2312" w:eastAsia="仿宋_GB2312" w:cs="仿宋_GB2312"/>
                <w:sz w:val="24"/>
                <w:szCs w:val="32"/>
              </w:rPr>
              <w:t xml:space="preserve"> 医疗卫生机构、医疗废物集中处置单位有下列情形之一的，由县级以上地方人民政府卫生行政主管部门或者环境保护行政主管部门按照各自的职责责令限期改正，给予警告，并处</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5000 元以上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1 万元以下的罚款；逾期不改正的，处</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1 万元以上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3 万元以下的罚款；造成传染病传播或者环境污染事故的，由原发证部门暂扣或者吊销执业许可证件或者经营许可证件；构成犯罪的，依法追究刑事责任:</w:t>
            </w:r>
          </w:p>
          <w:p>
            <w:pPr>
              <w:jc w:val="left"/>
              <w:rPr>
                <w:rFonts w:ascii="仿宋_GB2312" w:hAnsi="仿宋_GB2312" w:eastAsia="仿宋_GB2312" w:cs="仿宋_GB2312"/>
                <w:sz w:val="24"/>
                <w:szCs w:val="32"/>
              </w:rPr>
            </w:pPr>
            <w:r>
              <w:rPr>
                <w:rFonts w:ascii="仿宋_GB2312" w:hAnsi="仿宋_GB2312" w:eastAsia="仿宋_GB2312" w:cs="仿宋_GB2312"/>
                <w:sz w:val="24"/>
                <w:szCs w:val="32"/>
              </w:rPr>
              <w:t>（一）在运送过程中丢弃医疗废物，在非贮存地点倾倒、堆放医疗废物或者将医疗废物混入其他废物和生活垃圾的；</w:t>
            </w:r>
          </w:p>
          <w:p>
            <w:pPr>
              <w:jc w:val="left"/>
              <w:rPr>
                <w:rFonts w:ascii="仿宋_GB2312" w:hAnsi="仿宋_GB2312" w:eastAsia="仿宋_GB2312" w:cs="仿宋_GB2312"/>
                <w:sz w:val="24"/>
                <w:szCs w:val="32"/>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《医疗废物管理行政处罚办法》</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第八条</w:t>
            </w:r>
            <w:r>
              <w:rPr>
                <w:rFonts w:ascii="仿宋_GB2312" w:hAnsi="仿宋_GB2312" w:eastAsia="仿宋_GB2312" w:cs="仿宋_GB2312"/>
                <w:sz w:val="24"/>
                <w:szCs w:val="32"/>
              </w:rPr>
              <w:t xml:space="preserve">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CellMar>
            <w:top w:w="0" w:type="dxa"/>
            <w:left w:w="108" w:type="dxa"/>
            <w:bottom w:w="0" w:type="dxa"/>
            <w:right w:w="108" w:type="dxa"/>
          </w:tblCellMar>
        </w:tblPrEx>
        <w:trPr>
          <w:trHeight w:val="183" w:hRule="atLeast"/>
        </w:trPr>
        <w:tc>
          <w:tcPr>
            <w:tcW w:w="137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涉及医疗废物1吨以下的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涉及医疗废物1吨以上3吨以下的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涉及医疗废物3吨以上的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混合量1吨以下的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混合量1吨以上5吨以下的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混合量5吨以上10吨以下的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混合量10吨以上的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7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7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890"/>
        <w:gridCol w:w="793"/>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094"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6"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ascii="仿宋_GB2312" w:hAnsi="仿宋_GB2312" w:eastAsia="仿宋_GB2312" w:cs="仿宋_GB2312"/>
                <w:sz w:val="24"/>
                <w:szCs w:val="32"/>
              </w:rPr>
            </w:pPr>
            <w:r>
              <w:rPr>
                <w:rFonts w:ascii="仿宋_GB2312" w:hAnsi="仿宋_GB2312" w:eastAsia="仿宋_GB2312" w:cs="仿宋_GB2312"/>
                <w:sz w:val="24"/>
                <w:szCs w:val="32"/>
              </w:rPr>
              <w:t>（一）未执行危险废物转移联单管理制度的；</w:t>
            </w:r>
          </w:p>
          <w:p>
            <w:pPr>
              <w:widowControl/>
              <w:jc w:val="left"/>
              <w:textAlignment w:val="center"/>
              <w:rPr>
                <w:rFonts w:hint="eastAsia" w:ascii="仿宋_GB2312" w:hAnsi="仿宋_GB2312" w:eastAsia="仿宋_GB2312" w:cs="仿宋_GB2312"/>
                <w:sz w:val="24"/>
                <w:szCs w:val="32"/>
              </w:rPr>
            </w:pPr>
            <w:r>
              <w:rPr>
                <w:rFonts w:ascii="仿宋_GB2312" w:hAnsi="仿宋_GB2312" w:eastAsia="仿宋_GB2312" w:cs="仿宋_GB2312"/>
                <w:sz w:val="24"/>
                <w:szCs w:val="32"/>
              </w:rPr>
              <w:t>（二）将医疗废物交给或委托给未取得经营许可证的单位或者个人收集、运送、贮存、处置的</w:t>
            </w:r>
            <w:r>
              <w:rPr>
                <w:rFonts w:hint="eastAsia" w:ascii="仿宋_GB2312" w:hAnsi="仿宋_GB2312" w:eastAsia="仿宋_GB2312" w:cs="仿宋_GB2312"/>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《医疗废物管理条例》</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第十一条</w:t>
            </w:r>
            <w:r>
              <w:rPr>
                <w:rFonts w:ascii="仿宋_GB2312" w:hAnsi="仿宋_GB2312" w:eastAsia="仿宋_GB2312" w:cs="仿宋_GB2312"/>
                <w:sz w:val="24"/>
                <w:szCs w:val="32"/>
              </w:rPr>
              <w:t xml:space="preserve"> 医疗卫生机构和医疗废物集中处置单位，应当依照《中华人民共和国固体废物污染环境防治法》的规定，执行危险废物转移联单管理制度。</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b/>
                <w:bCs/>
                <w:sz w:val="24"/>
                <w:szCs w:val="32"/>
              </w:rPr>
              <w:t>第二十二条</w:t>
            </w:r>
            <w:r>
              <w:rPr>
                <w:rFonts w:ascii="仿宋_GB2312" w:hAnsi="仿宋_GB2312" w:eastAsia="仿宋_GB2312" w:cs="仿宋_GB2312"/>
                <w:sz w:val="24"/>
                <w:szCs w:val="32"/>
              </w:rPr>
              <w:t xml:space="preserve"> 从事医疗废物集中处置活动的单位，应当向县级以上人民政府环境保护行政主管部门申请领取经营许可证；未取得经营许可证的单位，不得从事有关医疗废物集中处置的活动。</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《医疗废物管理条例》</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第四十七条</w:t>
            </w:r>
            <w:r>
              <w:rPr>
                <w:rFonts w:ascii="仿宋_GB2312" w:hAnsi="仿宋_GB2312" w:eastAsia="仿宋_GB2312" w:cs="仿宋_GB2312"/>
                <w:sz w:val="24"/>
                <w:szCs w:val="32"/>
              </w:rPr>
              <w:t xml:space="preserve"> 医疗卫生机构、医疗废物集中处置单位有下列情形之一的，由县级以上地方人民政府卫生行政主管部门或者环境保护行政主管部门按照各自的职责责令限期改正，给予警告，并处</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5000 元以上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1 万元以下的罚款；逾期不改正的，处</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1 万元以上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3 万元以下的罚款；造成传染病传播或者环境污染事故的，由原发证部门暂扣或者吊销执业许可证件或者经营许可证件；构成犯罪的，依法追究刑事责任:</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sz w:val="24"/>
                <w:szCs w:val="32"/>
              </w:rPr>
              <w:t>（二）未执行危险废物转移联单管理制度的；</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sz w:val="24"/>
                <w:szCs w:val="32"/>
              </w:rPr>
              <w:t>（三）将医疗废物交给未取得经营许可证的单位或者个人收集、运送、贮存、处置的；</w:t>
            </w:r>
          </w:p>
          <w:p>
            <w:pPr>
              <w:spacing w:line="300" w:lineRule="exact"/>
              <w:jc w:val="left"/>
              <w:rPr>
                <w:rFonts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《医疗废物管理行政处罚办法》</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第十条</w:t>
            </w:r>
            <w:r>
              <w:rPr>
                <w:rFonts w:ascii="仿宋_GB2312" w:hAnsi="仿宋_GB2312" w:eastAsia="仿宋_GB2312" w:cs="仿宋_GB2312"/>
                <w:sz w:val="24"/>
                <w:szCs w:val="32"/>
              </w:rPr>
              <w:t xml:space="preserve">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sz w:val="24"/>
                <w:szCs w:val="32"/>
              </w:rPr>
              <w:t>（一）未执行危险废物转移联单管理制度的；</w:t>
            </w:r>
          </w:p>
          <w:p>
            <w:pPr>
              <w:spacing w:line="300" w:lineRule="exact"/>
              <w:jc w:val="left"/>
              <w:rPr>
                <w:rFonts w:ascii="仿宋_GB2312" w:hAnsi="仿宋_GB2312" w:eastAsia="仿宋_GB2312" w:cs="仿宋_GB2312"/>
                <w:sz w:val="24"/>
                <w:szCs w:val="32"/>
              </w:rPr>
            </w:pPr>
            <w:r>
              <w:rPr>
                <w:rFonts w:ascii="仿宋_GB2312" w:hAnsi="仿宋_GB2312" w:eastAsia="仿宋_GB2312" w:cs="仿宋_GB2312"/>
                <w:sz w:val="24"/>
                <w:szCs w:val="32"/>
              </w:rPr>
              <w:t>（二）将医疗废物交给或委托给未取得经营许可证的单位或者个人收集、运送、贮存、处置的。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8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涉及医疗废物1吨以下的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涉及医疗废物1吨以上3吨以下的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涉及医疗废物3吨以上的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890"/>
        <w:gridCol w:w="793"/>
        <w:gridCol w:w="3203"/>
        <w:gridCol w:w="180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79" w:hRule="atLeast"/>
        </w:trPr>
        <w:tc>
          <w:tcPr>
            <w:tcW w:w="9081"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10"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95"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29" w:hRule="atLeast"/>
        </w:trPr>
        <w:tc>
          <w:tcPr>
            <w:tcW w:w="1386"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95" w:type="dxa"/>
            <w:gridSpan w:val="4"/>
            <w:noWrap w:val="0"/>
            <w:vAlign w:val="center"/>
          </w:tcPr>
          <w:p>
            <w:pPr>
              <w:widowControl/>
              <w:jc w:val="left"/>
              <w:textAlignment w:val="center"/>
              <w:rPr>
                <w:rFonts w:hint="eastAsia" w:ascii="仿宋_GB2312" w:hAnsi="仿宋_GB2312" w:eastAsia="仿宋_GB2312" w:cs="仿宋_GB2312"/>
                <w:sz w:val="24"/>
                <w:szCs w:val="32"/>
              </w:rPr>
            </w:pPr>
            <w:r>
              <w:rPr>
                <w:rFonts w:ascii="仿宋_GB2312" w:hAnsi="仿宋_GB2312" w:eastAsia="仿宋_GB2312" w:cs="仿宋_GB2312"/>
                <w:sz w:val="24"/>
                <w:szCs w:val="32"/>
              </w:rPr>
              <w:t>对医疗废物的处置不符合国家规定的环境保护、卫生标准、规范的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87"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95" w:type="dxa"/>
            <w:gridSpan w:val="4"/>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《医疗废物管理条例》</w:t>
            </w: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第二十九条</w:t>
            </w:r>
            <w:r>
              <w:rPr>
                <w:rFonts w:hint="eastAsia" w:ascii="仿宋_GB2312" w:hAnsi="仿宋_GB2312" w:eastAsia="仿宋_GB2312" w:cs="仿宋_GB2312"/>
                <w:sz w:val="24"/>
              </w:rPr>
              <w:t xml:space="preserve"> 医疗废物集中处置单位处置医疗废物，应当符合国家规定的环境保护、卫生标准、规范。</w:t>
            </w:r>
          </w:p>
          <w:p>
            <w:pPr>
              <w:spacing w:line="280" w:lineRule="exact"/>
              <w:jc w:val="left"/>
              <w:rPr>
                <w:rFonts w:hint="eastAsia" w:ascii="仿宋_GB2312" w:hAnsi="仿宋_GB2312" w:eastAsia="仿宋_GB2312" w:cs="仿宋_GB2312"/>
                <w:sz w:val="24"/>
              </w:rPr>
            </w:pP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《医疗废物管理条例》</w:t>
            </w:r>
          </w:p>
          <w:p>
            <w:pPr>
              <w:spacing w:line="280" w:lineRule="exact"/>
              <w:jc w:val="left"/>
              <w:rPr>
                <w:rFonts w:ascii="仿宋_GB2312" w:hAnsi="仿宋_GB2312" w:eastAsia="仿宋_GB2312" w:cs="仿宋_GB2312"/>
                <w:sz w:val="24"/>
              </w:rPr>
            </w:pPr>
            <w:r>
              <w:rPr>
                <w:rFonts w:ascii="仿宋_GB2312" w:hAnsi="仿宋_GB2312" w:eastAsia="仿宋_GB2312" w:cs="仿宋_GB2312"/>
                <w:b/>
                <w:bCs/>
                <w:sz w:val="24"/>
              </w:rPr>
              <w:t>第四十七条</w:t>
            </w:r>
            <w:r>
              <w:rPr>
                <w:rFonts w:hint="eastAsia" w:ascii="仿宋_GB2312" w:hAnsi="仿宋_GB2312" w:eastAsia="仿宋_GB2312" w:cs="仿宋_GB2312"/>
                <w:b/>
                <w:bCs/>
                <w:sz w:val="24"/>
              </w:rPr>
              <w:t xml:space="preserve"> </w:t>
            </w:r>
            <w:r>
              <w:rPr>
                <w:rFonts w:ascii="仿宋_GB2312" w:hAnsi="仿宋_GB2312" w:eastAsia="仿宋_GB2312" w:cs="仿宋_GB2312"/>
                <w:sz w:val="24"/>
              </w:rPr>
              <w:t>医疗卫生机构、医疗废物集中处置单位有下列情形之一的，由县级以上地方人民政府卫生行政主管部门或者环境保护行政主管部门按照各自的职责责令限期改正，给予警告，并处</w:t>
            </w:r>
            <w:r>
              <w:rPr>
                <w:rFonts w:hint="eastAsia" w:ascii="仿宋_GB2312" w:hAnsi="仿宋_GB2312" w:eastAsia="仿宋_GB2312" w:cs="仿宋_GB2312"/>
                <w:sz w:val="24"/>
              </w:rPr>
              <w:t xml:space="preserve"> </w:t>
            </w:r>
            <w:r>
              <w:rPr>
                <w:rFonts w:ascii="仿宋_GB2312" w:hAnsi="仿宋_GB2312" w:eastAsia="仿宋_GB2312" w:cs="仿宋_GB2312"/>
                <w:sz w:val="24"/>
              </w:rPr>
              <w:t>5000 元以上</w:t>
            </w:r>
            <w:r>
              <w:rPr>
                <w:rFonts w:hint="eastAsia" w:ascii="仿宋_GB2312" w:hAnsi="仿宋_GB2312" w:eastAsia="仿宋_GB2312" w:cs="仿宋_GB2312"/>
                <w:sz w:val="24"/>
              </w:rPr>
              <w:t xml:space="preserve"> </w:t>
            </w:r>
            <w:r>
              <w:rPr>
                <w:rFonts w:ascii="仿宋_GB2312" w:hAnsi="仿宋_GB2312" w:eastAsia="仿宋_GB2312" w:cs="仿宋_GB2312"/>
                <w:sz w:val="24"/>
              </w:rPr>
              <w:t>1 万元以下的罚款；逾期不改正的，处</w:t>
            </w:r>
            <w:r>
              <w:rPr>
                <w:rFonts w:hint="eastAsia" w:ascii="仿宋_GB2312" w:hAnsi="仿宋_GB2312" w:eastAsia="仿宋_GB2312" w:cs="仿宋_GB2312"/>
                <w:sz w:val="24"/>
              </w:rPr>
              <w:t xml:space="preserve"> </w:t>
            </w:r>
            <w:r>
              <w:rPr>
                <w:rFonts w:ascii="仿宋_GB2312" w:hAnsi="仿宋_GB2312" w:eastAsia="仿宋_GB2312" w:cs="仿宋_GB2312"/>
                <w:sz w:val="24"/>
              </w:rPr>
              <w:t>1 万元以上</w:t>
            </w:r>
            <w:r>
              <w:rPr>
                <w:rFonts w:hint="eastAsia" w:ascii="仿宋_GB2312" w:hAnsi="仿宋_GB2312" w:eastAsia="仿宋_GB2312" w:cs="仿宋_GB2312"/>
                <w:sz w:val="24"/>
              </w:rPr>
              <w:t xml:space="preserve"> </w:t>
            </w:r>
            <w:r>
              <w:rPr>
                <w:rFonts w:ascii="仿宋_GB2312" w:hAnsi="仿宋_GB2312" w:eastAsia="仿宋_GB2312" w:cs="仿宋_GB2312"/>
                <w:sz w:val="24"/>
              </w:rPr>
              <w:t>3 万元以下的罚款；造成传染病传播或者环境污染事故的，由原发证部门暂扣或者吊销执业许可证件或者经营许可证件；构成犯罪的，依法追究刑事责任：</w:t>
            </w:r>
          </w:p>
          <w:p>
            <w:pPr>
              <w:spacing w:line="280" w:lineRule="exact"/>
              <w:jc w:val="left"/>
              <w:rPr>
                <w:rFonts w:ascii="仿宋_GB2312" w:hAnsi="仿宋_GB2312" w:eastAsia="仿宋_GB2312" w:cs="仿宋_GB2312"/>
                <w:sz w:val="24"/>
              </w:rPr>
            </w:pPr>
            <w:r>
              <w:rPr>
                <w:rFonts w:ascii="仿宋_GB2312" w:hAnsi="仿宋_GB2312" w:eastAsia="仿宋_GB2312" w:cs="仿宋_GB2312"/>
                <w:sz w:val="24"/>
              </w:rPr>
              <w:t>（四）对医疗废物的处置不符合国家规定的环境保护、卫生标准、规范的；</w:t>
            </w:r>
          </w:p>
          <w:p>
            <w:pPr>
              <w:spacing w:line="280" w:lineRule="exact"/>
              <w:jc w:val="left"/>
              <w:rPr>
                <w:rFonts w:ascii="仿宋_GB2312" w:hAnsi="仿宋_GB2312" w:eastAsia="仿宋_GB2312" w:cs="仿宋_GB2312"/>
                <w:sz w:val="24"/>
              </w:rPr>
            </w:pPr>
          </w:p>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《医疗废物管理行政处罚办法》</w:t>
            </w:r>
          </w:p>
          <w:p>
            <w:pPr>
              <w:spacing w:line="28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第九条</w:t>
            </w:r>
            <w:r>
              <w:rPr>
                <w:rFonts w:hint="eastAsia" w:ascii="仿宋_GB2312" w:hAnsi="仿宋_GB2312" w:eastAsia="仿宋_GB2312" w:cs="仿宋_GB2312"/>
                <w:sz w:val="24"/>
              </w:rPr>
              <w:t xml:space="preserve"> 医疗废物集中处置单位和依照</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"https://www.itslaw.com/search/lawsAndRegulations/lawAndRegulation?searchMode=lawsAndRegulations&amp;lawAndRegulationId=b9ffe1f5-7332-460e-af2a-4c0fbd03209d&amp;lawRegulationArticleId=2384554" \t "https://www.itslaw.com/_blank"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《条例》</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自行建有医疗废物处置设施的医疗卫生机构，有</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"https://www.itslaw.com/search/lawsAndRegulations/lawAndRegulation?searchMode=lawsAndRegulations&amp;lawAndRegulationId=b9ffe1f5-7332-460e-af2a-4c0fbd03209d&amp;lawRegulationArticleId=2384554" \t "https://www.itslaw.com/_blank"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《条例》</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"https://www.itslaw.com/search/lawsAndRegulations/lawAndRegulation?searchMode=lawsAndRegulations&amp;lawAndRegulationId=b9ffe1f5-7332-460e-af2a-4c0fbd03209d&amp;lawRegulationArticleId=1000208419" \t "https://www.itslaw.com/_blank"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第四十七条</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规定的情形，对医疗废物的处置不符合国家规定的环境保护、卫生标准、规范的，由县级以上地方人民政府环境保护行政主管部门责令限期改正，给予警告，并处 5000</w:t>
            </w:r>
            <w:r>
              <w:rPr>
                <w:rFonts w:ascii="仿宋_GB2312" w:hAnsi="仿宋_GB2312" w:eastAsia="仿宋_GB2312" w:cs="仿宋_GB2312"/>
                <w:sz w:val="24"/>
              </w:rPr>
              <w:t xml:space="preserve"> </w:t>
            </w:r>
            <w:r>
              <w:rPr>
                <w:rFonts w:hint="eastAsia" w:ascii="仿宋_GB2312" w:hAnsi="仿宋_GB2312" w:eastAsia="仿宋_GB2312" w:cs="仿宋_GB2312"/>
                <w:sz w:val="24"/>
              </w:rPr>
              <w:t>元以上 1</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万元以下的罚款；逾期不改正的，处 1</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3</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trPr>
        <w:tc>
          <w:tcPr>
            <w:tcW w:w="406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70" w:hRule="atLeast"/>
        </w:trPr>
        <w:tc>
          <w:tcPr>
            <w:tcW w:w="138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83"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医疗机构级别</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一级医疗卫生机构的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58"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二级医疗卫生机构的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7"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三级医疗卫生机构/医疗废物集中处置单位的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2"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00"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00" w:hRule="atLeast"/>
        </w:trPr>
        <w:tc>
          <w:tcPr>
            <w:tcW w:w="1386"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00" w:hRule="atLeast"/>
        </w:trPr>
        <w:tc>
          <w:tcPr>
            <w:tcW w:w="1386"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87"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57"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8"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81"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84"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0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4" w:hRule="atLeast"/>
        </w:trPr>
        <w:tc>
          <w:tcPr>
            <w:tcW w:w="9108" w:type="dxa"/>
            <w:gridSpan w:val="6"/>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5"/>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2" w:hRule="atLeast"/>
        </w:trPr>
        <w:tc>
          <w:tcPr>
            <w:tcW w:w="1386"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722" w:type="dxa"/>
            <w:gridSpan w:val="5"/>
            <w:noWrap w:val="0"/>
            <w:vAlign w:val="center"/>
          </w:tcPr>
          <w:p>
            <w:pPr>
              <w:widowControl/>
              <w:textAlignment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医疗卫生机构、医疗废物集中处置单位发生医疗废物流失、泄漏、扩散时，未采取紧急处理措施，或者未及时向卫生行政主管部门和环境保护行政主管部门报告的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87"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《医疗废物管理条例》</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第十三条</w:t>
            </w:r>
            <w:r>
              <w:rPr>
                <w:rFonts w:hint="eastAsia" w:ascii="仿宋_GB2312" w:hAnsi="仿宋_GB2312" w:eastAsia="仿宋_GB2312" w:cs="仿宋_GB2312"/>
                <w:sz w:val="24"/>
                <w:szCs w:val="32"/>
              </w:rPr>
              <w:t xml:space="preserve"> 医疗卫生机构和医疗废物集中处置单位，应当采取有效措施，防止医疗废物流失、泄漏、扩散。</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ind w:firstLine="420"/>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《医疗废物管理条例》</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第四十九条</w:t>
            </w:r>
            <w:r>
              <w:rPr>
                <w:rFonts w:ascii="仿宋_GB2312" w:hAnsi="仿宋_GB2312" w:eastAsia="仿宋_GB2312" w:cs="仿宋_GB2312"/>
                <w:sz w:val="24"/>
                <w:szCs w:val="32"/>
              </w:rPr>
              <w:t xml:space="preserve">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1 万元以上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3 万元以下的罚款；造成传染病传播或者环境污染事故的，由原发证部门暂扣或者吊销执业许可证件或者经营许可证件；构成犯罪的，依法追究刑事责任。</w:t>
            </w:r>
          </w:p>
          <w:p>
            <w:pPr>
              <w:jc w:val="left"/>
              <w:rPr>
                <w:rFonts w:ascii="仿宋_GB2312" w:hAnsi="仿宋_GB2312" w:eastAsia="仿宋_GB2312" w:cs="仿宋_GB2312"/>
                <w:sz w:val="24"/>
                <w:szCs w:val="32"/>
              </w:rPr>
            </w:pPr>
          </w:p>
          <w:p>
            <w:pPr>
              <w:jc w:val="left"/>
              <w:rPr>
                <w:rFonts w:ascii="仿宋_GB2312" w:hAnsi="仿宋_GB2312" w:eastAsia="仿宋_GB2312" w:cs="仿宋_GB2312"/>
                <w:b/>
                <w:bCs/>
                <w:sz w:val="24"/>
                <w:szCs w:val="32"/>
              </w:rPr>
            </w:pPr>
            <w:r>
              <w:rPr>
                <w:rFonts w:hint="eastAsia" w:ascii="仿宋_GB2312" w:hAnsi="仿宋_GB2312" w:eastAsia="仿宋_GB2312" w:cs="仿宋_GB2312"/>
                <w:sz w:val="24"/>
                <w:szCs w:val="32"/>
              </w:rPr>
              <w:t>3.</w:t>
            </w:r>
            <w:r>
              <w:rPr>
                <w:rFonts w:ascii="仿宋_GB2312" w:hAnsi="仿宋_GB2312" w:eastAsia="仿宋_GB2312" w:cs="仿宋_GB2312"/>
                <w:b/>
                <w:bCs/>
                <w:sz w:val="24"/>
                <w:szCs w:val="32"/>
              </w:rPr>
              <w:t>《医疗废物管理行政处罚办法》</w:t>
            </w:r>
          </w:p>
          <w:p>
            <w:pPr>
              <w:jc w:val="left"/>
              <w:rPr>
                <w:rFonts w:ascii="仿宋_GB2312" w:hAnsi="仿宋_GB2312" w:eastAsia="仿宋_GB2312" w:cs="仿宋_GB2312"/>
                <w:sz w:val="24"/>
                <w:szCs w:val="32"/>
              </w:rPr>
            </w:pPr>
            <w:r>
              <w:rPr>
                <w:rFonts w:ascii="仿宋_GB2312" w:hAnsi="仿宋_GB2312" w:eastAsia="仿宋_GB2312" w:cs="仿宋_GB2312"/>
                <w:b/>
                <w:bCs/>
                <w:sz w:val="24"/>
                <w:szCs w:val="32"/>
              </w:rPr>
              <w:t>第十一条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 xml:space="preserve">第二款 </w:t>
            </w:r>
            <w:r>
              <w:rPr>
                <w:rFonts w:ascii="仿宋_GB2312" w:hAnsi="仿宋_GB2312" w:eastAsia="仿宋_GB2312" w:cs="仿宋_GB2312"/>
                <w:sz w:val="24"/>
                <w:szCs w:val="32"/>
              </w:rPr>
              <w:t>医疗废物集中处置单位发生医疗废物流失、泄露、扩散时，未采取紧急处理措施，或者未及时向环境保护行政主管部门报告的，由县级以上地方人民政府环境保护行政主管部门责令改正，给予警告，并处</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1 万元以上</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406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3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0" w:hRule="atLeast"/>
        </w:trPr>
        <w:tc>
          <w:tcPr>
            <w:tcW w:w="138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3"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医疗卫生机构、医疗废物集中处置单位发生医疗废物流失、泄漏、扩散时，未及时向环境保护行政主管部门报告的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8"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医疗卫生机构、医疗废物集中处置单位发生医疗废物流失、泄漏、扩散时，未采取紧急处理措施的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6"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 w:hRule="atLeast"/>
        </w:trPr>
        <w:tc>
          <w:tcPr>
            <w:tcW w:w="1386"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1386"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83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8" w:hRule="atLeast"/>
        </w:trPr>
        <w:tc>
          <w:tcPr>
            <w:tcW w:w="1386"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83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1"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83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4"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3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420"/>
        <w:gridCol w:w="15"/>
        <w:gridCol w:w="1617"/>
        <w:gridCol w:w="454"/>
        <w:gridCol w:w="318"/>
        <w:gridCol w:w="337"/>
        <w:gridCol w:w="3201"/>
        <w:gridCol w:w="403"/>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7" w:type="dxa"/>
            <w:gridSpan w:val="10"/>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唐山市生态环境行政处罚裁量规则（固废类）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1" w:type="dxa"/>
            <w:gridSpan w:val="3"/>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26" w:type="dxa"/>
            <w:gridSpan w:val="7"/>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41" w:type="dxa"/>
            <w:gridSpan w:val="3"/>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违法行为</w:t>
            </w:r>
          </w:p>
        </w:tc>
        <w:tc>
          <w:tcPr>
            <w:tcW w:w="7626" w:type="dxa"/>
            <w:gridSpan w:val="7"/>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医疗卫生机构、医疗废物集中处置单位阻碍环境保护行政主管部门执法人员执行职务，拒绝执法人员进入现场，或者不配合执法部门的检查、监测、调查取证的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441" w:type="dxa"/>
            <w:gridSpan w:val="3"/>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26" w:type="dxa"/>
            <w:gridSpan w:val="7"/>
            <w:noWrap w:val="0"/>
            <w:vAlign w:val="center"/>
          </w:tcPr>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《医疗废物管理条例》</w:t>
            </w: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第五十条</w:t>
            </w:r>
            <w:r>
              <w:rPr>
                <w:rFonts w:hint="eastAsia" w:ascii="仿宋_GB2312" w:hAnsi="仿宋_GB2312" w:eastAsia="仿宋_GB2312" w:cs="仿宋_GB2312"/>
                <w:sz w:val="24"/>
                <w:szCs w:val="32"/>
              </w:rPr>
              <w:t xml:space="preserve">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spacing w:line="300" w:lineRule="exact"/>
              <w:jc w:val="left"/>
              <w:rPr>
                <w:rFonts w:hint="eastAsia" w:ascii="仿宋_GB2312" w:hAnsi="仿宋_GB2312" w:eastAsia="仿宋_GB2312" w:cs="仿宋_GB2312"/>
                <w:sz w:val="24"/>
                <w:szCs w:val="32"/>
              </w:rPr>
            </w:pPr>
          </w:p>
          <w:p>
            <w:pPr>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《医疗废物管理行政处罚办法》</w:t>
            </w:r>
          </w:p>
          <w:p>
            <w:pPr>
              <w:spacing w:line="300" w:lineRule="exact"/>
              <w:jc w:val="left"/>
              <w:rPr>
                <w:rFonts w:ascii="仿宋_GB2312" w:hAnsi="仿宋_GB2312" w:eastAsia="微软雅黑" w:cs="仿宋_GB2312"/>
                <w:sz w:val="24"/>
                <w:szCs w:val="32"/>
              </w:rPr>
            </w:pPr>
            <w:r>
              <w:rPr>
                <w:rFonts w:hint="eastAsia" w:ascii="仿宋_GB2312" w:hAnsi="仿宋_GB2312" w:eastAsia="仿宋_GB2312" w:cs="仿宋_GB2312"/>
                <w:b/>
                <w:bCs/>
                <w:sz w:val="24"/>
                <w:szCs w:val="32"/>
              </w:rPr>
              <w:t>第十二条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医疗卫生机构、医疗废物集中处置单位阻碍环境保护行政主管部门执法人员执行职务，拒绝执法人员进入现场，或者不配合执法部门的检查、监测、调查取证的，由县级以上地方人民政府环境保护行政主管部门依照</w:t>
            </w: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"https://www.itslaw.com/search/lawsAndRegulations/lawAndRegulation?searchMode=lawsAndRegulations&amp;lawAndRegulationId=c26bc53c-b04e-4f36-b6be-64f4376335f8&amp;lawRegulationArticleId=2383014" \t "https://www.itslaw.com/_blank"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《中华人民共和国固体废物污染环境防治法》</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"https://www.itslaw.com/search/lawsAndRegulations/lawAndRegulation?searchMode=lawsAndRegulations&amp;lawAndRegulationId=c26bc53c-b04e-4f36-b6be-64f4376335f8&amp;lawRegulationArticleId=1000057230" \t "https://www.itslaw.com/_blank"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第七十条</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规定责令限期改正；拒不改正或者在检查时弄虚作假的，处二千元以上二万元以下的罚款。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0" w:type="dxa"/>
            <w:gridSpan w:val="6"/>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37" w:type="dxa"/>
            <w:gridSpan w:val="4"/>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41" w:type="dxa"/>
            <w:gridSpan w:val="3"/>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1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941"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29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1" w:type="dxa"/>
            <w:gridSpan w:val="3"/>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61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拒绝检查情形</w:t>
            </w:r>
          </w:p>
        </w:tc>
        <w:tc>
          <w:tcPr>
            <w:tcW w:w="772"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w:t>
            </w: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迟滞10分钟以上30分钟以内</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szCs w:val="32"/>
              </w:rPr>
            </w:pP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迟滞超过半小时</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szCs w:val="32"/>
              </w:rPr>
            </w:pP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阻碍或隐匿部分资料</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szCs w:val="32"/>
              </w:rPr>
            </w:pP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围堵、留滞执法人员或拒绝提供资料</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szCs w:val="32"/>
              </w:rPr>
            </w:pP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暴力抗法</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弄虚作假情形</w:t>
            </w: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提供非关键性假信息</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szCs w:val="32"/>
              </w:rPr>
            </w:pP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提供关键性假信息</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szCs w:val="32"/>
              </w:rPr>
            </w:pP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伪造现场或证据</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41" w:type="dxa"/>
            <w:gridSpan w:val="3"/>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1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72"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941"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2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rPr>
            </w:pPr>
          </w:p>
        </w:tc>
        <w:tc>
          <w:tcPr>
            <w:tcW w:w="772" w:type="dxa"/>
            <w:gridSpan w:val="2"/>
            <w:vMerge w:val="continue"/>
            <w:noWrap w:val="0"/>
            <w:vAlign w:val="center"/>
          </w:tcPr>
          <w:p>
            <w:pPr>
              <w:jc w:val="center"/>
              <w:rPr>
                <w:rFonts w:hint="eastAsia" w:ascii="仿宋_GB2312" w:hAnsi="仿宋_GB2312" w:eastAsia="仿宋_GB2312" w:cs="仿宋_GB2312"/>
                <w:sz w:val="24"/>
              </w:rPr>
            </w:pPr>
          </w:p>
        </w:tc>
        <w:tc>
          <w:tcPr>
            <w:tcW w:w="3941"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2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41" w:type="dxa"/>
            <w:gridSpan w:val="3"/>
            <w:vMerge w:val="continue"/>
            <w:noWrap w:val="0"/>
            <w:vAlign w:val="center"/>
          </w:tcPr>
          <w:p>
            <w:pPr>
              <w:jc w:val="left"/>
            </w:pPr>
          </w:p>
        </w:tc>
        <w:tc>
          <w:tcPr>
            <w:tcW w:w="1617" w:type="dxa"/>
            <w:vMerge w:val="continue"/>
            <w:noWrap w:val="0"/>
            <w:vAlign w:val="center"/>
          </w:tcPr>
          <w:p>
            <w:pPr>
              <w:jc w:val="center"/>
              <w:rPr>
                <w:sz w:val="24"/>
              </w:rPr>
            </w:pPr>
          </w:p>
        </w:tc>
        <w:tc>
          <w:tcPr>
            <w:tcW w:w="772" w:type="dxa"/>
            <w:gridSpan w:val="2"/>
            <w:vMerge w:val="continue"/>
            <w:noWrap w:val="0"/>
            <w:vAlign w:val="center"/>
          </w:tcPr>
          <w:p>
            <w:pPr>
              <w:jc w:val="center"/>
              <w:rPr>
                <w:sz w:val="24"/>
              </w:rPr>
            </w:pPr>
          </w:p>
        </w:tc>
        <w:tc>
          <w:tcPr>
            <w:tcW w:w="3941"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2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41" w:type="dxa"/>
            <w:gridSpan w:val="3"/>
            <w:vMerge w:val="continue"/>
            <w:noWrap w:val="0"/>
            <w:vAlign w:val="center"/>
          </w:tcPr>
          <w:p>
            <w:pPr>
              <w:jc w:val="left"/>
              <w:rPr>
                <w:rFonts w:hint="eastAsia" w:ascii="仿宋_GB2312" w:hAnsi="仿宋_GB2312" w:eastAsia="仿宋_GB2312" w:cs="仿宋_GB2312"/>
                <w:sz w:val="24"/>
              </w:rPr>
            </w:pPr>
          </w:p>
        </w:tc>
        <w:tc>
          <w:tcPr>
            <w:tcW w:w="1617" w:type="dxa"/>
            <w:vMerge w:val="continue"/>
            <w:noWrap w:val="0"/>
            <w:vAlign w:val="center"/>
          </w:tcPr>
          <w:p>
            <w:pPr>
              <w:jc w:val="center"/>
              <w:rPr>
                <w:rFonts w:hint="eastAsia" w:ascii="仿宋_GB2312" w:hAnsi="仿宋_GB2312" w:eastAsia="仿宋_GB2312" w:cs="仿宋_GB2312"/>
                <w:sz w:val="24"/>
              </w:rPr>
            </w:pPr>
          </w:p>
        </w:tc>
        <w:tc>
          <w:tcPr>
            <w:tcW w:w="772" w:type="dxa"/>
            <w:gridSpan w:val="2"/>
            <w:vMerge w:val="continue"/>
            <w:noWrap w:val="0"/>
            <w:vAlign w:val="center"/>
          </w:tcPr>
          <w:p>
            <w:pPr>
              <w:jc w:val="center"/>
              <w:rPr>
                <w:rFonts w:hint="eastAsia" w:ascii="仿宋_GB2312" w:hAnsi="仿宋_GB2312" w:eastAsia="仿宋_GB2312" w:cs="仿宋_GB2312"/>
                <w:sz w:val="24"/>
              </w:rPr>
            </w:pPr>
          </w:p>
        </w:tc>
        <w:tc>
          <w:tcPr>
            <w:tcW w:w="3941"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2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41" w:type="dxa"/>
            <w:gridSpan w:val="3"/>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17"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72"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941"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2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1"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17"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72" w:type="dxa"/>
            <w:gridSpan w:val="2"/>
            <w:vMerge w:val="continue"/>
            <w:noWrap w:val="0"/>
            <w:vAlign w:val="center"/>
          </w:tcPr>
          <w:p>
            <w:pPr>
              <w:jc w:val="center"/>
              <w:rPr>
                <w:rFonts w:hint="eastAsia" w:ascii="仿宋_GB2312" w:hAnsi="仿宋_GB2312" w:eastAsia="仿宋_GB2312" w:cs="仿宋_GB2312"/>
                <w:sz w:val="24"/>
              </w:rPr>
            </w:pPr>
          </w:p>
        </w:tc>
        <w:tc>
          <w:tcPr>
            <w:tcW w:w="3941"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2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1"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17" w:type="dxa"/>
            <w:vMerge w:val="continue"/>
            <w:tcBorders>
              <w:left w:val="single" w:color="auto" w:sz="4" w:space="0"/>
              <w:bottom w:val="single" w:color="auto" w:sz="4" w:space="0"/>
            </w:tcBorders>
            <w:noWrap w:val="0"/>
            <w:vAlign w:val="center"/>
          </w:tcPr>
          <w:p>
            <w:pPr>
              <w:jc w:val="left"/>
              <w:rPr>
                <w:rFonts w:hint="eastAsia" w:ascii="仿宋_GB2312" w:hAnsi="仿宋_GB2312" w:eastAsia="仿宋_GB2312" w:cs="仿宋_GB2312"/>
                <w:sz w:val="24"/>
                <w:szCs w:val="32"/>
              </w:rPr>
            </w:pPr>
          </w:p>
        </w:tc>
        <w:tc>
          <w:tcPr>
            <w:tcW w:w="772" w:type="dxa"/>
            <w:gridSpan w:val="2"/>
            <w:vMerge w:val="continue"/>
            <w:noWrap w:val="0"/>
            <w:vAlign w:val="center"/>
          </w:tcPr>
          <w:p>
            <w:pPr>
              <w:jc w:val="center"/>
              <w:rPr>
                <w:rFonts w:hint="eastAsia" w:ascii="仿宋_GB2312" w:hAnsi="仿宋_GB2312" w:eastAsia="仿宋_GB2312" w:cs="仿宋_GB2312"/>
                <w:sz w:val="24"/>
                <w:szCs w:val="32"/>
              </w:rPr>
            </w:pPr>
          </w:p>
        </w:tc>
        <w:tc>
          <w:tcPr>
            <w:tcW w:w="3941" w:type="dxa"/>
            <w:gridSpan w:val="3"/>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41" w:type="dxa"/>
            <w:gridSpan w:val="3"/>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17" w:type="dxa"/>
            <w:vMerge w:val="restart"/>
            <w:tcBorders>
              <w:top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72"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941" w:type="dxa"/>
            <w:gridSpan w:val="3"/>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造成社会影响与生态破坏的</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1"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617" w:type="dxa"/>
            <w:vMerge w:val="continue"/>
            <w:noWrap w:val="0"/>
            <w:vAlign w:val="center"/>
          </w:tcPr>
          <w:p>
            <w:pPr>
              <w:jc w:val="center"/>
              <w:rPr>
                <w:rFonts w:hint="eastAsia" w:ascii="仿宋_GB2312" w:hAnsi="仿宋_GB2312" w:eastAsia="仿宋_GB2312" w:cs="仿宋_GB2312"/>
                <w:sz w:val="24"/>
                <w:szCs w:val="32"/>
              </w:rPr>
            </w:pPr>
          </w:p>
        </w:tc>
        <w:tc>
          <w:tcPr>
            <w:tcW w:w="772" w:type="dxa"/>
            <w:gridSpan w:val="2"/>
            <w:vMerge w:val="continue"/>
            <w:noWrap w:val="0"/>
            <w:vAlign w:val="center"/>
          </w:tcPr>
          <w:p>
            <w:pPr>
              <w:rPr>
                <w:rFonts w:hint="eastAsia" w:ascii="仿宋_GB2312" w:hAnsi="仿宋_GB2312" w:eastAsia="仿宋_GB2312" w:cs="仿宋_GB2312"/>
                <w:sz w:val="24"/>
                <w:szCs w:val="32"/>
              </w:rPr>
            </w:pPr>
          </w:p>
        </w:tc>
        <w:tc>
          <w:tcPr>
            <w:tcW w:w="3941" w:type="dxa"/>
            <w:gridSpan w:val="3"/>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29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678" w:hRule="atLeast"/>
        </w:trPr>
        <w:tc>
          <w:tcPr>
            <w:tcW w:w="9061" w:type="dxa"/>
            <w:gridSpan w:val="9"/>
            <w:noWrap w:val="0"/>
            <w:vAlign w:val="center"/>
          </w:tcPr>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唐山市生态环境行政处罚裁量规则（噪声类）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51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41" w:type="dxa"/>
            <w:gridSpan w:val="8"/>
            <w:noWrap w:val="0"/>
            <w:vAlign w:val="top"/>
          </w:tcPr>
          <w:p>
            <w:pPr>
              <w:spacing w:before="225" w:line="194" w:lineRule="auto"/>
              <w:jc w:val="center"/>
              <w:rPr>
                <w:rFonts w:ascii="仿宋_GB2312" w:hAnsi="仿宋_GB2312" w:eastAsia="仿宋_GB2312" w:cs="仿宋_GB2312"/>
                <w:sz w:val="24"/>
              </w:rPr>
            </w:pPr>
            <w:r>
              <w:rPr>
                <w:rFonts w:hint="eastAsia" w:ascii="仿宋_GB2312" w:hAnsi="仿宋_GB2312" w:eastAsia="仿宋_GB2312" w:cs="仿宋_GB2312"/>
                <w:sz w:val="24"/>
                <w:szCs w:val="32"/>
              </w:rPr>
              <w:t>146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587"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41" w:type="dxa"/>
            <w:gridSpan w:val="8"/>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拒绝、阻挠监督检查，或者在接受监督检查时弄虚作假的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206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41" w:type="dxa"/>
            <w:gridSpan w:val="8"/>
            <w:noWrap w:val="0"/>
            <w:vAlign w:val="top"/>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《中华人民共和国噪声污染防治法》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第二十九条 第一款 </w:t>
            </w:r>
            <w:r>
              <w:rPr>
                <w:rFonts w:hint="eastAsia" w:ascii="仿宋_GB2312" w:hAnsi="仿宋_GB2312" w:eastAsia="仿宋_GB2312" w:cs="仿宋_GB2312"/>
                <w:sz w:val="24"/>
                <w:szCs w:val="32"/>
              </w:rPr>
              <w:t>在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《中华人民共和国噪声污染防治法》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第七十一条 </w:t>
            </w:r>
            <w:r>
              <w:rPr>
                <w:rFonts w:hint="eastAsia" w:ascii="仿宋_GB2312" w:hAnsi="仿宋_GB2312" w:eastAsia="仿宋_GB2312" w:cs="仿宋_GB2312"/>
                <w:sz w:val="24"/>
                <w:szCs w:val="32"/>
              </w:rPr>
              <w:t>违反本法规定，拒绝、阻挠监督检查，或者在接受监督检查时弄虚作假的，由生态环境主管部门或者其他负有噪声污染防治监督管理职责的部门责令改正，处二万元以上二十万元以下的罚款。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460" w:hRule="atLeast"/>
        </w:trPr>
        <w:tc>
          <w:tcPr>
            <w:tcW w:w="4161" w:type="dxa"/>
            <w:gridSpan w:val="6"/>
            <w:noWrap w:val="0"/>
            <w:vAlign w:val="center"/>
          </w:tcPr>
          <w:p>
            <w:pPr>
              <w:spacing w:line="219" w:lineRule="auto"/>
              <w:ind w:left="1527"/>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2"/>
                <w:sz w:val="28"/>
                <w:szCs w:val="28"/>
              </w:rPr>
              <w:t>裁量要素</w:t>
            </w:r>
          </w:p>
        </w:tc>
        <w:tc>
          <w:tcPr>
            <w:tcW w:w="4900" w:type="dxa"/>
            <w:gridSpan w:val="3"/>
            <w:noWrap w:val="0"/>
            <w:vAlign w:val="center"/>
          </w:tcPr>
          <w:p>
            <w:pPr>
              <w:spacing w:line="218" w:lineRule="auto"/>
              <w:ind w:left="1588"/>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631" w:hRule="atLeast"/>
        </w:trPr>
        <w:tc>
          <w:tcPr>
            <w:tcW w:w="1420"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b/>
                <w:bCs/>
                <w:sz w:val="24"/>
              </w:rPr>
              <w:t>要素</w:t>
            </w:r>
          </w:p>
        </w:tc>
        <w:tc>
          <w:tcPr>
            <w:tcW w:w="2086" w:type="dxa"/>
            <w:gridSpan w:val="3"/>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b/>
                <w:bCs/>
                <w:sz w:val="22"/>
                <w:szCs w:val="28"/>
              </w:rPr>
              <w:t>具体条件</w:t>
            </w:r>
          </w:p>
        </w:tc>
        <w:tc>
          <w:tcPr>
            <w:tcW w:w="65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sz w:val="22"/>
                <w:szCs w:val="22"/>
              </w:rPr>
            </w:pPr>
            <w:r>
              <w:rPr>
                <w:rFonts w:hint="eastAsia" w:ascii="仿宋_GB2312" w:hAnsi="仿宋_GB2312" w:eastAsia="仿宋_GB2312" w:cs="仿宋_GB2312"/>
                <w:b/>
                <w:bCs/>
                <w:sz w:val="22"/>
                <w:szCs w:val="28"/>
              </w:rPr>
              <w:t>比例</w:t>
            </w:r>
          </w:p>
        </w:tc>
        <w:tc>
          <w:tcPr>
            <w:tcW w:w="3201" w:type="dxa"/>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b/>
                <w:bCs/>
                <w:sz w:val="22"/>
                <w:szCs w:val="28"/>
              </w:rPr>
              <w:t>程度</w:t>
            </w:r>
          </w:p>
        </w:tc>
        <w:tc>
          <w:tcPr>
            <w:tcW w:w="1699" w:type="dxa"/>
            <w:gridSpan w:val="2"/>
            <w:noWrap w:val="0"/>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b/>
                <w:bCs/>
                <w:sz w:val="22"/>
                <w:szCs w:val="28"/>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86"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拒绝检查情形</w:t>
            </w:r>
          </w:p>
        </w:tc>
        <w:tc>
          <w:tcPr>
            <w:tcW w:w="65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迟滞10分钟以上30分钟以内</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12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迟滞超过半小时</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阻碍或隐匿部分资料</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围堵、留滞执法人员或拒绝提供资料</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暴力抗法</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12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弄虚作假情形</w:t>
            </w: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提供非关键性假信息的</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提供关键性假信息的</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伪造现场或证据的</w:t>
            </w:r>
          </w:p>
        </w:tc>
        <w:tc>
          <w:tcPr>
            <w:tcW w:w="1699"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86"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65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86"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是否及时整改</w:t>
            </w:r>
          </w:p>
        </w:tc>
        <w:tc>
          <w:tcPr>
            <w:tcW w:w="65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176"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2086" w:type="dxa"/>
            <w:gridSpan w:val="3"/>
            <w:vMerge w:val="continue"/>
            <w:noWrap w:val="0"/>
            <w:vAlign w:val="center"/>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101"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w:t>
            </w:r>
            <w:r>
              <w:rPr>
                <w:rFonts w:hint="eastAsia" w:ascii="仿宋_GB2312" w:hAnsi="仿宋_GB2312" w:eastAsia="仿宋_GB2312" w:cs="仿宋_GB2312"/>
                <w:b/>
                <w:bCs/>
                <w:spacing w:val="-20"/>
                <w:sz w:val="24"/>
                <w:szCs w:val="32"/>
              </w:rPr>
              <w:t>会影响或生态破坏程度</w:t>
            </w:r>
          </w:p>
        </w:tc>
        <w:tc>
          <w:tcPr>
            <w:tcW w:w="2086" w:type="dxa"/>
            <w:gridSpan w:val="3"/>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55" w:type="dxa"/>
            <w:gridSpan w:val="2"/>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wAfter w:w="0" w:type="auto"/>
          <w:trHeight w:val="90" w:hRule="atLeast"/>
        </w:trPr>
        <w:tc>
          <w:tcPr>
            <w:tcW w:w="1420" w:type="dxa"/>
            <w:vMerge w:val="continue"/>
            <w:noWrap w:val="0"/>
            <w:vAlign w:val="top"/>
          </w:tcPr>
          <w:p>
            <w:pPr>
              <w:jc w:val="left"/>
              <w:rPr>
                <w:rFonts w:hint="eastAsia" w:ascii="仿宋_GB2312" w:hAnsi="仿宋_GB2312" w:eastAsia="仿宋_GB2312" w:cs="仿宋_GB2312"/>
                <w:sz w:val="24"/>
                <w:szCs w:val="32"/>
              </w:rPr>
            </w:pPr>
          </w:p>
        </w:tc>
        <w:tc>
          <w:tcPr>
            <w:tcW w:w="2086" w:type="dxa"/>
            <w:gridSpan w:val="3"/>
            <w:vMerge w:val="continue"/>
            <w:noWrap w:val="0"/>
            <w:vAlign w:val="top"/>
          </w:tcPr>
          <w:p>
            <w:pPr>
              <w:jc w:val="center"/>
              <w:rPr>
                <w:rFonts w:hint="eastAsia" w:ascii="仿宋_GB2312" w:hAnsi="仿宋_GB2312" w:eastAsia="仿宋_GB2312" w:cs="仿宋_GB2312"/>
                <w:sz w:val="24"/>
                <w:szCs w:val="32"/>
              </w:rPr>
            </w:pPr>
          </w:p>
        </w:tc>
        <w:tc>
          <w:tcPr>
            <w:tcW w:w="655" w:type="dxa"/>
            <w:gridSpan w:val="2"/>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99" w:type="dxa"/>
            <w:gridSpan w:val="2"/>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949"/>
        <w:gridCol w:w="792"/>
        <w:gridCol w:w="3201"/>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074" w:type="dxa"/>
            <w:gridSpan w:val="5"/>
            <w:noWrap w:val="0"/>
            <w:vAlign w:val="top"/>
          </w:tcPr>
          <w:p>
            <w:pPr>
              <w:widowControl/>
              <w:kinsoku w:val="0"/>
              <w:autoSpaceDE w:val="0"/>
              <w:autoSpaceDN w:val="0"/>
              <w:adjustRightInd w:val="0"/>
              <w:snapToGrid w:val="0"/>
              <w:spacing w:before="97" w:line="203" w:lineRule="auto"/>
              <w:ind w:left="210"/>
              <w:jc w:val="center"/>
              <w:textAlignment w:val="baseline"/>
              <w:rPr>
                <w:rFonts w:hint="eastAsia" w:ascii="微软雅黑" w:hAnsi="微软雅黑" w:eastAsia="方正小标宋简体" w:cs="微软雅黑"/>
                <w:snapToGrid w:val="0"/>
                <w:kern w:val="0"/>
                <w:sz w:val="40"/>
                <w:szCs w:val="40"/>
                <w:lang/>
              </w:rPr>
            </w:pPr>
            <w:r>
              <w:rPr>
                <w:rFonts w:hint="eastAsia" w:ascii="方正小标宋简体" w:hAnsi="方正小标宋简体" w:eastAsia="方正小标宋简体" w:cs="方正小标宋简体"/>
                <w:sz w:val="40"/>
                <w:szCs w:val="40"/>
              </w:rPr>
              <w:t>唐山市生态环境行政处罚裁量规则（噪声类）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54" w:type="dxa"/>
            <w:gridSpan w:val="4"/>
            <w:noWrap w:val="0"/>
            <w:vAlign w:val="top"/>
          </w:tcPr>
          <w:p>
            <w:pPr>
              <w:widowControl/>
              <w:kinsoku w:val="0"/>
              <w:autoSpaceDE w:val="0"/>
              <w:autoSpaceDN w:val="0"/>
              <w:adjustRightInd w:val="0"/>
              <w:snapToGrid w:val="0"/>
              <w:spacing w:before="225" w:line="194" w:lineRule="auto"/>
              <w:ind w:left="3461"/>
              <w:jc w:val="left"/>
              <w:textAlignment w:val="baseline"/>
              <w:rPr>
                <w:rFonts w:ascii="仿宋_GB2312" w:hAnsi="仿宋_GB2312" w:eastAsia="仿宋_GB2312" w:cs="仿宋_GB2312"/>
                <w:snapToGrid w:val="0"/>
                <w:kern w:val="0"/>
                <w:sz w:val="24"/>
                <w:lang/>
              </w:rPr>
            </w:pPr>
            <w:r>
              <w:rPr>
                <w:rFonts w:hint="eastAsia" w:ascii="仿宋_GB2312" w:hAnsi="仿宋_GB2312" w:eastAsia="仿宋_GB2312" w:cs="仿宋_GB2312"/>
                <w:snapToGrid w:val="0"/>
                <w:kern w:val="0"/>
                <w:sz w:val="24"/>
                <w:lang/>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54" w:type="dxa"/>
            <w:gridSpan w:val="4"/>
            <w:noWrap w:val="0"/>
            <w:vAlign w:val="center"/>
          </w:tcPr>
          <w:p>
            <w:pPr>
              <w:widowControl/>
              <w:kinsoku w:val="0"/>
              <w:autoSpaceDE w:val="0"/>
              <w:autoSpaceDN w:val="0"/>
              <w:adjustRightInd w:val="0"/>
              <w:snapToGrid w:val="0"/>
              <w:spacing w:before="40" w:line="241" w:lineRule="auto"/>
              <w:ind w:left="109" w:right="175" w:firstLine="1"/>
              <w:jc w:val="left"/>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sz w:val="24"/>
                <w:szCs w:val="32"/>
                <w:lang/>
              </w:rPr>
              <w:t>在噪声敏感建筑物集中区域新建排放噪声的工业企业的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8"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54" w:type="dxa"/>
            <w:gridSpan w:val="4"/>
            <w:noWrap w:val="0"/>
            <w:vAlign w:val="top"/>
          </w:tcPr>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1.</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lang/>
              </w:rPr>
            </w:pPr>
            <w:r>
              <w:rPr>
                <w:rFonts w:hint="eastAsia" w:ascii="仿宋_GB2312" w:hAnsi="仿宋_GB2312" w:eastAsia="仿宋_GB2312" w:cs="仿宋_GB2312"/>
                <w:b/>
                <w:bCs/>
                <w:sz w:val="24"/>
                <w:szCs w:val="32"/>
                <w:lang/>
              </w:rPr>
              <w:t>第三十五条</w:t>
            </w:r>
            <w:r>
              <w:rPr>
                <w:rFonts w:ascii="仿宋_GB2312" w:hAnsi="仿宋_GB2312" w:eastAsia="仿宋_GB2312" w:cs="仿宋_GB2312"/>
                <w:b/>
                <w:bCs/>
                <w:sz w:val="24"/>
                <w:szCs w:val="32"/>
                <w:lang/>
              </w:rPr>
              <w:t xml:space="preserve"> </w:t>
            </w:r>
            <w:r>
              <w:rPr>
                <w:rFonts w:hint="eastAsia" w:ascii="仿宋_GB2312" w:hAnsi="仿宋_GB2312" w:eastAsia="仿宋_GB2312" w:cs="仿宋_GB2312"/>
                <w:b/>
                <w:bCs/>
                <w:sz w:val="24"/>
                <w:szCs w:val="32"/>
                <w:lang/>
              </w:rPr>
              <w:t>第二款</w:t>
            </w:r>
            <w:r>
              <w:rPr>
                <w:rFonts w:hint="eastAsia" w:ascii="仿宋_GB2312" w:hAnsi="仿宋_GB2312" w:eastAsia="仿宋_GB2312" w:cs="仿宋_GB2312"/>
                <w:b/>
                <w:bCs/>
                <w:sz w:val="24"/>
                <w:szCs w:val="32"/>
              </w:rPr>
              <w:t xml:space="preserve"> </w:t>
            </w:r>
            <w:r>
              <w:rPr>
                <w:rFonts w:hint="eastAsia" w:ascii="仿宋_GB2312" w:hAnsi="仿宋_GB2312" w:eastAsia="仿宋_GB2312" w:cs="仿宋_GB2312"/>
                <w:sz w:val="24"/>
                <w:szCs w:val="32"/>
              </w:rPr>
              <w:t>在噪声敏感建筑物集中区域，禁止新建排放噪声的工业企业，改建、扩建工业企业的，应当采取有效措施防止工业噪声污染</w:t>
            </w:r>
            <w:r>
              <w:rPr>
                <w:rFonts w:hint="eastAsia" w:ascii="仿宋_GB2312" w:hAnsi="仿宋_GB2312" w:eastAsia="仿宋_GB2312" w:cs="仿宋_GB2312"/>
                <w:sz w:val="24"/>
                <w:szCs w:val="32"/>
                <w:lang/>
              </w:rPr>
              <w:t>。</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lang/>
              </w:rPr>
            </w:pPr>
          </w:p>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2.</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7" w:line="255" w:lineRule="auto"/>
              <w:ind w:right="176"/>
              <w:jc w:val="left"/>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szCs w:val="32"/>
                <w:lang/>
              </w:rPr>
              <w:t>第七十四条</w:t>
            </w:r>
            <w:r>
              <w:rPr>
                <w:rFonts w:ascii="仿宋_GB2312" w:hAnsi="仿宋_GB2312" w:eastAsia="仿宋_GB2312" w:cs="仿宋_GB2312"/>
                <w:b/>
                <w:bCs/>
                <w:sz w:val="24"/>
                <w:szCs w:val="32"/>
                <w:lang/>
              </w:rPr>
              <w:t xml:space="preserve"> </w:t>
            </w:r>
            <w:r>
              <w:rPr>
                <w:rFonts w:hint="eastAsia" w:ascii="仿宋_GB2312" w:hAnsi="仿宋_GB2312" w:eastAsia="仿宋_GB2312" w:cs="仿宋_GB2312"/>
                <w:b/>
                <w:bCs/>
                <w:sz w:val="24"/>
                <w:szCs w:val="32"/>
                <w:lang/>
              </w:rPr>
              <w:t>第一款</w:t>
            </w:r>
            <w:r>
              <w:rPr>
                <w:rFonts w:hint="eastAsia" w:ascii="仿宋_GB2312" w:hAnsi="仿宋_GB2312" w:eastAsia="仿宋_GB2312" w:cs="仿宋_GB2312"/>
                <w:b/>
                <w:bCs/>
                <w:sz w:val="24"/>
                <w:szCs w:val="32"/>
                <w:lang/>
              </w:rPr>
              <w:t xml:space="preserve"> </w:t>
            </w:r>
            <w:r>
              <w:rPr>
                <w:rFonts w:hint="eastAsia" w:ascii="仿宋_GB2312" w:hAnsi="仿宋_GB2312" w:eastAsia="仿宋_GB2312" w:cs="仿宋_GB2312"/>
                <w:sz w:val="24"/>
                <w:szCs w:val="32"/>
              </w:rPr>
              <w:t>违反本法规定，在噪声敏感建筑物集中区域新建排放噪声的工业企业的，由生态环境主管部门责令停止违法行为，处十万元以上五十万元以下的罚款，并报经有批准权的人民政府批准，责令关闭。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4161" w:type="dxa"/>
            <w:gridSpan w:val="3"/>
            <w:noWrap w:val="0"/>
            <w:vAlign w:val="center"/>
          </w:tcPr>
          <w:p>
            <w:pPr>
              <w:widowControl/>
              <w:kinsoku w:val="0"/>
              <w:autoSpaceDE w:val="0"/>
              <w:autoSpaceDN w:val="0"/>
              <w:adjustRightInd w:val="0"/>
              <w:snapToGrid w:val="0"/>
              <w:spacing w:line="219" w:lineRule="auto"/>
              <w:ind w:left="1527"/>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2"/>
                <w:kern w:val="0"/>
                <w:sz w:val="28"/>
                <w:szCs w:val="28"/>
                <w:lang/>
              </w:rPr>
              <w:t>裁量要素</w:t>
            </w:r>
          </w:p>
        </w:tc>
        <w:tc>
          <w:tcPr>
            <w:tcW w:w="4913" w:type="dxa"/>
            <w:gridSpan w:val="2"/>
            <w:noWrap w:val="0"/>
            <w:vAlign w:val="center"/>
          </w:tcPr>
          <w:p>
            <w:pPr>
              <w:widowControl/>
              <w:kinsoku w:val="0"/>
              <w:autoSpaceDE w:val="0"/>
              <w:autoSpaceDN w:val="0"/>
              <w:adjustRightInd w:val="0"/>
              <w:snapToGrid w:val="0"/>
              <w:spacing w:line="218" w:lineRule="auto"/>
              <w:ind w:left="1588"/>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5"/>
                <w:kern w:val="0"/>
                <w:sz w:val="28"/>
                <w:szCs w:val="28"/>
                <w:lang/>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rPr>
              <w:t>要素</w:t>
            </w:r>
          </w:p>
        </w:tc>
        <w:tc>
          <w:tcPr>
            <w:tcW w:w="1949"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具体条件</w:t>
            </w:r>
          </w:p>
        </w:tc>
        <w:tc>
          <w:tcPr>
            <w:tcW w:w="79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比例</w:t>
            </w:r>
          </w:p>
        </w:tc>
        <w:tc>
          <w:tcPr>
            <w:tcW w:w="3201"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程度</w:t>
            </w:r>
          </w:p>
        </w:tc>
        <w:tc>
          <w:tcPr>
            <w:tcW w:w="1712"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填报环境影响报告表的建设项目</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编制环境影响报告书的建设项目</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建设生产情况</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w:t>
            </w: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已开工建设但主体工程未建成的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主体工程已建成但尚未投入生产或者使用的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主体工程已投入生产或者使用的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是否配合执检查</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napToGrid w:val="0"/>
                <w:spacing w:val="-20"/>
                <w:sz w:val="24"/>
                <w:szCs w:val="32"/>
              </w:rPr>
              <w:t>对社会影响或生态破坏程度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left"/>
              <w:rPr>
                <w:rFonts w:hint="eastAsia" w:ascii="仿宋_GB2312" w:hAnsi="仿宋_GB2312" w:eastAsia="仿宋_GB2312" w:cs="仿宋_GB2312"/>
                <w:sz w:val="24"/>
                <w:szCs w:val="32"/>
              </w:rPr>
            </w:pPr>
          </w:p>
        </w:tc>
        <w:tc>
          <w:tcPr>
            <w:tcW w:w="792" w:type="dxa"/>
            <w:vMerge w:val="continue"/>
            <w:noWrap w:val="0"/>
            <w:vAlign w:val="top"/>
          </w:tcPr>
          <w:p>
            <w:pPr>
              <w:jc w:val="left"/>
              <w:rPr>
                <w:rFonts w:hint="eastAsia" w:ascii="仿宋_GB2312" w:hAnsi="仿宋_GB2312" w:eastAsia="仿宋_GB2312" w:cs="仿宋_GB2312"/>
                <w:sz w:val="24"/>
                <w:szCs w:val="32"/>
              </w:rPr>
            </w:pP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kinsoku w:val="0"/>
        <w:autoSpaceDE w:val="0"/>
        <w:autoSpaceDN w:val="0"/>
        <w:adjustRightInd w:val="0"/>
        <w:snapToGrid w:val="0"/>
        <w:jc w:val="left"/>
        <w:textAlignment w:val="baseline"/>
        <w:rPr>
          <w:rFonts w:ascii="Arial" w:hAnsi="Arial" w:eastAsia="Arial" w:cs="Arial"/>
          <w:snapToGrid w:val="0"/>
          <w:kern w:val="0"/>
          <w:sz w:val="10"/>
          <w:szCs w:val="10"/>
          <w:lang/>
        </w:rPr>
      </w:pPr>
      <w:r>
        <w:rPr>
          <w:rFonts w:ascii="Arial" w:hAnsi="Arial" w:eastAsia="Arial" w:cs="Arial"/>
          <w:snapToGrid w:val="0"/>
          <w:kern w:val="0"/>
          <w:szCs w:val="21"/>
          <w:lang/>
        </w:rPr>
        <w:br w:type="page"/>
      </w: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tbl>
      <w:tblPr>
        <w:tblStyle w:val="9"/>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949"/>
        <w:gridCol w:w="792"/>
        <w:gridCol w:w="3201"/>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061" w:type="dxa"/>
            <w:gridSpan w:val="5"/>
            <w:noWrap w:val="0"/>
            <w:vAlign w:val="top"/>
          </w:tcPr>
          <w:p>
            <w:pPr>
              <w:widowControl/>
              <w:kinsoku w:val="0"/>
              <w:autoSpaceDE w:val="0"/>
              <w:autoSpaceDN w:val="0"/>
              <w:adjustRightInd w:val="0"/>
              <w:snapToGrid w:val="0"/>
              <w:spacing w:before="97" w:line="203" w:lineRule="auto"/>
              <w:ind w:left="210"/>
              <w:jc w:val="center"/>
              <w:textAlignment w:val="baseline"/>
              <w:rPr>
                <w:rFonts w:ascii="微软雅黑" w:hAnsi="微软雅黑" w:eastAsia="微软雅黑" w:cs="微软雅黑"/>
                <w:snapToGrid w:val="0"/>
                <w:kern w:val="0"/>
                <w:sz w:val="40"/>
                <w:szCs w:val="40"/>
                <w:lang/>
              </w:rPr>
            </w:pPr>
            <w:r>
              <w:rPr>
                <w:rFonts w:hint="eastAsia" w:ascii="方正小标宋简体" w:hAnsi="方正小标宋简体" w:eastAsia="方正小标宋简体" w:cs="方正小标宋简体"/>
                <w:sz w:val="40"/>
                <w:szCs w:val="40"/>
              </w:rPr>
              <w:t>唐山市生态环境行政处罚裁量规则（噪声类）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41" w:type="dxa"/>
            <w:gridSpan w:val="4"/>
            <w:noWrap w:val="0"/>
            <w:vAlign w:val="top"/>
          </w:tcPr>
          <w:p>
            <w:pPr>
              <w:widowControl/>
              <w:kinsoku w:val="0"/>
              <w:autoSpaceDE w:val="0"/>
              <w:autoSpaceDN w:val="0"/>
              <w:adjustRightInd w:val="0"/>
              <w:snapToGrid w:val="0"/>
              <w:spacing w:before="225" w:line="194" w:lineRule="auto"/>
              <w:ind w:left="3461"/>
              <w:jc w:val="left"/>
              <w:textAlignment w:val="baseline"/>
              <w:rPr>
                <w:rFonts w:ascii="仿宋_GB2312" w:hAnsi="仿宋_GB2312" w:eastAsia="仿宋_GB2312" w:cs="仿宋_GB2312"/>
                <w:snapToGrid w:val="0"/>
                <w:kern w:val="0"/>
                <w:sz w:val="24"/>
                <w:lang/>
              </w:rPr>
            </w:pPr>
            <w:r>
              <w:rPr>
                <w:rFonts w:hint="eastAsia" w:ascii="仿宋_GB2312" w:hAnsi="仿宋_GB2312" w:eastAsia="仿宋_GB2312" w:cs="仿宋_GB2312"/>
                <w:snapToGrid w:val="0"/>
                <w:kern w:val="0"/>
                <w:sz w:val="24"/>
                <w:lang/>
              </w:rPr>
              <w:t>148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41" w:type="dxa"/>
            <w:gridSpan w:val="4"/>
            <w:noWrap w:val="0"/>
            <w:vAlign w:val="center"/>
          </w:tcPr>
          <w:p>
            <w:pPr>
              <w:widowControl/>
              <w:kinsoku w:val="0"/>
              <w:autoSpaceDE w:val="0"/>
              <w:autoSpaceDN w:val="0"/>
              <w:adjustRightInd w:val="0"/>
              <w:snapToGrid w:val="0"/>
              <w:spacing w:before="40" w:line="241" w:lineRule="auto"/>
              <w:ind w:left="109" w:right="175" w:firstLine="1"/>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sz w:val="24"/>
                <w:szCs w:val="32"/>
                <w:lang/>
              </w:rPr>
              <w:t>在噪声敏感建筑物集中区域改建、扩建工业企业，未采取有效措施防止工业噪声污染的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41" w:type="dxa"/>
            <w:gridSpan w:val="4"/>
            <w:noWrap w:val="0"/>
            <w:vAlign w:val="top"/>
          </w:tcPr>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1.</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rPr>
              <w:t>第三十五条 第二款</w:t>
            </w:r>
            <w:r>
              <w:rPr>
                <w:rFonts w:hint="eastAsia" w:ascii="仿宋_GB2312" w:hAnsi="仿宋_GB2312" w:eastAsia="仿宋_GB2312" w:cs="仿宋_GB2312"/>
                <w:snapToGrid w:val="0"/>
                <w:spacing w:val="7"/>
                <w:kern w:val="0"/>
                <w:sz w:val="24"/>
                <w:lang/>
              </w:rPr>
              <w:t xml:space="preserve"> </w:t>
            </w:r>
            <w:r>
              <w:rPr>
                <w:rFonts w:hint="eastAsia" w:ascii="仿宋_GB2312" w:hAnsi="仿宋_GB2312" w:eastAsia="仿宋_GB2312" w:cs="仿宋_GB2312"/>
                <w:sz w:val="24"/>
                <w:szCs w:val="32"/>
              </w:rPr>
              <w:t>在噪声敏感建筑物集中区域，禁止新建排放噪声的工业企业，改建、扩建工业企业的，应当采取有效措施防止工业噪声污染。</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rPr>
            </w:pPr>
          </w:p>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2.</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7"/>
              <w:ind w:right="176"/>
              <w:jc w:val="left"/>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szCs w:val="32"/>
                <w:lang/>
              </w:rPr>
              <w:t>第七十四条</w:t>
            </w:r>
            <w:r>
              <w:rPr>
                <w:rFonts w:hint="eastAsia" w:ascii="仿宋_GB2312" w:hAnsi="仿宋_GB2312" w:eastAsia="仿宋_GB2312" w:cs="仿宋_GB2312"/>
                <w:b/>
                <w:bCs/>
                <w:sz w:val="24"/>
                <w:szCs w:val="32"/>
                <w:lang/>
              </w:rPr>
              <w:t xml:space="preserve"> </w:t>
            </w:r>
            <w:r>
              <w:rPr>
                <w:rFonts w:hint="eastAsia" w:ascii="仿宋_GB2312" w:hAnsi="仿宋_GB2312" w:eastAsia="仿宋_GB2312" w:cs="仿宋_GB2312"/>
                <w:b/>
                <w:bCs/>
                <w:sz w:val="24"/>
                <w:szCs w:val="32"/>
                <w:lang/>
              </w:rPr>
              <w:t>第</w:t>
            </w:r>
            <w:r>
              <w:rPr>
                <w:rFonts w:hint="eastAsia" w:ascii="仿宋_GB2312" w:hAnsi="仿宋_GB2312" w:eastAsia="仿宋_GB2312" w:cs="仿宋_GB2312"/>
                <w:b/>
                <w:bCs/>
                <w:sz w:val="24"/>
                <w:szCs w:val="32"/>
                <w:lang/>
              </w:rPr>
              <w:t>二</w:t>
            </w:r>
            <w:r>
              <w:rPr>
                <w:rFonts w:hint="eastAsia" w:ascii="仿宋_GB2312" w:hAnsi="仿宋_GB2312" w:eastAsia="仿宋_GB2312" w:cs="仿宋_GB2312"/>
                <w:b/>
                <w:bCs/>
                <w:sz w:val="24"/>
                <w:szCs w:val="32"/>
                <w:lang/>
              </w:rPr>
              <w:t>款</w:t>
            </w:r>
            <w:r>
              <w:rPr>
                <w:rFonts w:hint="eastAsia" w:ascii="仿宋_GB2312" w:hAnsi="仿宋_GB2312" w:eastAsia="仿宋_GB2312" w:cs="仿宋_GB2312"/>
                <w:b/>
                <w:bCs/>
                <w:snapToGrid w:val="0"/>
                <w:spacing w:val="9"/>
                <w:kern w:val="0"/>
                <w:sz w:val="24"/>
                <w:lang/>
              </w:rPr>
              <w:t xml:space="preserve"> </w:t>
            </w:r>
            <w:r>
              <w:rPr>
                <w:rFonts w:hint="eastAsia" w:ascii="仿宋_GB2312" w:hAnsi="仿宋_GB2312" w:eastAsia="仿宋_GB2312" w:cs="仿宋_GB2312"/>
                <w:sz w:val="24"/>
                <w:szCs w:val="32"/>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61" w:type="dxa"/>
            <w:gridSpan w:val="3"/>
            <w:noWrap w:val="0"/>
            <w:vAlign w:val="top"/>
          </w:tcPr>
          <w:p>
            <w:pPr>
              <w:widowControl/>
              <w:kinsoku w:val="0"/>
              <w:autoSpaceDE w:val="0"/>
              <w:autoSpaceDN w:val="0"/>
              <w:adjustRightInd w:val="0"/>
              <w:snapToGrid w:val="0"/>
              <w:spacing w:before="177" w:line="219" w:lineRule="auto"/>
              <w:ind w:left="1527"/>
              <w:jc w:val="left"/>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2"/>
                <w:kern w:val="0"/>
                <w:sz w:val="28"/>
                <w:szCs w:val="28"/>
                <w:lang/>
              </w:rPr>
              <w:t>裁量要素</w:t>
            </w:r>
          </w:p>
        </w:tc>
        <w:tc>
          <w:tcPr>
            <w:tcW w:w="4900" w:type="dxa"/>
            <w:gridSpan w:val="2"/>
            <w:noWrap w:val="0"/>
            <w:vAlign w:val="top"/>
          </w:tcPr>
          <w:p>
            <w:pPr>
              <w:widowControl/>
              <w:kinsoku w:val="0"/>
              <w:autoSpaceDE w:val="0"/>
              <w:autoSpaceDN w:val="0"/>
              <w:adjustRightInd w:val="0"/>
              <w:snapToGrid w:val="0"/>
              <w:spacing w:before="176" w:line="218" w:lineRule="auto"/>
              <w:ind w:left="1588"/>
              <w:jc w:val="left"/>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5"/>
                <w:kern w:val="0"/>
                <w:sz w:val="28"/>
                <w:szCs w:val="28"/>
                <w:lang/>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20"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rPr>
              <w:t>要素</w:t>
            </w:r>
          </w:p>
        </w:tc>
        <w:tc>
          <w:tcPr>
            <w:tcW w:w="1949"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具体条件</w:t>
            </w:r>
          </w:p>
        </w:tc>
        <w:tc>
          <w:tcPr>
            <w:tcW w:w="79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比例</w:t>
            </w:r>
          </w:p>
        </w:tc>
        <w:tc>
          <w:tcPr>
            <w:tcW w:w="3201"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程度</w:t>
            </w:r>
          </w:p>
        </w:tc>
        <w:tc>
          <w:tcPr>
            <w:tcW w:w="1699"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未采取防止工业噪声污染措施时间不满1天</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未采取防止工业噪声污染措施时间1天以上不满7天</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未采取防止工业噪声污染措施时间7天以上</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是否配合执检查</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left"/>
              <w:rPr>
                <w:rFonts w:hint="eastAsia" w:ascii="仿宋_GB2312" w:hAnsi="仿宋_GB2312" w:eastAsia="仿宋_GB2312" w:cs="仿宋_GB2312"/>
                <w:sz w:val="24"/>
                <w:szCs w:val="32"/>
              </w:rPr>
            </w:pPr>
          </w:p>
        </w:tc>
        <w:tc>
          <w:tcPr>
            <w:tcW w:w="792" w:type="dxa"/>
            <w:vMerge w:val="continue"/>
            <w:noWrap w:val="0"/>
            <w:vAlign w:val="top"/>
          </w:tcPr>
          <w:p>
            <w:pPr>
              <w:jc w:val="left"/>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tbl>
      <w:tblPr>
        <w:tblStyle w:val="9"/>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949"/>
        <w:gridCol w:w="792"/>
        <w:gridCol w:w="3201"/>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061" w:type="dxa"/>
            <w:gridSpan w:val="5"/>
            <w:noWrap w:val="0"/>
            <w:vAlign w:val="top"/>
          </w:tcPr>
          <w:p>
            <w:pPr>
              <w:widowControl/>
              <w:kinsoku w:val="0"/>
              <w:autoSpaceDE w:val="0"/>
              <w:autoSpaceDN w:val="0"/>
              <w:adjustRightInd w:val="0"/>
              <w:snapToGrid w:val="0"/>
              <w:spacing w:before="97" w:line="203" w:lineRule="auto"/>
              <w:ind w:left="210"/>
              <w:jc w:val="center"/>
              <w:textAlignment w:val="baseline"/>
              <w:rPr>
                <w:rFonts w:ascii="微软雅黑" w:hAnsi="微软雅黑" w:eastAsia="微软雅黑" w:cs="微软雅黑"/>
                <w:snapToGrid w:val="0"/>
                <w:kern w:val="0"/>
                <w:sz w:val="40"/>
                <w:szCs w:val="40"/>
                <w:lang/>
              </w:rPr>
            </w:pPr>
            <w:r>
              <w:rPr>
                <w:rFonts w:hint="eastAsia" w:ascii="方正小标宋简体" w:hAnsi="方正小标宋简体" w:eastAsia="方正小标宋简体" w:cs="方正小标宋简体"/>
                <w:sz w:val="40"/>
                <w:szCs w:val="40"/>
              </w:rPr>
              <w:t>唐山市生态环境行政处罚裁量规则（噪声类）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41" w:type="dxa"/>
            <w:gridSpan w:val="4"/>
            <w:noWrap w:val="0"/>
            <w:vAlign w:val="center"/>
          </w:tcPr>
          <w:p>
            <w:pPr>
              <w:widowControl/>
              <w:kinsoku w:val="0"/>
              <w:autoSpaceDE w:val="0"/>
              <w:autoSpaceDN w:val="0"/>
              <w:adjustRightInd w:val="0"/>
              <w:snapToGrid w:val="0"/>
              <w:jc w:val="center"/>
              <w:textAlignment w:val="baseline"/>
              <w:rPr>
                <w:rFonts w:ascii="仿宋_GB2312" w:hAnsi="仿宋_GB2312" w:eastAsia="仿宋_GB2312" w:cs="仿宋_GB2312"/>
                <w:snapToGrid w:val="0"/>
                <w:kern w:val="0"/>
                <w:sz w:val="24"/>
                <w:lang/>
              </w:rPr>
            </w:pPr>
            <w:r>
              <w:rPr>
                <w:rFonts w:hint="eastAsia" w:ascii="仿宋_GB2312" w:hAnsi="仿宋_GB2312" w:eastAsia="仿宋_GB2312" w:cs="仿宋_GB2312"/>
                <w:snapToGrid w:val="0"/>
                <w:kern w:val="0"/>
                <w:sz w:val="24"/>
                <w:lang/>
              </w:rPr>
              <w:t>149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41" w:type="dxa"/>
            <w:gridSpan w:val="4"/>
            <w:noWrap w:val="0"/>
            <w:vAlign w:val="center"/>
          </w:tcPr>
          <w:p>
            <w:pPr>
              <w:widowControl/>
              <w:kinsoku w:val="0"/>
              <w:autoSpaceDE w:val="0"/>
              <w:autoSpaceDN w:val="0"/>
              <w:adjustRightInd w:val="0"/>
              <w:snapToGrid w:val="0"/>
              <w:spacing w:line="241" w:lineRule="auto"/>
              <w:ind w:left="109" w:right="175" w:firstLine="1"/>
              <w:jc w:val="left"/>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snapToGrid w:val="0"/>
                <w:kern w:val="0"/>
                <w:sz w:val="24"/>
                <w:lang/>
              </w:rPr>
              <w:t>无排污许可证或者超过噪声排放标准排放工业噪声的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41" w:type="dxa"/>
            <w:gridSpan w:val="4"/>
            <w:noWrap w:val="0"/>
            <w:vAlign w:val="top"/>
          </w:tcPr>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1.</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rPr>
              <w:t>第三十六</w:t>
            </w:r>
            <w:r>
              <w:rPr>
                <w:rFonts w:hint="eastAsia" w:ascii="仿宋_GB2312" w:hAnsi="仿宋_GB2312" w:eastAsia="仿宋_GB2312" w:cs="仿宋_GB2312"/>
                <w:b/>
                <w:bCs/>
                <w:sz w:val="24"/>
                <w:szCs w:val="32"/>
              </w:rPr>
              <w:t>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排放工业噪声的企业事业单位和其他生产经营者，应当采取有效措施，减少振动、降低噪声，依法取得排污许可证或者填报排污登记表。</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lang/>
              </w:rPr>
            </w:pPr>
          </w:p>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2.</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7"/>
              <w:ind w:right="176"/>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szCs w:val="32"/>
                <w:lang/>
              </w:rPr>
              <w:t>第七十</w:t>
            </w:r>
            <w:r>
              <w:rPr>
                <w:rFonts w:hint="eastAsia" w:ascii="仿宋_GB2312" w:hAnsi="仿宋_GB2312" w:eastAsia="仿宋_GB2312" w:cs="仿宋_GB2312"/>
                <w:b/>
                <w:bCs/>
                <w:sz w:val="24"/>
                <w:szCs w:val="32"/>
                <w:lang/>
              </w:rPr>
              <w:t>五</w:t>
            </w:r>
            <w:r>
              <w:rPr>
                <w:rFonts w:hint="eastAsia" w:ascii="仿宋_GB2312" w:hAnsi="仿宋_GB2312" w:eastAsia="仿宋_GB2312" w:cs="仿宋_GB2312"/>
                <w:b/>
                <w:bCs/>
                <w:sz w:val="24"/>
                <w:szCs w:val="32"/>
                <w:lang/>
              </w:rPr>
              <w:t>条</w:t>
            </w:r>
            <w:r>
              <w:rPr>
                <w:rFonts w:hint="eastAsia" w:ascii="仿宋_GB2312" w:hAnsi="仿宋_GB2312" w:eastAsia="仿宋_GB2312" w:cs="仿宋_GB2312"/>
                <w:b/>
                <w:bCs/>
                <w:snapToGrid w:val="0"/>
                <w:spacing w:val="9"/>
                <w:kern w:val="0"/>
                <w:sz w:val="24"/>
                <w:lang/>
              </w:rPr>
              <w:t xml:space="preserve"> </w:t>
            </w:r>
            <w:r>
              <w:rPr>
                <w:rFonts w:hint="eastAsia" w:ascii="仿宋_GB2312" w:hAnsi="仿宋_GB2312" w:eastAsia="仿宋_GB2312" w:cs="仿宋_GB2312"/>
                <w:sz w:val="24"/>
                <w:szCs w:val="32"/>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161" w:type="dxa"/>
            <w:gridSpan w:val="3"/>
            <w:noWrap w:val="0"/>
            <w:vAlign w:val="center"/>
          </w:tcPr>
          <w:p>
            <w:pPr>
              <w:widowControl/>
              <w:kinsoku w:val="0"/>
              <w:autoSpaceDE w:val="0"/>
              <w:autoSpaceDN w:val="0"/>
              <w:adjustRightInd w:val="0"/>
              <w:snapToGrid w:val="0"/>
              <w:spacing w:line="219" w:lineRule="auto"/>
              <w:ind w:left="1527"/>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2"/>
                <w:kern w:val="0"/>
                <w:sz w:val="28"/>
                <w:szCs w:val="28"/>
                <w:lang/>
              </w:rPr>
              <w:t>裁量要素</w:t>
            </w:r>
          </w:p>
        </w:tc>
        <w:tc>
          <w:tcPr>
            <w:tcW w:w="4900" w:type="dxa"/>
            <w:gridSpan w:val="2"/>
            <w:noWrap w:val="0"/>
            <w:vAlign w:val="center"/>
          </w:tcPr>
          <w:p>
            <w:pPr>
              <w:widowControl/>
              <w:kinsoku w:val="0"/>
              <w:autoSpaceDE w:val="0"/>
              <w:autoSpaceDN w:val="0"/>
              <w:adjustRightInd w:val="0"/>
              <w:snapToGrid w:val="0"/>
              <w:spacing w:line="218" w:lineRule="auto"/>
              <w:ind w:left="1588"/>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5"/>
                <w:kern w:val="0"/>
                <w:sz w:val="28"/>
                <w:szCs w:val="28"/>
                <w:lang/>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20"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rPr>
              <w:t>要素</w:t>
            </w:r>
          </w:p>
        </w:tc>
        <w:tc>
          <w:tcPr>
            <w:tcW w:w="1949"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具体条件</w:t>
            </w:r>
          </w:p>
        </w:tc>
        <w:tc>
          <w:tcPr>
            <w:tcW w:w="79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比例</w:t>
            </w:r>
          </w:p>
        </w:tc>
        <w:tc>
          <w:tcPr>
            <w:tcW w:w="3201"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程度</w:t>
            </w:r>
          </w:p>
        </w:tc>
        <w:tc>
          <w:tcPr>
            <w:tcW w:w="1699"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噪声超标在3分贝以内</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噪声超标在3分贝以上，10分贝以下</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噪声超标在10分贝以上</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违法主体</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类型</w:t>
            </w:r>
          </w:p>
          <w:p>
            <w:pPr>
              <w:jc w:val="center"/>
              <w:rPr>
                <w:rFonts w:hint="eastAsia" w:ascii="仿宋_GB2312" w:hAnsi="仿宋_GB2312" w:eastAsia="仿宋_GB2312" w:cs="仿宋_GB2312"/>
                <w:b/>
                <w:bCs/>
                <w:sz w:val="24"/>
                <w:szCs w:val="32"/>
              </w:rPr>
            </w:pP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是否配合执检查</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99" w:type="dxa"/>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top"/>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99" w:type="dxa"/>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left"/>
              <w:rPr>
                <w:rFonts w:hint="eastAsia" w:ascii="仿宋_GB2312" w:hAnsi="仿宋_GB2312" w:eastAsia="仿宋_GB2312" w:cs="仿宋_GB2312"/>
                <w:sz w:val="24"/>
                <w:szCs w:val="32"/>
              </w:rPr>
            </w:pPr>
          </w:p>
        </w:tc>
        <w:tc>
          <w:tcPr>
            <w:tcW w:w="792" w:type="dxa"/>
            <w:vMerge w:val="continue"/>
            <w:noWrap w:val="0"/>
            <w:vAlign w:val="top"/>
          </w:tcPr>
          <w:p>
            <w:pPr>
              <w:jc w:val="left"/>
              <w:rPr>
                <w:rFonts w:hint="eastAsia" w:ascii="仿宋_GB2312" w:hAnsi="仿宋_GB2312" w:eastAsia="仿宋_GB2312" w:cs="仿宋_GB2312"/>
                <w:sz w:val="24"/>
                <w:szCs w:val="32"/>
              </w:rPr>
            </w:pPr>
          </w:p>
        </w:tc>
        <w:tc>
          <w:tcPr>
            <w:tcW w:w="3201" w:type="dxa"/>
            <w:noWrap w:val="0"/>
            <w:vAlign w:val="center"/>
          </w:tcPr>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99"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r>
        <w:rPr>
          <w:rFonts w:ascii="Arial" w:hAnsi="Arial" w:eastAsia="Arial" w:cs="Arial"/>
          <w:snapToGrid w:val="0"/>
          <w:kern w:val="0"/>
          <w:szCs w:val="21"/>
          <w:lang/>
        </w:rPr>
        <w:br w:type="page"/>
      </w:r>
    </w:p>
    <w:tbl>
      <w:tblPr>
        <w:tblStyle w:val="9"/>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949"/>
        <w:gridCol w:w="792"/>
        <w:gridCol w:w="3201"/>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074" w:type="dxa"/>
            <w:gridSpan w:val="5"/>
            <w:noWrap w:val="0"/>
            <w:vAlign w:val="top"/>
          </w:tcPr>
          <w:p>
            <w:pPr>
              <w:widowControl/>
              <w:kinsoku w:val="0"/>
              <w:autoSpaceDE w:val="0"/>
              <w:autoSpaceDN w:val="0"/>
              <w:adjustRightInd w:val="0"/>
              <w:snapToGrid w:val="0"/>
              <w:spacing w:before="97" w:line="203" w:lineRule="auto"/>
              <w:ind w:left="210"/>
              <w:jc w:val="center"/>
              <w:textAlignment w:val="baseline"/>
              <w:rPr>
                <w:rFonts w:ascii="微软雅黑" w:hAnsi="微软雅黑" w:eastAsia="微软雅黑" w:cs="微软雅黑"/>
                <w:snapToGrid w:val="0"/>
                <w:kern w:val="0"/>
                <w:sz w:val="40"/>
                <w:szCs w:val="40"/>
                <w:lang/>
              </w:rPr>
            </w:pPr>
            <w:r>
              <w:rPr>
                <w:rFonts w:hint="eastAsia" w:ascii="方正小标宋简体" w:hAnsi="方正小标宋简体" w:eastAsia="方正小标宋简体" w:cs="方正小标宋简体"/>
                <w:sz w:val="40"/>
                <w:szCs w:val="40"/>
              </w:rPr>
              <w:t>唐山市生态环境行政处罚裁量规则（噪声类）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54" w:type="dxa"/>
            <w:gridSpan w:val="4"/>
            <w:noWrap w:val="0"/>
            <w:vAlign w:val="center"/>
          </w:tcPr>
          <w:p>
            <w:pPr>
              <w:widowControl/>
              <w:kinsoku w:val="0"/>
              <w:autoSpaceDE w:val="0"/>
              <w:autoSpaceDN w:val="0"/>
              <w:adjustRightInd w:val="0"/>
              <w:snapToGrid w:val="0"/>
              <w:ind w:left="3461"/>
              <w:textAlignment w:val="baseline"/>
              <w:rPr>
                <w:rFonts w:ascii="仿宋_GB2312" w:hAnsi="仿宋_GB2312" w:eastAsia="仿宋_GB2312" w:cs="仿宋_GB2312"/>
                <w:snapToGrid w:val="0"/>
                <w:kern w:val="0"/>
                <w:sz w:val="24"/>
                <w:lang/>
              </w:rPr>
            </w:pPr>
            <w:r>
              <w:rPr>
                <w:rFonts w:hint="eastAsia" w:ascii="仿宋_GB2312" w:hAnsi="仿宋_GB2312" w:eastAsia="仿宋_GB2312" w:cs="仿宋_GB2312"/>
                <w:snapToGrid w:val="0"/>
                <w:kern w:val="0"/>
                <w:sz w:val="24"/>
                <w:lang/>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54" w:type="dxa"/>
            <w:gridSpan w:val="4"/>
            <w:noWrap w:val="0"/>
            <w:vAlign w:val="center"/>
          </w:tcPr>
          <w:p>
            <w:pPr>
              <w:widowControl/>
              <w:kinsoku w:val="0"/>
              <w:autoSpaceDE w:val="0"/>
              <w:autoSpaceDN w:val="0"/>
              <w:adjustRightInd w:val="0"/>
              <w:snapToGrid w:val="0"/>
              <w:spacing w:before="40" w:line="241" w:lineRule="auto"/>
              <w:ind w:left="109" w:right="175" w:firstLine="1"/>
              <w:jc w:val="left"/>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sz w:val="24"/>
                <w:szCs w:val="32"/>
              </w:rPr>
              <w:t>实行排污许可管理的单位未按照规定对工业噪声开展自行监测，未保存原始监测记录，或者未向社会公开监测结果的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0" w:hRule="atLeast"/>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54" w:type="dxa"/>
            <w:gridSpan w:val="4"/>
            <w:noWrap w:val="0"/>
            <w:vAlign w:val="top"/>
          </w:tcPr>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1.</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rPr>
              <w:t>第三十八条 第一款</w:t>
            </w:r>
            <w:r>
              <w:rPr>
                <w:rFonts w:hint="eastAsia" w:ascii="仿宋_GB2312" w:hAnsi="仿宋_GB2312" w:eastAsia="仿宋_GB2312" w:cs="仿宋_GB2312"/>
                <w:snapToGrid w:val="0"/>
                <w:spacing w:val="7"/>
                <w:kern w:val="0"/>
                <w:sz w:val="24"/>
                <w:lang/>
              </w:rPr>
              <w:t xml:space="preserve"> </w:t>
            </w:r>
            <w:r>
              <w:rPr>
                <w:rFonts w:hint="eastAsia" w:ascii="仿宋_GB2312" w:hAnsi="仿宋_GB2312" w:eastAsia="仿宋_GB2312" w:cs="仿宋_GB2312"/>
                <w:sz w:val="24"/>
                <w:szCs w:val="32"/>
              </w:rPr>
              <w:t>实行排污许可管理的单位应当按照规定，对工业噪声开展自行监测，保存原始监测记录，向社会公开监测结果，对监测数据的真实性和准确性负责。</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lang/>
              </w:rPr>
            </w:pPr>
          </w:p>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2.</w:t>
            </w:r>
            <w:r>
              <w:rPr>
                <w:rFonts w:hint="eastAsia" w:ascii="仿宋_GB2312" w:hAnsi="仿宋_GB2312" w:eastAsia="仿宋_GB2312" w:cs="仿宋_GB2312"/>
                <w:b/>
                <w:bCs/>
                <w:sz w:val="24"/>
                <w:szCs w:val="32"/>
                <w:lang/>
              </w:rPr>
              <w:t>《中华人民共和国噪声污染防治法》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rPr>
              <w:t>第七十</w:t>
            </w:r>
            <w:r>
              <w:rPr>
                <w:rFonts w:hint="eastAsia" w:ascii="仿宋_GB2312" w:hAnsi="仿宋_GB2312" w:eastAsia="仿宋_GB2312" w:cs="仿宋_GB2312"/>
                <w:b/>
                <w:bCs/>
                <w:sz w:val="24"/>
                <w:szCs w:val="32"/>
                <w:lang/>
              </w:rPr>
              <w:t>六</w:t>
            </w:r>
            <w:r>
              <w:rPr>
                <w:rFonts w:hint="eastAsia" w:ascii="仿宋_GB2312" w:hAnsi="仿宋_GB2312" w:eastAsia="仿宋_GB2312" w:cs="仿宋_GB2312"/>
                <w:b/>
                <w:bCs/>
                <w:sz w:val="24"/>
                <w:szCs w:val="32"/>
                <w:lang/>
              </w:rPr>
              <w:t>条</w:t>
            </w:r>
            <w:r>
              <w:rPr>
                <w:rFonts w:hint="eastAsia" w:ascii="仿宋_GB2312" w:hAnsi="仿宋_GB2312" w:eastAsia="仿宋_GB2312" w:cs="仿宋_GB2312"/>
                <w:b/>
                <w:bCs/>
                <w:sz w:val="24"/>
                <w:szCs w:val="32"/>
                <w:lang/>
              </w:rPr>
              <w:t xml:space="preserve"> </w:t>
            </w:r>
            <w:r>
              <w:rPr>
                <w:rFonts w:hint="eastAsia" w:ascii="仿宋_GB2312" w:hAnsi="仿宋_GB2312" w:eastAsia="仿宋_GB2312" w:cs="仿宋_GB2312"/>
                <w:b/>
                <w:bCs/>
                <w:sz w:val="24"/>
                <w:szCs w:val="32"/>
                <w:lang/>
              </w:rPr>
              <w:t>第一项</w:t>
            </w:r>
            <w:r>
              <w:rPr>
                <w:rFonts w:hint="eastAsia" w:ascii="仿宋_GB2312" w:hAnsi="仿宋_GB2312" w:eastAsia="仿宋_GB2312" w:cs="仿宋_GB2312"/>
                <w:b/>
                <w:bCs/>
                <w:snapToGrid w:val="0"/>
                <w:spacing w:val="9"/>
                <w:kern w:val="0"/>
                <w:sz w:val="24"/>
                <w:lang/>
              </w:rPr>
              <w:t xml:space="preserve"> </w:t>
            </w:r>
            <w:r>
              <w:rPr>
                <w:rFonts w:hint="eastAsia" w:ascii="仿宋_GB2312" w:hAnsi="仿宋_GB2312" w:eastAsia="仿宋_GB2312" w:cs="仿宋_GB2312"/>
                <w:sz w:val="24"/>
                <w:szCs w:val="32"/>
              </w:rPr>
              <w:t>违反本法规定，有下列行为之一，由生态环境主管部门责令改正，处二万元以上二十万元以下的罚款；拒不改正的，责令限制生产、停产整治：</w:t>
            </w:r>
          </w:p>
          <w:p>
            <w:pPr>
              <w:jc w:val="left"/>
              <w:rPr>
                <w:rFonts w:hint="eastAsia" w:ascii="仿宋_GB2312" w:hAnsi="仿宋_GB2312" w:eastAsia="仿宋_GB2312" w:cs="仿宋_GB2312"/>
                <w:snapToGrid w:val="0"/>
                <w:kern w:val="0"/>
                <w:sz w:val="24"/>
                <w:lang/>
              </w:rPr>
            </w:pPr>
            <w:r>
              <w:rPr>
                <w:rFonts w:hint="eastAsia" w:ascii="仿宋_GB2312" w:hAnsi="仿宋_GB2312" w:eastAsia="仿宋_GB2312" w:cs="仿宋_GB2312"/>
                <w:sz w:val="24"/>
                <w:szCs w:val="32"/>
              </w:rPr>
              <w:t>(一)实行排污许可管理的单位未按照规定对工业噪声开展自行监测，未保存原始监测记录，或者未向社会公开监测结果的。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161" w:type="dxa"/>
            <w:gridSpan w:val="3"/>
            <w:noWrap w:val="0"/>
            <w:vAlign w:val="center"/>
          </w:tcPr>
          <w:p>
            <w:pPr>
              <w:widowControl/>
              <w:kinsoku w:val="0"/>
              <w:autoSpaceDE w:val="0"/>
              <w:autoSpaceDN w:val="0"/>
              <w:adjustRightInd w:val="0"/>
              <w:snapToGrid w:val="0"/>
              <w:spacing w:line="219" w:lineRule="auto"/>
              <w:ind w:left="1527"/>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2"/>
                <w:kern w:val="0"/>
                <w:sz w:val="28"/>
                <w:szCs w:val="28"/>
                <w:lang/>
              </w:rPr>
              <w:t>裁量要素</w:t>
            </w:r>
          </w:p>
        </w:tc>
        <w:tc>
          <w:tcPr>
            <w:tcW w:w="4913" w:type="dxa"/>
            <w:gridSpan w:val="2"/>
            <w:noWrap w:val="0"/>
            <w:vAlign w:val="center"/>
          </w:tcPr>
          <w:p>
            <w:pPr>
              <w:widowControl/>
              <w:kinsoku w:val="0"/>
              <w:autoSpaceDE w:val="0"/>
              <w:autoSpaceDN w:val="0"/>
              <w:adjustRightInd w:val="0"/>
              <w:snapToGrid w:val="0"/>
              <w:spacing w:line="218" w:lineRule="auto"/>
              <w:ind w:left="1588"/>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5"/>
                <w:kern w:val="0"/>
                <w:sz w:val="28"/>
                <w:szCs w:val="28"/>
                <w:lang/>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20"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rPr>
              <w:t>要素</w:t>
            </w:r>
          </w:p>
        </w:tc>
        <w:tc>
          <w:tcPr>
            <w:tcW w:w="1949"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具体条件</w:t>
            </w:r>
          </w:p>
        </w:tc>
        <w:tc>
          <w:tcPr>
            <w:tcW w:w="79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比例</w:t>
            </w:r>
          </w:p>
        </w:tc>
        <w:tc>
          <w:tcPr>
            <w:tcW w:w="3201"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程度</w:t>
            </w:r>
          </w:p>
        </w:tc>
        <w:tc>
          <w:tcPr>
            <w:tcW w:w="1712"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420" w:type="dxa"/>
            <w:vMerge w:val="restart"/>
            <w:noWrap w:val="0"/>
            <w:vAlign w:val="center"/>
          </w:tcPr>
          <w:p>
            <w:pPr>
              <w:widowControl/>
              <w:kinsoku w:val="0"/>
              <w:autoSpaceDE w:val="0"/>
              <w:autoSpaceDN w:val="0"/>
              <w:adjustRightInd w:val="0"/>
              <w:snapToGrid w:val="0"/>
              <w:spacing w:before="199" w:line="228" w:lineRule="auto"/>
              <w:jc w:val="center"/>
              <w:textAlignment w:val="baseline"/>
              <w:rPr>
                <w:rFonts w:hint="eastAsia" w:ascii="仿宋_GB2312" w:hAnsi="仿宋_GB2312" w:eastAsia="仿宋_GB2312" w:cs="仿宋_GB2312"/>
                <w:b/>
                <w:bCs/>
                <w:snapToGrid w:val="0"/>
                <w:spacing w:val="2"/>
                <w:kern w:val="0"/>
                <w:sz w:val="24"/>
                <w:lang/>
              </w:rPr>
            </w:pPr>
            <w:r>
              <w:rPr>
                <w:rFonts w:hint="eastAsia" w:ascii="仿宋_GB2312" w:hAnsi="仿宋_GB2312" w:eastAsia="仿宋_GB2312" w:cs="仿宋_GB2312"/>
                <w:b/>
                <w:bCs/>
                <w:snapToGrid w:val="0"/>
                <w:spacing w:val="7"/>
                <w:kern w:val="0"/>
                <w:sz w:val="24"/>
                <w:lang/>
              </w:rPr>
              <w:t>对环境影</w:t>
            </w:r>
            <w:r>
              <w:rPr>
                <w:rFonts w:hint="eastAsia" w:ascii="仿宋_GB2312" w:hAnsi="仿宋_GB2312" w:eastAsia="仿宋_GB2312" w:cs="仿宋_GB2312"/>
                <w:b/>
                <w:bCs/>
                <w:snapToGrid w:val="0"/>
                <w:spacing w:val="5"/>
                <w:kern w:val="0"/>
                <w:sz w:val="24"/>
                <w:lang/>
              </w:rPr>
              <w:t>响程度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自行监测项目不全或者部分非关键性记录未保存</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部分关键性记录未保存</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公开污染物信息的方式(途径)不符合规定或者公开污染物信息的内容不符合要求</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未开展自行监测、未保存记录或者未公开污染物信息</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420" w:type="dxa"/>
            <w:vMerge w:val="restart"/>
            <w:noWrap w:val="0"/>
            <w:vAlign w:val="center"/>
          </w:tcPr>
          <w:p>
            <w:pPr>
              <w:widowControl/>
              <w:kinsoku w:val="0"/>
              <w:autoSpaceDE w:val="0"/>
              <w:autoSpaceDN w:val="0"/>
              <w:adjustRightInd w:val="0"/>
              <w:snapToGrid w:val="0"/>
              <w:spacing w:before="75" w:line="226" w:lineRule="auto"/>
              <w:jc w:val="center"/>
              <w:textAlignment w:val="baseline"/>
              <w:rPr>
                <w:rFonts w:hint="eastAsia" w:ascii="仿宋_GB2312" w:hAnsi="仿宋_GB2312" w:eastAsia="仿宋_GB2312" w:cs="仿宋_GB2312"/>
                <w:b/>
                <w:bCs/>
                <w:snapToGrid w:val="0"/>
                <w:spacing w:val="9"/>
                <w:kern w:val="0"/>
                <w:sz w:val="24"/>
                <w:lang/>
              </w:rPr>
            </w:pPr>
            <w:r>
              <w:rPr>
                <w:rFonts w:hint="eastAsia" w:ascii="仿宋_GB2312" w:hAnsi="仿宋_GB2312" w:eastAsia="仿宋_GB2312" w:cs="仿宋_GB2312"/>
                <w:b/>
                <w:bCs/>
                <w:snapToGrid w:val="0"/>
                <w:spacing w:val="9"/>
                <w:kern w:val="0"/>
                <w:sz w:val="24"/>
                <w:lang/>
              </w:rPr>
              <w:t>违法主体</w:t>
            </w:r>
          </w:p>
          <w:p>
            <w:pPr>
              <w:widowControl/>
              <w:kinsoku w:val="0"/>
              <w:autoSpaceDE w:val="0"/>
              <w:autoSpaceDN w:val="0"/>
              <w:adjustRightInd w:val="0"/>
              <w:snapToGrid w:val="0"/>
              <w:spacing w:before="75" w:line="226" w:lineRule="auto"/>
              <w:jc w:val="center"/>
              <w:textAlignment w:val="baseline"/>
              <w:rPr>
                <w:rFonts w:hint="eastAsia" w:ascii="仿宋_GB2312" w:hAnsi="仿宋_GB2312" w:eastAsia="仿宋_GB2312" w:cs="仿宋_GB2312"/>
                <w:b/>
                <w:bCs/>
                <w:snapToGrid w:val="0"/>
                <w:spacing w:val="2"/>
                <w:kern w:val="0"/>
                <w:sz w:val="24"/>
                <w:lang/>
              </w:rPr>
            </w:pPr>
            <w:r>
              <w:rPr>
                <w:rFonts w:hint="eastAsia" w:ascii="仿宋_GB2312" w:hAnsi="仿宋_GB2312" w:eastAsia="仿宋_GB2312" w:cs="仿宋_GB2312"/>
                <w:b/>
                <w:bCs/>
                <w:snapToGrid w:val="0"/>
                <w:spacing w:val="9"/>
                <w:kern w:val="0"/>
                <w:sz w:val="24"/>
                <w:lang/>
              </w:rPr>
              <w:t>类型</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排污单位管理类别</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简化管理</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重点管理(化工、电镀、皮革、造纸、制浆、冶炼、放射性、印染、染料、炼焦、炼油项目)</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420" w:type="dxa"/>
            <w:vMerge w:val="restart"/>
            <w:noWrap w:val="0"/>
            <w:vAlign w:val="center"/>
          </w:tcPr>
          <w:p>
            <w:pPr>
              <w:widowControl/>
              <w:kinsoku w:val="0"/>
              <w:autoSpaceDE w:val="0"/>
              <w:autoSpaceDN w:val="0"/>
              <w:adjustRightInd w:val="0"/>
              <w:snapToGrid w:val="0"/>
              <w:spacing w:before="75" w:line="226" w:lineRule="auto"/>
              <w:ind w:left="257"/>
              <w:textAlignment w:val="baseline"/>
              <w:rPr>
                <w:rFonts w:hint="eastAsia" w:ascii="仿宋_GB2312" w:hAnsi="仿宋_GB2312" w:eastAsia="仿宋_GB2312" w:cs="仿宋_GB2312"/>
                <w:b/>
                <w:bCs/>
                <w:snapToGrid w:val="0"/>
                <w:kern w:val="0"/>
                <w:sz w:val="24"/>
                <w:lang/>
              </w:rPr>
            </w:pPr>
            <w:r>
              <w:rPr>
                <w:rFonts w:hint="eastAsia" w:ascii="仿宋_GB2312" w:hAnsi="仿宋_GB2312" w:eastAsia="仿宋_GB2312" w:cs="仿宋_GB2312"/>
                <w:b/>
                <w:bCs/>
                <w:snapToGrid w:val="0"/>
                <w:spacing w:val="9"/>
                <w:kern w:val="0"/>
                <w:sz w:val="24"/>
                <w:lang/>
              </w:rPr>
              <w:t>违</w:t>
            </w:r>
            <w:r>
              <w:rPr>
                <w:rFonts w:hint="eastAsia" w:ascii="仿宋_GB2312" w:hAnsi="仿宋_GB2312" w:eastAsia="仿宋_GB2312" w:cs="仿宋_GB2312"/>
                <w:b/>
                <w:bCs/>
                <w:snapToGrid w:val="0"/>
                <w:spacing w:val="7"/>
                <w:kern w:val="0"/>
                <w:sz w:val="24"/>
                <w:lang/>
              </w:rPr>
              <w:t>法频次</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restart"/>
            <w:noWrap w:val="0"/>
            <w:vAlign w:val="center"/>
          </w:tcPr>
          <w:p>
            <w:pPr>
              <w:widowControl/>
              <w:kinsoku w:val="0"/>
              <w:autoSpaceDE w:val="0"/>
              <w:autoSpaceDN w:val="0"/>
              <w:adjustRightInd w:val="0"/>
              <w:snapToGrid w:val="0"/>
              <w:spacing w:before="48" w:line="237" w:lineRule="auto"/>
              <w:ind w:right="224"/>
              <w:jc w:val="center"/>
              <w:textAlignment w:val="baseline"/>
              <w:rPr>
                <w:rFonts w:hint="eastAsia" w:ascii="仿宋_GB2312" w:hAnsi="仿宋_GB2312" w:eastAsia="仿宋_GB2312" w:cs="仿宋_GB2312"/>
                <w:b/>
                <w:bCs/>
                <w:snapToGrid w:val="0"/>
                <w:spacing w:val="5"/>
                <w:kern w:val="0"/>
                <w:sz w:val="24"/>
                <w:lang/>
              </w:rPr>
            </w:pPr>
            <w:r>
              <w:rPr>
                <w:rFonts w:hint="eastAsia" w:ascii="仿宋_GB2312" w:hAnsi="仿宋_GB2312" w:eastAsia="仿宋_GB2312" w:cs="仿宋_GB2312"/>
                <w:b/>
                <w:bCs/>
                <w:snapToGrid w:val="0"/>
                <w:spacing w:val="7"/>
                <w:kern w:val="0"/>
                <w:sz w:val="24"/>
                <w:lang/>
              </w:rPr>
              <w:t xml:space="preserve"> </w:t>
            </w:r>
            <w:r>
              <w:rPr>
                <w:rFonts w:hint="eastAsia" w:ascii="仿宋_GB2312" w:hAnsi="仿宋_GB2312" w:eastAsia="仿宋_GB2312" w:cs="仿宋_GB2312"/>
                <w:b/>
                <w:bCs/>
                <w:snapToGrid w:val="0"/>
                <w:spacing w:val="7"/>
                <w:kern w:val="0"/>
                <w:sz w:val="24"/>
                <w:lang/>
              </w:rPr>
              <w:t>配</w:t>
            </w:r>
            <w:r>
              <w:rPr>
                <w:rFonts w:hint="eastAsia" w:ascii="仿宋_GB2312" w:hAnsi="仿宋_GB2312" w:eastAsia="仿宋_GB2312" w:cs="仿宋_GB2312"/>
                <w:b/>
                <w:bCs/>
                <w:snapToGrid w:val="0"/>
                <w:spacing w:val="5"/>
                <w:kern w:val="0"/>
                <w:sz w:val="24"/>
                <w:lang/>
              </w:rPr>
              <w:t>合调查</w:t>
            </w:r>
          </w:p>
          <w:p>
            <w:pPr>
              <w:widowControl/>
              <w:kinsoku w:val="0"/>
              <w:autoSpaceDE w:val="0"/>
              <w:autoSpaceDN w:val="0"/>
              <w:adjustRightInd w:val="0"/>
              <w:snapToGrid w:val="0"/>
              <w:spacing w:before="48" w:line="237" w:lineRule="auto"/>
              <w:ind w:right="224"/>
              <w:jc w:val="center"/>
              <w:textAlignment w:val="baseline"/>
              <w:rPr>
                <w:rFonts w:hint="eastAsia" w:ascii="仿宋_GB2312" w:hAnsi="仿宋_GB2312" w:eastAsia="仿宋_GB2312" w:cs="仿宋_GB2312"/>
                <w:b/>
                <w:bCs/>
                <w:snapToGrid w:val="0"/>
                <w:spacing w:val="7"/>
                <w:kern w:val="0"/>
                <w:sz w:val="24"/>
                <w:lang/>
              </w:rPr>
            </w:pPr>
            <w:r>
              <w:rPr>
                <w:rFonts w:hint="eastAsia" w:ascii="仿宋_GB2312" w:hAnsi="仿宋_GB2312" w:eastAsia="仿宋_GB2312" w:cs="仿宋_GB2312"/>
                <w:b/>
                <w:bCs/>
                <w:snapToGrid w:val="0"/>
                <w:spacing w:val="9"/>
                <w:kern w:val="0"/>
                <w:sz w:val="24"/>
                <w:lang/>
              </w:rPr>
              <w:t xml:space="preserve"> </w:t>
            </w:r>
            <w:r>
              <w:rPr>
                <w:rFonts w:hint="eastAsia" w:ascii="仿宋_GB2312" w:hAnsi="仿宋_GB2312" w:eastAsia="仿宋_GB2312" w:cs="仿宋_GB2312"/>
                <w:b/>
                <w:bCs/>
                <w:snapToGrid w:val="0"/>
                <w:spacing w:val="9"/>
                <w:kern w:val="0"/>
                <w:sz w:val="24"/>
                <w:lang/>
              </w:rPr>
              <w:t>取</w:t>
            </w:r>
            <w:r>
              <w:rPr>
                <w:rFonts w:hint="eastAsia" w:ascii="仿宋_GB2312" w:hAnsi="仿宋_GB2312" w:eastAsia="仿宋_GB2312" w:cs="仿宋_GB2312"/>
                <w:b/>
                <w:bCs/>
                <w:snapToGrid w:val="0"/>
                <w:spacing w:val="7"/>
                <w:kern w:val="0"/>
                <w:sz w:val="24"/>
                <w:lang/>
              </w:rPr>
              <w:t>证情况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是否配合执检查</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12" w:type="dxa"/>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1420" w:type="dxa"/>
            <w:vMerge w:val="continue"/>
            <w:noWrap w:val="0"/>
            <w:vAlign w:val="center"/>
          </w:tcPr>
          <w:p>
            <w:pPr>
              <w:widowControl/>
              <w:kinsoku w:val="0"/>
              <w:autoSpaceDE w:val="0"/>
              <w:autoSpaceDN w:val="0"/>
              <w:adjustRightInd w:val="0"/>
              <w:snapToGrid w:val="0"/>
              <w:spacing w:before="199" w:line="228" w:lineRule="auto"/>
              <w:ind w:left="484"/>
              <w:jc w:val="center"/>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12" w:type="dxa"/>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1420" w:type="dxa"/>
            <w:vMerge w:val="restart"/>
            <w:noWrap w:val="0"/>
            <w:vAlign w:val="center"/>
          </w:tcPr>
          <w:p>
            <w:pPr>
              <w:jc w:val="center"/>
              <w:rPr>
                <w:rFonts w:hint="eastAsia" w:ascii="仿宋_GB2312" w:hAnsi="仿宋_GB2312" w:eastAsia="仿宋_GB2312" w:cs="仿宋_GB2312"/>
                <w:b/>
                <w:bCs/>
                <w:snapToGrid w:val="0"/>
                <w:spacing w:val="2"/>
                <w:kern w:val="0"/>
                <w:sz w:val="24"/>
                <w:lang/>
              </w:rPr>
            </w:pPr>
            <w:r>
              <w:rPr>
                <w:rFonts w:hint="eastAsia" w:ascii="仿宋_GB2312" w:hAnsi="仿宋_GB2312" w:eastAsia="仿宋_GB2312" w:cs="仿宋_GB2312"/>
                <w:b/>
                <w:bCs/>
                <w:sz w:val="24"/>
                <w:szCs w:val="32"/>
              </w:rPr>
              <w:t>整改情况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0" w:type="dxa"/>
            <w:vMerge w:val="continue"/>
            <w:noWrap w:val="0"/>
            <w:vAlign w:val="center"/>
          </w:tcPr>
          <w:p>
            <w:pPr>
              <w:jc w:val="center"/>
              <w:rPr>
                <w:rFonts w:hint="eastAsia" w:ascii="仿宋_GB2312" w:hAnsi="仿宋_GB2312" w:eastAsia="仿宋_GB2312" w:cs="仿宋_GB2312"/>
                <w:b/>
                <w:bCs/>
                <w:snapToGrid w:val="0"/>
                <w:spacing w:val="2"/>
                <w:kern w:val="0"/>
                <w:sz w:val="24"/>
                <w:lang/>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trPr>
        <w:tc>
          <w:tcPr>
            <w:tcW w:w="1420" w:type="dxa"/>
            <w:vMerge w:val="continue"/>
            <w:noWrap w:val="0"/>
            <w:vAlign w:val="center"/>
          </w:tcPr>
          <w:p>
            <w:pPr>
              <w:jc w:val="center"/>
              <w:rPr>
                <w:rFonts w:hint="eastAsia" w:ascii="仿宋_GB2312" w:hAnsi="仿宋_GB2312" w:eastAsia="仿宋_GB2312" w:cs="仿宋_GB2312"/>
                <w:b/>
                <w:bCs/>
                <w:snapToGrid w:val="0"/>
                <w:spacing w:val="7"/>
                <w:kern w:val="0"/>
                <w:sz w:val="24"/>
                <w:lang/>
              </w:rPr>
            </w:pPr>
          </w:p>
        </w:tc>
        <w:tc>
          <w:tcPr>
            <w:tcW w:w="1949" w:type="dxa"/>
            <w:vMerge w:val="continue"/>
            <w:noWrap w:val="0"/>
            <w:vAlign w:val="center"/>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20" w:type="dxa"/>
            <w:vMerge w:val="restart"/>
            <w:noWrap w:val="0"/>
            <w:vAlign w:val="center"/>
          </w:tcPr>
          <w:p>
            <w:pPr>
              <w:widowControl/>
              <w:kinsoku w:val="0"/>
              <w:autoSpaceDE w:val="0"/>
              <w:autoSpaceDN w:val="0"/>
              <w:adjustRightInd w:val="0"/>
              <w:snapToGrid w:val="0"/>
              <w:spacing w:before="109" w:line="260" w:lineRule="auto"/>
              <w:ind w:right="224"/>
              <w:jc w:val="center"/>
              <w:textAlignment w:val="baseline"/>
              <w:rPr>
                <w:rFonts w:hint="eastAsia" w:ascii="仿宋_GB2312" w:hAnsi="仿宋_GB2312" w:eastAsia="仿宋_GB2312" w:cs="仿宋_GB2312"/>
                <w:b/>
                <w:bCs/>
                <w:snapToGrid w:val="0"/>
                <w:kern w:val="0"/>
                <w:sz w:val="24"/>
                <w:lang/>
              </w:rPr>
            </w:pPr>
            <w:r>
              <w:rPr>
                <w:rFonts w:hint="eastAsia" w:ascii="仿宋_GB2312" w:hAnsi="仿宋_GB2312" w:eastAsia="仿宋_GB2312" w:cs="仿宋_GB2312"/>
                <w:b/>
                <w:bCs/>
                <w:snapToGrid w:val="0"/>
                <w:spacing w:val="7"/>
                <w:kern w:val="0"/>
                <w:sz w:val="24"/>
                <w:lang/>
              </w:rPr>
              <w:t>对社会影</w:t>
            </w:r>
            <w:r>
              <w:rPr>
                <w:rFonts w:hint="eastAsia" w:ascii="仿宋_GB2312" w:hAnsi="仿宋_GB2312" w:eastAsia="仿宋_GB2312" w:cs="仿宋_GB2312"/>
                <w:b/>
                <w:bCs/>
                <w:snapToGrid w:val="0"/>
                <w:spacing w:val="10"/>
                <w:kern w:val="0"/>
                <w:sz w:val="24"/>
                <w:lang/>
              </w:rPr>
              <w:t>响</w:t>
            </w:r>
            <w:r>
              <w:rPr>
                <w:rFonts w:hint="eastAsia" w:ascii="仿宋_GB2312" w:hAnsi="仿宋_GB2312" w:eastAsia="仿宋_GB2312" w:cs="仿宋_GB2312"/>
                <w:b/>
                <w:bCs/>
                <w:snapToGrid w:val="0"/>
                <w:spacing w:val="9"/>
                <w:kern w:val="0"/>
                <w:sz w:val="24"/>
                <w:lang/>
              </w:rPr>
              <w:t>或生态</w:t>
            </w:r>
            <w:r>
              <w:rPr>
                <w:rFonts w:hint="eastAsia" w:ascii="仿宋_GB2312" w:hAnsi="仿宋_GB2312" w:eastAsia="仿宋_GB2312" w:cs="仿宋_GB2312"/>
                <w:b/>
                <w:bCs/>
                <w:snapToGrid w:val="0"/>
                <w:spacing w:val="10"/>
                <w:kern w:val="0"/>
                <w:sz w:val="24"/>
                <w:lang/>
              </w:rPr>
              <w:t>破</w:t>
            </w:r>
            <w:r>
              <w:rPr>
                <w:rFonts w:hint="eastAsia" w:ascii="仿宋_GB2312" w:hAnsi="仿宋_GB2312" w:eastAsia="仿宋_GB2312" w:cs="仿宋_GB2312"/>
                <w:b/>
                <w:bCs/>
                <w:snapToGrid w:val="0"/>
                <w:spacing w:val="9"/>
                <w:kern w:val="0"/>
                <w:sz w:val="24"/>
                <w:lang/>
              </w:rPr>
              <w:t>坏程度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left"/>
              <w:rPr>
                <w:rFonts w:hint="eastAsia" w:ascii="仿宋_GB2312" w:hAnsi="仿宋_GB2312" w:eastAsia="仿宋_GB2312" w:cs="仿宋_GB2312"/>
                <w:sz w:val="24"/>
                <w:szCs w:val="32"/>
              </w:rPr>
            </w:pPr>
          </w:p>
        </w:tc>
        <w:tc>
          <w:tcPr>
            <w:tcW w:w="792" w:type="dxa"/>
            <w:vMerge w:val="continue"/>
            <w:noWrap w:val="0"/>
            <w:vAlign w:val="top"/>
          </w:tcPr>
          <w:p>
            <w:pPr>
              <w:jc w:val="left"/>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1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kern w:val="0"/>
          <w:szCs w:val="21"/>
          <w:lang/>
        </w:rPr>
      </w:pPr>
    </w:p>
    <w:p>
      <w:pPr>
        <w:widowControl/>
        <w:kinsoku w:val="0"/>
        <w:autoSpaceDE w:val="0"/>
        <w:autoSpaceDN w:val="0"/>
        <w:adjustRightInd w:val="0"/>
        <w:snapToGrid w:val="0"/>
        <w:jc w:val="left"/>
        <w:textAlignment w:val="baseline"/>
        <w:rPr>
          <w:rFonts w:ascii="Arial" w:hAnsi="Arial" w:eastAsia="Arial" w:cs="Arial"/>
          <w:snapToGrid w:val="0"/>
          <w:kern w:val="0"/>
          <w:sz w:val="10"/>
          <w:szCs w:val="10"/>
          <w:lang/>
        </w:rPr>
      </w:pPr>
      <w:r>
        <w:rPr>
          <w:rFonts w:ascii="Arial" w:hAnsi="Arial" w:eastAsia="Arial" w:cs="Arial"/>
          <w:snapToGrid w:val="0"/>
          <w:kern w:val="0"/>
          <w:szCs w:val="21"/>
          <w:lang/>
        </w:rPr>
        <w:br w:type="page"/>
      </w:r>
    </w:p>
    <w:tbl>
      <w:tblPr>
        <w:tblStyle w:val="9"/>
        <w:tblW w:w="90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949"/>
        <w:gridCol w:w="792"/>
        <w:gridCol w:w="3201"/>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9098" w:type="dxa"/>
            <w:gridSpan w:val="5"/>
            <w:noWrap w:val="0"/>
            <w:vAlign w:val="top"/>
          </w:tcPr>
          <w:p>
            <w:pPr>
              <w:widowControl/>
              <w:kinsoku w:val="0"/>
              <w:autoSpaceDE w:val="0"/>
              <w:autoSpaceDN w:val="0"/>
              <w:adjustRightInd w:val="0"/>
              <w:snapToGrid w:val="0"/>
              <w:spacing w:before="97" w:line="203" w:lineRule="auto"/>
              <w:ind w:left="210"/>
              <w:jc w:val="center"/>
              <w:textAlignment w:val="baseline"/>
              <w:rPr>
                <w:rFonts w:ascii="微软雅黑" w:hAnsi="微软雅黑" w:eastAsia="微软雅黑" w:cs="微软雅黑"/>
                <w:snapToGrid w:val="0"/>
                <w:kern w:val="0"/>
                <w:sz w:val="40"/>
                <w:szCs w:val="40"/>
                <w:lang/>
              </w:rPr>
            </w:pPr>
            <w:r>
              <w:rPr>
                <w:rFonts w:hint="eastAsia" w:ascii="方正小标宋简体" w:hAnsi="方正小标宋简体" w:eastAsia="方正小标宋简体" w:cs="方正小标宋简体"/>
                <w:sz w:val="40"/>
                <w:szCs w:val="40"/>
              </w:rPr>
              <w:t>唐山市生态环境行政处罚裁量规则（噪声类）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678" w:type="dxa"/>
            <w:gridSpan w:val="4"/>
            <w:noWrap w:val="0"/>
            <w:vAlign w:val="center"/>
          </w:tcPr>
          <w:p>
            <w:pPr>
              <w:widowControl/>
              <w:kinsoku w:val="0"/>
              <w:autoSpaceDE w:val="0"/>
              <w:autoSpaceDN w:val="0"/>
              <w:adjustRightInd w:val="0"/>
              <w:snapToGrid w:val="0"/>
              <w:spacing w:line="194" w:lineRule="auto"/>
              <w:ind w:left="3461"/>
              <w:textAlignment w:val="baseline"/>
              <w:rPr>
                <w:rFonts w:ascii="仿宋_GB2312" w:hAnsi="仿宋_GB2312" w:eastAsia="仿宋_GB2312" w:cs="仿宋_GB2312"/>
                <w:snapToGrid w:val="0"/>
                <w:kern w:val="0"/>
                <w:sz w:val="24"/>
                <w:lang/>
              </w:rPr>
            </w:pPr>
            <w:r>
              <w:rPr>
                <w:rFonts w:hint="eastAsia" w:ascii="仿宋_GB2312" w:hAnsi="仿宋_GB2312" w:eastAsia="仿宋_GB2312" w:cs="仿宋_GB2312"/>
                <w:snapToGrid w:val="0"/>
                <w:kern w:val="0"/>
                <w:sz w:val="24"/>
                <w:lang/>
              </w:rPr>
              <w:t>151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678" w:type="dxa"/>
            <w:gridSpan w:val="4"/>
            <w:noWrap w:val="0"/>
            <w:vAlign w:val="center"/>
          </w:tcPr>
          <w:p>
            <w:pPr>
              <w:widowControl/>
              <w:kinsoku w:val="0"/>
              <w:autoSpaceDE w:val="0"/>
              <w:autoSpaceDN w:val="0"/>
              <w:adjustRightInd w:val="0"/>
              <w:snapToGrid w:val="0"/>
              <w:spacing w:before="40" w:line="241" w:lineRule="auto"/>
              <w:ind w:left="109" w:right="175" w:firstLine="1"/>
              <w:jc w:val="left"/>
              <w:textAlignment w:val="baseline"/>
              <w:rPr>
                <w:rFonts w:hint="eastAsia" w:ascii="仿宋_GB2312" w:hAnsi="仿宋_GB2312" w:eastAsia="仿宋_GB2312" w:cs="仿宋_GB2312"/>
                <w:snapToGrid w:val="0"/>
                <w:kern w:val="0"/>
                <w:sz w:val="24"/>
                <w:lang/>
              </w:rPr>
            </w:pPr>
            <w:r>
              <w:rPr>
                <w:rFonts w:hint="eastAsia" w:ascii="仿宋_GB2312" w:hAnsi="仿宋_GB2312" w:eastAsia="仿宋_GB2312" w:cs="仿宋_GB2312"/>
                <w:spacing w:val="6"/>
                <w:sz w:val="24"/>
                <w:szCs w:val="32"/>
              </w:rPr>
              <w:t>噪声重点排污单位未按照国家规定安装、使用、维护噪声自动监测设备</w:t>
            </w:r>
            <w:r>
              <w:rPr>
                <w:rFonts w:hint="eastAsia" w:ascii="仿宋_GB2312" w:hAnsi="仿宋_GB2312" w:eastAsia="仿宋_GB2312" w:cs="仿宋_GB2312"/>
                <w:sz w:val="24"/>
                <w:szCs w:val="32"/>
              </w:rPr>
              <w:t>，或者未与生态环境主管部门的监控设备联网的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jc w:val="center"/>
        </w:trPr>
        <w:tc>
          <w:tcPr>
            <w:tcW w:w="1420"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678" w:type="dxa"/>
            <w:gridSpan w:val="4"/>
            <w:noWrap w:val="0"/>
            <w:vAlign w:val="top"/>
          </w:tcPr>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1.</w:t>
            </w:r>
            <w:r>
              <w:rPr>
                <w:rFonts w:hint="eastAsia" w:ascii="仿宋_GB2312" w:hAnsi="仿宋_GB2312" w:eastAsia="仿宋_GB2312" w:cs="仿宋_GB2312"/>
                <w:b/>
                <w:bCs/>
                <w:sz w:val="24"/>
                <w:szCs w:val="32"/>
                <w:lang/>
              </w:rPr>
              <w:t>《中华人民共和国噪声污染防治法》</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rPr>
              <w:t>第三十八条 第二款</w:t>
            </w:r>
            <w:r>
              <w:rPr>
                <w:rFonts w:hint="eastAsia" w:ascii="仿宋_GB2312" w:hAnsi="仿宋_GB2312" w:eastAsia="仿宋_GB2312" w:cs="仿宋_GB2312"/>
                <w:b/>
                <w:bCs/>
                <w:snapToGrid w:val="0"/>
                <w:spacing w:val="7"/>
                <w:kern w:val="0"/>
                <w:sz w:val="24"/>
                <w:lang/>
              </w:rPr>
              <w:t xml:space="preserve"> </w:t>
            </w:r>
            <w:r>
              <w:rPr>
                <w:rFonts w:hint="eastAsia" w:ascii="仿宋_GB2312" w:hAnsi="仿宋_GB2312" w:eastAsia="仿宋_GB2312" w:cs="仿宋_GB2312"/>
                <w:spacing w:val="6"/>
                <w:sz w:val="24"/>
                <w:szCs w:val="32"/>
              </w:rPr>
              <w:t>噪声重点排污单位应当按照国家规定，安装、使用</w:t>
            </w:r>
            <w:r>
              <w:rPr>
                <w:rFonts w:hint="eastAsia" w:ascii="仿宋_GB2312" w:hAnsi="仿宋_GB2312" w:eastAsia="仿宋_GB2312" w:cs="仿宋_GB2312"/>
                <w:sz w:val="24"/>
                <w:szCs w:val="32"/>
              </w:rPr>
              <w:t>、维护噪声自动监测设备，与生态环境主管部门的监控设备联网。</w:t>
            </w:r>
          </w:p>
          <w:p>
            <w:pPr>
              <w:widowControl/>
              <w:kinsoku w:val="0"/>
              <w:autoSpaceDE w:val="0"/>
              <w:autoSpaceDN w:val="0"/>
              <w:adjustRightInd w:val="0"/>
              <w:snapToGrid w:val="0"/>
              <w:spacing w:before="31" w:line="264" w:lineRule="auto"/>
              <w:ind w:right="108"/>
              <w:jc w:val="left"/>
              <w:textAlignment w:val="baseline"/>
              <w:rPr>
                <w:rFonts w:hint="eastAsia" w:ascii="仿宋_GB2312" w:hAnsi="仿宋_GB2312" w:eastAsia="仿宋_GB2312" w:cs="仿宋_GB2312"/>
                <w:sz w:val="24"/>
                <w:szCs w:val="32"/>
              </w:rPr>
            </w:pPr>
          </w:p>
          <w:p>
            <w:pPr>
              <w:widowControl/>
              <w:jc w:val="left"/>
              <w:rPr>
                <w:rFonts w:hint="eastAsia" w:ascii="仿宋_GB2312" w:hAnsi="仿宋_GB2312" w:eastAsia="仿宋_GB2312" w:cs="仿宋_GB2312"/>
                <w:b/>
                <w:bCs/>
                <w:sz w:val="24"/>
                <w:szCs w:val="32"/>
                <w:lang/>
              </w:rPr>
            </w:pPr>
            <w:r>
              <w:rPr>
                <w:rFonts w:hint="eastAsia" w:ascii="仿宋_GB2312" w:hAnsi="仿宋_GB2312" w:eastAsia="仿宋_GB2312" w:cs="仿宋_GB2312"/>
                <w:sz w:val="24"/>
                <w:szCs w:val="32"/>
                <w:lang/>
              </w:rPr>
              <w:t>2.</w:t>
            </w:r>
            <w:r>
              <w:rPr>
                <w:rFonts w:hint="eastAsia" w:ascii="仿宋_GB2312" w:hAnsi="仿宋_GB2312" w:eastAsia="仿宋_GB2312" w:cs="仿宋_GB2312"/>
                <w:b/>
                <w:bCs/>
                <w:sz w:val="24"/>
                <w:szCs w:val="32"/>
                <w:lang/>
              </w:rPr>
              <w:t>《中华人民共和国噪声污染防治法》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lang/>
              </w:rPr>
              <w:t>第七十</w:t>
            </w:r>
            <w:r>
              <w:rPr>
                <w:rFonts w:hint="eastAsia" w:ascii="仿宋_GB2312" w:hAnsi="仿宋_GB2312" w:eastAsia="仿宋_GB2312" w:cs="仿宋_GB2312"/>
                <w:b/>
                <w:bCs/>
                <w:sz w:val="24"/>
                <w:szCs w:val="32"/>
                <w:lang/>
              </w:rPr>
              <w:t>六</w:t>
            </w:r>
            <w:r>
              <w:rPr>
                <w:rFonts w:hint="eastAsia" w:ascii="仿宋_GB2312" w:hAnsi="仿宋_GB2312" w:eastAsia="仿宋_GB2312" w:cs="仿宋_GB2312"/>
                <w:b/>
                <w:bCs/>
                <w:sz w:val="24"/>
                <w:szCs w:val="32"/>
                <w:lang/>
              </w:rPr>
              <w:t>条</w:t>
            </w:r>
            <w:r>
              <w:rPr>
                <w:rFonts w:hint="eastAsia" w:ascii="仿宋_GB2312" w:hAnsi="仿宋_GB2312" w:eastAsia="仿宋_GB2312" w:cs="仿宋_GB2312"/>
                <w:b/>
                <w:bCs/>
                <w:sz w:val="24"/>
                <w:szCs w:val="32"/>
                <w:lang/>
              </w:rPr>
              <w:t xml:space="preserve"> </w:t>
            </w:r>
            <w:r>
              <w:rPr>
                <w:rFonts w:hint="eastAsia" w:ascii="仿宋_GB2312" w:hAnsi="仿宋_GB2312" w:eastAsia="仿宋_GB2312" w:cs="仿宋_GB2312"/>
                <w:b/>
                <w:bCs/>
                <w:sz w:val="24"/>
                <w:szCs w:val="32"/>
                <w:lang/>
              </w:rPr>
              <w:t>第二项</w:t>
            </w:r>
            <w:r>
              <w:rPr>
                <w:rFonts w:hint="eastAsia" w:ascii="仿宋_GB2312" w:hAnsi="仿宋_GB2312" w:eastAsia="仿宋_GB2312" w:cs="仿宋_GB2312"/>
                <w:snapToGrid w:val="0"/>
                <w:spacing w:val="9"/>
                <w:kern w:val="0"/>
                <w:sz w:val="24"/>
                <w:lang/>
              </w:rPr>
              <w:t xml:space="preserve"> </w:t>
            </w:r>
            <w:r>
              <w:rPr>
                <w:rFonts w:hint="eastAsia" w:ascii="仿宋_GB2312" w:hAnsi="仿宋_GB2312" w:eastAsia="仿宋_GB2312" w:cs="仿宋_GB2312"/>
                <w:sz w:val="24"/>
                <w:szCs w:val="32"/>
              </w:rPr>
              <w:t>违反本法规定，有下列行为之一，由生态环境主管部门责令改正，处二万元以上二十万元以下的罚款；拒不改正的，责令限制生产、停产整治：</w:t>
            </w:r>
          </w:p>
          <w:p>
            <w:pPr>
              <w:jc w:val="left"/>
              <w:rPr>
                <w:rFonts w:hint="eastAsia" w:ascii="仿宋_GB2312" w:hAnsi="仿宋_GB2312" w:eastAsia="仿宋_GB2312" w:cs="仿宋_GB2312"/>
                <w:snapToGrid w:val="0"/>
                <w:kern w:val="0"/>
                <w:sz w:val="24"/>
                <w:lang/>
              </w:rPr>
            </w:pPr>
            <w:r>
              <w:rPr>
                <w:rFonts w:hint="eastAsia" w:ascii="仿宋_GB2312" w:hAnsi="仿宋_GB2312" w:eastAsia="仿宋_GB2312" w:cs="仿宋_GB2312"/>
                <w:sz w:val="24"/>
                <w:szCs w:val="32"/>
              </w:rPr>
              <w:t>(二)噪声重点排污单位未按照国家规定安装、使用、维护噪声自动监测设备，或者未与生态环境主管部门的监控设备联网的。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161" w:type="dxa"/>
            <w:gridSpan w:val="3"/>
            <w:noWrap w:val="0"/>
            <w:vAlign w:val="center"/>
          </w:tcPr>
          <w:p>
            <w:pPr>
              <w:widowControl/>
              <w:kinsoku w:val="0"/>
              <w:autoSpaceDE w:val="0"/>
              <w:autoSpaceDN w:val="0"/>
              <w:adjustRightInd w:val="0"/>
              <w:snapToGrid w:val="0"/>
              <w:spacing w:line="219" w:lineRule="auto"/>
              <w:ind w:left="1527"/>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2"/>
                <w:kern w:val="0"/>
                <w:sz w:val="28"/>
                <w:szCs w:val="28"/>
                <w:lang/>
              </w:rPr>
              <w:t>裁量要素</w:t>
            </w:r>
          </w:p>
        </w:tc>
        <w:tc>
          <w:tcPr>
            <w:tcW w:w="4937" w:type="dxa"/>
            <w:gridSpan w:val="2"/>
            <w:noWrap w:val="0"/>
            <w:vAlign w:val="center"/>
          </w:tcPr>
          <w:p>
            <w:pPr>
              <w:widowControl/>
              <w:kinsoku w:val="0"/>
              <w:autoSpaceDE w:val="0"/>
              <w:autoSpaceDN w:val="0"/>
              <w:adjustRightInd w:val="0"/>
              <w:snapToGrid w:val="0"/>
              <w:spacing w:line="218" w:lineRule="auto"/>
              <w:ind w:left="1588"/>
              <w:textAlignment w:val="baseline"/>
              <w:rPr>
                <w:rFonts w:hint="eastAsia" w:ascii="仿宋_GB2312" w:hAnsi="仿宋_GB2312" w:eastAsia="仿宋_GB2312" w:cs="仿宋_GB2312"/>
                <w:b/>
                <w:bCs/>
                <w:snapToGrid w:val="0"/>
                <w:kern w:val="0"/>
                <w:sz w:val="28"/>
                <w:szCs w:val="28"/>
                <w:lang/>
              </w:rPr>
            </w:pPr>
            <w:r>
              <w:rPr>
                <w:rFonts w:hint="eastAsia" w:ascii="仿宋_GB2312" w:hAnsi="仿宋_GB2312" w:eastAsia="仿宋_GB2312" w:cs="仿宋_GB2312"/>
                <w:b/>
                <w:bCs/>
                <w:snapToGrid w:val="0"/>
                <w:spacing w:val="-5"/>
                <w:kern w:val="0"/>
                <w:sz w:val="28"/>
                <w:szCs w:val="28"/>
                <w:lang/>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420"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4"/>
              </w:rPr>
              <w:t>要素</w:t>
            </w:r>
          </w:p>
        </w:tc>
        <w:tc>
          <w:tcPr>
            <w:tcW w:w="1949"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具体条件</w:t>
            </w:r>
          </w:p>
        </w:tc>
        <w:tc>
          <w:tcPr>
            <w:tcW w:w="79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比例</w:t>
            </w:r>
          </w:p>
        </w:tc>
        <w:tc>
          <w:tcPr>
            <w:tcW w:w="3201"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程度</w:t>
            </w:r>
          </w:p>
        </w:tc>
        <w:tc>
          <w:tcPr>
            <w:tcW w:w="1736" w:type="dxa"/>
            <w:noWrap w:val="0"/>
            <w:vAlign w:val="center"/>
          </w:tcPr>
          <w:p>
            <w:pPr>
              <w:jc w:val="center"/>
              <w:rPr>
                <w:rFonts w:hint="eastAsia" w:ascii="仿宋_GB2312" w:hAnsi="仿宋_GB2312" w:eastAsia="仿宋_GB2312" w:cs="仿宋_GB2312"/>
                <w:snapToGrid w:val="0"/>
                <w:kern w:val="0"/>
                <w:sz w:val="24"/>
                <w:lang/>
              </w:rPr>
            </w:pPr>
            <w:r>
              <w:rPr>
                <w:rFonts w:hint="eastAsia" w:ascii="仿宋_GB2312" w:hAnsi="仿宋_GB2312" w:eastAsia="仿宋_GB2312" w:cs="仿宋_GB2312"/>
                <w:b/>
                <w:bCs/>
                <w:sz w:val="22"/>
                <w:szCs w:val="28"/>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restart"/>
            <w:noWrap w:val="0"/>
            <w:vAlign w:val="center"/>
          </w:tcPr>
          <w:p>
            <w:pPr>
              <w:widowControl/>
              <w:kinsoku w:val="0"/>
              <w:autoSpaceDE w:val="0"/>
              <w:autoSpaceDN w:val="0"/>
              <w:adjustRightInd w:val="0"/>
              <w:snapToGrid w:val="0"/>
              <w:spacing w:before="199" w:line="228" w:lineRule="auto"/>
              <w:jc w:val="center"/>
              <w:textAlignment w:val="baseline"/>
              <w:rPr>
                <w:rFonts w:hint="eastAsia" w:ascii="仿宋_GB2312" w:hAnsi="仿宋_GB2312" w:eastAsia="仿宋_GB2312" w:cs="仿宋_GB2312"/>
                <w:b/>
                <w:bCs/>
                <w:snapToGrid w:val="0"/>
                <w:spacing w:val="2"/>
                <w:kern w:val="0"/>
                <w:sz w:val="24"/>
                <w:lang/>
              </w:rPr>
            </w:pPr>
            <w:r>
              <w:rPr>
                <w:rFonts w:hint="eastAsia" w:ascii="仿宋_GB2312" w:hAnsi="仿宋_GB2312" w:eastAsia="仿宋_GB2312" w:cs="仿宋_GB2312"/>
                <w:b/>
                <w:bCs/>
                <w:sz w:val="24"/>
                <w:szCs w:val="32"/>
              </w:rPr>
              <w:t>对环境影响程度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自动监测设备已安装，未按照规定与生态环境主管部门监控设备联网</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自动监测设备安装、运行维护不符合相关技术规范</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未按照规定安装污染物排放自动监测设备，或者擅自停运部分或全部污染源自动监测设备</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top"/>
          </w:tcPr>
          <w:p>
            <w:pPr>
              <w:widowControl/>
              <w:kinsoku w:val="0"/>
              <w:autoSpaceDE w:val="0"/>
              <w:autoSpaceDN w:val="0"/>
              <w:adjustRightInd w:val="0"/>
              <w:snapToGrid w:val="0"/>
              <w:spacing w:before="75" w:line="224" w:lineRule="auto"/>
              <w:ind w:left="262"/>
              <w:textAlignment w:val="baseline"/>
              <w:rPr>
                <w:rFonts w:hint="eastAsia" w:ascii="仿宋_GB2312" w:hAnsi="仿宋_GB2312" w:eastAsia="仿宋_GB2312" w:cs="仿宋_GB2312"/>
                <w:b/>
                <w:bCs/>
                <w:snapToGrid w:val="0"/>
                <w:spacing w:val="8"/>
                <w:kern w:val="0"/>
                <w:sz w:val="24"/>
                <w:lang/>
              </w:rPr>
            </w:pP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建设地点功能区划</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3-4类声环境功能区</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b/>
                <w:bCs/>
                <w:snapToGrid w:val="0"/>
                <w:spacing w:val="2"/>
                <w:kern w:val="0"/>
                <w:sz w:val="24"/>
                <w:lang/>
              </w:rPr>
            </w:pPr>
          </w:p>
        </w:tc>
        <w:tc>
          <w:tcPr>
            <w:tcW w:w="1949" w:type="dxa"/>
            <w:vMerge w:val="continue"/>
            <w:noWrap w:val="0"/>
            <w:vAlign w:val="top"/>
          </w:tcPr>
          <w:p>
            <w:pPr>
              <w:jc w:val="center"/>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0-2类声环境功能区</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1420" w:type="dxa"/>
            <w:vMerge w:val="restart"/>
            <w:noWrap w:val="0"/>
            <w:vAlign w:val="center"/>
          </w:tcPr>
          <w:p>
            <w:pPr>
              <w:widowControl/>
              <w:kinsoku w:val="0"/>
              <w:autoSpaceDE w:val="0"/>
              <w:autoSpaceDN w:val="0"/>
              <w:adjustRightInd w:val="0"/>
              <w:snapToGrid w:val="0"/>
              <w:spacing w:line="228" w:lineRule="auto"/>
              <w:jc w:val="center"/>
              <w:textAlignment w:val="baseline"/>
              <w:rPr>
                <w:rFonts w:hint="eastAsia" w:ascii="仿宋_GB2312" w:hAnsi="仿宋_GB2312" w:eastAsia="仿宋_GB2312" w:cs="仿宋_GB2312"/>
                <w:b/>
                <w:bCs/>
                <w:snapToGrid w:val="0"/>
                <w:spacing w:val="2"/>
                <w:kern w:val="0"/>
                <w:sz w:val="24"/>
                <w:lang/>
              </w:rPr>
            </w:pPr>
            <w:r>
              <w:rPr>
                <w:rFonts w:hint="eastAsia" w:ascii="仿宋_GB2312" w:hAnsi="仿宋_GB2312" w:eastAsia="仿宋_GB2312" w:cs="仿宋_GB2312"/>
                <w:b/>
                <w:bCs/>
                <w:snapToGrid w:val="0"/>
                <w:spacing w:val="2"/>
                <w:kern w:val="0"/>
                <w:sz w:val="24"/>
                <w:lang/>
              </w:rPr>
              <w:t>违法行为</w:t>
            </w:r>
          </w:p>
          <w:p>
            <w:pPr>
              <w:widowControl/>
              <w:kinsoku w:val="0"/>
              <w:autoSpaceDE w:val="0"/>
              <w:autoSpaceDN w:val="0"/>
              <w:adjustRightInd w:val="0"/>
              <w:snapToGrid w:val="0"/>
              <w:spacing w:line="228" w:lineRule="auto"/>
              <w:jc w:val="center"/>
              <w:textAlignment w:val="baseline"/>
              <w:rPr>
                <w:rFonts w:ascii="仿宋_GB2312" w:hAnsi="仿宋_GB2312" w:eastAsia="仿宋_GB2312" w:cs="仿宋_GB2312"/>
                <w:b/>
                <w:bCs/>
                <w:snapToGrid w:val="0"/>
                <w:spacing w:val="2"/>
                <w:kern w:val="0"/>
                <w:sz w:val="24"/>
                <w:lang/>
              </w:rPr>
            </w:pPr>
            <w:r>
              <w:rPr>
                <w:rFonts w:hint="eastAsia" w:ascii="仿宋_GB2312" w:hAnsi="仿宋_GB2312" w:eastAsia="仿宋_GB2312" w:cs="仿宋_GB2312"/>
                <w:b/>
                <w:bCs/>
                <w:snapToGrid w:val="0"/>
                <w:spacing w:val="2"/>
                <w:kern w:val="0"/>
                <w:sz w:val="24"/>
                <w:lang/>
              </w:rPr>
              <w:t>类型</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监测数据</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误差或有效</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传输率</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未保证监测设备正常运行，造成自动监测与人工监测(或者标准物质测试)数据误差超过技术规范允许范围不足1倍/自动监测季度数据有效传输率75%以上不足90%</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jc w:val="center"/>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left"/>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未保证监测设备正常运行，造成自动监测与人工监测(或者标准物质测试)数据误差超过技术规范允许范围1倍以上不足2倍/自动监测季度数据有效传输率60%以上不足75%</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jc w:val="center"/>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left"/>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未保证自动监测设备正常运行，造成自动监测与人工监测(或者标准物质测试)数据误差超过技术规范允许范围2倍以上/自动监测季度数据有效传输率不足60%</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jc w:val="center"/>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一年内违法次数</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首次实施违法行为的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再次实施违法行为的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第三次实施违法行为的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top"/>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三次以上实施违法行为的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是否配合执检查</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736" w:type="dxa"/>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jc w:val="center"/>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top"/>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736" w:type="dxa"/>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jc w:val="center"/>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jc w:val="center"/>
        </w:trPr>
        <w:tc>
          <w:tcPr>
            <w:tcW w:w="1420" w:type="dxa"/>
            <w:vMerge w:val="continue"/>
            <w:noWrap w:val="0"/>
            <w:vAlign w:val="center"/>
          </w:tcPr>
          <w:p>
            <w:pPr>
              <w:jc w:val="center"/>
              <w:rPr>
                <w:rFonts w:hint="eastAsia" w:ascii="仿宋_GB2312" w:hAnsi="仿宋_GB2312" w:eastAsia="仿宋_GB2312" w:cs="仿宋_GB2312"/>
                <w:b/>
                <w:bCs/>
                <w:sz w:val="24"/>
                <w:szCs w:val="32"/>
              </w:rPr>
            </w:pPr>
          </w:p>
        </w:tc>
        <w:tc>
          <w:tcPr>
            <w:tcW w:w="1949" w:type="dxa"/>
            <w:vMerge w:val="continue"/>
            <w:noWrap w:val="0"/>
            <w:vAlign w:val="center"/>
          </w:tcPr>
          <w:p>
            <w:pPr>
              <w:jc w:val="left"/>
              <w:rPr>
                <w:rFonts w:hint="eastAsia" w:ascii="仿宋_GB2312" w:hAnsi="仿宋_GB2312" w:eastAsia="仿宋_GB2312" w:cs="仿宋_GB2312"/>
                <w:sz w:val="24"/>
                <w:szCs w:val="32"/>
              </w:rPr>
            </w:pPr>
          </w:p>
        </w:tc>
        <w:tc>
          <w:tcPr>
            <w:tcW w:w="792" w:type="dxa"/>
            <w:vMerge w:val="continue"/>
            <w:noWrap w:val="0"/>
            <w:vAlign w:val="center"/>
          </w:tcPr>
          <w:p>
            <w:pPr>
              <w:jc w:val="center"/>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jc w:val="center"/>
        </w:trPr>
        <w:tc>
          <w:tcPr>
            <w:tcW w:w="1420"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49"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2"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36" w:type="dxa"/>
            <w:noWrap w:val="0"/>
            <w:vAlign w:val="top"/>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420" w:type="dxa"/>
            <w:vMerge w:val="continue"/>
            <w:noWrap w:val="0"/>
            <w:vAlign w:val="top"/>
          </w:tcPr>
          <w:p>
            <w:pPr>
              <w:widowControl/>
              <w:kinsoku w:val="0"/>
              <w:autoSpaceDE w:val="0"/>
              <w:autoSpaceDN w:val="0"/>
              <w:adjustRightInd w:val="0"/>
              <w:snapToGrid w:val="0"/>
              <w:spacing w:before="199" w:line="228" w:lineRule="auto"/>
              <w:ind w:left="484"/>
              <w:jc w:val="left"/>
              <w:textAlignment w:val="baseline"/>
              <w:rPr>
                <w:rFonts w:hint="eastAsia" w:ascii="仿宋_GB2312" w:hAnsi="仿宋_GB2312" w:eastAsia="仿宋_GB2312" w:cs="仿宋_GB2312"/>
                <w:snapToGrid w:val="0"/>
                <w:spacing w:val="2"/>
                <w:kern w:val="0"/>
                <w:sz w:val="24"/>
                <w:lang/>
              </w:rPr>
            </w:pPr>
          </w:p>
        </w:tc>
        <w:tc>
          <w:tcPr>
            <w:tcW w:w="1949" w:type="dxa"/>
            <w:vMerge w:val="continue"/>
            <w:noWrap w:val="0"/>
            <w:vAlign w:val="top"/>
          </w:tcPr>
          <w:p>
            <w:pPr>
              <w:jc w:val="left"/>
              <w:rPr>
                <w:rFonts w:hint="eastAsia" w:ascii="仿宋_GB2312" w:hAnsi="仿宋_GB2312" w:eastAsia="仿宋_GB2312" w:cs="仿宋_GB2312"/>
                <w:sz w:val="24"/>
                <w:szCs w:val="32"/>
              </w:rPr>
            </w:pPr>
          </w:p>
        </w:tc>
        <w:tc>
          <w:tcPr>
            <w:tcW w:w="792" w:type="dxa"/>
            <w:vMerge w:val="continue"/>
            <w:noWrap w:val="0"/>
            <w:vAlign w:val="top"/>
          </w:tcPr>
          <w:p>
            <w:pPr>
              <w:jc w:val="left"/>
              <w:rPr>
                <w:rFonts w:hint="eastAsia" w:ascii="仿宋_GB2312" w:hAnsi="仿宋_GB2312" w:eastAsia="仿宋_GB2312" w:cs="仿宋_GB2312"/>
                <w:sz w:val="24"/>
                <w:szCs w:val="32"/>
              </w:rPr>
            </w:pPr>
          </w:p>
        </w:tc>
        <w:tc>
          <w:tcPr>
            <w:tcW w:w="3201"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3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86"/>
        <w:gridCol w:w="772"/>
        <w:gridCol w:w="348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3"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唐山市生态环境行政处罚裁量规则（海洋类）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违法设置入海排污口的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《中华人民共和国海洋环境保护法》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第三十条</w:t>
            </w:r>
            <w:r>
              <w:rPr>
                <w:rFonts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入海排污口位置的选择，应当根据海洋功能区划、海水动力条件和有关规定，经科学论证后，报设区的市级以上人民政府环境保护行政主管部门备案。</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第三款 </w:t>
            </w:r>
            <w:r>
              <w:rPr>
                <w:rFonts w:hint="eastAsia" w:ascii="仿宋_GB2312" w:hAnsi="仿宋_GB2312" w:eastAsia="仿宋_GB2312" w:cs="仿宋_GB2312"/>
                <w:sz w:val="24"/>
                <w:szCs w:val="32"/>
              </w:rPr>
              <w:t>在海洋自然保护区、重要渔业水域、海滨风景名胜区和其他需要特别保护的区域，不得新建排污口。</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《中华人民共和国海洋环境保护法》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第七十七条</w:t>
            </w:r>
            <w:r>
              <w:rPr>
                <w:rFonts w:hint="eastAsia" w:ascii="仿宋_GB2312" w:hAnsi="仿宋_GB2312" w:eastAsia="仿宋_GB2312" w:cs="仿宋_GB2312"/>
                <w:sz w:val="24"/>
                <w:szCs w:val="32"/>
              </w:rPr>
              <w:t xml:space="preserve"> 违反本法第三十条第一款、第三款规定设置入海排污口的，由县级以上地方人民政府环境保护行政主管部门责令其关闭，并处二万元以上十万元以下的罚款。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9"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64"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设置入海排污口，未备案的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在海洋自然保护区、重要渔业水域、海滨风景名胜区和其他需要特别保护的区域新建排污口的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686" w:type="dxa"/>
            <w:vMerge w:val="continue"/>
            <w:noWrap w:val="0"/>
            <w:vAlign w:val="center"/>
          </w:tcPr>
          <w:p>
            <w:pPr>
              <w:jc w:val="center"/>
              <w:rPr>
                <w:sz w:val="24"/>
              </w:rPr>
            </w:pPr>
          </w:p>
        </w:tc>
        <w:tc>
          <w:tcPr>
            <w:tcW w:w="772" w:type="dxa"/>
            <w:vMerge w:val="continue"/>
            <w:noWrap w:val="0"/>
            <w:vAlign w:val="center"/>
          </w:tcPr>
          <w:p>
            <w:pPr>
              <w:jc w:val="center"/>
              <w:rPr>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6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6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rPr>
                <w:rFonts w:hint="eastAsia" w:ascii="仿宋_GB2312" w:hAnsi="仿宋_GB2312" w:eastAsia="仿宋_GB2312" w:cs="仿宋_GB2312"/>
                <w:sz w:val="24"/>
              </w:rPr>
            </w:pP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8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997"/>
        <w:gridCol w:w="686"/>
        <w:gridCol w:w="320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69"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唐山市生态环境行政处罚裁量规则（海洋类）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海岸工程建设项目未建成环境保护设施，或者环境保护设施未达到规定要求即投入生产、使用的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61"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jc w:val="left"/>
              <w:rPr>
                <w:rFonts w:hint="eastAsia"/>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《中华人民共和国海洋环境保护法》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第四十四条</w:t>
            </w:r>
            <w:r>
              <w:rPr>
                <w:rFonts w:hint="eastAsia" w:ascii="仿宋_GB2312" w:hAnsi="仿宋_GB2312" w:eastAsia="仿宋_GB2312" w:cs="仿宋_GB2312"/>
                <w:sz w:val="24"/>
                <w:szCs w:val="32"/>
              </w:rPr>
              <w:t xml:space="preserve"> 海岸工程建设项目的环境保护设施，必须与主体工程同时设计、同时施工、同时投产使用。环境保护设施应当符合经批准的环境影响评价报告书（表）的要求。</w:t>
            </w:r>
          </w:p>
          <w:p>
            <w:pPr>
              <w:jc w:val="left"/>
              <w:rPr>
                <w:rFonts w:hint="eastAsia" w:ascii="仿宋_GB2312" w:hAnsi="仿宋_GB2312" w:eastAsia="仿宋_GB2312" w:cs="仿宋_GB2312"/>
                <w:sz w:val="24"/>
                <w:szCs w:val="32"/>
              </w:rPr>
            </w:pPr>
          </w:p>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《中华人民共和国海洋环境保护法》</w:t>
            </w:r>
          </w:p>
          <w:p>
            <w:pPr>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第八十条</w:t>
            </w:r>
            <w:r>
              <w:rPr>
                <w:rFonts w:hint="eastAsia" w:ascii="仿宋_GB2312" w:hAnsi="仿宋_GB2312" w:eastAsia="仿宋_GB2312" w:cs="仿宋_GB2312"/>
                <w:sz w:val="24"/>
                <w:szCs w:val="32"/>
              </w:rPr>
              <w:t xml:space="preserve"> 违反本法第四十四条的规定，海岸工程建设项目未建成环境保护设施，或者环境保护设施未达到规定要求即投入生产、使用的，由环境保护行政主管部门责令其停止生产或者使用，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44"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6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建设项目类型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填报环境影响报告表的建设项目</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编制环境影响报告书的建设项目</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环境保护设施已建成但未经验收或者经验收不合格，主体工程即投入生产或者使用的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环境保护设施未建成，主体工程即投入生产或者使用的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pPr>
          </w:p>
        </w:tc>
        <w:tc>
          <w:tcPr>
            <w:tcW w:w="199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61" w:type="dxa"/>
            <w:vMerge w:val="continue"/>
            <w:noWrap w:val="0"/>
            <w:vAlign w:val="center"/>
          </w:tcPr>
          <w:p>
            <w:pPr>
              <w:jc w:val="left"/>
              <w:rPr>
                <w:rFonts w:hint="eastAsia" w:ascii="仿宋_GB2312" w:hAnsi="仿宋_GB2312" w:eastAsia="仿宋_GB2312" w:cs="仿宋_GB2312"/>
                <w:sz w:val="24"/>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1" w:type="dxa"/>
            <w:vMerge w:val="continue"/>
            <w:noWrap w:val="0"/>
            <w:vAlign w:val="center"/>
          </w:tcPr>
          <w:p>
            <w:pPr>
              <w:jc w:val="center"/>
              <w:rPr>
                <w:rFonts w:hint="eastAsia" w:ascii="仿宋_GB2312" w:hAnsi="仿宋_GB2312" w:eastAsia="仿宋_GB2312" w:cs="仿宋_GB2312"/>
                <w:b/>
                <w:bCs/>
                <w:sz w:val="24"/>
                <w:szCs w:val="32"/>
              </w:rPr>
            </w:pPr>
          </w:p>
        </w:tc>
        <w:tc>
          <w:tcPr>
            <w:tcW w:w="199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6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61"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99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0" w:type="dxa"/>
        <w:tblLayout w:type="fixed"/>
        <w:tblCellMar>
          <w:top w:w="15" w:type="dxa"/>
          <w:left w:w="15" w:type="dxa"/>
          <w:bottom w:w="15" w:type="dxa"/>
          <w:right w:w="15" w:type="dxa"/>
        </w:tblCellMar>
      </w:tblPr>
      <w:tblGrid>
        <w:gridCol w:w="1383"/>
        <w:gridCol w:w="1890"/>
        <w:gridCol w:w="793"/>
        <w:gridCol w:w="3203"/>
        <w:gridCol w:w="1822"/>
      </w:tblGrid>
      <w:tr>
        <w:tblPrEx>
          <w:tblCellMar>
            <w:top w:w="15" w:type="dxa"/>
            <w:left w:w="15" w:type="dxa"/>
            <w:bottom w:w="15" w:type="dxa"/>
            <w:right w:w="15" w:type="dxa"/>
          </w:tblCellMar>
        </w:tblPrEx>
        <w:trPr>
          <w:trHeight w:val="667"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154</w:t>
            </w:r>
          </w:p>
        </w:tc>
      </w:tr>
      <w:tr>
        <w:tblPrEx>
          <w:tblCellMar>
            <w:top w:w="15" w:type="dxa"/>
            <w:left w:w="15" w:type="dxa"/>
            <w:bottom w:w="15" w:type="dxa"/>
            <w:right w:w="15" w:type="dxa"/>
          </w:tblCellMar>
        </w:tblPrEx>
        <w:trPr>
          <w:trHeight w:val="504"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不按照规定报告有关环境监测结果的</w:t>
            </w:r>
          </w:p>
        </w:tc>
      </w:tr>
      <w:tr>
        <w:tblPrEx>
          <w:tblCellMar>
            <w:top w:w="15" w:type="dxa"/>
            <w:left w:w="15" w:type="dxa"/>
            <w:bottom w:w="15" w:type="dxa"/>
            <w:right w:w="15" w:type="dxa"/>
          </w:tblCellMar>
        </w:tblPrEx>
        <w:trPr>
          <w:trHeight w:val="2211"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70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第二十四条 </w:t>
            </w:r>
            <w:r>
              <w:rPr>
                <w:rFonts w:hint="eastAsia" w:ascii="仿宋_GB2312" w:hAnsi="仿宋_GB2312" w:eastAsia="仿宋_GB2312" w:cs="仿宋_GB2312"/>
                <w:sz w:val="24"/>
              </w:rPr>
              <w:t>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国务院环境保护行政主管部门负责对核动力厂等重要核设施实施监督性监测，并根据需要对其他核设施的流出物实施监测。监督性监测系统的建设、运行和维护费用由财政预算安排。</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第四十九条 </w:t>
            </w:r>
            <w:r>
              <w:rPr>
                <w:rFonts w:hint="eastAsia" w:ascii="仿宋_GB2312" w:hAnsi="仿宋_GB2312" w:eastAsia="仿宋_GB2312" w:cs="仿宋_GB2312"/>
                <w:sz w:val="24"/>
              </w:rPr>
              <w:t>违反本法规定，有下列行为之一的，由县级以上人民政府环境保护行政主管部门或者其他有关部门依据职权责令限期改正，可以处二万元以下罚款：</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（一）不按照规定报告有关环境监测结果的；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报送有关环境监测结果，不符合规定的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不报送有关环境监测结果的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13"/>
          <w:szCs w:val="13"/>
        </w:rPr>
      </w:pPr>
      <w:r>
        <w:rPr>
          <w:rFonts w:ascii="宋体" w:hAnsi="宋体" w:cs="宋体"/>
          <w:sz w:val="28"/>
          <w:szCs w:val="28"/>
        </w:rPr>
        <w:br w:type="page"/>
      </w:r>
    </w:p>
    <w:tbl>
      <w:tblPr>
        <w:tblStyle w:val="9"/>
        <w:tblW w:w="9138" w:type="dxa"/>
        <w:tblInd w:w="-17" w:type="dxa"/>
        <w:tblLayout w:type="fixed"/>
        <w:tblCellMar>
          <w:top w:w="15" w:type="dxa"/>
          <w:left w:w="15" w:type="dxa"/>
          <w:bottom w:w="15" w:type="dxa"/>
          <w:right w:w="15" w:type="dxa"/>
        </w:tblCellMar>
      </w:tblPr>
      <w:tblGrid>
        <w:gridCol w:w="1402"/>
        <w:gridCol w:w="1686"/>
        <w:gridCol w:w="997"/>
        <w:gridCol w:w="3257"/>
        <w:gridCol w:w="1796"/>
      </w:tblGrid>
      <w:tr>
        <w:tblPrEx>
          <w:tblCellMar>
            <w:top w:w="15" w:type="dxa"/>
            <w:left w:w="15" w:type="dxa"/>
            <w:bottom w:w="15" w:type="dxa"/>
            <w:right w:w="15" w:type="dxa"/>
          </w:tblCellMar>
        </w:tblPrEx>
        <w:trPr>
          <w:trHeight w:val="667" w:hRule="atLeast"/>
        </w:trPr>
        <w:tc>
          <w:tcPr>
            <w:tcW w:w="91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3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155</w:t>
            </w:r>
          </w:p>
        </w:tc>
      </w:tr>
      <w:tr>
        <w:tblPrEx>
          <w:tblCellMar>
            <w:top w:w="15" w:type="dxa"/>
            <w:left w:w="15" w:type="dxa"/>
            <w:bottom w:w="15" w:type="dxa"/>
            <w:right w:w="15" w:type="dxa"/>
          </w:tblCellMar>
        </w:tblPrEx>
        <w:trPr>
          <w:trHeight w:val="658"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3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widowControl/>
              <w:rPr>
                <w:rFonts w:hint="eastAsia" w:ascii="仿宋_GB2312" w:hAnsi="仿宋_GB2312" w:eastAsia="仿宋_GB2312" w:cs="仿宋_GB2312"/>
              </w:rPr>
            </w:pPr>
            <w:r>
              <w:rPr>
                <w:rFonts w:hint="eastAsia" w:ascii="仿宋_GB2312" w:hAnsi="仿宋_GB2312" w:eastAsia="仿宋_GB2312" w:cs="仿宋_GB2312"/>
              </w:rPr>
              <w:t>拒绝环境保护行政主管部门和其他有关部门进行现场检查，或者被检查时不如实反映情况和提供必要资料的</w:t>
            </w:r>
          </w:p>
        </w:tc>
      </w:tr>
      <w:tr>
        <w:tblPrEx>
          <w:tblCellMar>
            <w:top w:w="15" w:type="dxa"/>
            <w:left w:w="15" w:type="dxa"/>
            <w:bottom w:w="15" w:type="dxa"/>
            <w:right w:w="15" w:type="dxa"/>
          </w:tblCellMar>
        </w:tblPrEx>
        <w:trPr>
          <w:trHeight w:val="2211"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处罚依据</w:t>
            </w:r>
          </w:p>
        </w:tc>
        <w:tc>
          <w:tcPr>
            <w:tcW w:w="773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第十一条 第二款</w:t>
            </w:r>
            <w:r>
              <w:rPr>
                <w:rFonts w:hint="eastAsia" w:ascii="仿宋_GB2312" w:hAnsi="仿宋_GB2312" w:eastAsia="仿宋_GB2312" w:cs="仿宋_GB2312"/>
                <w:sz w:val="24"/>
              </w:rPr>
              <w:t xml:space="preserve">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第四十九条</w:t>
            </w:r>
            <w:r>
              <w:rPr>
                <w:rFonts w:hint="eastAsia" w:ascii="仿宋_GB2312" w:hAnsi="仿宋_GB2312" w:eastAsia="仿宋_GB2312" w:cs="仿宋_GB2312"/>
                <w:sz w:val="24"/>
              </w:rPr>
              <w:t xml:space="preserve"> 违反本法规定，有下列行为之一的，由县级以上人民政府环境保护行政主管部门或者其他有关部门依据职权责令限期改正，可以处二万元以下罚款：</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（二)拒绝环境保护行政主管部门和其他有关部门进行现场检查，或者被检查时不如实反映情况和提供必要资料的。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53"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0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99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9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拒绝检查情形</w:t>
            </w:r>
          </w:p>
        </w:tc>
        <w:tc>
          <w:tcPr>
            <w:tcW w:w="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迟滞10分钟以上30分钟以内</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迟滞超过半小时</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阻碍或隐匿部分资料</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围堵、留滞执法人员或拒绝提供资料</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暴力抗法</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弄虚作假情形</w:t>
            </w: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提供非关键性假信息的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提供关键性假信息的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伪造现场或证据的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02" w:type="dxa"/>
            <w:vMerge w:val="continue"/>
            <w:noWrap w:val="0"/>
            <w:vAlign w:val="center"/>
          </w:tcPr>
          <w:p>
            <w:pPr>
              <w:jc w:val="left"/>
            </w:pPr>
          </w:p>
        </w:tc>
        <w:tc>
          <w:tcPr>
            <w:tcW w:w="1686" w:type="dxa"/>
            <w:vMerge w:val="continue"/>
            <w:noWrap w:val="0"/>
            <w:vAlign w:val="center"/>
          </w:tcPr>
          <w:p>
            <w:pPr>
              <w:jc w:val="center"/>
              <w:rPr>
                <w:sz w:val="24"/>
              </w:rPr>
            </w:pPr>
          </w:p>
        </w:tc>
        <w:tc>
          <w:tcPr>
            <w:tcW w:w="997" w:type="dxa"/>
            <w:vMerge w:val="continue"/>
            <w:noWrap w:val="0"/>
            <w:vAlign w:val="center"/>
          </w:tcPr>
          <w:p>
            <w:pPr>
              <w:jc w:val="center"/>
              <w:rPr>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02"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0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是否及时进行整改</w:t>
            </w:r>
          </w:p>
        </w:tc>
        <w:tc>
          <w:tcPr>
            <w:tcW w:w="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0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0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997" w:type="dxa"/>
            <w:vMerge w:val="continue"/>
            <w:noWrap w:val="0"/>
            <w:vAlign w:val="center"/>
          </w:tcPr>
          <w:p>
            <w:pPr>
              <w:jc w:val="center"/>
              <w:rPr>
                <w:rFonts w:hint="eastAsia" w:ascii="仿宋_GB2312" w:hAnsi="仿宋_GB2312" w:eastAsia="仿宋_GB2312" w:cs="仿宋_GB2312"/>
                <w:sz w:val="24"/>
              </w:rPr>
            </w:pPr>
          </w:p>
        </w:tc>
        <w:tc>
          <w:tcPr>
            <w:tcW w:w="32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2" w:type="dxa"/>
            <w:vMerge w:val="restart"/>
            <w:noWrap w:val="0"/>
            <w:vAlign w:val="center"/>
          </w:tcPr>
          <w:p>
            <w:pPr>
              <w:jc w:val="center"/>
              <w:rPr>
                <w:rFonts w:hint="eastAsia" w:ascii="仿宋_GB2312" w:hAnsi="仿宋_GB2312" w:eastAsia="仿宋_GB2312" w:cs="仿宋_GB2312"/>
                <w:b/>
                <w:bCs/>
                <w:spacing w:val="-20"/>
                <w:sz w:val="24"/>
                <w:szCs w:val="32"/>
              </w:rPr>
            </w:pPr>
            <w:r>
              <w:rPr>
                <w:rFonts w:hint="eastAsia" w:ascii="仿宋_GB2312" w:hAnsi="仿宋_GB2312" w:eastAsia="仿宋_GB2312" w:cs="仿宋_GB2312"/>
                <w:b/>
                <w:bCs/>
                <w:spacing w:val="-20"/>
                <w:sz w:val="24"/>
                <w:szCs w:val="32"/>
              </w:rPr>
              <w:t>对社会影响或生态破坏程度</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是否造成社会影响或生态破坏</w:t>
            </w:r>
          </w:p>
        </w:tc>
        <w:tc>
          <w:tcPr>
            <w:tcW w:w="99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57"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02"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997" w:type="dxa"/>
            <w:vMerge w:val="continue"/>
            <w:noWrap w:val="0"/>
            <w:vAlign w:val="center"/>
          </w:tcPr>
          <w:p>
            <w:pPr>
              <w:rPr>
                <w:rFonts w:hint="eastAsia" w:ascii="仿宋_GB2312" w:hAnsi="仿宋_GB2312" w:eastAsia="仿宋_GB2312" w:cs="仿宋_GB2312"/>
                <w:sz w:val="24"/>
              </w:rPr>
            </w:pPr>
          </w:p>
        </w:tc>
        <w:tc>
          <w:tcPr>
            <w:tcW w:w="3257"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pacing w:val="-20"/>
                <w:sz w:val="24"/>
              </w:rPr>
              <w:t>未造成社会影响与生态破坏的</w:t>
            </w:r>
          </w:p>
        </w:tc>
        <w:tc>
          <w:tcPr>
            <w:tcW w:w="179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0" w:type="auto"/>
        <w:tblInd w:w="11" w:type="dxa"/>
        <w:tblLayout w:type="fixed"/>
        <w:tblCellMar>
          <w:top w:w="15" w:type="dxa"/>
          <w:left w:w="15" w:type="dxa"/>
          <w:bottom w:w="15" w:type="dxa"/>
          <w:right w:w="15" w:type="dxa"/>
        </w:tblCellMar>
      </w:tblPr>
      <w:tblGrid>
        <w:gridCol w:w="1419"/>
        <w:gridCol w:w="1890"/>
        <w:gridCol w:w="793"/>
        <w:gridCol w:w="3203"/>
        <w:gridCol w:w="1777"/>
      </w:tblGrid>
      <w:tr>
        <w:tblPrEx>
          <w:tblCellMar>
            <w:top w:w="15" w:type="dxa"/>
            <w:left w:w="15" w:type="dxa"/>
            <w:bottom w:w="15" w:type="dxa"/>
            <w:right w:w="15" w:type="dxa"/>
          </w:tblCellMar>
        </w:tblPrEx>
        <w:trPr>
          <w:trHeight w:val="699" w:hRule="atLeast"/>
        </w:trPr>
        <w:tc>
          <w:tcPr>
            <w:tcW w:w="908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156</w:t>
            </w:r>
          </w:p>
        </w:tc>
      </w:tr>
      <w:tr>
        <w:tblPrEx>
          <w:tblCellMar>
            <w:top w:w="15" w:type="dxa"/>
            <w:left w:w="15" w:type="dxa"/>
            <w:bottom w:w="15" w:type="dxa"/>
            <w:right w:w="15" w:type="dxa"/>
          </w:tblCellMar>
        </w:tblPrEx>
        <w:trPr>
          <w:trHeight w:val="9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ascii="仿宋_GB2312" w:hAnsi="仿宋_GB2312" w:eastAsia="仿宋_GB2312" w:cs="仿宋_GB2312"/>
                <w:sz w:val="24"/>
              </w:rPr>
              <w:t>未编制环境影响评价文件，或者环境影响评价文件未经环境保护行政主管部门批准，擅自进行建造、运行、生产和使用等活动的</w:t>
            </w:r>
          </w:p>
        </w:tc>
      </w:tr>
      <w:tr>
        <w:tblPrEx>
          <w:tblCellMar>
            <w:top w:w="15" w:type="dxa"/>
            <w:left w:w="15" w:type="dxa"/>
            <w:bottom w:w="15" w:type="dxa"/>
            <w:right w:w="15" w:type="dxa"/>
          </w:tblCellMar>
        </w:tblPrEx>
        <w:trPr>
          <w:trHeight w:val="90" w:hRule="atLeast"/>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ascii="仿宋_GB2312" w:hAnsi="仿宋_GB2312" w:eastAsia="仿宋_GB2312" w:cs="仿宋_GB2312"/>
                <w:sz w:val="24"/>
              </w:rPr>
            </w:pPr>
            <w:r>
              <w:rPr>
                <w:rFonts w:ascii="仿宋_GB2312" w:hAnsi="仿宋_GB2312" w:eastAsia="仿宋_GB2312" w:cs="仿宋_GB2312"/>
                <w:b/>
                <w:bCs/>
                <w:sz w:val="24"/>
              </w:rPr>
              <w:t>第二十九条</w:t>
            </w:r>
            <w:r>
              <w:rPr>
                <w:rFonts w:ascii="仿宋_GB2312" w:hAnsi="仿宋_GB2312" w:eastAsia="仿宋_GB2312" w:cs="仿宋_GB2312"/>
                <w:sz w:val="24"/>
              </w:rPr>
              <w:t xml:space="preserve"> </w:t>
            </w:r>
            <w:r>
              <w:rPr>
                <w:rFonts w:hint="eastAsia" w:ascii="仿宋_GB2312" w:hAnsi="仿宋_GB2312" w:eastAsia="仿宋_GB2312" w:cs="仿宋_GB2312"/>
                <w:b/>
                <w:bCs/>
                <w:sz w:val="24"/>
              </w:rPr>
              <w:t>第一款</w:t>
            </w:r>
            <w:r>
              <w:rPr>
                <w:rFonts w:hint="eastAsia" w:ascii="仿宋_GB2312" w:hAnsi="仿宋_GB2312" w:eastAsia="仿宋_GB2312" w:cs="仿宋_GB2312"/>
                <w:sz w:val="24"/>
              </w:rPr>
              <w:t xml:space="preserve"> </w:t>
            </w:r>
            <w:r>
              <w:rPr>
                <w:rFonts w:ascii="仿宋_GB2312" w:hAnsi="仿宋_GB2312" w:eastAsia="仿宋_GB2312" w:cs="仿宋_GB2312"/>
                <w:sz w:val="24"/>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ascii="仿宋_GB2312" w:hAnsi="仿宋_GB2312" w:eastAsia="仿宋_GB2312" w:cs="仿宋_GB2312"/>
                <w:b/>
                <w:bCs/>
                <w:sz w:val="24"/>
              </w:rPr>
              <w:t>第五十条</w:t>
            </w:r>
            <w:r>
              <w:rPr>
                <w:rFonts w:ascii="仿宋_GB2312" w:hAnsi="仿宋_GB2312" w:eastAsia="仿宋_GB2312" w:cs="仿宋_GB2312"/>
                <w:sz w:val="24"/>
              </w:rPr>
              <w:t xml:space="preserve">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填报环境影响报告表的建设项目，</w:t>
            </w:r>
            <w:r>
              <w:rPr>
                <w:rFonts w:ascii="仿宋_GB2312" w:hAnsi="仿宋_GB2312" w:eastAsia="仿宋_GB2312" w:cs="仿宋_GB2312"/>
                <w:sz w:val="24"/>
              </w:rPr>
              <w:t>环境影响评价文件未经环境保护行政主管部门批准</w:t>
            </w:r>
            <w:r>
              <w:rPr>
                <w:rFonts w:hint="eastAsia" w:ascii="仿宋_GB2312" w:hAnsi="仿宋_GB2312" w:eastAsia="仿宋_GB2312" w:cs="仿宋_GB2312"/>
                <w:sz w:val="24"/>
              </w:rPr>
              <w:t>，</w:t>
            </w:r>
            <w:r>
              <w:rPr>
                <w:rFonts w:ascii="仿宋_GB2312" w:hAnsi="仿宋_GB2312" w:eastAsia="仿宋_GB2312" w:cs="仿宋_GB2312"/>
                <w:sz w:val="24"/>
              </w:rPr>
              <w:t>擅自进行建造、运行、生产和使用等活动的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编制环境影响报告书的建设项目，</w:t>
            </w:r>
            <w:r>
              <w:rPr>
                <w:rFonts w:ascii="仿宋_GB2312" w:hAnsi="仿宋_GB2312" w:eastAsia="仿宋_GB2312" w:cs="仿宋_GB2312"/>
                <w:sz w:val="24"/>
              </w:rPr>
              <w:t>环境影响评价文件未经环境保护行政主管部门批准</w:t>
            </w:r>
            <w:r>
              <w:rPr>
                <w:rFonts w:hint="eastAsia" w:ascii="仿宋_GB2312" w:hAnsi="仿宋_GB2312" w:eastAsia="仿宋_GB2312" w:cs="仿宋_GB2312"/>
                <w:sz w:val="24"/>
              </w:rPr>
              <w:t>,，</w:t>
            </w:r>
            <w:r>
              <w:rPr>
                <w:rFonts w:ascii="仿宋_GB2312" w:hAnsi="仿宋_GB2312" w:eastAsia="仿宋_GB2312" w:cs="仿宋_GB2312"/>
                <w:sz w:val="24"/>
              </w:rPr>
              <w:t>擅自进行建造、运行、生产和使用等活动的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未编制环境影响评价文件</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1"/>
          <w:szCs w:val="11"/>
        </w:rPr>
      </w:pPr>
      <w:r>
        <w:br w:type="page"/>
      </w:r>
    </w:p>
    <w:tbl>
      <w:tblPr>
        <w:tblStyle w:val="9"/>
        <w:tblW w:w="0" w:type="auto"/>
        <w:tblInd w:w="-3" w:type="dxa"/>
        <w:tblLayout w:type="fixed"/>
        <w:tblCellMar>
          <w:top w:w="15" w:type="dxa"/>
          <w:left w:w="15" w:type="dxa"/>
          <w:bottom w:w="15" w:type="dxa"/>
          <w:right w:w="15" w:type="dxa"/>
        </w:tblCellMar>
      </w:tblPr>
      <w:tblGrid>
        <w:gridCol w:w="1433"/>
        <w:gridCol w:w="1890"/>
        <w:gridCol w:w="793"/>
        <w:gridCol w:w="3203"/>
        <w:gridCol w:w="1764"/>
      </w:tblGrid>
      <w:tr>
        <w:tblPrEx>
          <w:tblCellMar>
            <w:top w:w="15" w:type="dxa"/>
            <w:left w:w="15" w:type="dxa"/>
            <w:bottom w:w="15" w:type="dxa"/>
            <w:right w:w="15" w:type="dxa"/>
          </w:tblCellMar>
        </w:tblPrEx>
        <w:trPr>
          <w:trHeight w:val="699" w:hRule="atLeast"/>
        </w:trPr>
        <w:tc>
          <w:tcPr>
            <w:tcW w:w="908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157</w:t>
            </w:r>
          </w:p>
        </w:tc>
      </w:tr>
      <w:tr>
        <w:tblPrEx>
          <w:tblCellMar>
            <w:top w:w="15" w:type="dxa"/>
            <w:left w:w="15" w:type="dxa"/>
            <w:bottom w:w="15" w:type="dxa"/>
            <w:right w:w="15" w:type="dxa"/>
          </w:tblCellMar>
        </w:tblPrEx>
        <w:trPr>
          <w:trHeight w:val="90" w:hRule="atLeast"/>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ascii="仿宋_GB2312" w:hAnsi="仿宋_GB2312" w:eastAsia="仿宋_GB2312" w:cs="仿宋_GB2312"/>
                <w:sz w:val="24"/>
              </w:rPr>
              <w:t>未建造放射性污染防治设施、放射防护设施，或者防治防护设施未经验收合格，主体工程即投入生产或者使用的</w:t>
            </w:r>
          </w:p>
        </w:tc>
      </w:tr>
      <w:tr>
        <w:tblPrEx>
          <w:tblCellMar>
            <w:top w:w="15" w:type="dxa"/>
            <w:left w:w="15" w:type="dxa"/>
            <w:bottom w:w="15" w:type="dxa"/>
            <w:right w:w="15" w:type="dxa"/>
          </w:tblCellMar>
        </w:tblPrEx>
        <w:trPr>
          <w:trHeight w:val="90" w:hRule="atLeast"/>
        </w:trPr>
        <w:tc>
          <w:tcPr>
            <w:tcW w:w="1433"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ascii="仿宋_GB2312" w:hAnsi="仿宋_GB2312" w:eastAsia="仿宋_GB2312" w:cs="仿宋_GB2312"/>
                <w:sz w:val="24"/>
              </w:rPr>
            </w:pPr>
            <w:r>
              <w:rPr>
                <w:rFonts w:ascii="仿宋_GB2312" w:hAnsi="仿宋_GB2312" w:eastAsia="仿宋_GB2312" w:cs="仿宋_GB2312"/>
                <w:b/>
                <w:bCs/>
                <w:sz w:val="24"/>
              </w:rPr>
              <w:t>第二十一条</w:t>
            </w:r>
            <w:r>
              <w:rPr>
                <w:rFonts w:ascii="仿宋_GB2312" w:hAnsi="仿宋_GB2312" w:eastAsia="仿宋_GB2312" w:cs="仿宋_GB2312"/>
                <w:sz w:val="24"/>
              </w:rPr>
              <w:t xml:space="preserve"> 与核设施相配套的放射性污染防治设施，应当与主体工程同时设计、同时施工、同时投入使用。</w:t>
            </w:r>
          </w:p>
          <w:p>
            <w:pPr>
              <w:jc w:val="left"/>
              <w:rPr>
                <w:rFonts w:ascii="仿宋_GB2312" w:hAnsi="仿宋_GB2312" w:eastAsia="仿宋_GB2312" w:cs="仿宋_GB2312"/>
                <w:sz w:val="24"/>
              </w:rPr>
            </w:pPr>
            <w:r>
              <w:rPr>
                <w:rFonts w:ascii="仿宋_GB2312" w:hAnsi="仿宋_GB2312" w:eastAsia="仿宋_GB2312" w:cs="仿宋_GB2312"/>
                <w:sz w:val="24"/>
              </w:rPr>
              <w:t>放射性污染防治设施应当与主体工程同时验收；验收合格的，主体工程方可投入生产或者使用。</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ascii="仿宋_GB2312" w:hAnsi="仿宋_GB2312" w:eastAsia="仿宋_GB2312" w:cs="仿宋_GB2312"/>
                <w:b/>
                <w:bCs/>
                <w:sz w:val="24"/>
              </w:rPr>
              <w:t>第五十一条</w:t>
            </w:r>
            <w:r>
              <w:rPr>
                <w:rFonts w:ascii="仿宋_GB2312" w:hAnsi="仿宋_GB2312" w:eastAsia="仿宋_GB2312" w:cs="仿宋_GB2312"/>
                <w:sz w:val="24"/>
              </w:rPr>
              <w:t xml:space="preserve">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67"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3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建设项目类型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填报环境影响报告表的建设项目</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编制环境影响报告书的建设项目</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环境保护设施已建成但未经验收或者经验收不合格，主体工程即投入生产或者使用的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环境保护设施未建成，主体工程即投入生产或者使用的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3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3"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是否及时进行整改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3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33"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64"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sz w:val="10"/>
          <w:szCs w:val="10"/>
        </w:rPr>
      </w:pPr>
    </w:p>
    <w:tbl>
      <w:tblPr>
        <w:tblStyle w:val="9"/>
        <w:tblW w:w="0" w:type="auto"/>
        <w:tblInd w:w="11" w:type="dxa"/>
        <w:tblLayout w:type="fixed"/>
        <w:tblCellMar>
          <w:top w:w="15" w:type="dxa"/>
          <w:left w:w="15" w:type="dxa"/>
          <w:bottom w:w="15" w:type="dxa"/>
          <w:right w:w="15" w:type="dxa"/>
        </w:tblCellMar>
      </w:tblPr>
      <w:tblGrid>
        <w:gridCol w:w="1417"/>
        <w:gridCol w:w="1890"/>
        <w:gridCol w:w="793"/>
        <w:gridCol w:w="3203"/>
        <w:gridCol w:w="1750"/>
      </w:tblGrid>
      <w:tr>
        <w:tblPrEx>
          <w:tblCellMar>
            <w:top w:w="15" w:type="dxa"/>
            <w:left w:w="15" w:type="dxa"/>
            <w:bottom w:w="15" w:type="dxa"/>
            <w:right w:w="15" w:type="dxa"/>
          </w:tblCellMar>
        </w:tblPrEx>
        <w:trPr>
          <w:trHeight w:val="699" w:hRule="atLeast"/>
        </w:trPr>
        <w:tc>
          <w:tcPr>
            <w:tcW w:w="905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90"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3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158</w:t>
            </w:r>
          </w:p>
        </w:tc>
      </w:tr>
      <w:tr>
        <w:tblPrEx>
          <w:tblCellMar>
            <w:top w:w="15" w:type="dxa"/>
            <w:left w:w="15" w:type="dxa"/>
            <w:bottom w:w="15" w:type="dxa"/>
            <w:right w:w="15" w:type="dxa"/>
          </w:tblCellMar>
        </w:tblPrEx>
        <w:trPr>
          <w:trHeight w:val="90"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3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生产、销售、使用、转让、进口、贮存放射性同位素和射线装置以及装备有放射性同位素的仪表的</w:t>
            </w:r>
          </w:p>
        </w:tc>
      </w:tr>
      <w:tr>
        <w:tblPrEx>
          <w:tblCellMar>
            <w:top w:w="15" w:type="dxa"/>
            <w:left w:w="15" w:type="dxa"/>
            <w:bottom w:w="15" w:type="dxa"/>
            <w:right w:w="15" w:type="dxa"/>
          </w:tblCellMar>
        </w:tblPrEx>
        <w:trPr>
          <w:trHeight w:val="90" w:hRule="atLeast"/>
        </w:trPr>
        <w:tc>
          <w:tcPr>
            <w:tcW w:w="1417"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3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第二十八条 </w:t>
            </w:r>
            <w:r>
              <w:rPr>
                <w:rFonts w:hint="eastAsia" w:ascii="仿宋_GB2312" w:hAnsi="仿宋_GB2312" w:eastAsia="仿宋_GB2312" w:cs="仿宋_GB2312"/>
                <w:sz w:val="24"/>
              </w:rPr>
              <w:t>生产、销售、使用放射性同位素和射线装置的单位，应当按照国务院有关放射性同位素与射线装置放射防护的规定申请领取许可证，办理登记手续。</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转让、进口放射性同位素和射线装置的单位以及装备有放射性同位素的仪表的单位，应当按照国务院有关放射性同位素与射线装置放射防护的规定办理有关手续。</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第五十三条</w:t>
            </w:r>
            <w:r>
              <w:rPr>
                <w:rFonts w:hint="eastAsia" w:ascii="仿宋_GB2312" w:hAnsi="仿宋_GB2312" w:eastAsia="仿宋_GB2312" w:cs="仿宋_GB2312"/>
                <w:sz w:val="24"/>
              </w:rPr>
              <w:t xml:space="preserve">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0"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53"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没有违法所得的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违法所得不足10万元的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违法所得10万元以上50万元以下的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违法所得50万元以上的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1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7"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7"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7"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未造成社会影响与生态破坏的</w:t>
            </w:r>
          </w:p>
        </w:tc>
        <w:tc>
          <w:tcPr>
            <w:tcW w:w="175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10"/>
          <w:szCs w:val="10"/>
        </w:rPr>
      </w:pPr>
      <w:r>
        <w:rPr>
          <w:rFonts w:ascii="宋体" w:hAnsi="宋体" w:cs="宋体"/>
          <w:sz w:val="28"/>
          <w:szCs w:val="28"/>
        </w:rPr>
        <w:br w:type="page"/>
      </w:r>
    </w:p>
    <w:tbl>
      <w:tblPr>
        <w:tblStyle w:val="9"/>
        <w:tblW w:w="0" w:type="auto"/>
        <w:tblInd w:w="11" w:type="dxa"/>
        <w:tblLayout w:type="fixed"/>
        <w:tblCellMar>
          <w:top w:w="15" w:type="dxa"/>
          <w:left w:w="15" w:type="dxa"/>
          <w:bottom w:w="15" w:type="dxa"/>
          <w:right w:w="15" w:type="dxa"/>
        </w:tblCellMar>
      </w:tblPr>
      <w:tblGrid>
        <w:gridCol w:w="1419"/>
        <w:gridCol w:w="1890"/>
        <w:gridCol w:w="793"/>
        <w:gridCol w:w="3203"/>
        <w:gridCol w:w="1764"/>
      </w:tblGrid>
      <w:tr>
        <w:tblPrEx>
          <w:tblCellMar>
            <w:top w:w="15" w:type="dxa"/>
            <w:left w:w="15" w:type="dxa"/>
            <w:bottom w:w="15" w:type="dxa"/>
            <w:right w:w="15" w:type="dxa"/>
          </w:tblCellMar>
        </w:tblPrEx>
        <w:trPr>
          <w:trHeight w:val="699" w:hRule="atLeast"/>
        </w:trPr>
        <w:tc>
          <w:tcPr>
            <w:tcW w:w="906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159</w:t>
            </w:r>
          </w:p>
        </w:tc>
      </w:tr>
      <w:tr>
        <w:tblPrEx>
          <w:tblCellMar>
            <w:top w:w="15" w:type="dxa"/>
            <w:left w:w="15" w:type="dxa"/>
            <w:bottom w:w="15" w:type="dxa"/>
            <w:right w:w="15" w:type="dxa"/>
          </w:tblCellMar>
        </w:tblPrEx>
        <w:trPr>
          <w:trHeight w:val="9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未建造尾矿库或者不按照放射性污染防治的要求建造尾矿库，贮存、处置铀（钍）矿和伴生放射性矿的尾矿的</w:t>
            </w:r>
          </w:p>
        </w:tc>
      </w:tr>
      <w:tr>
        <w:tblPrEx>
          <w:tblCellMar>
            <w:top w:w="15" w:type="dxa"/>
            <w:left w:w="15" w:type="dxa"/>
            <w:bottom w:w="15" w:type="dxa"/>
            <w:right w:w="15" w:type="dxa"/>
          </w:tblCellMar>
        </w:tblPrEx>
        <w:trPr>
          <w:trHeight w:val="90" w:hRule="atLeast"/>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第三十七条 </w:t>
            </w:r>
            <w:r>
              <w:rPr>
                <w:rFonts w:hint="eastAsia" w:ascii="仿宋_GB2312" w:hAnsi="仿宋_GB2312" w:eastAsia="仿宋_GB2312" w:cs="仿宋_GB2312"/>
                <w:sz w:val="24"/>
              </w:rPr>
              <w:t>对铀（钍）矿和伴生放射性矿开发利用过程中产生的尾矿，应当建造尾矿库进行贮存、处置；建造的尾矿库应当符合放射性污染防治的要求。</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第五十四条</w:t>
            </w:r>
            <w:r>
              <w:rPr>
                <w:rFonts w:hint="eastAsia" w:ascii="仿宋_GB2312" w:hAnsi="仿宋_GB2312" w:eastAsia="仿宋_GB2312" w:cs="仿宋_GB2312"/>
                <w:sz w:val="24"/>
              </w:rPr>
              <w:t xml:space="preserve"> 违反本法规定，有下列行为之一的，由县级以上人民政府环境保护行政主管部门责令停止违法行为，限期改正，处以罚款；构成犯罪的，依法追究刑事责任：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（一）未建造尾矿库或者不按照放射性污染防治的要求建造尾矿库，贮存、处置铀（钍）矿和伴生放射性矿的尾矿的；</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有前款第（一）项、第（二）项、第（三）项、第（五）项行为之一的，处十万元以上二十万元以下罚款；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67"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已建造尾矿库，但未按照要求的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未建造尾矿库的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pacing w:val="-20"/>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w:t>
            </w:r>
            <w:r>
              <w:rPr>
                <w:rFonts w:hint="eastAsia" w:ascii="仿宋_GB2312" w:hAnsi="仿宋_GB2312" w:eastAsia="仿宋_GB2312" w:cs="仿宋_GB2312"/>
                <w:spacing w:val="-20"/>
                <w:sz w:val="24"/>
              </w:rPr>
              <w:t>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w:t>
            </w:r>
            <w:r>
              <w:rPr>
                <w:rFonts w:hint="eastAsia" w:ascii="仿宋_GB2312" w:hAnsi="仿宋_GB2312" w:eastAsia="仿宋_GB2312" w:cs="仿宋_GB2312"/>
                <w:spacing w:val="-20"/>
                <w:sz w:val="24"/>
              </w:rPr>
              <w:t>造成社会影响与生态破坏的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428"/>
        <w:gridCol w:w="1845"/>
        <w:gridCol w:w="793"/>
        <w:gridCol w:w="3203"/>
        <w:gridCol w:w="1809"/>
      </w:tblGrid>
      <w:tr>
        <w:tblPrEx>
          <w:tblCellMar>
            <w:top w:w="15" w:type="dxa"/>
            <w:left w:w="15" w:type="dxa"/>
            <w:bottom w:w="15" w:type="dxa"/>
            <w:right w:w="15" w:type="dxa"/>
          </w:tblCellMar>
        </w:tblPrEx>
        <w:trPr>
          <w:trHeight w:val="699" w:hRule="atLeast"/>
        </w:trPr>
        <w:tc>
          <w:tcPr>
            <w:tcW w:w="907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160</w:t>
            </w:r>
          </w:p>
        </w:tc>
      </w:tr>
      <w:tr>
        <w:tblPrEx>
          <w:tblCellMar>
            <w:top w:w="15" w:type="dxa"/>
            <w:left w:w="15" w:type="dxa"/>
            <w:bottom w:w="15" w:type="dxa"/>
            <w:right w:w="15" w:type="dxa"/>
          </w:tblCellMar>
        </w:tblPrEx>
        <w:trPr>
          <w:trHeight w:val="505"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向环境排放不得排放的放射性废气、废液的</w:t>
            </w:r>
          </w:p>
        </w:tc>
      </w:tr>
      <w:tr>
        <w:tblPrEx>
          <w:tblCellMar>
            <w:top w:w="15" w:type="dxa"/>
            <w:left w:w="15" w:type="dxa"/>
            <w:bottom w:w="15" w:type="dxa"/>
            <w:right w:w="15" w:type="dxa"/>
          </w:tblCellMar>
        </w:tblPrEx>
        <w:trPr>
          <w:trHeight w:val="90" w:hRule="atLeast"/>
        </w:trPr>
        <w:tc>
          <w:tcPr>
            <w:tcW w:w="142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第四十条</w:t>
            </w:r>
            <w:r>
              <w:rPr>
                <w:rFonts w:ascii="仿宋_GB2312" w:hAnsi="仿宋_GB2312" w:eastAsia="仿宋_GB2312" w:cs="仿宋_GB2312"/>
                <w:b/>
                <w:bCs/>
                <w:sz w:val="24"/>
              </w:rPr>
              <w:t xml:space="preserve"> </w:t>
            </w:r>
            <w:r>
              <w:rPr>
                <w:rFonts w:hint="eastAsia" w:ascii="仿宋_GB2312" w:hAnsi="仿宋_GB2312" w:eastAsia="仿宋_GB2312" w:cs="仿宋_GB2312"/>
                <w:sz w:val="24"/>
              </w:rPr>
              <w:t>向环境排放放射性废气、废液，必须符合国家放射性污染防治标准。</w:t>
            </w:r>
          </w:p>
          <w:p>
            <w:pPr>
              <w:jc w:val="left"/>
              <w:rPr>
                <w:rFonts w:hint="eastAsia" w:ascii="仿宋_GB2312" w:hAnsi="仿宋_GB2312" w:eastAsia="仿宋_GB2312" w:cs="仿宋_GB2312"/>
                <w:b/>
                <w:bCs/>
                <w:sz w:val="24"/>
              </w:rPr>
            </w:pPr>
          </w:p>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第五十四条 </w:t>
            </w:r>
            <w:r>
              <w:rPr>
                <w:rFonts w:hint="eastAsia" w:ascii="仿宋_GB2312" w:hAnsi="仿宋_GB2312" w:eastAsia="仿宋_GB2312" w:cs="仿宋_GB2312"/>
                <w:sz w:val="24"/>
              </w:rPr>
              <w:t>违反本法规定，有下列行为之一的，由县级以上人民政府环境保护行政主管部门责令停止违法行为，限期改正，处以罚款；构成犯罪的，依法追究刑事责任：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（二）向环境排放不得排放的放射性废气、废液的；</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有前款第（一）项、第（二）项、第（三）项、第（五）项行为之一的，处十万元以上二十万元以下罚款；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4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28" w:type="dxa"/>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45" w:type="dxa"/>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向环境排放不得排放的放射性废气、废液的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8" w:type="dxa"/>
            <w:vMerge w:val="continue"/>
            <w:tcBorders>
              <w:right w:val="single" w:color="auto" w:sz="4" w:space="0"/>
            </w:tcBorders>
            <w:noWrap w:val="0"/>
            <w:vAlign w:val="center"/>
          </w:tcPr>
          <w:p>
            <w:pPr>
              <w:jc w:val="left"/>
            </w:pPr>
          </w:p>
        </w:tc>
        <w:tc>
          <w:tcPr>
            <w:tcW w:w="1845"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8"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4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845"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096" w:type="dxa"/>
        <w:tblInd w:w="11" w:type="dxa"/>
        <w:tblLayout w:type="fixed"/>
        <w:tblCellMar>
          <w:top w:w="15" w:type="dxa"/>
          <w:left w:w="15" w:type="dxa"/>
          <w:bottom w:w="15" w:type="dxa"/>
          <w:right w:w="15" w:type="dxa"/>
        </w:tblCellMar>
      </w:tblPr>
      <w:tblGrid>
        <w:gridCol w:w="1419"/>
        <w:gridCol w:w="1890"/>
        <w:gridCol w:w="793"/>
        <w:gridCol w:w="3203"/>
        <w:gridCol w:w="1791"/>
      </w:tblGrid>
      <w:tr>
        <w:trPr>
          <w:trHeight w:val="699" w:hRule="atLeast"/>
        </w:trPr>
        <w:tc>
          <w:tcPr>
            <w:tcW w:w="909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161</w:t>
            </w:r>
          </w:p>
        </w:tc>
      </w:tr>
      <w:tr>
        <w:tblPrEx>
          <w:tblCellMar>
            <w:top w:w="15" w:type="dxa"/>
            <w:left w:w="15" w:type="dxa"/>
            <w:bottom w:w="15" w:type="dxa"/>
            <w:right w:w="15" w:type="dxa"/>
          </w:tblCellMar>
        </w:tblPrEx>
        <w:trPr>
          <w:trHeight w:val="9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7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不按照规定的方式排放放射性废液，利用渗井、渗坑、天然裂隙、溶洞或者国家禁止的其他方式排放放射性废液的</w:t>
            </w:r>
          </w:p>
        </w:tc>
      </w:tr>
      <w:tr>
        <w:tblPrEx>
          <w:tblCellMar>
            <w:top w:w="15" w:type="dxa"/>
            <w:left w:w="15" w:type="dxa"/>
            <w:bottom w:w="15" w:type="dxa"/>
            <w:right w:w="15" w:type="dxa"/>
          </w:tblCellMar>
        </w:tblPrEx>
        <w:trPr>
          <w:trHeight w:val="90" w:hRule="atLeast"/>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7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第四十二条 第三款</w:t>
            </w:r>
            <w:r>
              <w:rPr>
                <w:rFonts w:hint="eastAsia" w:ascii="仿宋_GB2312" w:hAnsi="仿宋_GB2312" w:eastAsia="仿宋_GB2312" w:cs="仿宋_GB2312"/>
                <w:sz w:val="24"/>
              </w:rPr>
              <w:t xml:space="preserve"> 禁止利用渗井、渗坑、天然裂隙、溶洞或者国家禁止的其他方式排放放射性废液。</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第五十四条</w:t>
            </w:r>
            <w:r>
              <w:rPr>
                <w:rFonts w:hint="eastAsia" w:ascii="仿宋_GB2312" w:hAnsi="仿宋_GB2312" w:eastAsia="仿宋_GB2312" w:cs="仿宋_GB2312"/>
                <w:sz w:val="24"/>
              </w:rPr>
              <w:t xml:space="preserve"> 违反本法规定，有下列行为之一的，由县级以上人民政府环境保护行政主管部门责令停止违法行为，限期改正，处以罚款；构成犯罪的，依法追究刑事责任：</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（三）不按照规定的方式排放放射性废液，利用渗井、渗坑、天然裂隙、溶洞或者国家禁止的其他方式排放放射性废液的；</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有前款第（一）项、第（二）项、第（三）项、第（五）项行为之一的，处十万元以上二十万元以下罚款；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94"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9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不按照规定的方式排放放射性废液的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利用渗井、渗坑、天然裂隙、溶洞或者国家禁止的其他方式排放放射性废液的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10"/>
          <w:szCs w:val="10"/>
        </w:rPr>
      </w:pPr>
      <w:r>
        <w:rPr>
          <w:rFonts w:ascii="宋体" w:hAnsi="宋体" w:cs="宋体"/>
          <w:sz w:val="28"/>
          <w:szCs w:val="28"/>
        </w:rPr>
        <w:br w:type="page"/>
      </w:r>
    </w:p>
    <w:tbl>
      <w:tblPr>
        <w:tblStyle w:val="9"/>
        <w:tblW w:w="9096" w:type="dxa"/>
        <w:tblInd w:w="-3" w:type="dxa"/>
        <w:tblLayout w:type="fixed"/>
        <w:tblCellMar>
          <w:top w:w="15" w:type="dxa"/>
          <w:left w:w="15" w:type="dxa"/>
          <w:bottom w:w="15" w:type="dxa"/>
          <w:right w:w="15" w:type="dxa"/>
        </w:tblCellMar>
      </w:tblPr>
      <w:tblGrid>
        <w:gridCol w:w="1425"/>
        <w:gridCol w:w="1880"/>
        <w:gridCol w:w="790"/>
        <w:gridCol w:w="3185"/>
        <w:gridCol w:w="1816"/>
      </w:tblGrid>
      <w:tr>
        <w:tblPrEx>
          <w:tblCellMar>
            <w:top w:w="15" w:type="dxa"/>
            <w:left w:w="15" w:type="dxa"/>
            <w:bottom w:w="15" w:type="dxa"/>
            <w:right w:w="15" w:type="dxa"/>
          </w:tblCellMar>
        </w:tblPrEx>
        <w:trPr>
          <w:trHeight w:val="699" w:hRule="atLeast"/>
        </w:trPr>
        <w:tc>
          <w:tcPr>
            <w:tcW w:w="909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7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162</w:t>
            </w:r>
          </w:p>
        </w:tc>
      </w:tr>
      <w:tr>
        <w:tblPrEx>
          <w:tblCellMar>
            <w:top w:w="15" w:type="dxa"/>
            <w:left w:w="15" w:type="dxa"/>
            <w:bottom w:w="15" w:type="dxa"/>
            <w:right w:w="15" w:type="dxa"/>
          </w:tblCellMar>
        </w:tblPrEx>
        <w:trPr>
          <w:trHeight w:val="90"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7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不按照规定处理或者贮存不得向环境排放的放射性废液的</w:t>
            </w:r>
          </w:p>
        </w:tc>
      </w:tr>
      <w:tr>
        <w:tblPrEx>
          <w:tblCellMar>
            <w:top w:w="15" w:type="dxa"/>
            <w:left w:w="15" w:type="dxa"/>
            <w:bottom w:w="15" w:type="dxa"/>
            <w:right w:w="15" w:type="dxa"/>
          </w:tblCellMar>
        </w:tblPrEx>
        <w:trPr>
          <w:trHeight w:val="90" w:hRule="atLeast"/>
        </w:trPr>
        <w:tc>
          <w:tcPr>
            <w:tcW w:w="1425"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7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第四十二条 第一款</w:t>
            </w:r>
            <w:r>
              <w:rPr>
                <w:rFonts w:hint="eastAsia" w:ascii="仿宋_GB2312" w:hAnsi="仿宋_GB2312" w:eastAsia="仿宋_GB2312" w:cs="仿宋_GB2312"/>
                <w:sz w:val="24"/>
              </w:rPr>
              <w:t xml:space="preserve"> 产生放射性废液的单位，必须按照国家放射性污染防治标准的要求，对不得向环境排放的放射性废液进行处理或者贮存。</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第五十四条 </w:t>
            </w:r>
            <w:r>
              <w:rPr>
                <w:rFonts w:hint="eastAsia" w:ascii="仿宋_GB2312" w:hAnsi="仿宋_GB2312" w:eastAsia="仿宋_GB2312" w:cs="仿宋_GB2312"/>
                <w:sz w:val="24"/>
              </w:rPr>
              <w:t>违反本法规定，有下列行为之一的，由县级以上人民政府环境保护行政主管部门责令停止违法行为，限期改正，处以罚款；构成犯罪的，依法追究刑事责任：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（四）不按照规定处理或者贮存不得向环境排放的放射性废液的；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01"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5"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1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不按照规定处理或者贮存不得向环境排放的放射性废液，量小活度低的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不按照规定处理或者贮存不得向环境排放的放射性废液，量大活度低的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不按照规定处理或者贮存不得向环境排放的放射性废液，量小活度较高的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不按照规定处理或者贮存不得向环境排放的放射性废液，量大活度较高的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5"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5"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2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5"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tbl>
      <w:tblPr>
        <w:tblStyle w:val="9"/>
        <w:tblW w:w="9069" w:type="dxa"/>
        <w:tblInd w:w="11" w:type="dxa"/>
        <w:tblLayout w:type="fixed"/>
        <w:tblCellMar>
          <w:top w:w="15" w:type="dxa"/>
          <w:left w:w="15" w:type="dxa"/>
          <w:bottom w:w="15" w:type="dxa"/>
          <w:right w:w="15" w:type="dxa"/>
        </w:tblCellMar>
      </w:tblPr>
      <w:tblGrid>
        <w:gridCol w:w="1411"/>
        <w:gridCol w:w="1880"/>
        <w:gridCol w:w="790"/>
        <w:gridCol w:w="3185"/>
        <w:gridCol w:w="1803"/>
      </w:tblGrid>
      <w:tr>
        <w:tblPrEx>
          <w:tblCellMar>
            <w:top w:w="15" w:type="dxa"/>
            <w:left w:w="15" w:type="dxa"/>
            <w:bottom w:w="15" w:type="dxa"/>
            <w:right w:w="15" w:type="dxa"/>
          </w:tblCellMar>
        </w:tblPrEx>
        <w:trPr>
          <w:trHeight w:val="699" w:hRule="atLeast"/>
        </w:trPr>
        <w:tc>
          <w:tcPr>
            <w:tcW w:w="906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163</w:t>
            </w:r>
          </w:p>
        </w:tc>
      </w:tr>
      <w:tr>
        <w:tblPrEx>
          <w:tblCellMar>
            <w:top w:w="15" w:type="dxa"/>
            <w:left w:w="15" w:type="dxa"/>
            <w:bottom w:w="15" w:type="dxa"/>
            <w:right w:w="15" w:type="dxa"/>
          </w:tblCellMar>
        </w:tblPrEx>
        <w:trPr>
          <w:trHeight w:val="90" w:hRule="atLeast"/>
        </w:trPr>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将放射性固体废物提供或者委托给无许可证的单位贮存和处置的</w:t>
            </w:r>
          </w:p>
        </w:tc>
      </w:tr>
      <w:tr>
        <w:tblPrEx>
          <w:tblCellMar>
            <w:top w:w="15" w:type="dxa"/>
            <w:left w:w="15" w:type="dxa"/>
            <w:bottom w:w="15" w:type="dxa"/>
            <w:right w:w="15" w:type="dxa"/>
          </w:tblCellMar>
        </w:tblPrEx>
        <w:trPr>
          <w:trHeight w:val="90" w:hRule="atLeast"/>
        </w:trPr>
        <w:tc>
          <w:tcPr>
            <w:tcW w:w="1411"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第四十六条</w:t>
            </w: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第三款</w:t>
            </w:r>
            <w:r>
              <w:rPr>
                <w:rFonts w:hint="eastAsia" w:ascii="仿宋_GB2312" w:hAnsi="仿宋_GB2312" w:eastAsia="仿宋_GB2312" w:cs="仿宋_GB2312"/>
                <w:sz w:val="24"/>
              </w:rPr>
              <w:t xml:space="preserve"> 禁止将放射性固体废物提供或者委托给无许可证的单位贮存和处置。</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第五十四条</w:t>
            </w:r>
            <w:r>
              <w:rPr>
                <w:rFonts w:hint="eastAsia" w:ascii="仿宋_GB2312" w:hAnsi="仿宋_GB2312" w:eastAsia="仿宋_GB2312" w:cs="仿宋_GB2312"/>
                <w:sz w:val="24"/>
              </w:rPr>
              <w:t xml:space="preserve"> 违反本法规定，有下列行为之一的，由县级以上人民政府环境保护行政主管部门责令停止违法行为，限期改正，处以罚款；构成犯罪的，依法追究刑事责任：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（五）将放射性固体废物提供或者委托给无许可证的单位贮存和处置的。</w:t>
            </w:r>
          </w:p>
          <w:p>
            <w:pPr>
              <w:adjustRightInd w:val="0"/>
              <w:snapToGrid w:val="0"/>
              <w:ind w:firstLine="240" w:firstLineChars="100"/>
              <w:jc w:val="left"/>
              <w:rPr>
                <w:rFonts w:hint="eastAsia" w:ascii="仿宋_GB2312" w:hAnsi="仿宋_GB2312" w:eastAsia="仿宋_GB2312" w:cs="仿宋_GB2312"/>
                <w:sz w:val="24"/>
              </w:rPr>
            </w:pPr>
            <w:r>
              <w:rPr>
                <w:rFonts w:hint="eastAsia" w:ascii="仿宋_GB2312" w:hAnsi="仿宋_GB2312" w:eastAsia="仿宋_GB2312" w:cs="仿宋_GB2312"/>
                <w:sz w:val="24"/>
              </w:rPr>
              <w:t>有前款第（一）项、第（二）项、第（三）项、第（五）项行为之一的，处十万元以上二十万元以下罚款；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8"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将放射性固体废物提供或者委托给无许可证的单位贮存和处置，量小活度低的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将放射性固体废物提供或者委托给无许可证的单位贮存和处置，量大活度低的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将放射性固体废物提供或者委托给无许可证的单位贮存和处置，量小活度较高的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将放射性固体废物提供或者委托给无许可证的单位贮存和处置，量大活度较高的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tbl>
      <w:tblPr>
        <w:tblStyle w:val="9"/>
        <w:tblW w:w="9069" w:type="dxa"/>
        <w:tblInd w:w="11" w:type="dxa"/>
        <w:tblLayout w:type="fixed"/>
        <w:tblCellMar>
          <w:top w:w="15" w:type="dxa"/>
          <w:left w:w="15" w:type="dxa"/>
          <w:bottom w:w="15" w:type="dxa"/>
          <w:right w:w="15" w:type="dxa"/>
        </w:tblCellMar>
      </w:tblPr>
      <w:tblGrid>
        <w:gridCol w:w="1411"/>
        <w:gridCol w:w="1880"/>
        <w:gridCol w:w="790"/>
        <w:gridCol w:w="3185"/>
        <w:gridCol w:w="1803"/>
      </w:tblGrid>
      <w:tr>
        <w:tblPrEx>
          <w:tblCellMar>
            <w:top w:w="15" w:type="dxa"/>
            <w:left w:w="15" w:type="dxa"/>
            <w:bottom w:w="15" w:type="dxa"/>
            <w:right w:w="15" w:type="dxa"/>
          </w:tblCellMar>
        </w:tblPrEx>
        <w:trPr>
          <w:trHeight w:val="699" w:hRule="atLeast"/>
        </w:trPr>
        <w:tc>
          <w:tcPr>
            <w:tcW w:w="906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164</w:t>
            </w:r>
          </w:p>
        </w:tc>
      </w:tr>
      <w:tr>
        <w:tblPrEx>
          <w:tblCellMar>
            <w:top w:w="15" w:type="dxa"/>
            <w:left w:w="15" w:type="dxa"/>
            <w:bottom w:w="15" w:type="dxa"/>
            <w:right w:w="15" w:type="dxa"/>
          </w:tblCellMar>
        </w:tblPrEx>
        <w:trPr>
          <w:trHeight w:val="90" w:hRule="atLeast"/>
        </w:trPr>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不按照规定设置放射性标识、标志、中文警示说明的</w:t>
            </w:r>
          </w:p>
        </w:tc>
      </w:tr>
      <w:tr>
        <w:tblPrEx>
          <w:tblCellMar>
            <w:top w:w="15" w:type="dxa"/>
            <w:left w:w="15" w:type="dxa"/>
            <w:bottom w:w="15" w:type="dxa"/>
            <w:right w:w="15" w:type="dxa"/>
          </w:tblCellMar>
        </w:tblPrEx>
        <w:trPr>
          <w:trHeight w:val="90" w:hRule="atLeast"/>
        </w:trPr>
        <w:tc>
          <w:tcPr>
            <w:tcW w:w="1411"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第十六条 </w:t>
            </w:r>
            <w:r>
              <w:rPr>
                <w:rFonts w:hint="eastAsia" w:ascii="仿宋_GB2312" w:hAnsi="仿宋_GB2312" w:eastAsia="仿宋_GB2312" w:cs="仿宋_GB2312"/>
                <w:sz w:val="24"/>
              </w:rPr>
              <w:t>放射性物质和射线装置应当设置明显的放射性标识和中文警示说明。生产、销售、使用、贮存、处置放射性物质和射线装置的场所，以及运输放射性物质和含放射源的射线装置的工具，应当设置明显的放射性标志。</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第五十五条</w:t>
            </w:r>
            <w:r>
              <w:rPr>
                <w:rFonts w:hint="eastAsia" w:ascii="仿宋_GB2312" w:hAnsi="仿宋_GB2312" w:eastAsia="仿宋_GB2312" w:cs="仿宋_GB2312"/>
                <w:sz w:val="24"/>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（一）不按照规定设置放射性标识、标志、中文警示说明的；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8"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不按照规定设置中文警示说明，经责令限期改正但逾期不改正的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不按照规定设置放射性标识、标志，经责令限期改正但逾期不改正的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rFonts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3" w:type="dxa"/>
        <w:tblLayout w:type="fixed"/>
        <w:tblCellMar>
          <w:top w:w="15" w:type="dxa"/>
          <w:left w:w="15" w:type="dxa"/>
          <w:bottom w:w="15" w:type="dxa"/>
          <w:right w:w="15" w:type="dxa"/>
        </w:tblCellMar>
      </w:tblPr>
      <w:tblGrid>
        <w:gridCol w:w="1433"/>
        <w:gridCol w:w="1890"/>
        <w:gridCol w:w="793"/>
        <w:gridCol w:w="3203"/>
        <w:gridCol w:w="1777"/>
      </w:tblGrid>
      <w:tr>
        <w:tblPrEx>
          <w:tblCellMar>
            <w:top w:w="15" w:type="dxa"/>
            <w:left w:w="15" w:type="dxa"/>
            <w:bottom w:w="15" w:type="dxa"/>
            <w:right w:w="15" w:type="dxa"/>
          </w:tblCellMar>
        </w:tblPrEx>
        <w:trPr>
          <w:trHeight w:val="699" w:hRule="atLeast"/>
        </w:trPr>
        <w:tc>
          <w:tcPr>
            <w:tcW w:w="909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165</w:t>
            </w:r>
          </w:p>
        </w:tc>
      </w:tr>
      <w:tr>
        <w:tblPrEx>
          <w:tblCellMar>
            <w:top w:w="15" w:type="dxa"/>
            <w:left w:w="15" w:type="dxa"/>
            <w:bottom w:w="15" w:type="dxa"/>
            <w:right w:w="15" w:type="dxa"/>
          </w:tblCellMar>
        </w:tblPrEx>
        <w:trPr>
          <w:trHeight w:val="776" w:hRule="atLeast"/>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不按照规定建立健全安全保卫制度和制定事故应急计划或者应急措施的；不按照规定报告放射源丢失、被盗情况或者放射性污染事故的。</w:t>
            </w:r>
          </w:p>
        </w:tc>
      </w:tr>
      <w:tr>
        <w:tblPrEx>
          <w:tblCellMar>
            <w:top w:w="15" w:type="dxa"/>
            <w:left w:w="15" w:type="dxa"/>
            <w:bottom w:w="15" w:type="dxa"/>
            <w:right w:w="15" w:type="dxa"/>
          </w:tblCellMar>
        </w:tblPrEx>
        <w:trPr>
          <w:trHeight w:val="2708" w:hRule="atLeast"/>
        </w:trPr>
        <w:tc>
          <w:tcPr>
            <w:tcW w:w="1433"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第三十三条 第一款</w:t>
            </w:r>
            <w:r>
              <w:rPr>
                <w:rFonts w:hint="eastAsia" w:ascii="仿宋_GB2312" w:hAnsi="仿宋_GB2312" w:eastAsia="仿宋_GB2312" w:cs="仿宋_GB2312"/>
                <w:sz w:val="24"/>
              </w:rPr>
              <w:t xml:space="preserve">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第五十五条</w:t>
            </w:r>
            <w:r>
              <w:rPr>
                <w:rFonts w:hint="eastAsia" w:ascii="仿宋_GB2312" w:hAnsi="仿宋_GB2312" w:eastAsia="仿宋_GB2312" w:cs="仿宋_GB2312"/>
                <w:sz w:val="24"/>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（二）不按照规定建立健全安全保卫制度和制定事故应急计划或者应急措施的；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（三）不按照规定报告放射源丢失、被盗情况或者放射性污染事故的。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3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03"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不按照规定建立健全安全保卫制度，经责令限期改正但逾期不改正的</w:t>
            </w:r>
          </w:p>
        </w:tc>
        <w:tc>
          <w:tcPr>
            <w:tcW w:w="177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rPr>
              <w:t>不按照规定制定事故应急计划或者应急措施，经责令限期改正但逾期不改正的</w:t>
            </w:r>
          </w:p>
        </w:tc>
        <w:tc>
          <w:tcPr>
            <w:tcW w:w="177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不按照规定报告Ⅳ类、Ⅴ类放射源丢失、被盗情况或者一般放射性环境事件，经责令限期改正但逾期不改正的</w:t>
            </w:r>
          </w:p>
        </w:tc>
        <w:tc>
          <w:tcPr>
            <w:tcW w:w="177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不按照规定报告Ⅲ类源放射源丢失、被盗情况或者较大放射性环境事件，经责令限期改正但逾期不改正的</w:t>
            </w:r>
          </w:p>
        </w:tc>
        <w:tc>
          <w:tcPr>
            <w:tcW w:w="177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不按照规定报告Ⅱ类放射源丢失、被盗情况或者重大放射性环境事件，经责令限期改正但逾期不改正的</w:t>
            </w:r>
          </w:p>
        </w:tc>
        <w:tc>
          <w:tcPr>
            <w:tcW w:w="1777" w:type="dxa"/>
            <w:noWrap w:val="0"/>
            <w:vAlign w:val="center"/>
          </w:tcPr>
          <w:p>
            <w:pPr>
              <w:tabs>
                <w:tab w:val="left" w:pos="418"/>
              </w:tabs>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不按照规定报告Ⅰ类放射源丢失、被盗情况或者特别重大放射性环境事件，经责令限期改正但逾期不改正的</w:t>
            </w:r>
          </w:p>
        </w:tc>
        <w:tc>
          <w:tcPr>
            <w:tcW w:w="177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3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3"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3"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3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33"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tblInd w:w="0" w:type="dxa"/>
        <w:tblLayout w:type="fixed"/>
        <w:tblCellMar>
          <w:top w:w="15" w:type="dxa"/>
          <w:left w:w="15" w:type="dxa"/>
          <w:bottom w:w="15" w:type="dxa"/>
          <w:right w:w="15" w:type="dxa"/>
        </w:tblCellMar>
      </w:tblPr>
      <w:tblGrid>
        <w:gridCol w:w="1428"/>
        <w:gridCol w:w="1845"/>
        <w:gridCol w:w="793"/>
        <w:gridCol w:w="3203"/>
        <w:gridCol w:w="1822"/>
      </w:tblGrid>
      <w:tr>
        <w:tblPrEx>
          <w:tblCellMar>
            <w:top w:w="15" w:type="dxa"/>
            <w:left w:w="15" w:type="dxa"/>
            <w:bottom w:w="15" w:type="dxa"/>
            <w:right w:w="15" w:type="dxa"/>
          </w:tblCellMar>
        </w:tblPrEx>
        <w:trPr>
          <w:trHeight w:val="699" w:hRule="atLeast"/>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166</w:t>
            </w:r>
          </w:p>
        </w:tc>
      </w:tr>
      <w:tr>
        <w:tblPrEx>
          <w:tblCellMar>
            <w:top w:w="15" w:type="dxa"/>
            <w:left w:w="15" w:type="dxa"/>
            <w:bottom w:w="15" w:type="dxa"/>
            <w:right w:w="15" w:type="dxa"/>
          </w:tblCellMar>
        </w:tblPrEx>
        <w:trPr>
          <w:trHeight w:val="90"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产生放射性固体废物的单位不按照规定对其产生的放射性固体废物进行处理后，送交放射性固体废物处置单位处置的</w:t>
            </w:r>
          </w:p>
        </w:tc>
      </w:tr>
      <w:tr>
        <w:tblPrEx>
          <w:tblCellMar>
            <w:top w:w="15" w:type="dxa"/>
            <w:left w:w="15" w:type="dxa"/>
            <w:bottom w:w="15" w:type="dxa"/>
            <w:right w:w="15" w:type="dxa"/>
          </w:tblCellMar>
        </w:tblPrEx>
        <w:trPr>
          <w:trHeight w:val="90" w:hRule="atLeast"/>
        </w:trPr>
        <w:tc>
          <w:tcPr>
            <w:tcW w:w="142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第四十五条 第一款 </w:t>
            </w:r>
            <w:r>
              <w:rPr>
                <w:rFonts w:hint="eastAsia" w:ascii="仿宋_GB2312" w:hAnsi="仿宋_GB2312" w:eastAsia="仿宋_GB2312" w:cs="仿宋_GB2312"/>
                <w:sz w:val="24"/>
              </w:rPr>
              <w:t>产生放射性固体废物的单位，应当按照国务院环境保护行政主管部门的规定，对其产生的放射性固体废物进行处理后，送交放射性固体废物处置单位处置，并承担处置费用。</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第五十六条</w:t>
            </w:r>
            <w:r>
              <w:rPr>
                <w:rFonts w:hint="eastAsia" w:ascii="仿宋_GB2312" w:hAnsi="仿宋_GB2312" w:eastAsia="仿宋_GB2312" w:cs="仿宋_GB2312"/>
                <w:sz w:val="24"/>
              </w:rPr>
              <w:t xml:space="preserve">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2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4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产生的放射性固体废物</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量小活度低的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量大活度低的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量小活度高的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量大活度高的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产生的废放</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射源</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属Ⅴ类放射源的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属Ⅳ类放射源的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属Ⅲ类放射源的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属Ⅱ类放射源的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属Ⅰ类放射源的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8" w:type="dxa"/>
            <w:vMerge w:val="continue"/>
            <w:tcBorders>
              <w:right w:val="single" w:color="auto" w:sz="4" w:space="0"/>
            </w:tcBorders>
            <w:noWrap w:val="0"/>
            <w:vAlign w:val="center"/>
          </w:tcPr>
          <w:p>
            <w:pPr>
              <w:jc w:val="left"/>
            </w:pPr>
          </w:p>
        </w:tc>
        <w:tc>
          <w:tcPr>
            <w:tcW w:w="1845"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28"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4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845"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822"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096" w:type="dxa"/>
        <w:tblInd w:w="11" w:type="dxa"/>
        <w:tblLayout w:type="fixed"/>
        <w:tblCellMar>
          <w:top w:w="15" w:type="dxa"/>
          <w:left w:w="15" w:type="dxa"/>
          <w:bottom w:w="15" w:type="dxa"/>
          <w:right w:w="15" w:type="dxa"/>
        </w:tblCellMar>
      </w:tblPr>
      <w:tblGrid>
        <w:gridCol w:w="1411"/>
        <w:gridCol w:w="1880"/>
        <w:gridCol w:w="790"/>
        <w:gridCol w:w="3185"/>
        <w:gridCol w:w="1830"/>
      </w:tblGrid>
      <w:tr>
        <w:tblPrEx>
          <w:tblCellMar>
            <w:top w:w="15" w:type="dxa"/>
            <w:left w:w="15" w:type="dxa"/>
            <w:bottom w:w="15" w:type="dxa"/>
            <w:right w:w="15" w:type="dxa"/>
          </w:tblCellMar>
        </w:tblPrEx>
        <w:trPr>
          <w:trHeight w:val="699" w:hRule="atLeast"/>
        </w:trPr>
        <w:tc>
          <w:tcPr>
            <w:tcW w:w="909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167</w:t>
            </w:r>
          </w:p>
        </w:tc>
      </w:tr>
      <w:tr>
        <w:tblPrEx>
          <w:tblCellMar>
            <w:top w:w="15" w:type="dxa"/>
            <w:left w:w="15" w:type="dxa"/>
            <w:bottom w:w="15" w:type="dxa"/>
            <w:right w:w="15" w:type="dxa"/>
          </w:tblCellMar>
        </w:tblPrEx>
        <w:trPr>
          <w:trHeight w:val="90" w:hRule="atLeast"/>
        </w:trPr>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8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（一）未经许可，擅自从事贮存和处置放射性固体废物活动的；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（二）不按照许可的有关规定从事贮存和处置放射性固体废物活动的。</w:t>
            </w:r>
          </w:p>
        </w:tc>
      </w:tr>
      <w:tr>
        <w:tblPrEx>
          <w:tblCellMar>
            <w:top w:w="15" w:type="dxa"/>
            <w:left w:w="15" w:type="dxa"/>
            <w:bottom w:w="15" w:type="dxa"/>
            <w:right w:w="15" w:type="dxa"/>
          </w:tblCellMar>
        </w:tblPrEx>
        <w:trPr>
          <w:trHeight w:val="90" w:hRule="atLeast"/>
        </w:trPr>
        <w:tc>
          <w:tcPr>
            <w:tcW w:w="1411"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8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第四十六条</w:t>
            </w:r>
            <w:r>
              <w:rPr>
                <w:rFonts w:ascii="仿宋_GB2312" w:hAnsi="仿宋_GB2312" w:eastAsia="仿宋_GB2312" w:cs="仿宋_GB2312"/>
                <w:b/>
                <w:bCs/>
                <w:sz w:val="24"/>
              </w:rPr>
              <w:t xml:space="preserve"> </w:t>
            </w:r>
            <w:r>
              <w:rPr>
                <w:rFonts w:hint="eastAsia" w:ascii="仿宋_GB2312" w:hAnsi="仿宋_GB2312" w:eastAsia="仿宋_GB2312" w:cs="仿宋_GB2312"/>
                <w:sz w:val="24"/>
              </w:rPr>
              <w:t>设立专门从事放射性固体废物贮存、处置的单位，必须经国务院环境保护行政主管部门审查批准，取得许可证。具体办法由国务院规定。</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禁止未经许可或者不按照许可的有关规定从事贮存和处置放射性固体废物的活动。</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禁止将放射性固体废物提供或者委托给无许可证的单位贮存和处置。</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《中华人民共和国放射性污染防治法》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第五十七条</w:t>
            </w:r>
            <w:r>
              <w:rPr>
                <w:rFonts w:hint="eastAsia" w:ascii="仿宋_GB2312" w:hAnsi="仿宋_GB2312" w:eastAsia="仿宋_GB2312" w:cs="仿宋_GB2312"/>
                <w:sz w:val="24"/>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（一）未经许可，擅自从事贮存和处置放射性固体废物活动的；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（二）不按照许可的有关规定从事贮存和处置放射性固体废物活动的。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1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3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没有违法所得的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违法所得不足10万元的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违法所得10万元以上50万元以下的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违法所得50万元以上的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rFonts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检查</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3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9097" w:type="dxa"/>
        <w:tblInd w:w="-17" w:type="dxa"/>
        <w:tblLayout w:type="fixed"/>
        <w:tblCellMar>
          <w:top w:w="15" w:type="dxa"/>
          <w:left w:w="15" w:type="dxa"/>
          <w:bottom w:w="15" w:type="dxa"/>
          <w:right w:w="15" w:type="dxa"/>
        </w:tblCellMar>
      </w:tblPr>
      <w:tblGrid>
        <w:gridCol w:w="1438"/>
        <w:gridCol w:w="1880"/>
        <w:gridCol w:w="790"/>
        <w:gridCol w:w="3186"/>
        <w:gridCol w:w="1803"/>
      </w:tblGrid>
      <w:tr>
        <w:tblPrEx>
          <w:tblCellMar>
            <w:top w:w="15" w:type="dxa"/>
            <w:left w:w="15" w:type="dxa"/>
            <w:bottom w:w="15" w:type="dxa"/>
            <w:right w:w="15" w:type="dxa"/>
          </w:tblCellMar>
        </w:tblPrEx>
        <w:trPr>
          <w:trHeight w:val="699" w:hRule="atLeast"/>
        </w:trPr>
        <w:tc>
          <w:tcPr>
            <w:tcW w:w="90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168</w:t>
            </w:r>
          </w:p>
        </w:tc>
      </w:tr>
      <w:tr>
        <w:tblPrEx>
          <w:tblCellMar>
            <w:top w:w="15" w:type="dxa"/>
            <w:left w:w="15" w:type="dxa"/>
            <w:bottom w:w="15" w:type="dxa"/>
            <w:right w:w="15" w:type="dxa"/>
          </w:tblCellMar>
        </w:tblPrEx>
        <w:trPr>
          <w:trHeight w:val="90" w:hRule="atLeast"/>
        </w:trPr>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在室外、野外使用放射性同位素和射线装置，未按照国家有关安全和防护标准的要求划出安全防护区域和设置明显的放射性标志的</w:t>
            </w:r>
          </w:p>
        </w:tc>
      </w:tr>
      <w:tr>
        <w:tblPrEx>
          <w:tblCellMar>
            <w:top w:w="15" w:type="dxa"/>
            <w:left w:w="15" w:type="dxa"/>
            <w:bottom w:w="15" w:type="dxa"/>
            <w:right w:w="15" w:type="dxa"/>
          </w:tblCellMar>
        </w:tblPrEx>
        <w:trPr>
          <w:trHeight w:val="5284" w:hRule="atLeast"/>
        </w:trPr>
        <w:tc>
          <w:tcPr>
            <w:tcW w:w="143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第三十六条 第一款</w:t>
            </w:r>
            <w:r>
              <w:rPr>
                <w:rFonts w:hint="eastAsia" w:ascii="仿宋_GB2312" w:hAnsi="仿宋_GB2312" w:eastAsia="仿宋_GB2312" w:cs="仿宋_GB2312"/>
                <w:sz w:val="24"/>
              </w:rPr>
              <w:t xml:space="preserve"> 在室外、野外使用放射性同位素和射线装置的，应当按照国家安全和防护标准的要求划出安全防护区域，设置明显的放射性标志，必要时设专人警戒。</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第五十七条</w:t>
            </w:r>
            <w:r>
              <w:rPr>
                <w:rFonts w:hint="eastAsia" w:ascii="仿宋_GB2312" w:hAnsi="仿宋_GB2312" w:eastAsia="仿宋_GB2312" w:cs="仿宋_GB2312"/>
                <w:sz w:val="24"/>
              </w:rPr>
              <w:t xml:space="preserve"> 违反本条例规定，生产、销售、使用放射性同位素和射线装置的单位有下列行为之一的，由县级以上人民政府环境保护主管部门责令停止违法行为，限期改正；逾期不改正的，处 1</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10</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（一）在室外、野外使用放射性同位素和射线装置，未按照国家有关安全和防护标准的要求划出安全防护区域和设置明显的放射性标志的；</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《河北省辐射污染防治条例》</w:t>
            </w:r>
          </w:p>
          <w:p>
            <w:pPr>
              <w:pStyle w:val="8"/>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b/>
                <w:bCs/>
                <w:kern w:val="2"/>
              </w:rPr>
              <w:t>第三十八条</w:t>
            </w:r>
            <w:r>
              <w:rPr>
                <w:rFonts w:hint="eastAsia" w:ascii="仿宋_GB2312" w:hAnsi="仿宋_GB2312" w:eastAsia="仿宋_GB2312" w:cs="仿宋_GB2312"/>
                <w:kern w:val="2"/>
              </w:rPr>
              <w:t xml:space="preserve"> 违反本条例规定，在室外、野外使用放射性同位素和射线装置未按照国家有关安全和防护标准的要求划出安全防护区域并设置明显的放射性标志的，由县级以上人民政府生态环境行政主管部门责令改正，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8"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3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已划出安全防护区域/已设置明显的放射性标志，但不符合规定的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43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未划出安全防护区域和设置明显的放射性标志的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8"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rFonts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8"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3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是否完成改正</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3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3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3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38"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15" w:type="dxa"/>
            <w:left w:w="15" w:type="dxa"/>
            <w:bottom w:w="15" w:type="dxa"/>
            <w:right w:w="15" w:type="dxa"/>
          </w:tblCellMar>
        </w:tblPrEx>
        <w:trPr>
          <w:trHeight w:val="699" w:hRule="atLeast"/>
        </w:trPr>
        <w:tc>
          <w:tcPr>
            <w:tcW w:w="909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169</w:t>
            </w:r>
          </w:p>
        </w:tc>
      </w:tr>
      <w:tr>
        <w:tblPrEx>
          <w:tblCellMar>
            <w:top w:w="15" w:type="dxa"/>
            <w:left w:w="15" w:type="dxa"/>
            <w:bottom w:w="15" w:type="dxa"/>
            <w:right w:w="15" w:type="dxa"/>
          </w:tblCellMar>
        </w:tblPrEx>
        <w:trPr>
          <w:trHeight w:val="487" w:hRule="atLeast"/>
        </w:trPr>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未经批准擅自在野外进行放射性同位素示踪试验的</w:t>
            </w:r>
          </w:p>
        </w:tc>
      </w:tr>
      <w:tr>
        <w:tblPrEx>
          <w:tblCellMar>
            <w:top w:w="15" w:type="dxa"/>
            <w:left w:w="15" w:type="dxa"/>
            <w:bottom w:w="15" w:type="dxa"/>
            <w:right w:w="15" w:type="dxa"/>
          </w:tblCellMar>
        </w:tblPrEx>
        <w:trPr>
          <w:trHeight w:val="90" w:hRule="atLeast"/>
        </w:trPr>
        <w:tc>
          <w:tcPr>
            <w:tcW w:w="143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第三十六条 第二款</w:t>
            </w:r>
            <w:r>
              <w:rPr>
                <w:rFonts w:hint="eastAsia" w:ascii="仿宋_GB2312" w:hAnsi="仿宋_GB2312" w:eastAsia="仿宋_GB2312" w:cs="仿宋_GB2312"/>
                <w:sz w:val="24"/>
              </w:rPr>
              <w:t xml:space="preserve"> 在野外进行放射性同位素示踪试验的，应当经省级以上人民政府环境保护主管部门商同级有关部门批准方可进行。</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第五十七条</w:t>
            </w:r>
            <w:r>
              <w:rPr>
                <w:rFonts w:hint="eastAsia" w:ascii="仿宋_GB2312" w:hAnsi="仿宋_GB2312" w:eastAsia="仿宋_GB2312" w:cs="仿宋_GB2312"/>
                <w:sz w:val="24"/>
              </w:rPr>
              <w:t xml:space="preserve"> 违反本条例规定，生产、销售、使用放射性同位素和射线装置的单位有下列行为之一的，由县级以上人民政府环境保护主管部门责令停止违法行为，限期改正；逾期不改正的，处 1</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10</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（二）未经批准擅自在野外进行放射性同位素示踪试验的。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8"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9"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38" w:type="dxa"/>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未经批准擅自在野外进行放射性同位素示踪试验的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8"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rFonts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38"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3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是否完成改正</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3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3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3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38"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6"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110" w:type="dxa"/>
        <w:tblInd w:w="11" w:type="dxa"/>
        <w:tblLayout w:type="fixed"/>
        <w:tblCellMar>
          <w:top w:w="15" w:type="dxa"/>
          <w:left w:w="15" w:type="dxa"/>
          <w:bottom w:w="15" w:type="dxa"/>
          <w:right w:w="15" w:type="dxa"/>
        </w:tblCellMar>
      </w:tblPr>
      <w:tblGrid>
        <w:gridCol w:w="1419"/>
        <w:gridCol w:w="1890"/>
        <w:gridCol w:w="793"/>
        <w:gridCol w:w="3203"/>
        <w:gridCol w:w="1805"/>
      </w:tblGrid>
      <w:tr>
        <w:tblPrEx>
          <w:tblCellMar>
            <w:top w:w="15" w:type="dxa"/>
            <w:left w:w="15" w:type="dxa"/>
            <w:bottom w:w="15" w:type="dxa"/>
            <w:right w:w="15" w:type="dxa"/>
          </w:tblCellMar>
        </w:tblPrEx>
        <w:trPr>
          <w:trHeight w:val="699" w:hRule="atLeast"/>
        </w:trPr>
        <w:tc>
          <w:tcPr>
            <w:tcW w:w="91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9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170</w:t>
            </w:r>
          </w:p>
        </w:tc>
      </w:tr>
      <w:tr>
        <w:tblPrEx>
          <w:tblCellMar>
            <w:top w:w="15" w:type="dxa"/>
            <w:left w:w="15" w:type="dxa"/>
            <w:bottom w:w="15" w:type="dxa"/>
            <w:right w:w="15" w:type="dxa"/>
          </w:tblCellMar>
        </w:tblPrEx>
        <w:trPr>
          <w:trHeight w:val="9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9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（一）未建立放射性同位素产品台账的；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（二）未按照国务院环境保护主管部门制定的编码规则，对生产的放射源进行统一编码的；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（三）未将放射性同位素产品台账和放射源编码清单报国务院环境保护主管部门备案的；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（四）出厂或者销售未列入产品台账的放射性同位素和未编码的放射源的。</w:t>
            </w:r>
          </w:p>
        </w:tc>
      </w:tr>
      <w:tr>
        <w:tblPrEx>
          <w:tblCellMar>
            <w:top w:w="15" w:type="dxa"/>
            <w:left w:w="15" w:type="dxa"/>
            <w:bottom w:w="15" w:type="dxa"/>
            <w:right w:w="15" w:type="dxa"/>
          </w:tblCellMar>
        </w:tblPrEx>
        <w:trPr>
          <w:trHeight w:val="90" w:hRule="atLeast"/>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9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第二十二条 </w:t>
            </w:r>
            <w:r>
              <w:rPr>
                <w:rFonts w:hint="eastAsia" w:ascii="仿宋_GB2312" w:hAnsi="仿宋_GB2312" w:eastAsia="仿宋_GB2312" w:cs="仿宋_GB2312"/>
                <w:sz w:val="24"/>
              </w:rPr>
              <w:t>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生产的放射源应当有明确标号和必要说明文件。其中，Ⅰ类、Ⅱ类、Ⅲ类放射源的标号应当刻制在放射源本体或者密封包壳体上，Ⅳ类、Ⅴ类放射源的标号应当记录在相应说明文件中。</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国务院环境保护主管部门负责建立放射性同位素备案信息管理系统，与有关部门实行信息共享。</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未列入产品台账的放射性同位素和未编码的放射源，不得出厂和销售。</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第五十八条</w:t>
            </w:r>
            <w:r>
              <w:rPr>
                <w:rFonts w:hint="eastAsia" w:ascii="仿宋_GB2312" w:hAnsi="仿宋_GB2312" w:eastAsia="仿宋_GB2312" w:cs="仿宋_GB2312"/>
                <w:sz w:val="24"/>
              </w:rPr>
              <w:t xml:space="preserve"> 违反本条例规定，生产放射性同位素的单位有下列行为之一的，由县级以上人民政府环境保护主管部门责令限期改正，给予警告；逾期不改正的，依法收缴其未备案的放射性同位素和未编码的放射源，处 5</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10</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万元以下的罚款，并可以由原发证机关暂扣或者吊销许可证：</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（一）未建立放射性同位素产品台账的；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（二）未按照国务院环境保护主管部门制定的编码规则，对生产的放射源进行统一编码的；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（三）未将放射性同位素产品台账和放射源编码清单报国务院环境保护主管部门备案的；</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（四）出厂或者销售未列入产品台账的放射性同位素和未编码的放射源的。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08"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未建立放射性同位素产品台账或未按照国务院环境保护主管部门制定的编码规则，对生产的放射源进行统一编码，经责令限期改正，给予警告但是逾期不改正的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未将放射性同位素产品台账和放射源编码清单报国务院环境保护主管部门备案，经责令限期改正，给予警告但是逾期不改正的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出厂或者销售未列入产品台账的放射性同位素和未编码的放射源，经责令限期改正，给予警告但是逾期不改正的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rFonts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Layout w:type="fixed"/>
        <w:tblCellMar>
          <w:top w:w="15" w:type="dxa"/>
          <w:left w:w="15" w:type="dxa"/>
          <w:bottom w:w="15" w:type="dxa"/>
          <w:right w:w="15" w:type="dxa"/>
        </w:tblCellMar>
      </w:tblPr>
      <w:tblGrid>
        <w:gridCol w:w="1419"/>
        <w:gridCol w:w="1890"/>
        <w:gridCol w:w="793"/>
        <w:gridCol w:w="3203"/>
        <w:gridCol w:w="1777"/>
      </w:tblGrid>
      <w:tr>
        <w:tblPrEx>
          <w:tblCellMar>
            <w:top w:w="15" w:type="dxa"/>
            <w:left w:w="15" w:type="dxa"/>
            <w:bottom w:w="15" w:type="dxa"/>
            <w:right w:w="15" w:type="dxa"/>
          </w:tblCellMar>
        </w:tblPrEx>
        <w:trPr>
          <w:trHeight w:val="699" w:hRule="atLeast"/>
          <w:jc w:val="center"/>
        </w:trPr>
        <w:tc>
          <w:tcPr>
            <w:tcW w:w="908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171</w:t>
            </w:r>
          </w:p>
        </w:tc>
      </w:tr>
      <w:tr>
        <w:tblPrEx>
          <w:tblCellMar>
            <w:top w:w="15" w:type="dxa"/>
            <w:left w:w="15" w:type="dxa"/>
            <w:bottom w:w="15" w:type="dxa"/>
            <w:right w:w="15" w:type="dxa"/>
          </w:tblCellMar>
        </w:tblPrEx>
        <w:trPr>
          <w:trHeight w:val="433"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未按照规定对废旧放射源进行处理的</w:t>
            </w:r>
          </w:p>
        </w:tc>
      </w:tr>
      <w:tr>
        <w:tblPrEx>
          <w:tblCellMar>
            <w:top w:w="15" w:type="dxa"/>
            <w:left w:w="15" w:type="dxa"/>
            <w:bottom w:w="15" w:type="dxa"/>
            <w:right w:w="15" w:type="dxa"/>
          </w:tblCellMar>
        </w:tblPrEx>
        <w:trPr>
          <w:trHeight w:val="5161" w:hRule="atLeast"/>
          <w:jc w:val="center"/>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第三十二条 </w:t>
            </w:r>
            <w:r>
              <w:rPr>
                <w:rFonts w:hint="eastAsia" w:ascii="仿宋_GB2312" w:hAnsi="仿宋_GB2312" w:eastAsia="仿宋_GB2312" w:cs="仿宋_GB2312"/>
                <w:sz w:val="24"/>
              </w:rPr>
              <w:t>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使用放射源的单位应当按照国务院环境保护主管部门的规定，将Ⅳ类、Ⅴ类废旧放射源进行包装整备后送交有相应资质的放射性废物集中贮存单位贮存。</w:t>
            </w:r>
          </w:p>
          <w:p>
            <w:pPr>
              <w:adjustRightInd w:val="0"/>
              <w:snapToGrid w:val="0"/>
              <w:jc w:val="left"/>
              <w:rPr>
                <w:rFonts w:hint="eastAsia" w:ascii="仿宋_GB2312" w:hAnsi="仿宋_GB2312" w:eastAsia="仿宋_GB2312" w:cs="仿宋_GB2312"/>
                <w:b/>
                <w:bCs/>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第五十九条</w:t>
            </w:r>
            <w:r>
              <w:rPr>
                <w:rFonts w:hint="eastAsia" w:ascii="仿宋_GB2312" w:hAnsi="仿宋_GB2312" w:eastAsia="仿宋_GB2312" w:cs="仿宋_GB2312"/>
                <w:sz w:val="24"/>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 1</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10</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（一）未按照规定对废旧放射源进行处理的；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属Ⅴ类放射源或Ⅲ类射线装置的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属Ⅳ类放射源的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属Ⅲ类放射源或Ⅱ类射线装置的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属Ⅱ类放射源的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属Ⅰ类放射源或Ⅰ类射线装置的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203"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77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rPr>
                <w:rFonts w:hint="eastAsia" w:ascii="仿宋_GB2312" w:hAnsi="仿宋_GB2312" w:eastAsia="仿宋_GB2312" w:cs="仿宋_GB2312"/>
                <w:sz w:val="24"/>
                <w:szCs w:val="32"/>
              </w:rPr>
            </w:pPr>
          </w:p>
        </w:tc>
        <w:tc>
          <w:tcPr>
            <w:tcW w:w="3203"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77"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CellMar>
            <w:top w:w="15" w:type="dxa"/>
            <w:left w:w="15" w:type="dxa"/>
            <w:bottom w:w="15" w:type="dxa"/>
            <w:right w:w="15" w:type="dxa"/>
          </w:tblCellMar>
        </w:tblPrEx>
        <w:trPr>
          <w:trHeight w:val="699" w:hRule="atLeast"/>
          <w:jc w:val="center"/>
        </w:trPr>
        <w:tc>
          <w:tcPr>
            <w:tcW w:w="908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172</w:t>
            </w:r>
          </w:p>
        </w:tc>
      </w:tr>
      <w:tr>
        <w:tblPrEx>
          <w:tblCellMar>
            <w:top w:w="15" w:type="dxa"/>
            <w:left w:w="15" w:type="dxa"/>
            <w:bottom w:w="15" w:type="dxa"/>
            <w:right w:w="15" w:type="dxa"/>
          </w:tblCellMar>
        </w:tblPrEx>
        <w:trPr>
          <w:trHeight w:val="9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未按照规定对使用Ⅰ类、Ⅱ类、Ⅲ类放射源的场所和生产放射性同位素的场所，以及终结运行后产生放射性污染的射线装置实施退役的</w:t>
            </w:r>
          </w:p>
        </w:tc>
      </w:tr>
      <w:tr>
        <w:tblPrEx>
          <w:tblCellMar>
            <w:top w:w="15" w:type="dxa"/>
            <w:left w:w="15" w:type="dxa"/>
            <w:bottom w:w="15" w:type="dxa"/>
            <w:right w:w="15" w:type="dxa"/>
          </w:tblCellMar>
        </w:tblPrEx>
        <w:trPr>
          <w:trHeight w:val="3975" w:hRule="atLeast"/>
          <w:jc w:val="center"/>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第三十三条 </w:t>
            </w:r>
            <w:r>
              <w:rPr>
                <w:rFonts w:hint="eastAsia" w:ascii="仿宋_GB2312" w:hAnsi="仿宋_GB2312" w:eastAsia="仿宋_GB2312" w:cs="仿宋_GB2312"/>
                <w:sz w:val="24"/>
              </w:rPr>
              <w:t>使用Ⅰ类、Ⅱ类、Ⅲ类放射源的场所和生产放射性同位素的场所，以及终结运行后产生放射性污染的射线装置，应当依法实施退役。</w:t>
            </w:r>
          </w:p>
          <w:p>
            <w:pPr>
              <w:adjustRightInd w:val="0"/>
              <w:snapToGrid w:val="0"/>
              <w:jc w:val="left"/>
              <w:rPr>
                <w:rFonts w:hint="eastAsia" w:ascii="仿宋_GB2312" w:hAnsi="仿宋_GB2312" w:eastAsia="仿宋_GB2312" w:cs="仿宋_GB2312"/>
                <w:b/>
                <w:bCs/>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第五十九条</w:t>
            </w:r>
            <w:r>
              <w:rPr>
                <w:rFonts w:hint="eastAsia" w:ascii="仿宋_GB2312" w:hAnsi="仿宋_GB2312" w:eastAsia="仿宋_GB2312" w:cs="仿宋_GB2312"/>
                <w:sz w:val="24"/>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 1</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10</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（二）未按照规定对使用Ⅰ类、Ⅱ类、Ⅲ类放射源的场所和生产放射性同位素的场所，以及终结运行后产生放射性污染的射线装置实施退役的。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属Ⅲ类放射源的，经责令限期改正但逾期不改正的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属Ⅱ类放射源的，经责令限期改正但逾期不改正的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属Ⅰ类放射源的，经责令限期改正但逾期不改正的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10"/>
          <w:szCs w:val="10"/>
        </w:rPr>
      </w:pPr>
      <w:r>
        <w:rPr>
          <w:rFonts w:ascii="宋体" w:hAnsi="宋体" w:cs="宋体"/>
          <w:sz w:val="28"/>
          <w:szCs w:val="28"/>
        </w:rPr>
        <w:br w:type="page"/>
      </w:r>
    </w:p>
    <w:tbl>
      <w:tblPr>
        <w:tblStyle w:val="9"/>
        <w:tblW w:w="9082" w:type="dxa"/>
        <w:jc w:val="center"/>
        <w:tblLayout w:type="fixed"/>
        <w:tblCellMar>
          <w:top w:w="15" w:type="dxa"/>
          <w:left w:w="15" w:type="dxa"/>
          <w:bottom w:w="15" w:type="dxa"/>
          <w:right w:w="15" w:type="dxa"/>
        </w:tblCellMar>
      </w:tblPr>
      <w:tblGrid>
        <w:gridCol w:w="1419"/>
        <w:gridCol w:w="1845"/>
        <w:gridCol w:w="793"/>
        <w:gridCol w:w="3203"/>
        <w:gridCol w:w="1822"/>
      </w:tblGrid>
      <w:tr>
        <w:tblPrEx>
          <w:tblCellMar>
            <w:top w:w="15" w:type="dxa"/>
            <w:left w:w="15" w:type="dxa"/>
            <w:bottom w:w="15" w:type="dxa"/>
            <w:right w:w="15" w:type="dxa"/>
          </w:tblCellMar>
        </w:tblPrEx>
        <w:trPr>
          <w:trHeight w:val="699" w:hRule="atLeast"/>
          <w:jc w:val="center"/>
        </w:trPr>
        <w:tc>
          <w:tcPr>
            <w:tcW w:w="908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173</w:t>
            </w:r>
          </w:p>
        </w:tc>
      </w:tr>
      <w:tr>
        <w:tblPrEx>
          <w:tblCellMar>
            <w:top w:w="15" w:type="dxa"/>
            <w:left w:w="15" w:type="dxa"/>
            <w:bottom w:w="15" w:type="dxa"/>
            <w:right w:w="15" w:type="dxa"/>
          </w:tblCellMar>
        </w:tblPrEx>
        <w:trPr>
          <w:trHeight w:val="9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未按照规定对本单位的放射性同位素、射线装置安全和防护状况进行评估或者发现安全隐患不及时整改的</w:t>
            </w:r>
          </w:p>
        </w:tc>
      </w:tr>
      <w:tr>
        <w:tblPrEx>
          <w:tblCellMar>
            <w:top w:w="15" w:type="dxa"/>
            <w:left w:w="15" w:type="dxa"/>
            <w:bottom w:w="15" w:type="dxa"/>
            <w:right w:w="15" w:type="dxa"/>
          </w:tblCellMar>
        </w:tblPrEx>
        <w:trPr>
          <w:trHeight w:val="3992" w:hRule="atLeast"/>
          <w:jc w:val="center"/>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第三十条 </w:t>
            </w:r>
            <w:r>
              <w:rPr>
                <w:rFonts w:hint="eastAsia" w:ascii="仿宋_GB2312" w:hAnsi="仿宋_GB2312" w:eastAsia="仿宋_GB2312" w:cs="仿宋_GB2312"/>
                <w:sz w:val="24"/>
              </w:rPr>
              <w:t>生产、销售、使用放射性同位素和射线装置的单位，应当对本单位的放射性同位素、射线装置的安全和防护状况进行年度评估。发现安全隐患的，应当立即进行整改。</w:t>
            </w:r>
          </w:p>
          <w:p>
            <w:pPr>
              <w:adjustRightInd w:val="0"/>
              <w:snapToGrid w:val="0"/>
              <w:jc w:val="left"/>
              <w:rPr>
                <w:rFonts w:hint="eastAsia" w:ascii="仿宋_GB2312" w:hAnsi="仿宋_GB2312" w:eastAsia="仿宋_GB2312" w:cs="仿宋_GB2312"/>
                <w:b/>
                <w:bCs/>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第六十条 </w:t>
            </w:r>
            <w:r>
              <w:rPr>
                <w:rFonts w:hint="eastAsia" w:ascii="仿宋_GB2312" w:hAnsi="仿宋_GB2312" w:eastAsia="仿宋_GB2312" w:cs="仿宋_GB2312"/>
                <w:sz w:val="24"/>
              </w:rPr>
              <w:t>违反本条例规定，生产、销售、使用放射性同位素和射线装置的单位有下列行为之一的，由县级以上人民政府环境保护主管部门责令停止违法行为，限期改正；逾期不改正的，责令停产停业，并处 2</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20</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万元以下的罚款；构成犯罪的，依法追究刑事责任：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（一）未按照规定对本单位的放射性同位素、射线装置安全和防护状况进行评估或者发现安全隐患不及时整改的；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7"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4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2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没按照规定对本单位的放射性同位素、射线装置安全和防护状况进行评估，经责令限期改正但逾期不改正的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未对本单位的放射性同位素、射线装置安全和防护状况进行评估，经责令限期改正但逾期不改正的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发现安全隐患不及时整改，经责令限期改正但逾期不改正的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pPr>
          </w:p>
        </w:tc>
        <w:tc>
          <w:tcPr>
            <w:tcW w:w="1845"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45"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45"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45"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4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45"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9096" w:type="dxa"/>
        <w:jc w:val="center"/>
        <w:tblLayout w:type="fixed"/>
        <w:tblCellMar>
          <w:top w:w="15" w:type="dxa"/>
          <w:left w:w="15" w:type="dxa"/>
          <w:bottom w:w="15" w:type="dxa"/>
          <w:right w:w="15" w:type="dxa"/>
        </w:tblCellMar>
      </w:tblPr>
      <w:tblGrid>
        <w:gridCol w:w="1425"/>
        <w:gridCol w:w="1880"/>
        <w:gridCol w:w="790"/>
        <w:gridCol w:w="3185"/>
        <w:gridCol w:w="1816"/>
      </w:tblGrid>
      <w:tr>
        <w:tblPrEx>
          <w:tblCellMar>
            <w:top w:w="15" w:type="dxa"/>
            <w:left w:w="15" w:type="dxa"/>
            <w:bottom w:w="15" w:type="dxa"/>
            <w:right w:w="15" w:type="dxa"/>
          </w:tblCellMar>
        </w:tblPrEx>
        <w:trPr>
          <w:trHeight w:val="699" w:hRule="atLeast"/>
          <w:jc w:val="center"/>
        </w:trPr>
        <w:tc>
          <w:tcPr>
            <w:tcW w:w="909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7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174</w:t>
            </w:r>
          </w:p>
        </w:tc>
      </w:tr>
      <w:tr>
        <w:tblPrEx>
          <w:tblCellMar>
            <w:top w:w="15" w:type="dxa"/>
            <w:left w:w="15" w:type="dxa"/>
            <w:bottom w:w="15" w:type="dxa"/>
            <w:right w:w="15" w:type="dxa"/>
          </w:tblCellMar>
        </w:tblPrEx>
        <w:trPr>
          <w:trHeight w:val="90"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7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生产、销售、使用、贮存放射性同位素和射线装置的场所未按照规定设置安全和防护设施以及放射性标志的</w:t>
            </w:r>
          </w:p>
        </w:tc>
      </w:tr>
      <w:tr>
        <w:tblPrEx>
          <w:tblCellMar>
            <w:top w:w="15" w:type="dxa"/>
            <w:left w:w="15" w:type="dxa"/>
            <w:bottom w:w="15" w:type="dxa"/>
            <w:right w:w="15" w:type="dxa"/>
          </w:tblCellMar>
        </w:tblPrEx>
        <w:trPr>
          <w:trHeight w:val="4286" w:hRule="atLeast"/>
          <w:jc w:val="center"/>
        </w:trPr>
        <w:tc>
          <w:tcPr>
            <w:tcW w:w="1425"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7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第三十四条 第一款 </w:t>
            </w:r>
            <w:r>
              <w:rPr>
                <w:rFonts w:hint="eastAsia" w:ascii="仿宋_GB2312" w:hAnsi="仿宋_GB2312" w:eastAsia="仿宋_GB2312" w:cs="仿宋_GB2312"/>
                <w:sz w:val="24"/>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《放射性同位素与射线装置安全和防护条例》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第六十条</w:t>
            </w:r>
            <w:r>
              <w:rPr>
                <w:rFonts w:hint="eastAsia" w:ascii="仿宋_GB2312" w:hAnsi="仿宋_GB2312" w:eastAsia="仿宋_GB2312" w:cs="仿宋_GB2312"/>
                <w:sz w:val="24"/>
              </w:rPr>
              <w:t xml:space="preserve"> 违反本条例规定，生产、销售、使用放射性同位素和射线装置的单位有下列行为之一的，由县级以上人民政府环境保护主管部门责令停止违法行为，限期改正；逾期不改正的，责令停产停业，并处 2</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万元以上 20</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万元以下的罚款；构成犯罪的，依法追究刑事责任：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（二）生产、销售、使用、贮存放射性同位素和射线装置的场所未按照规定设置安全和防护设施以及放射性标志的。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01"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5"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1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未按照规定设置安全和防护设施或放射性标志的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未设置安全和防护设施或放射性标志的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5"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5"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25"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096" w:type="dxa"/>
        <w:jc w:val="center"/>
        <w:tblLayout w:type="fixed"/>
        <w:tblCellMar>
          <w:top w:w="15" w:type="dxa"/>
          <w:left w:w="15" w:type="dxa"/>
          <w:bottom w:w="15" w:type="dxa"/>
          <w:right w:w="15" w:type="dxa"/>
        </w:tblCellMar>
      </w:tblPr>
      <w:tblGrid>
        <w:gridCol w:w="1419"/>
        <w:gridCol w:w="1890"/>
        <w:gridCol w:w="793"/>
        <w:gridCol w:w="3203"/>
        <w:gridCol w:w="1791"/>
      </w:tblGrid>
      <w:tr>
        <w:tblPrEx>
          <w:tblCellMar>
            <w:top w:w="15" w:type="dxa"/>
            <w:left w:w="15" w:type="dxa"/>
            <w:bottom w:w="15" w:type="dxa"/>
            <w:right w:w="15" w:type="dxa"/>
          </w:tblCellMar>
        </w:tblPrEx>
        <w:trPr>
          <w:trHeight w:val="699" w:hRule="atLeast"/>
          <w:jc w:val="center"/>
        </w:trPr>
        <w:tc>
          <w:tcPr>
            <w:tcW w:w="909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175</w:t>
            </w:r>
          </w:p>
        </w:tc>
      </w:tr>
      <w:tr>
        <w:tblPrEx>
          <w:tblCellMar>
            <w:top w:w="15" w:type="dxa"/>
            <w:left w:w="15" w:type="dxa"/>
            <w:bottom w:w="15" w:type="dxa"/>
            <w:right w:w="15" w:type="dxa"/>
          </w:tblCellMar>
        </w:tblPrEx>
        <w:trPr>
          <w:trHeight w:val="9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7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造成电磁辐射污染环境事故的</w:t>
            </w:r>
          </w:p>
        </w:tc>
      </w:tr>
      <w:tr>
        <w:tblPrEx>
          <w:tblCellMar>
            <w:top w:w="15" w:type="dxa"/>
            <w:left w:w="15" w:type="dxa"/>
            <w:bottom w:w="15" w:type="dxa"/>
            <w:right w:w="15" w:type="dxa"/>
          </w:tblCellMar>
        </w:tblPrEx>
        <w:trPr>
          <w:trHeight w:val="1314" w:hRule="atLeast"/>
          <w:jc w:val="center"/>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77"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《电磁辐射环境保护管理办法》</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第三十条</w:t>
            </w:r>
            <w:r>
              <w:rPr>
                <w:rFonts w:hint="eastAsia" w:ascii="仿宋_GB2312" w:hAnsi="仿宋_GB2312" w:eastAsia="仿宋_GB2312" w:cs="仿宋_GB2312"/>
                <w:sz w:val="24"/>
              </w:rPr>
              <w:t xml:space="preserve"> 违反本办法规定，造成电磁辐射污染环境事故的，由省级环境保护行政主管部门处以罚款。有违法所得的，处违法所得 3</w:t>
            </w:r>
            <w:r>
              <w:rPr>
                <w:rFonts w:ascii="仿宋_GB2312" w:hAnsi="仿宋_GB2312" w:eastAsia="仿宋_GB2312" w:cs="仿宋_GB2312"/>
                <w:sz w:val="24"/>
              </w:rPr>
              <w:t xml:space="preserve"> </w:t>
            </w:r>
            <w:r>
              <w:rPr>
                <w:rFonts w:hint="eastAsia" w:ascii="仿宋_GB2312" w:hAnsi="仿宋_GB2312" w:eastAsia="仿宋_GB2312" w:cs="仿宋_GB2312"/>
                <w:sz w:val="24"/>
              </w:rPr>
              <w:t>倍以下的罚款，但最高不超过 3</w:t>
            </w:r>
            <w:r>
              <w:rPr>
                <w:rFonts w:ascii="仿宋_GB2312" w:hAnsi="仿宋_GB2312" w:eastAsia="仿宋_GB2312" w:cs="仿宋_GB2312"/>
                <w:sz w:val="24"/>
              </w:rPr>
              <w:t xml:space="preserve"> </w:t>
            </w:r>
            <w:r>
              <w:rPr>
                <w:rFonts w:hint="eastAsia" w:ascii="仿宋_GB2312" w:hAnsi="仿宋_GB2312" w:eastAsia="仿宋_GB2312" w:cs="仿宋_GB2312"/>
                <w:sz w:val="24"/>
              </w:rPr>
              <w:t>万元；没有违法所得的，处 1</w:t>
            </w:r>
            <w:r>
              <w:rPr>
                <w:rFonts w:ascii="仿宋_GB2312" w:hAnsi="仿宋_GB2312" w:eastAsia="仿宋_GB2312" w:cs="仿宋_GB2312"/>
                <w:sz w:val="24"/>
              </w:rPr>
              <w:t xml:space="preserve"> </w:t>
            </w:r>
            <w:r>
              <w:rPr>
                <w:rFonts w:hint="eastAsia" w:ascii="仿宋_GB2312" w:hAnsi="仿宋_GB2312" w:eastAsia="仿宋_GB2312" w:cs="仿宋_GB2312"/>
                <w:sz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94"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9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发生电磁辐射污染环境突发事件但无违法所得的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发生电磁辐射污染环境突发事件且有违法所得的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是否完成改正</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Layout w:type="fixed"/>
        <w:tblCellMar>
          <w:top w:w="15" w:type="dxa"/>
          <w:left w:w="15" w:type="dxa"/>
          <w:bottom w:w="15" w:type="dxa"/>
          <w:right w:w="15" w:type="dxa"/>
        </w:tblCellMar>
      </w:tblPr>
      <w:tblGrid>
        <w:gridCol w:w="1417"/>
        <w:gridCol w:w="1890"/>
        <w:gridCol w:w="793"/>
        <w:gridCol w:w="3203"/>
        <w:gridCol w:w="1777"/>
      </w:tblGrid>
      <w:tr>
        <w:tblPrEx>
          <w:tblCellMar>
            <w:top w:w="15" w:type="dxa"/>
            <w:left w:w="15" w:type="dxa"/>
            <w:bottom w:w="15" w:type="dxa"/>
            <w:right w:w="15" w:type="dxa"/>
          </w:tblCellMar>
        </w:tblPrEx>
        <w:trPr>
          <w:trHeight w:val="699" w:hRule="atLeast"/>
          <w:jc w:val="center"/>
        </w:trPr>
        <w:tc>
          <w:tcPr>
            <w:tcW w:w="90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176</w:t>
            </w:r>
          </w:p>
        </w:tc>
      </w:tr>
      <w:tr>
        <w:tblPrEx>
          <w:tblCellMar>
            <w:top w:w="15" w:type="dxa"/>
            <w:left w:w="15" w:type="dxa"/>
            <w:bottom w:w="15" w:type="dxa"/>
            <w:right w:w="15" w:type="dxa"/>
          </w:tblCellMar>
        </w:tblPrEx>
        <w:trPr>
          <w:trHeight w:val="9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（一）无辐射安全许可证从事放射性同位素和射线装置生产、销售、使用活动的；</w:t>
            </w:r>
          </w:p>
          <w:p>
            <w:pPr>
              <w:adjustRightInd w:val="0"/>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（二）未按照辐射安全许可证的规定从事放射性同位素和射线装置生产、销售、使用活动的；</w:t>
            </w:r>
          </w:p>
          <w:p>
            <w:pPr>
              <w:adjustRightInd w:val="0"/>
              <w:snapToGrid w:val="0"/>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（三）未经批准，擅自进口或者转让放射性同位素的。</w:t>
            </w:r>
          </w:p>
        </w:tc>
      </w:tr>
      <w:tr>
        <w:tblPrEx>
          <w:tblCellMar>
            <w:top w:w="15" w:type="dxa"/>
            <w:left w:w="15" w:type="dxa"/>
            <w:bottom w:w="15" w:type="dxa"/>
            <w:right w:w="15" w:type="dxa"/>
          </w:tblCellMar>
        </w:tblPrEx>
        <w:trPr>
          <w:trHeight w:val="6199" w:hRule="atLeast"/>
          <w:jc w:val="center"/>
        </w:trPr>
        <w:tc>
          <w:tcPr>
            <w:tcW w:w="1417"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辐射污染防治条例》</w:t>
            </w:r>
          </w:p>
          <w:p>
            <w:pPr>
              <w:adjustRightInd w:val="0"/>
              <w:snapToGrid w:val="0"/>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第十一条 第一款</w:t>
            </w:r>
            <w:r>
              <w:rPr>
                <w:rFonts w:hint="eastAsia" w:ascii="仿宋_GB2312" w:hAnsi="仿宋_GB2312" w:eastAsia="仿宋_GB2312" w:cs="仿宋_GB2312"/>
                <w:sz w:val="24"/>
              </w:rPr>
              <w:t xml:space="preserve"> 生产、销售、使用放射性同位素和射线装置的单位，应当依法申请领取辐射安全许可证。使用放射性同位素和射线装置进行放</w:t>
            </w:r>
            <w:r>
              <w:rPr>
                <w:rFonts w:hint="eastAsia" w:ascii="仿宋_GB2312" w:hAnsi="仿宋_GB2312" w:eastAsia="仿宋_GB2312" w:cs="仿宋_GB2312"/>
                <w:spacing w:val="-6"/>
                <w:sz w:val="24"/>
              </w:rPr>
              <w:t>射诊疗的医疗卫生机构，还应当获得放射源诊疗技术和医用辐射机构许</w:t>
            </w:r>
            <w:r>
              <w:rPr>
                <w:rFonts w:hint="eastAsia" w:ascii="仿宋_GB2312" w:hAnsi="仿宋_GB2312" w:eastAsia="仿宋_GB2312" w:cs="仿宋_GB2312"/>
                <w:sz w:val="24"/>
              </w:rPr>
              <w:t>可。</w:t>
            </w:r>
          </w:p>
          <w:p>
            <w:pPr>
              <w:adjustRightInd w:val="0"/>
              <w:snapToGrid w:val="0"/>
              <w:spacing w:line="260" w:lineRule="exact"/>
              <w:jc w:val="left"/>
              <w:rPr>
                <w:rFonts w:hint="eastAsia" w:ascii="仿宋_GB2312" w:hAnsi="仿宋_GB2312" w:eastAsia="仿宋_GB2312" w:cs="仿宋_GB2312"/>
                <w:sz w:val="24"/>
              </w:rPr>
            </w:pPr>
          </w:p>
          <w:p>
            <w:pPr>
              <w:adjustRightInd w:val="0"/>
              <w:snapToGrid w:val="0"/>
              <w:spacing w:line="26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辐射污染防治条例》</w:t>
            </w:r>
          </w:p>
          <w:p>
            <w:pPr>
              <w:adjustRightInd w:val="0"/>
              <w:snapToGrid w:val="0"/>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第十七条 </w:t>
            </w:r>
            <w:r>
              <w:rPr>
                <w:rFonts w:hint="eastAsia" w:ascii="仿宋_GB2312" w:hAnsi="仿宋_GB2312" w:eastAsia="仿宋_GB2312" w:cs="仿宋_GB2312"/>
                <w:sz w:val="24"/>
              </w:rPr>
              <w:t>放射性同位素应当在取得辐射安全许可证的单位之间转让。转入放射性同位素的单位应当在转入前报省人民政府生态环境行政主管部门或者其授权的生态环境行政主管部门批准。转入单位未提供放射性同位素转让批准文件的，转出单位不得转让。</w:t>
            </w:r>
          </w:p>
          <w:p>
            <w:pPr>
              <w:adjustRightInd w:val="0"/>
              <w:snapToGrid w:val="0"/>
              <w:spacing w:line="260" w:lineRule="exact"/>
              <w:jc w:val="left"/>
              <w:rPr>
                <w:rFonts w:hint="eastAsia" w:ascii="仿宋_GB2312" w:hAnsi="仿宋_GB2312" w:eastAsia="仿宋_GB2312" w:cs="仿宋_GB2312"/>
                <w:sz w:val="24"/>
              </w:rPr>
            </w:pPr>
          </w:p>
          <w:p>
            <w:pPr>
              <w:adjustRightInd w:val="0"/>
              <w:snapToGrid w:val="0"/>
              <w:spacing w:line="260" w:lineRule="exact"/>
              <w:jc w:val="left"/>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辐射污染防治条例》</w:t>
            </w:r>
          </w:p>
          <w:p>
            <w:pPr>
              <w:adjustRightInd w:val="0"/>
              <w:snapToGrid w:val="0"/>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第三十六条</w:t>
            </w:r>
            <w:r>
              <w:rPr>
                <w:rFonts w:hint="eastAsia" w:ascii="仿宋_GB2312" w:hAnsi="仿宋_GB2312" w:eastAsia="仿宋_GB2312" w:cs="仿宋_GB2312"/>
                <w:sz w:val="24"/>
              </w:rPr>
              <w:t xml:space="preserve"> 违反本条例规定，生产、销售、使用放射性同位素和射线装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w:t>
            </w:r>
          </w:p>
          <w:p>
            <w:pPr>
              <w:adjustRightInd w:val="0"/>
              <w:snapToGrid w:val="0"/>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（一）无辐射安全许可证从事放射性同位素和射线装置生产、销售、使用活动的；</w:t>
            </w:r>
          </w:p>
          <w:p>
            <w:pPr>
              <w:adjustRightInd w:val="0"/>
              <w:snapToGrid w:val="0"/>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（二）未按照辐射安全许可证的规定从事放射性同位素和射线装置生产、销售、使用活动的；</w:t>
            </w:r>
          </w:p>
          <w:p>
            <w:pPr>
              <w:adjustRightInd w:val="0"/>
              <w:snapToGrid w:val="0"/>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（三）未经批准，擅自进口或者转让放射性同位素的。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0"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noWrap w:val="0"/>
            <w:vAlign w:val="center"/>
          </w:tcPr>
          <w:p>
            <w:pPr>
              <w:spacing w:line="28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7" w:type="dxa"/>
            <w:noWrap w:val="0"/>
            <w:vAlign w:val="center"/>
          </w:tcPr>
          <w:p>
            <w:pPr>
              <w:spacing w:line="28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7" w:type="dxa"/>
            <w:vMerge w:val="restart"/>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没有违法所得的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7" w:type="dxa"/>
            <w:vMerge w:val="continue"/>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spacing w:line="280" w:lineRule="exact"/>
              <w:jc w:val="left"/>
              <w:rPr>
                <w:rFonts w:hint="eastAsia" w:ascii="仿宋_GB2312" w:hAnsi="仿宋_GB2312" w:eastAsia="仿宋_GB2312" w:cs="仿宋_GB2312"/>
                <w:sz w:val="24"/>
              </w:rPr>
            </w:pPr>
          </w:p>
        </w:tc>
        <w:tc>
          <w:tcPr>
            <w:tcW w:w="793" w:type="dxa"/>
            <w:vMerge w:val="continue"/>
            <w:noWrap w:val="0"/>
            <w:vAlign w:val="center"/>
          </w:tcPr>
          <w:p>
            <w:pPr>
              <w:spacing w:line="280" w:lineRule="exact"/>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违法所得不足10万元的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7" w:type="dxa"/>
            <w:vMerge w:val="continue"/>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spacing w:line="280" w:lineRule="exact"/>
              <w:jc w:val="left"/>
              <w:rPr>
                <w:rFonts w:hint="eastAsia" w:ascii="仿宋_GB2312" w:hAnsi="仿宋_GB2312" w:eastAsia="仿宋_GB2312" w:cs="仿宋_GB2312"/>
                <w:sz w:val="24"/>
              </w:rPr>
            </w:pPr>
          </w:p>
        </w:tc>
        <w:tc>
          <w:tcPr>
            <w:tcW w:w="793" w:type="dxa"/>
            <w:vMerge w:val="continue"/>
            <w:noWrap w:val="0"/>
            <w:vAlign w:val="center"/>
          </w:tcPr>
          <w:p>
            <w:pPr>
              <w:spacing w:line="280" w:lineRule="exact"/>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违法所得10万元以上不足50万元的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7" w:type="dxa"/>
            <w:vMerge w:val="continue"/>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spacing w:line="280" w:lineRule="exact"/>
              <w:jc w:val="left"/>
              <w:rPr>
                <w:rFonts w:hint="eastAsia" w:ascii="仿宋_GB2312" w:hAnsi="仿宋_GB2312" w:eastAsia="仿宋_GB2312" w:cs="仿宋_GB2312"/>
                <w:sz w:val="24"/>
              </w:rPr>
            </w:pPr>
          </w:p>
        </w:tc>
        <w:tc>
          <w:tcPr>
            <w:tcW w:w="793" w:type="dxa"/>
            <w:vMerge w:val="continue"/>
            <w:noWrap w:val="0"/>
            <w:vAlign w:val="center"/>
          </w:tcPr>
          <w:p>
            <w:pPr>
              <w:spacing w:line="280" w:lineRule="exact"/>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违法所得50万元以上的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417" w:type="dxa"/>
            <w:vMerge w:val="restart"/>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7" w:type="dxa"/>
            <w:vMerge w:val="continue"/>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spacing w:line="280" w:lineRule="exact"/>
              <w:jc w:val="center"/>
              <w:rPr>
                <w:rFonts w:hint="eastAsia" w:ascii="仿宋_GB2312" w:hAnsi="仿宋_GB2312" w:eastAsia="仿宋_GB2312" w:cs="仿宋_GB2312"/>
                <w:sz w:val="24"/>
              </w:rPr>
            </w:pPr>
          </w:p>
        </w:tc>
        <w:tc>
          <w:tcPr>
            <w:tcW w:w="793" w:type="dxa"/>
            <w:vMerge w:val="continue"/>
            <w:noWrap w:val="0"/>
            <w:vAlign w:val="center"/>
          </w:tcPr>
          <w:p>
            <w:pPr>
              <w:spacing w:line="280" w:lineRule="exact"/>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7" w:type="dxa"/>
            <w:vMerge w:val="continue"/>
            <w:tcBorders>
              <w:right w:val="single" w:color="auto" w:sz="4" w:space="0"/>
            </w:tcBorders>
            <w:noWrap w:val="0"/>
            <w:vAlign w:val="center"/>
          </w:tcPr>
          <w:p>
            <w:pPr>
              <w:spacing w:line="280" w:lineRule="exact"/>
              <w:jc w:val="left"/>
            </w:pPr>
          </w:p>
        </w:tc>
        <w:tc>
          <w:tcPr>
            <w:tcW w:w="1890" w:type="dxa"/>
            <w:vMerge w:val="continue"/>
            <w:tcBorders>
              <w:left w:val="single" w:color="auto" w:sz="4" w:space="0"/>
            </w:tcBorders>
            <w:noWrap w:val="0"/>
            <w:vAlign w:val="center"/>
          </w:tcPr>
          <w:p>
            <w:pPr>
              <w:spacing w:line="280" w:lineRule="exact"/>
              <w:jc w:val="center"/>
              <w:rPr>
                <w:sz w:val="24"/>
              </w:rPr>
            </w:pPr>
          </w:p>
        </w:tc>
        <w:tc>
          <w:tcPr>
            <w:tcW w:w="793" w:type="dxa"/>
            <w:vMerge w:val="continue"/>
            <w:noWrap w:val="0"/>
            <w:vAlign w:val="center"/>
          </w:tcPr>
          <w:p>
            <w:pPr>
              <w:spacing w:line="280" w:lineRule="exact"/>
              <w:jc w:val="center"/>
              <w:rPr>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7" w:type="dxa"/>
            <w:vMerge w:val="continue"/>
            <w:tcBorders>
              <w:right w:val="single" w:color="auto" w:sz="4" w:space="0"/>
            </w:tcBorders>
            <w:noWrap w:val="0"/>
            <w:vAlign w:val="center"/>
          </w:tcPr>
          <w:p>
            <w:pPr>
              <w:spacing w:line="280" w:lineRule="exact"/>
              <w:jc w:val="left"/>
              <w:rPr>
                <w:rFonts w:hint="eastAsia" w:ascii="仿宋_GB2312" w:hAnsi="仿宋_GB2312" w:eastAsia="仿宋_GB2312" w:cs="仿宋_GB2312"/>
                <w:sz w:val="24"/>
              </w:rPr>
            </w:pPr>
          </w:p>
        </w:tc>
        <w:tc>
          <w:tcPr>
            <w:tcW w:w="1890" w:type="dxa"/>
            <w:vMerge w:val="continue"/>
            <w:tcBorders>
              <w:left w:val="single" w:color="auto" w:sz="4" w:space="0"/>
            </w:tcBorders>
            <w:noWrap w:val="0"/>
            <w:vAlign w:val="center"/>
          </w:tcPr>
          <w:p>
            <w:pPr>
              <w:spacing w:line="280" w:lineRule="exact"/>
              <w:jc w:val="center"/>
              <w:rPr>
                <w:rFonts w:hint="eastAsia" w:ascii="仿宋_GB2312" w:hAnsi="仿宋_GB2312" w:eastAsia="仿宋_GB2312" w:cs="仿宋_GB2312"/>
                <w:sz w:val="24"/>
              </w:rPr>
            </w:pPr>
          </w:p>
        </w:tc>
        <w:tc>
          <w:tcPr>
            <w:tcW w:w="793" w:type="dxa"/>
            <w:vMerge w:val="continue"/>
            <w:noWrap w:val="0"/>
            <w:vAlign w:val="center"/>
          </w:tcPr>
          <w:p>
            <w:pPr>
              <w:spacing w:line="280" w:lineRule="exact"/>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417" w:type="dxa"/>
            <w:vMerge w:val="restart"/>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配合情况</w:t>
            </w:r>
          </w:p>
        </w:tc>
        <w:tc>
          <w:tcPr>
            <w:tcW w:w="1890" w:type="dxa"/>
            <w:vMerge w:val="restart"/>
            <w:tcBorders>
              <w:left w:val="single" w:color="auto" w:sz="4" w:space="0"/>
            </w:tcBorders>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417" w:type="dxa"/>
            <w:vMerge w:val="continue"/>
            <w:tcBorders>
              <w:right w:val="single" w:color="auto" w:sz="4" w:space="0"/>
            </w:tcBorders>
            <w:noWrap w:val="0"/>
            <w:vAlign w:val="center"/>
          </w:tcPr>
          <w:p>
            <w:pPr>
              <w:spacing w:line="280" w:lineRule="exact"/>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spacing w:line="280" w:lineRule="exact"/>
              <w:jc w:val="left"/>
              <w:rPr>
                <w:rFonts w:hint="eastAsia" w:ascii="仿宋_GB2312" w:hAnsi="仿宋_GB2312" w:eastAsia="仿宋_GB2312" w:cs="仿宋_GB2312"/>
                <w:sz w:val="24"/>
              </w:rPr>
            </w:pPr>
          </w:p>
        </w:tc>
        <w:tc>
          <w:tcPr>
            <w:tcW w:w="793" w:type="dxa"/>
            <w:vMerge w:val="continue"/>
            <w:noWrap w:val="0"/>
            <w:vAlign w:val="center"/>
          </w:tcPr>
          <w:p>
            <w:pPr>
              <w:spacing w:line="280" w:lineRule="exact"/>
              <w:jc w:val="center"/>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17" w:type="dxa"/>
            <w:vMerge w:val="restart"/>
            <w:noWrap w:val="0"/>
            <w:vAlign w:val="center"/>
          </w:tcPr>
          <w:p>
            <w:pPr>
              <w:spacing w:line="28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17" w:type="dxa"/>
            <w:vMerge w:val="continue"/>
            <w:noWrap w:val="0"/>
            <w:vAlign w:val="center"/>
          </w:tcPr>
          <w:p>
            <w:pPr>
              <w:spacing w:line="280" w:lineRule="exact"/>
              <w:jc w:val="center"/>
              <w:rPr>
                <w:rFonts w:hint="eastAsia" w:ascii="仿宋_GB2312" w:hAnsi="仿宋_GB2312" w:eastAsia="仿宋_GB2312" w:cs="仿宋_GB2312"/>
                <w:b/>
                <w:bCs/>
                <w:sz w:val="24"/>
                <w:szCs w:val="32"/>
              </w:rPr>
            </w:pPr>
          </w:p>
        </w:tc>
        <w:tc>
          <w:tcPr>
            <w:tcW w:w="1890" w:type="dxa"/>
            <w:vMerge w:val="continue"/>
            <w:noWrap w:val="0"/>
            <w:vAlign w:val="center"/>
          </w:tcPr>
          <w:p>
            <w:pPr>
              <w:spacing w:line="280" w:lineRule="exact"/>
              <w:jc w:val="center"/>
              <w:rPr>
                <w:rFonts w:hint="eastAsia" w:ascii="仿宋_GB2312" w:hAnsi="仿宋_GB2312" w:eastAsia="仿宋_GB2312" w:cs="仿宋_GB2312"/>
                <w:sz w:val="24"/>
              </w:rPr>
            </w:pPr>
          </w:p>
        </w:tc>
        <w:tc>
          <w:tcPr>
            <w:tcW w:w="793" w:type="dxa"/>
            <w:vMerge w:val="continue"/>
            <w:noWrap w:val="0"/>
            <w:vAlign w:val="center"/>
          </w:tcPr>
          <w:p>
            <w:pPr>
              <w:spacing w:line="280" w:lineRule="exact"/>
              <w:rPr>
                <w:rFonts w:hint="eastAsia" w:ascii="仿宋_GB2312" w:hAnsi="仿宋_GB2312" w:eastAsia="仿宋_GB2312" w:cs="仿宋_GB2312"/>
                <w:sz w:val="24"/>
              </w:rPr>
            </w:pPr>
          </w:p>
        </w:tc>
        <w:tc>
          <w:tcPr>
            <w:tcW w:w="3203" w:type="dxa"/>
            <w:noWrap w:val="0"/>
            <w:vAlign w:val="center"/>
          </w:tcPr>
          <w:p>
            <w:pPr>
              <w:spacing w:line="2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77" w:type="dxa"/>
            <w:noWrap w:val="0"/>
            <w:vAlign w:val="center"/>
          </w:tcPr>
          <w:p>
            <w:pPr>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15" w:type="dxa"/>
            <w:left w:w="15" w:type="dxa"/>
            <w:bottom w:w="15" w:type="dxa"/>
            <w:right w:w="15" w:type="dxa"/>
          </w:tblCellMar>
        </w:tblPrEx>
        <w:trPr>
          <w:trHeight w:val="699" w:hRule="atLeast"/>
          <w:jc w:val="center"/>
        </w:trPr>
        <w:tc>
          <w:tcPr>
            <w:tcW w:w="90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177</w:t>
            </w:r>
          </w:p>
        </w:tc>
      </w:tr>
      <w:tr>
        <w:tblPrEx>
          <w:tblCellMar>
            <w:top w:w="15" w:type="dxa"/>
            <w:left w:w="15" w:type="dxa"/>
            <w:bottom w:w="15" w:type="dxa"/>
            <w:right w:w="15" w:type="dxa"/>
          </w:tblCellMar>
        </w:tblPrEx>
        <w:trPr>
          <w:trHeight w:val="90" w:hRule="atLeast"/>
          <w:jc w:val="center"/>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未按照规定对进口、回收废旧金属进行监测或者在监测中发现问题未按照规定报告的</w:t>
            </w:r>
          </w:p>
        </w:tc>
      </w:tr>
      <w:tr>
        <w:tblPrEx>
          <w:tblCellMar>
            <w:top w:w="15" w:type="dxa"/>
            <w:left w:w="15" w:type="dxa"/>
            <w:bottom w:w="15" w:type="dxa"/>
            <w:right w:w="15" w:type="dxa"/>
          </w:tblCellMar>
        </w:tblPrEx>
        <w:trPr>
          <w:trHeight w:val="2974" w:hRule="atLeast"/>
          <w:jc w:val="center"/>
        </w:trPr>
        <w:tc>
          <w:tcPr>
            <w:tcW w:w="1417"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widowControl/>
              <w:adjustRightInd w:val="0"/>
              <w:snapToGrid w:val="0"/>
              <w:rPr>
                <w:rFonts w:hint="eastAsia" w:ascii="仿宋_GB2312" w:hAnsi="仿宋_GB2312" w:eastAsia="仿宋_GB2312" w:cs="仿宋_GB2312"/>
                <w:b/>
                <w:bCs/>
              </w:rPr>
            </w:pPr>
            <w:r>
              <w:rPr>
                <w:rFonts w:hint="eastAsia" w:ascii="仿宋_GB2312" w:hAnsi="仿宋_GB2312" w:eastAsia="仿宋_GB2312" w:cs="仿宋_GB2312"/>
              </w:rPr>
              <w:t>1.</w:t>
            </w:r>
            <w:r>
              <w:rPr>
                <w:rFonts w:hint="eastAsia" w:ascii="仿宋_GB2312" w:hAnsi="仿宋_GB2312" w:eastAsia="仿宋_GB2312" w:cs="仿宋_GB2312"/>
                <w:b/>
                <w:bCs/>
              </w:rPr>
              <w:t>《</w:t>
            </w:r>
            <w:r>
              <w:rPr>
                <w:rFonts w:hint="eastAsia" w:ascii="仿宋_GB2312" w:hAnsi="仿宋_GB2312" w:eastAsia="仿宋_GB2312" w:cs="仿宋_GB2312"/>
                <w:b/>
                <w:bCs/>
                <w:szCs w:val="32"/>
              </w:rPr>
              <w:t>河北省</w:t>
            </w:r>
            <w:r>
              <w:rPr>
                <w:rFonts w:hint="eastAsia" w:ascii="仿宋_GB2312" w:hAnsi="仿宋_GB2312" w:eastAsia="仿宋_GB2312" w:cs="仿宋_GB2312"/>
                <w:b/>
                <w:bCs/>
              </w:rPr>
              <w:t>辐射污染防治条例》</w:t>
            </w:r>
          </w:p>
          <w:p>
            <w:pPr>
              <w:pStyle w:val="8"/>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b/>
                <w:bCs/>
              </w:rPr>
              <w:t xml:space="preserve">第二十条 </w:t>
            </w:r>
            <w:r>
              <w:rPr>
                <w:rFonts w:hint="eastAsia" w:ascii="仿宋_GB2312" w:hAnsi="仿宋_GB2312" w:eastAsia="仿宋_GB2312" w:cs="仿宋_GB2312"/>
              </w:rPr>
              <w:t>进口、回收废旧金属的冶炼企业，应当对废旧金属的放射性进行监测，如实记录监测结果。发现监测结果异常的，应当采取措施并及时向当地设区的市人民政府生态环境行政主管部门报告。</w:t>
            </w:r>
          </w:p>
          <w:p>
            <w:pPr>
              <w:pStyle w:val="8"/>
              <w:widowControl/>
              <w:adjustRightInd w:val="0"/>
              <w:snapToGrid w:val="0"/>
              <w:rPr>
                <w:rFonts w:hint="eastAsia" w:ascii="仿宋_GB2312" w:hAnsi="仿宋_GB2312" w:eastAsia="仿宋_GB2312" w:cs="仿宋_GB2312"/>
              </w:rPr>
            </w:pPr>
          </w:p>
          <w:p>
            <w:pPr>
              <w:pStyle w:val="8"/>
              <w:widowControl/>
              <w:adjustRightInd w:val="0"/>
              <w:snapToGrid w:val="0"/>
              <w:rPr>
                <w:rFonts w:hint="eastAsia" w:ascii="仿宋_GB2312" w:hAnsi="仿宋_GB2312" w:eastAsia="仿宋_GB2312" w:cs="仿宋_GB2312"/>
                <w:b/>
                <w:bCs/>
              </w:rPr>
            </w:pPr>
            <w:r>
              <w:rPr>
                <w:rFonts w:hint="eastAsia" w:ascii="仿宋_GB2312" w:hAnsi="仿宋_GB2312" w:eastAsia="仿宋_GB2312" w:cs="仿宋_GB2312"/>
              </w:rPr>
              <w:t>2.</w:t>
            </w:r>
            <w:r>
              <w:rPr>
                <w:rFonts w:hint="eastAsia" w:ascii="仿宋_GB2312" w:hAnsi="仿宋_GB2312" w:eastAsia="仿宋_GB2312" w:cs="仿宋_GB2312"/>
                <w:b/>
                <w:bCs/>
              </w:rPr>
              <w:t>《</w:t>
            </w:r>
            <w:r>
              <w:rPr>
                <w:rFonts w:hint="eastAsia" w:ascii="仿宋_GB2312" w:hAnsi="仿宋_GB2312" w:eastAsia="仿宋_GB2312" w:cs="仿宋_GB2312"/>
                <w:b/>
                <w:bCs/>
                <w:szCs w:val="32"/>
              </w:rPr>
              <w:t>河北省</w:t>
            </w:r>
            <w:r>
              <w:rPr>
                <w:rFonts w:hint="eastAsia" w:ascii="仿宋_GB2312" w:hAnsi="仿宋_GB2312" w:eastAsia="仿宋_GB2312" w:cs="仿宋_GB2312"/>
                <w:b/>
                <w:bCs/>
              </w:rPr>
              <w:t>辐射污染防治条例》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第三十九条</w:t>
            </w:r>
            <w:r>
              <w:rPr>
                <w:rFonts w:ascii="仿宋_GB2312" w:hAnsi="仿宋_GB2312" w:eastAsia="仿宋_GB2312" w:cs="仿宋_GB2312"/>
                <w:sz w:val="24"/>
              </w:rPr>
              <w:t xml:space="preserve"> </w:t>
            </w:r>
            <w:r>
              <w:rPr>
                <w:rFonts w:hint="eastAsia" w:ascii="仿宋_GB2312" w:hAnsi="仿宋_GB2312" w:eastAsia="仿宋_GB2312" w:cs="仿宋_GB2312"/>
                <w:sz w:val="24"/>
              </w:rPr>
              <w:t>违反本条例规定，未按照规定对进口、回收废旧金属进行监测或者在监测中发现问题未按照规定报告的，由县级以上人民政府生态环境行政主管部门责令停止违法行为，限期改正，处一万元以上三万元以下罚款。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0"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0"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7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已按照规定对进口、回收废旧金属进行监测，但未按规定报告的，经责令限期改正但逾期不改正的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未按照规定对进口、回收废旧金属进行监测的，经责令限期改正但逾期不改正的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7"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7"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17"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17"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17"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082" w:type="dxa"/>
        <w:jc w:val="center"/>
        <w:tblLayout w:type="fixed"/>
        <w:tblCellMar>
          <w:top w:w="15" w:type="dxa"/>
          <w:left w:w="15" w:type="dxa"/>
          <w:bottom w:w="15" w:type="dxa"/>
          <w:right w:w="15" w:type="dxa"/>
        </w:tblCellMar>
      </w:tblPr>
      <w:tblGrid>
        <w:gridCol w:w="1411"/>
        <w:gridCol w:w="1880"/>
        <w:gridCol w:w="790"/>
        <w:gridCol w:w="3185"/>
        <w:gridCol w:w="1816"/>
      </w:tblGrid>
      <w:tr>
        <w:tblPrEx>
          <w:tblCellMar>
            <w:top w:w="15" w:type="dxa"/>
            <w:left w:w="15" w:type="dxa"/>
            <w:bottom w:w="15" w:type="dxa"/>
            <w:right w:w="15" w:type="dxa"/>
          </w:tblCellMar>
        </w:tblPrEx>
        <w:trPr>
          <w:trHeight w:val="699" w:hRule="atLeast"/>
          <w:jc w:val="center"/>
        </w:trPr>
        <w:tc>
          <w:tcPr>
            <w:tcW w:w="908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7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178</w:t>
            </w:r>
          </w:p>
        </w:tc>
      </w:tr>
      <w:tr>
        <w:tblPrEx>
          <w:tblCellMar>
            <w:top w:w="15" w:type="dxa"/>
            <w:left w:w="15" w:type="dxa"/>
            <w:bottom w:w="15" w:type="dxa"/>
            <w:right w:w="15" w:type="dxa"/>
          </w:tblCellMar>
        </w:tblPrEx>
        <w:trPr>
          <w:trHeight w:val="477" w:hRule="atLeast"/>
          <w:jc w:val="center"/>
        </w:trPr>
        <w:tc>
          <w:tcPr>
            <w:tcW w:w="141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71" w:type="dxa"/>
            <w:gridSpan w:val="4"/>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未按照规定处理废弃放射源的</w:t>
            </w:r>
          </w:p>
        </w:tc>
      </w:tr>
      <w:tr>
        <w:tblPrEx>
          <w:tblCellMar>
            <w:top w:w="15" w:type="dxa"/>
            <w:left w:w="15" w:type="dxa"/>
            <w:bottom w:w="15" w:type="dxa"/>
            <w:right w:w="15" w:type="dxa"/>
          </w:tblCellMar>
        </w:tblPrEx>
        <w:trPr>
          <w:trHeight w:val="2694" w:hRule="atLeast"/>
          <w:jc w:val="center"/>
        </w:trPr>
        <w:tc>
          <w:tcPr>
            <w:tcW w:w="1411"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kern w:val="0"/>
                <w:sz w:val="28"/>
                <w:szCs w:val="28"/>
              </w:rPr>
            </w:pPr>
            <w:r>
              <w:rPr>
                <w:rFonts w:hint="eastAsia" w:ascii="仿宋_GB2312" w:hAnsi="宋体" w:eastAsia="仿宋_GB2312" w:cs="仿宋_GB2312"/>
                <w:b/>
                <w:sz w:val="28"/>
                <w:szCs w:val="28"/>
              </w:rPr>
              <w:t>处罚依据</w:t>
            </w:r>
          </w:p>
        </w:tc>
        <w:tc>
          <w:tcPr>
            <w:tcW w:w="7671" w:type="dxa"/>
            <w:gridSpan w:val="4"/>
            <w:tcBorders>
              <w:top w:val="single" w:color="auto" w:sz="4" w:space="0"/>
              <w:left w:val="single" w:color="000000" w:sz="4" w:space="0"/>
              <w:bottom w:val="single" w:color="000000" w:sz="4" w:space="0"/>
              <w:right w:val="single" w:color="000000" w:sz="4" w:space="0"/>
            </w:tcBorders>
            <w:noWrap w:val="0"/>
            <w:vAlign w:val="center"/>
          </w:tcPr>
          <w:p>
            <w:pPr>
              <w:pStyle w:val="8"/>
              <w:widowControl/>
              <w:adjustRightInd w:val="0"/>
              <w:snapToGrid w:val="0"/>
              <w:rPr>
                <w:rFonts w:hint="eastAsia" w:ascii="仿宋_GB2312" w:hAnsi="仿宋_GB2312" w:eastAsia="仿宋_GB2312" w:cs="仿宋_GB2312"/>
                <w:b/>
                <w:bCs/>
              </w:rPr>
            </w:pPr>
            <w:r>
              <w:rPr>
                <w:rFonts w:hint="eastAsia" w:ascii="仿宋_GB2312" w:hAnsi="仿宋_GB2312" w:eastAsia="仿宋_GB2312" w:cs="仿宋_GB2312"/>
              </w:rPr>
              <w:t>1.</w:t>
            </w:r>
            <w:r>
              <w:rPr>
                <w:rFonts w:hint="eastAsia" w:ascii="仿宋_GB2312" w:hAnsi="仿宋_GB2312" w:eastAsia="仿宋_GB2312" w:cs="仿宋_GB2312"/>
                <w:b/>
                <w:bCs/>
              </w:rPr>
              <w:t>《</w:t>
            </w:r>
            <w:r>
              <w:rPr>
                <w:rFonts w:hint="eastAsia" w:ascii="仿宋_GB2312" w:hAnsi="仿宋_GB2312" w:eastAsia="仿宋_GB2312" w:cs="仿宋_GB2312"/>
                <w:b/>
                <w:bCs/>
                <w:szCs w:val="32"/>
              </w:rPr>
              <w:t>河北省</w:t>
            </w:r>
            <w:r>
              <w:rPr>
                <w:rFonts w:hint="eastAsia" w:ascii="仿宋_GB2312" w:hAnsi="仿宋_GB2312" w:eastAsia="仿宋_GB2312" w:cs="仿宋_GB2312"/>
                <w:b/>
                <w:bCs/>
              </w:rPr>
              <w:t>辐射污染防治条例》</w:t>
            </w:r>
          </w:p>
          <w:p>
            <w:pPr>
              <w:pStyle w:val="8"/>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b/>
                <w:bCs/>
              </w:rPr>
              <w:t>第二十一条 第二款</w:t>
            </w:r>
            <w:r>
              <w:rPr>
                <w:rFonts w:hint="eastAsia" w:ascii="仿宋_GB2312" w:hAnsi="仿宋_GB2312" w:eastAsia="仿宋_GB2312" w:cs="仿宋_GB2312"/>
              </w:rPr>
              <w:t xml:space="preserve"> 禁止将废旧放射源和其他放射性废物送交无相应许可证的单位贮存、处置或者擅自处置。</w:t>
            </w:r>
          </w:p>
          <w:p>
            <w:pPr>
              <w:pStyle w:val="8"/>
              <w:widowControl/>
              <w:adjustRightInd w:val="0"/>
              <w:snapToGrid w:val="0"/>
              <w:rPr>
                <w:rFonts w:hint="eastAsia" w:ascii="仿宋_GB2312" w:hAnsi="仿宋_GB2312" w:eastAsia="仿宋_GB2312" w:cs="仿宋_GB2312"/>
              </w:rPr>
            </w:pPr>
          </w:p>
          <w:p>
            <w:pPr>
              <w:pStyle w:val="8"/>
              <w:widowControl/>
              <w:adjustRightInd w:val="0"/>
              <w:snapToGrid w:val="0"/>
              <w:rPr>
                <w:rFonts w:hint="eastAsia" w:ascii="仿宋_GB2312" w:hAnsi="仿宋_GB2312" w:eastAsia="仿宋_GB2312" w:cs="仿宋_GB2312"/>
                <w:b/>
                <w:bCs/>
              </w:rPr>
            </w:pPr>
            <w:r>
              <w:rPr>
                <w:rFonts w:hint="eastAsia" w:ascii="仿宋_GB2312" w:hAnsi="仿宋_GB2312" w:eastAsia="仿宋_GB2312" w:cs="仿宋_GB2312"/>
              </w:rPr>
              <w:t>2.</w:t>
            </w:r>
            <w:r>
              <w:rPr>
                <w:rFonts w:hint="eastAsia" w:ascii="仿宋_GB2312" w:hAnsi="仿宋_GB2312" w:eastAsia="仿宋_GB2312" w:cs="仿宋_GB2312"/>
                <w:b/>
                <w:bCs/>
              </w:rPr>
              <w:t>《</w:t>
            </w:r>
            <w:r>
              <w:rPr>
                <w:rFonts w:hint="eastAsia" w:ascii="仿宋_GB2312" w:hAnsi="仿宋_GB2312" w:eastAsia="仿宋_GB2312" w:cs="仿宋_GB2312"/>
                <w:b/>
                <w:bCs/>
                <w:szCs w:val="32"/>
              </w:rPr>
              <w:t>河北省</w:t>
            </w:r>
            <w:r>
              <w:rPr>
                <w:rFonts w:hint="eastAsia" w:ascii="仿宋_GB2312" w:hAnsi="仿宋_GB2312" w:eastAsia="仿宋_GB2312" w:cs="仿宋_GB2312"/>
                <w:b/>
                <w:bCs/>
              </w:rPr>
              <w:t>辐射污染防治条例》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第四十条</w:t>
            </w:r>
            <w:r>
              <w:rPr>
                <w:rFonts w:hint="eastAsia" w:ascii="仿宋_GB2312" w:hAnsi="仿宋_GB2312" w:eastAsia="仿宋_GB2312" w:cs="仿宋_GB2312"/>
                <w:sz w:val="24"/>
              </w:rPr>
              <w:t xml:space="preserve"> 违反本条例规定，有下列行为之一的，由县级以上人民政府生态环境行政主管部门责令限期改正；逾期不改正的，按照下列规定处以罚款：</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（一）未按照规定处理废弃放射源的，处五万元以上十万元以下的罚款；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1"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01"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1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量小活度低，不按照规定处理废弃放射源，逾期不改正的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量大活度低，不按照规定处理废弃放射源，逾期不改正的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量小活度较高，不按照规定处理废弃放射源，逾期不改正的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量大活度较高，不按照规定处理废弃放射源，逾期不改正的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1"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1"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11"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1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sz w:val="10"/>
          <w:szCs w:val="10"/>
        </w:rPr>
      </w:pPr>
      <w:r>
        <w:br w:type="page"/>
      </w:r>
    </w:p>
    <w:tbl>
      <w:tblPr>
        <w:tblStyle w:val="9"/>
        <w:tblW w:w="9083" w:type="dxa"/>
        <w:jc w:val="center"/>
        <w:tblLayout w:type="fixed"/>
        <w:tblCellMar>
          <w:top w:w="15" w:type="dxa"/>
          <w:left w:w="15" w:type="dxa"/>
          <w:bottom w:w="15" w:type="dxa"/>
          <w:right w:w="15" w:type="dxa"/>
        </w:tblCellMar>
      </w:tblPr>
      <w:tblGrid>
        <w:gridCol w:w="1425"/>
        <w:gridCol w:w="1880"/>
        <w:gridCol w:w="790"/>
        <w:gridCol w:w="3185"/>
        <w:gridCol w:w="1803"/>
      </w:tblGrid>
      <w:tr>
        <w:tblPrEx>
          <w:tblCellMar>
            <w:top w:w="15" w:type="dxa"/>
            <w:left w:w="15" w:type="dxa"/>
            <w:bottom w:w="15" w:type="dxa"/>
            <w:right w:w="15" w:type="dxa"/>
          </w:tblCellMar>
        </w:tblPrEx>
        <w:trPr>
          <w:trHeight w:val="699" w:hRule="atLeast"/>
          <w:jc w:val="center"/>
        </w:trPr>
        <w:tc>
          <w:tcPr>
            <w:tcW w:w="908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唐山市生态环境行政处罚裁量规则（辐射类）</w:t>
            </w:r>
          </w:p>
        </w:tc>
      </w:tr>
      <w:tr>
        <w:tblPrEx>
          <w:tblCellMar>
            <w:top w:w="15" w:type="dxa"/>
            <w:left w:w="15" w:type="dxa"/>
            <w:bottom w:w="15" w:type="dxa"/>
            <w:right w:w="15" w:type="dxa"/>
          </w:tblCellMar>
        </w:tblPrEx>
        <w:trPr>
          <w:trHeight w:val="510"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179</w:t>
            </w:r>
          </w:p>
        </w:tc>
      </w:tr>
      <w:tr>
        <w:tblPrEx>
          <w:tblCellMar>
            <w:top w:w="15" w:type="dxa"/>
            <w:left w:w="15" w:type="dxa"/>
            <w:bottom w:w="15" w:type="dxa"/>
            <w:right w:w="15" w:type="dxa"/>
          </w:tblCellMar>
        </w:tblPrEx>
        <w:trPr>
          <w:trHeight w:val="90"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产生其他放射性废物的单位未按照国家规定将其产生的放射性废物送交有相应资质的放射性废物集中贮存单位贮存的</w:t>
            </w:r>
          </w:p>
        </w:tc>
      </w:tr>
      <w:tr>
        <w:tblPrEx>
          <w:tblCellMar>
            <w:top w:w="15" w:type="dxa"/>
            <w:left w:w="15" w:type="dxa"/>
            <w:bottom w:w="15" w:type="dxa"/>
            <w:right w:w="15" w:type="dxa"/>
          </w:tblCellMar>
        </w:tblPrEx>
        <w:trPr>
          <w:trHeight w:val="3629" w:hRule="atLeast"/>
          <w:jc w:val="center"/>
        </w:trPr>
        <w:tc>
          <w:tcPr>
            <w:tcW w:w="1425"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8"/>
              <w:widowControl/>
              <w:adjustRightInd w:val="0"/>
              <w:snapToGrid w:val="0"/>
              <w:rPr>
                <w:rFonts w:hint="eastAsia" w:ascii="仿宋_GB2312" w:hAnsi="仿宋_GB2312" w:eastAsia="仿宋_GB2312" w:cs="仿宋_GB2312"/>
                <w:b/>
                <w:bCs/>
              </w:rPr>
            </w:pPr>
            <w:r>
              <w:rPr>
                <w:rFonts w:hint="eastAsia" w:ascii="仿宋_GB2312" w:hAnsi="仿宋_GB2312" w:eastAsia="仿宋_GB2312" w:cs="仿宋_GB2312"/>
              </w:rPr>
              <w:t>1.</w:t>
            </w:r>
            <w:r>
              <w:rPr>
                <w:rFonts w:hint="eastAsia" w:ascii="仿宋_GB2312" w:hAnsi="仿宋_GB2312" w:eastAsia="仿宋_GB2312" w:cs="仿宋_GB2312"/>
                <w:b/>
                <w:bCs/>
              </w:rPr>
              <w:t>《</w:t>
            </w:r>
            <w:r>
              <w:rPr>
                <w:rFonts w:hint="eastAsia" w:ascii="仿宋_GB2312" w:hAnsi="仿宋_GB2312" w:eastAsia="仿宋_GB2312" w:cs="仿宋_GB2312"/>
                <w:b/>
                <w:bCs/>
                <w:szCs w:val="32"/>
              </w:rPr>
              <w:t>河北省</w:t>
            </w:r>
            <w:r>
              <w:rPr>
                <w:rFonts w:hint="eastAsia" w:ascii="仿宋_GB2312" w:hAnsi="仿宋_GB2312" w:eastAsia="仿宋_GB2312" w:cs="仿宋_GB2312"/>
                <w:b/>
                <w:bCs/>
              </w:rPr>
              <w:t>辐射污染防治条例》</w:t>
            </w:r>
          </w:p>
          <w:p>
            <w:pPr>
              <w:pStyle w:val="8"/>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b/>
                <w:bCs/>
              </w:rPr>
              <w:t>第二十二条 第二款</w:t>
            </w:r>
            <w:r>
              <w:rPr>
                <w:rFonts w:hint="eastAsia" w:ascii="仿宋_GB2312" w:hAnsi="仿宋_GB2312" w:eastAsia="仿宋_GB2312" w:cs="仿宋_GB2312"/>
              </w:rPr>
              <w:t xml:space="preserve"> 产生其他放射性废物的单位，应当按照国家有关放射性废物管理的规定，将其产生的放射性废物送交有相应资质的放射性废物集中贮存单位贮存。</w:t>
            </w:r>
          </w:p>
          <w:p>
            <w:pPr>
              <w:pStyle w:val="8"/>
              <w:widowControl/>
              <w:adjustRightInd w:val="0"/>
              <w:snapToGrid w:val="0"/>
              <w:rPr>
                <w:rFonts w:hint="eastAsia" w:ascii="仿宋_GB2312" w:hAnsi="仿宋_GB2312" w:eastAsia="仿宋_GB2312" w:cs="仿宋_GB2312"/>
              </w:rPr>
            </w:pPr>
          </w:p>
          <w:p>
            <w:pPr>
              <w:pStyle w:val="8"/>
              <w:widowControl/>
              <w:adjustRightInd w:val="0"/>
              <w:snapToGrid w:val="0"/>
              <w:rPr>
                <w:rFonts w:hint="eastAsia" w:ascii="仿宋_GB2312" w:hAnsi="仿宋_GB2312" w:eastAsia="仿宋_GB2312" w:cs="仿宋_GB2312"/>
                <w:b/>
                <w:bCs/>
              </w:rPr>
            </w:pPr>
            <w:r>
              <w:rPr>
                <w:rFonts w:hint="eastAsia" w:ascii="仿宋_GB2312" w:hAnsi="仿宋_GB2312" w:eastAsia="仿宋_GB2312" w:cs="仿宋_GB2312"/>
              </w:rPr>
              <w:t>2.</w:t>
            </w:r>
            <w:r>
              <w:rPr>
                <w:rFonts w:hint="eastAsia" w:ascii="仿宋_GB2312" w:hAnsi="仿宋_GB2312" w:eastAsia="仿宋_GB2312" w:cs="仿宋_GB2312"/>
                <w:b/>
                <w:bCs/>
              </w:rPr>
              <w:t>《</w:t>
            </w:r>
            <w:r>
              <w:rPr>
                <w:rFonts w:hint="eastAsia" w:ascii="仿宋_GB2312" w:hAnsi="仿宋_GB2312" w:eastAsia="仿宋_GB2312" w:cs="仿宋_GB2312"/>
                <w:b/>
                <w:bCs/>
                <w:szCs w:val="32"/>
              </w:rPr>
              <w:t>河北省</w:t>
            </w:r>
            <w:r>
              <w:rPr>
                <w:rFonts w:hint="eastAsia" w:ascii="仿宋_GB2312" w:hAnsi="仿宋_GB2312" w:eastAsia="仿宋_GB2312" w:cs="仿宋_GB2312"/>
                <w:b/>
                <w:bCs/>
              </w:rPr>
              <w:t>辐射污染防治条例》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第四十条</w:t>
            </w:r>
            <w:r>
              <w:rPr>
                <w:rFonts w:hint="eastAsia" w:ascii="仿宋_GB2312" w:hAnsi="仿宋_GB2312" w:eastAsia="仿宋_GB2312" w:cs="仿宋_GB2312"/>
                <w:sz w:val="24"/>
              </w:rPr>
              <w:t xml:space="preserve"> 违反本条例规定，有下列行为之一的，由县级以上人民政府生态环境行政主管部门责令限期改正；逾期不改正的，按照下列规定处以罚款：</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（二）产生其他放射性废物的单位未按照国家规定将其产生的放射性废物送交有相应资质的放射性废物集中贮存单位贮存的，处二千元以上一万元以下罚款。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5"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88"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5"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8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18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185"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涉及数量1吨以内的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涉及数量1吨以上3吨以下的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涉及数量3吨以上的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5" w:type="dxa"/>
            <w:vMerge w:val="continue"/>
            <w:tcBorders>
              <w:right w:val="single" w:color="auto" w:sz="4" w:space="0"/>
            </w:tcBorders>
            <w:noWrap w:val="0"/>
            <w:vAlign w:val="center"/>
          </w:tcPr>
          <w:p>
            <w:pPr>
              <w:jc w:val="left"/>
            </w:pPr>
          </w:p>
        </w:tc>
        <w:tc>
          <w:tcPr>
            <w:tcW w:w="1880" w:type="dxa"/>
            <w:vMerge w:val="continue"/>
            <w:tcBorders>
              <w:left w:val="single" w:color="auto" w:sz="4" w:space="0"/>
            </w:tcBorders>
            <w:noWrap w:val="0"/>
            <w:vAlign w:val="center"/>
          </w:tcPr>
          <w:p>
            <w:pPr>
              <w:jc w:val="center"/>
              <w:rPr>
                <w:sz w:val="24"/>
              </w:rPr>
            </w:pPr>
          </w:p>
        </w:tc>
        <w:tc>
          <w:tcPr>
            <w:tcW w:w="790" w:type="dxa"/>
            <w:vMerge w:val="continue"/>
            <w:noWrap w:val="0"/>
            <w:vAlign w:val="center"/>
          </w:tcPr>
          <w:p>
            <w:pPr>
              <w:jc w:val="center"/>
              <w:rPr>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5"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8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8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8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0" w:type="dxa"/>
            <w:vMerge w:val="continue"/>
            <w:noWrap w:val="0"/>
            <w:vAlign w:val="center"/>
          </w:tcPr>
          <w:p>
            <w:pPr>
              <w:jc w:val="cente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425"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25" w:type="dxa"/>
            <w:vMerge w:val="continue"/>
            <w:noWrap w:val="0"/>
            <w:vAlign w:val="center"/>
          </w:tcPr>
          <w:p>
            <w:pPr>
              <w:jc w:val="center"/>
              <w:rPr>
                <w:rFonts w:hint="eastAsia" w:ascii="仿宋_GB2312" w:hAnsi="仿宋_GB2312" w:eastAsia="仿宋_GB2312" w:cs="仿宋_GB2312"/>
                <w:b/>
                <w:bCs/>
                <w:sz w:val="24"/>
                <w:szCs w:val="32"/>
              </w:rPr>
            </w:pPr>
          </w:p>
        </w:tc>
        <w:tc>
          <w:tcPr>
            <w:tcW w:w="1880" w:type="dxa"/>
            <w:vMerge w:val="continue"/>
            <w:noWrap w:val="0"/>
            <w:vAlign w:val="center"/>
          </w:tcPr>
          <w:p>
            <w:pPr>
              <w:jc w:val="center"/>
              <w:rPr>
                <w:rFonts w:hint="eastAsia" w:ascii="仿宋_GB2312" w:hAnsi="仿宋_GB2312" w:eastAsia="仿宋_GB2312" w:cs="仿宋_GB2312"/>
                <w:sz w:val="24"/>
              </w:rPr>
            </w:pPr>
          </w:p>
        </w:tc>
        <w:tc>
          <w:tcPr>
            <w:tcW w:w="790" w:type="dxa"/>
            <w:vMerge w:val="continue"/>
            <w:noWrap w:val="0"/>
            <w:vAlign w:val="center"/>
          </w:tcPr>
          <w:p>
            <w:pPr>
              <w:rPr>
                <w:rFonts w:hint="eastAsia" w:ascii="仿宋_GB2312" w:hAnsi="仿宋_GB2312" w:eastAsia="仿宋_GB2312" w:cs="仿宋_GB2312"/>
                <w:sz w:val="24"/>
              </w:rPr>
            </w:pPr>
          </w:p>
        </w:tc>
        <w:tc>
          <w:tcPr>
            <w:tcW w:w="3185"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80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Layout w:type="fixed"/>
        <w:tblCellMar>
          <w:top w:w="15" w:type="dxa"/>
          <w:left w:w="15" w:type="dxa"/>
          <w:bottom w:w="15" w:type="dxa"/>
          <w:right w:w="15" w:type="dxa"/>
        </w:tblCellMar>
      </w:tblPr>
      <w:tblGrid>
        <w:gridCol w:w="1419"/>
        <w:gridCol w:w="1890"/>
        <w:gridCol w:w="793"/>
        <w:gridCol w:w="3203"/>
        <w:gridCol w:w="1764"/>
      </w:tblGrid>
      <w:tr>
        <w:tblPrEx>
          <w:tblCellMar>
            <w:top w:w="15" w:type="dxa"/>
            <w:left w:w="15" w:type="dxa"/>
            <w:bottom w:w="15" w:type="dxa"/>
            <w:right w:w="15" w:type="dxa"/>
          </w:tblCellMar>
        </w:tblPrEx>
        <w:trPr>
          <w:trHeight w:val="699" w:hRule="atLeast"/>
          <w:jc w:val="center"/>
        </w:trPr>
        <w:tc>
          <w:tcPr>
            <w:tcW w:w="906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trHeight w:val="51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180</w:t>
            </w:r>
          </w:p>
        </w:tc>
      </w:tr>
      <w:tr>
        <w:tblPrEx>
          <w:tblCellMar>
            <w:top w:w="15" w:type="dxa"/>
            <w:left w:w="15" w:type="dxa"/>
            <w:bottom w:w="15" w:type="dxa"/>
            <w:right w:w="15" w:type="dxa"/>
          </w:tblCellMar>
        </w:tblPrEx>
        <w:trPr>
          <w:trHeight w:val="9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实行排污登记管理的企业事业单位和其他生产经营者未按照本条例规定办理排污登记排放污染物的</w:t>
            </w:r>
          </w:p>
        </w:tc>
      </w:tr>
      <w:tr>
        <w:tblPrEx>
          <w:tblCellMar>
            <w:top w:w="15" w:type="dxa"/>
            <w:left w:w="15" w:type="dxa"/>
            <w:bottom w:w="15" w:type="dxa"/>
            <w:right w:w="15" w:type="dxa"/>
          </w:tblCellMar>
        </w:tblPrEx>
        <w:trPr>
          <w:trHeight w:val="5203" w:hRule="atLeast"/>
          <w:jc w:val="center"/>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50"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第三十八条 </w:t>
            </w:r>
            <w:r>
              <w:rPr>
                <w:rFonts w:hint="eastAsia" w:ascii="仿宋_GB2312" w:hAnsi="仿宋_GB2312" w:eastAsia="仿宋_GB2312" w:cs="仿宋_GB2312"/>
                <w:sz w:val="24"/>
              </w:rPr>
              <w:t>本省实施以排污许可制为核心的固定污染源监管制度。依法对企业事业单位和其他生产经营者实行排污许可重点管理、简化管理和登记管理。</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依法实行排污许可重点管理和简化管理的企业事业单位和其他生产经营者应当如实填报排污许可证申请材料，按照排污许可证规定的污染物种类、浓度、排放去向和许可排放量等要求排放污染物；未取得排污许可证的，不得排放污染物。</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实行排污登记管理的企业事业单位和其他生产经营者应当依法进行排污登记，未登记前不得排放污染物。</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实行排污许可管理的企业事业单位和其他生产经营者范围，依照国家有关规定执行。</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第六十九条 第二款 </w:t>
            </w:r>
            <w:r>
              <w:rPr>
                <w:rFonts w:hint="eastAsia" w:ascii="仿宋_GB2312" w:hAnsi="仿宋_GB2312" w:eastAsia="仿宋_GB2312" w:cs="仿宋_GB2312"/>
                <w:sz w:val="24"/>
              </w:rPr>
              <w:t>实行排污登记管理的企业事业单位和其他生产经营者未按照本条例规定办理排污登记排放污染物的，由生态环境主管部门责令限期改正，处五千元以上五万元以下的罚款</w:t>
            </w:r>
            <w:r>
              <w:rPr>
                <w:rFonts w:hint="eastAsia" w:ascii="仿宋_GB2312" w:hAnsi="仿宋_GB2312"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67"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64"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违法行为持续时间</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违法行为持续1个月以下的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违法行为持续1个月以上3个月以下的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违法行为持续3个月以上的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pacing w:val="-20"/>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pacing w:val="-20"/>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pacing w:val="-20"/>
                <w:sz w:val="24"/>
              </w:rPr>
              <w:t>未造成社会影响与生态破坏的</w:t>
            </w:r>
          </w:p>
        </w:tc>
        <w:tc>
          <w:tcPr>
            <w:tcW w:w="176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10"/>
          <w:szCs w:val="10"/>
        </w:rPr>
      </w:pPr>
      <w:r>
        <w:rPr>
          <w:rFonts w:ascii="宋体" w:hAnsi="宋体" w:cs="宋体"/>
          <w:sz w:val="28"/>
          <w:szCs w:val="28"/>
        </w:rPr>
        <w:br w:type="page"/>
      </w:r>
    </w:p>
    <w:tbl>
      <w:tblPr>
        <w:tblStyle w:val="9"/>
        <w:tblW w:w="9123" w:type="dxa"/>
        <w:jc w:val="center"/>
        <w:tblLayout w:type="fixed"/>
        <w:tblCellMar>
          <w:top w:w="15" w:type="dxa"/>
          <w:left w:w="15" w:type="dxa"/>
          <w:bottom w:w="15" w:type="dxa"/>
          <w:right w:w="15" w:type="dxa"/>
        </w:tblCellMar>
      </w:tblPr>
      <w:tblGrid>
        <w:gridCol w:w="1419"/>
        <w:gridCol w:w="1890"/>
        <w:gridCol w:w="793"/>
        <w:gridCol w:w="3203"/>
        <w:gridCol w:w="1818"/>
      </w:tblGrid>
      <w:tr>
        <w:tblPrEx>
          <w:tblCellMar>
            <w:top w:w="15" w:type="dxa"/>
            <w:left w:w="15" w:type="dxa"/>
            <w:bottom w:w="15" w:type="dxa"/>
            <w:right w:w="15" w:type="dxa"/>
          </w:tblCellMar>
        </w:tblPrEx>
        <w:trPr>
          <w:trHeight w:val="699" w:hRule="atLeast"/>
          <w:jc w:val="center"/>
        </w:trPr>
        <w:tc>
          <w:tcPr>
            <w:tcW w:w="912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trHeight w:val="510"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0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181</w:t>
            </w:r>
          </w:p>
        </w:tc>
      </w:tr>
      <w:tr>
        <w:tblPrEx>
          <w:tblCellMar>
            <w:top w:w="15" w:type="dxa"/>
            <w:left w:w="15" w:type="dxa"/>
            <w:bottom w:w="15" w:type="dxa"/>
            <w:right w:w="15" w:type="dxa"/>
          </w:tblCellMar>
        </w:tblPrEx>
        <w:trPr>
          <w:trHeight w:val="516" w:hRule="atLeast"/>
          <w:jc w:val="center"/>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04"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不正常运行自动监测设备的</w:t>
            </w:r>
          </w:p>
        </w:tc>
      </w:tr>
      <w:tr>
        <w:tblPrEx>
          <w:tblCellMar>
            <w:top w:w="15" w:type="dxa"/>
            <w:left w:w="15" w:type="dxa"/>
            <w:bottom w:w="15" w:type="dxa"/>
            <w:right w:w="15" w:type="dxa"/>
          </w:tblCellMar>
        </w:tblPrEx>
        <w:trPr>
          <w:trHeight w:val="3647" w:hRule="atLeast"/>
          <w:jc w:val="center"/>
        </w:trPr>
        <w:tc>
          <w:tcPr>
            <w:tcW w:w="1419"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704"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第四十三条 第一款 </w:t>
            </w:r>
            <w:r>
              <w:rPr>
                <w:rFonts w:hint="eastAsia" w:ascii="仿宋_GB2312" w:hAnsi="仿宋_GB2312" w:eastAsia="仿宋_GB2312" w:cs="仿宋_GB2312"/>
                <w:sz w:val="24"/>
              </w:rPr>
              <w:t>设区的市人民政府生态环境主管部门应当商有关部门依法确定重点排污单位名录并向社会公布。重点排污单位应当按照国家和本省有关规定以及相关监测规范安装使用污染物排放自动监测设备，与生态环境主管部门的监控设备联网，保障自动监测设备正常运行，并向社会公开自动监测数据。</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第七十二条</w:t>
            </w:r>
            <w:r>
              <w:rPr>
                <w:rFonts w:hint="eastAsia" w:ascii="仿宋_GB2312" w:hAnsi="仿宋_GB2312" w:eastAsia="仿宋_GB2312" w:cs="仿宋_GB2312"/>
                <w:sz w:val="24"/>
              </w:rPr>
              <w:t xml:space="preserve"> 违反本条例规定，重点排污单位有下列行为之一的，由生态环境主管部门责令改正，处二万元以上二十万元以下的罚款；拒不改正的，责令停产整治：</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（二）不正常运行自动监测设备的；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2"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1"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818"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持续时间3天以内的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持续时间3天以上的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continue"/>
            <w:tcBorders>
              <w:right w:val="single" w:color="auto" w:sz="4" w:space="0"/>
            </w:tcBorders>
            <w:noWrap w:val="0"/>
            <w:vAlign w:val="center"/>
          </w:tcPr>
          <w:p>
            <w:pPr>
              <w:jc w:val="left"/>
            </w:pPr>
          </w:p>
        </w:tc>
        <w:tc>
          <w:tcPr>
            <w:tcW w:w="1890" w:type="dxa"/>
            <w:vMerge w:val="continue"/>
            <w:tcBorders>
              <w:left w:val="single" w:color="auto" w:sz="4" w:space="0"/>
            </w:tcBorders>
            <w:noWrap w:val="0"/>
            <w:vAlign w:val="center"/>
          </w:tcPr>
          <w:p>
            <w:pPr>
              <w:jc w:val="center"/>
              <w:rPr>
                <w:sz w:val="24"/>
              </w:rPr>
            </w:pPr>
          </w:p>
        </w:tc>
        <w:tc>
          <w:tcPr>
            <w:tcW w:w="793" w:type="dxa"/>
            <w:vMerge w:val="continue"/>
            <w:noWrap w:val="0"/>
            <w:vAlign w:val="center"/>
          </w:tcPr>
          <w:p>
            <w:pPr>
              <w:jc w:val="center"/>
              <w:rPr>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19" w:type="dxa"/>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19"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19"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vMerge w:val="continue"/>
            <w:noWrap w:val="0"/>
            <w:vAlign w:val="center"/>
          </w:tcPr>
          <w:p>
            <w:pPr>
              <w:jc w:val="center"/>
              <w:rPr>
                <w:rFonts w:hint="eastAsia" w:ascii="仿宋_GB2312" w:hAnsi="仿宋_GB2312" w:eastAsia="仿宋_GB2312" w:cs="仿宋_GB2312"/>
                <w:sz w:val="24"/>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造成污染事故的</w:t>
            </w:r>
          </w:p>
        </w:tc>
        <w:tc>
          <w:tcPr>
            <w:tcW w:w="181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19"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jc w:val="center"/>
              <w:rPr>
                <w:rFonts w:hint="eastAsia" w:ascii="仿宋_GB2312" w:hAnsi="仿宋_GB2312" w:eastAsia="仿宋_GB2312" w:cs="仿宋_GB2312"/>
                <w:sz w:val="24"/>
                <w:szCs w:val="32"/>
              </w:rPr>
            </w:pPr>
          </w:p>
        </w:tc>
        <w:tc>
          <w:tcPr>
            <w:tcW w:w="793" w:type="dxa"/>
            <w:vMerge w:val="continue"/>
            <w:noWrap w:val="0"/>
            <w:vAlign w:val="center"/>
          </w:tcPr>
          <w:p>
            <w:pPr>
              <w:jc w:val="center"/>
              <w:rPr>
                <w:rFonts w:hint="eastAsia" w:ascii="仿宋_GB2312" w:hAnsi="仿宋_GB2312" w:eastAsia="仿宋_GB2312" w:cs="仿宋_GB2312"/>
                <w:sz w:val="24"/>
                <w:szCs w:val="32"/>
              </w:rPr>
            </w:pPr>
          </w:p>
        </w:tc>
        <w:tc>
          <w:tcPr>
            <w:tcW w:w="3203"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未造成污染事故的</w:t>
            </w:r>
          </w:p>
        </w:tc>
        <w:tc>
          <w:tcPr>
            <w:tcW w:w="1818"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Layout w:type="fixed"/>
        <w:tblCellMar>
          <w:top w:w="15" w:type="dxa"/>
          <w:left w:w="15" w:type="dxa"/>
          <w:bottom w:w="15" w:type="dxa"/>
          <w:right w:w="15" w:type="dxa"/>
        </w:tblCellMar>
      </w:tblPr>
      <w:tblGrid>
        <w:gridCol w:w="1428"/>
        <w:gridCol w:w="1686"/>
        <w:gridCol w:w="772"/>
        <w:gridCol w:w="3482"/>
        <w:gridCol w:w="1723"/>
      </w:tblGrid>
      <w:tr>
        <w:tblPrEx>
          <w:tblCellMar>
            <w:top w:w="15" w:type="dxa"/>
            <w:left w:w="15" w:type="dxa"/>
            <w:bottom w:w="15" w:type="dxa"/>
            <w:right w:w="15" w:type="dxa"/>
          </w:tblCellMar>
        </w:tblPrEx>
        <w:trPr>
          <w:trHeight w:val="699" w:hRule="atLeast"/>
          <w:jc w:val="center"/>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trHeight w:val="51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182</w:t>
            </w:r>
          </w:p>
        </w:tc>
      </w:tr>
      <w:tr>
        <w:tblPrEx>
          <w:tblCellMar>
            <w:top w:w="15" w:type="dxa"/>
            <w:left w:w="15" w:type="dxa"/>
            <w:bottom w:w="15" w:type="dxa"/>
            <w:right w:w="15" w:type="dxa"/>
          </w:tblCellMar>
        </w:tblPrEx>
        <w:trPr>
          <w:trHeight w:val="9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生态环境监测机构篡改、伪造监测数据或者出具虚假监测报告的</w:t>
            </w:r>
          </w:p>
        </w:tc>
      </w:tr>
      <w:tr>
        <w:tblPrEx>
          <w:tblCellMar>
            <w:top w:w="15" w:type="dxa"/>
            <w:left w:w="15" w:type="dxa"/>
            <w:bottom w:w="15" w:type="dxa"/>
            <w:right w:w="15" w:type="dxa"/>
          </w:tblCellMar>
        </w:tblPrEx>
        <w:trPr>
          <w:trHeight w:val="4083" w:hRule="atLeast"/>
          <w:jc w:val="center"/>
        </w:trPr>
        <w:tc>
          <w:tcPr>
            <w:tcW w:w="142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第十四条 第四款</w:t>
            </w:r>
            <w:r>
              <w:rPr>
                <w:rFonts w:hint="eastAsia" w:ascii="仿宋_GB2312" w:hAnsi="仿宋_GB2312" w:eastAsia="仿宋_GB2312" w:cs="仿宋_GB2312"/>
                <w:sz w:val="24"/>
              </w:rPr>
              <w:t xml:space="preserve"> 生态环境监测机构应当依法取得检验检测机构资质认定证书，使用符合国家标准的监测设备，加强监测人员生态环境保护法律法规和专业知识培训，遵守监测规范，建立质量管理体系，按照规定保存监测原始记录和监测报告，接受生态环境等部门的监督管理。生态环境监测机构及其负责人对其出具的监测数据的真实性和准确性负责，不得违规操作或者篡改、伪造监测数据，不得出具虚假监测报告。</w:t>
            </w:r>
          </w:p>
          <w:p>
            <w:pPr>
              <w:adjustRightInd w:val="0"/>
              <w:snapToGrid w:val="0"/>
              <w:jc w:val="left"/>
              <w:rPr>
                <w:rFonts w:hint="eastAsia" w:ascii="仿宋_GB2312" w:hAnsi="仿宋_GB2312" w:eastAsia="仿宋_GB2312" w:cs="仿宋_GB2312"/>
                <w:b/>
                <w:bCs/>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第七十三条</w:t>
            </w:r>
            <w:r>
              <w:rPr>
                <w:rFonts w:hint="eastAsia" w:ascii="仿宋_GB2312" w:hAnsi="仿宋_GB2312" w:eastAsia="仿宋_GB2312" w:cs="仿宋_GB2312"/>
                <w:sz w:val="24"/>
              </w:rPr>
              <w:t xml:space="preserve"> 违反本条例规定，生态环境监测机构篡改、伪造监测数据或者出具虚假监测报告的，由生态环境主管部门责令改正，处十万元以上五十万元以下的罚款；情节严重的，移送相关资质认定部门依法撤销其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0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2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772"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80%</w:t>
            </w:r>
          </w:p>
        </w:tc>
        <w:tc>
          <w:tcPr>
            <w:tcW w:w="3482"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二年内篡改、伪造监测数据或出具虚假报告1次的，为情节一般</w:t>
            </w:r>
          </w:p>
        </w:tc>
        <w:tc>
          <w:tcPr>
            <w:tcW w:w="172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28"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772" w:type="dxa"/>
            <w:vMerge w:val="continue"/>
            <w:noWrap w:val="0"/>
            <w:vAlign w:val="center"/>
          </w:tcPr>
          <w:p>
            <w:pPr>
              <w:jc w:val="center"/>
              <w:rPr>
                <w:rFonts w:hint="eastAsia" w:ascii="仿宋_GB2312" w:hAnsi="仿宋_GB2312" w:eastAsia="仿宋_GB2312" w:cs="仿宋_GB2312"/>
                <w:b/>
                <w:bCs/>
                <w:sz w:val="24"/>
              </w:rPr>
            </w:pPr>
          </w:p>
        </w:tc>
        <w:tc>
          <w:tcPr>
            <w:tcW w:w="3482" w:type="dxa"/>
            <w:noWrap w:val="0"/>
            <w:vAlign w:val="center"/>
          </w:tcPr>
          <w:p>
            <w:pPr>
              <w:jc w:val="left"/>
              <w:rPr>
                <w:rFonts w:hint="eastAsia" w:ascii="仿宋_GB2312" w:hAnsi="仿宋_GB2312" w:eastAsia="仿宋_GB2312" w:cs="仿宋_GB2312"/>
                <w:b/>
                <w:bCs/>
                <w:sz w:val="24"/>
              </w:rPr>
            </w:pPr>
            <w:r>
              <w:rPr>
                <w:rFonts w:hint="eastAsia" w:ascii="仿宋_GB2312" w:hAnsi="仿宋_GB2312" w:eastAsia="仿宋_GB2312" w:cs="仿宋_GB2312"/>
                <w:sz w:val="24"/>
              </w:rPr>
              <w:t>二年内篡改、伪造监测数据或出具虚假报告2次及以上的，或者1次检查发现出具虚假报告5份及以上的，为情节严重</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tcBorders>
              <w:top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rPr>
                <w:rFonts w:hint="eastAsia" w:ascii="仿宋_GB2312" w:hAnsi="仿宋_GB2312" w:eastAsia="仿宋_GB2312" w:cs="仿宋_GB2312"/>
                <w:sz w:val="24"/>
              </w:rPr>
            </w:pP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119" w:type="dxa"/>
        <w:jc w:val="center"/>
        <w:tblLayout w:type="fixed"/>
        <w:tblCellMar>
          <w:top w:w="15" w:type="dxa"/>
          <w:left w:w="15" w:type="dxa"/>
          <w:bottom w:w="15" w:type="dxa"/>
          <w:right w:w="15" w:type="dxa"/>
        </w:tblCellMar>
      </w:tblPr>
      <w:tblGrid>
        <w:gridCol w:w="1428"/>
        <w:gridCol w:w="1686"/>
        <w:gridCol w:w="772"/>
        <w:gridCol w:w="3482"/>
        <w:gridCol w:w="1751"/>
      </w:tblGrid>
      <w:tr>
        <w:tblPrEx>
          <w:tblCellMar>
            <w:top w:w="15" w:type="dxa"/>
            <w:left w:w="15" w:type="dxa"/>
            <w:bottom w:w="15" w:type="dxa"/>
            <w:right w:w="15" w:type="dxa"/>
          </w:tblCellMar>
        </w:tblPrEx>
        <w:trPr>
          <w:trHeight w:val="699" w:hRule="atLeast"/>
          <w:jc w:val="center"/>
        </w:trPr>
        <w:tc>
          <w:tcPr>
            <w:tcW w:w="911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trHeight w:val="51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9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183</w:t>
            </w:r>
          </w:p>
        </w:tc>
      </w:tr>
      <w:tr>
        <w:tblPrEx>
          <w:tblCellMar>
            <w:top w:w="15" w:type="dxa"/>
            <w:left w:w="15" w:type="dxa"/>
            <w:bottom w:w="15" w:type="dxa"/>
            <w:right w:w="15" w:type="dxa"/>
          </w:tblCellMar>
        </w:tblPrEx>
        <w:trPr>
          <w:trHeight w:val="9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9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排放污染物的企业事业单位和其他生产经营者未按照规定建立、保存环境管理台账或者台账记录内容不完整、弄虚作假的</w:t>
            </w:r>
          </w:p>
        </w:tc>
      </w:tr>
      <w:tr>
        <w:tblPrEx>
          <w:tblCellMar>
            <w:top w:w="15" w:type="dxa"/>
            <w:left w:w="15" w:type="dxa"/>
            <w:bottom w:w="15" w:type="dxa"/>
            <w:right w:w="15" w:type="dxa"/>
          </w:tblCellMar>
        </w:tblPrEx>
        <w:trPr>
          <w:trHeight w:val="3024" w:hRule="atLeast"/>
          <w:jc w:val="center"/>
        </w:trPr>
        <w:tc>
          <w:tcPr>
            <w:tcW w:w="142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9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第四十四条 第一款 </w:t>
            </w:r>
            <w:r>
              <w:rPr>
                <w:rFonts w:hint="eastAsia" w:ascii="仿宋_GB2312" w:hAnsi="仿宋_GB2312" w:eastAsia="仿宋_GB2312" w:cs="仿宋_GB2312"/>
                <w:sz w:val="24"/>
              </w:rPr>
              <w:t>排放污染物的企业事业单位和其他生产经营者应当按照国家和本省有关规定建立环境管理台账，记录防治污染设施运行管理、监测记录以及其他环境管理等信息，并对台账的真实性和完整性负责。</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第七十四条</w:t>
            </w:r>
            <w:r>
              <w:rPr>
                <w:rFonts w:hint="eastAsia" w:ascii="仿宋_GB2312" w:hAnsi="仿宋_GB2312" w:eastAsia="仿宋_GB2312" w:cs="仿宋_GB2312"/>
                <w:sz w:val="24"/>
              </w:rPr>
              <w:t xml:space="preserve"> 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33"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1"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772"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台账记录不完整的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772" w:type="dxa"/>
            <w:vMerge w:val="continue"/>
            <w:noWrap w:val="0"/>
            <w:vAlign w:val="center"/>
          </w:tcPr>
          <w:p>
            <w:pPr>
              <w:jc w:val="center"/>
              <w:rPr>
                <w:rFonts w:hint="eastAsia" w:ascii="仿宋_GB2312" w:hAnsi="仿宋_GB2312" w:eastAsia="仿宋_GB2312" w:cs="仿宋_GB2312"/>
                <w:b/>
                <w:bCs/>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台账记录弄虚作假的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28"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772" w:type="dxa"/>
            <w:vMerge w:val="continue"/>
            <w:noWrap w:val="0"/>
            <w:vAlign w:val="center"/>
          </w:tcPr>
          <w:p>
            <w:pPr>
              <w:jc w:val="center"/>
              <w:rPr>
                <w:rFonts w:hint="eastAsia" w:ascii="仿宋_GB2312" w:hAnsi="仿宋_GB2312" w:eastAsia="仿宋_GB2312" w:cs="仿宋_GB2312"/>
                <w:b/>
                <w:bCs/>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未保存台账的、未建立台账的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continue"/>
            <w:noWrap w:val="0"/>
            <w:vAlign w:val="center"/>
          </w:tcPr>
          <w:p>
            <w:pPr>
              <w:jc w:val="left"/>
            </w:pPr>
          </w:p>
        </w:tc>
        <w:tc>
          <w:tcPr>
            <w:tcW w:w="1686" w:type="dxa"/>
            <w:vMerge w:val="continue"/>
            <w:noWrap w:val="0"/>
            <w:vAlign w:val="center"/>
          </w:tcPr>
          <w:p>
            <w:pPr>
              <w:jc w:val="center"/>
              <w:rPr>
                <w:sz w:val="24"/>
              </w:rPr>
            </w:pPr>
          </w:p>
        </w:tc>
        <w:tc>
          <w:tcPr>
            <w:tcW w:w="772" w:type="dxa"/>
            <w:vMerge w:val="continue"/>
            <w:noWrap w:val="0"/>
            <w:vAlign w:val="center"/>
          </w:tcPr>
          <w:p>
            <w:pPr>
              <w:jc w:val="center"/>
              <w:rPr>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tcBorders>
              <w:top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rPr>
                <w:rFonts w:hint="eastAsia" w:ascii="仿宋_GB2312" w:hAnsi="仿宋_GB2312" w:eastAsia="仿宋_GB2312" w:cs="仿宋_GB2312"/>
                <w:sz w:val="24"/>
              </w:rPr>
            </w:pPr>
          </w:p>
        </w:tc>
        <w:tc>
          <w:tcPr>
            <w:tcW w:w="348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Layout w:type="fixed"/>
        <w:tblCellMar>
          <w:top w:w="15" w:type="dxa"/>
          <w:left w:w="15" w:type="dxa"/>
          <w:bottom w:w="15" w:type="dxa"/>
          <w:right w:w="15" w:type="dxa"/>
        </w:tblCellMar>
      </w:tblPr>
      <w:tblGrid>
        <w:gridCol w:w="1428"/>
        <w:gridCol w:w="1686"/>
        <w:gridCol w:w="772"/>
        <w:gridCol w:w="3482"/>
        <w:gridCol w:w="1723"/>
      </w:tblGrid>
      <w:tr>
        <w:tblPrEx>
          <w:tblCellMar>
            <w:top w:w="15" w:type="dxa"/>
            <w:left w:w="15" w:type="dxa"/>
            <w:bottom w:w="15" w:type="dxa"/>
            <w:right w:w="15" w:type="dxa"/>
          </w:tblCellMar>
        </w:tblPrEx>
        <w:trPr>
          <w:trHeight w:val="699" w:hRule="atLeast"/>
          <w:jc w:val="center"/>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trHeight w:val="51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184</w:t>
            </w:r>
          </w:p>
        </w:tc>
      </w:tr>
      <w:tr>
        <w:tblPrEx>
          <w:tblCellMar>
            <w:top w:w="15" w:type="dxa"/>
            <w:left w:w="15" w:type="dxa"/>
            <w:bottom w:w="15" w:type="dxa"/>
            <w:right w:w="15" w:type="dxa"/>
          </w:tblCellMar>
        </w:tblPrEx>
        <w:trPr>
          <w:trHeight w:val="9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突发环境事件发生后，企业事业单位未及时启动突发环境事件应急预案，采取有关必要措施的</w:t>
            </w:r>
          </w:p>
        </w:tc>
      </w:tr>
      <w:tr>
        <w:tblPrEx>
          <w:tblCellMar>
            <w:top w:w="15" w:type="dxa"/>
            <w:left w:w="15" w:type="dxa"/>
            <w:bottom w:w="15" w:type="dxa"/>
            <w:right w:w="15" w:type="dxa"/>
          </w:tblCellMar>
        </w:tblPrEx>
        <w:trPr>
          <w:trHeight w:val="4581" w:hRule="atLeast"/>
          <w:jc w:val="center"/>
        </w:trPr>
        <w:tc>
          <w:tcPr>
            <w:tcW w:w="142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第四十五条 第二款</w:t>
            </w:r>
            <w:r>
              <w:rPr>
                <w:rFonts w:hint="eastAsia" w:ascii="仿宋_GB2312" w:hAnsi="仿宋_GB2312" w:eastAsia="仿宋_GB2312" w:cs="仿宋_GB2312"/>
                <w:sz w:val="24"/>
              </w:rPr>
              <w:t xml:space="preserve"> 企业事业单位应当依法制定突发环境事件应急预案，并报生态环境主管部门和有关部门备案。在发生或者可能发生突发环境事件时，应当立即启动应急预案，采取切断或者控制污染源以及其他防止危害扩大的必要措施，及时通报可能受到危害的单位和居民，并向生态环境主管部门和有关部门报告；生态环境主管部门接到报告后，应当向当地人民政府和上级人民政府生态环境主管部门报告，并通报可能受到影响的邻近地区的同级人民政府生态环境主管部门。</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第七十五条</w:t>
            </w:r>
            <w:r>
              <w:rPr>
                <w:rFonts w:hint="eastAsia" w:ascii="仿宋_GB2312" w:hAnsi="仿宋_GB2312" w:eastAsia="仿宋_GB2312" w:cs="仿宋_GB2312"/>
                <w:sz w:val="24"/>
              </w:rPr>
              <w:t xml:space="preserve"> 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0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2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28"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772"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突发环境事件发生后，启动突发环境应急预案不及时但采取有关必要措施的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28"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772" w:type="dxa"/>
            <w:vMerge w:val="continue"/>
            <w:noWrap w:val="0"/>
            <w:vAlign w:val="center"/>
          </w:tcPr>
          <w:p>
            <w:pPr>
              <w:jc w:val="center"/>
              <w:rPr>
                <w:rFonts w:hint="eastAsia" w:ascii="仿宋_GB2312" w:hAnsi="仿宋_GB2312" w:eastAsia="仿宋_GB2312" w:cs="仿宋_GB2312"/>
                <w:b/>
                <w:bCs/>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突发环境事件发生后，未启动突发环境事件应急预案且未采取有关必要措施的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continue"/>
            <w:noWrap w:val="0"/>
            <w:vAlign w:val="center"/>
          </w:tcPr>
          <w:p>
            <w:pPr>
              <w:jc w:val="left"/>
            </w:pPr>
          </w:p>
        </w:tc>
        <w:tc>
          <w:tcPr>
            <w:tcW w:w="1686" w:type="dxa"/>
            <w:vMerge w:val="continue"/>
            <w:noWrap w:val="0"/>
            <w:vAlign w:val="center"/>
          </w:tcPr>
          <w:p>
            <w:pPr>
              <w:jc w:val="center"/>
              <w:rPr>
                <w:sz w:val="24"/>
              </w:rPr>
            </w:pPr>
          </w:p>
        </w:tc>
        <w:tc>
          <w:tcPr>
            <w:tcW w:w="772" w:type="dxa"/>
            <w:vMerge w:val="continue"/>
            <w:noWrap w:val="0"/>
            <w:vAlign w:val="center"/>
          </w:tcPr>
          <w:p>
            <w:pPr>
              <w:jc w:val="center"/>
              <w:rPr>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tcBorders>
              <w:top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szCs w:val="32"/>
              </w:rPr>
            </w:pPr>
          </w:p>
        </w:tc>
        <w:tc>
          <w:tcPr>
            <w:tcW w:w="772" w:type="dxa"/>
            <w:vMerge w:val="continue"/>
            <w:noWrap w:val="0"/>
            <w:vAlign w:val="center"/>
          </w:tcPr>
          <w:p>
            <w:pPr>
              <w:rPr>
                <w:rFonts w:hint="eastAsia" w:ascii="仿宋_GB2312" w:hAnsi="仿宋_GB2312" w:eastAsia="仿宋_GB2312" w:cs="仿宋_GB2312"/>
                <w:sz w:val="24"/>
                <w:szCs w:val="32"/>
              </w:rPr>
            </w:pPr>
          </w:p>
        </w:tc>
        <w:tc>
          <w:tcPr>
            <w:tcW w:w="3482" w:type="dxa"/>
            <w:noWrap w:val="0"/>
            <w:vAlign w:val="center"/>
          </w:tcPr>
          <w:p>
            <w:pPr>
              <w:adjustRightInd w:val="0"/>
              <w:snapToGrid w:val="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723"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Pr>
        <w:rPr>
          <w:sz w:val="10"/>
          <w:szCs w:val="10"/>
        </w:rPr>
      </w:pPr>
    </w:p>
    <w:tbl>
      <w:tblPr>
        <w:tblStyle w:val="9"/>
        <w:tblW w:w="0" w:type="auto"/>
        <w:jc w:val="center"/>
        <w:tblLayout w:type="fixed"/>
        <w:tblCellMar>
          <w:top w:w="15" w:type="dxa"/>
          <w:left w:w="15" w:type="dxa"/>
          <w:bottom w:w="15" w:type="dxa"/>
          <w:right w:w="15" w:type="dxa"/>
        </w:tblCellMar>
      </w:tblPr>
      <w:tblGrid>
        <w:gridCol w:w="1428"/>
        <w:gridCol w:w="1686"/>
        <w:gridCol w:w="772"/>
        <w:gridCol w:w="3482"/>
        <w:gridCol w:w="1723"/>
      </w:tblGrid>
      <w:tr>
        <w:tblPrEx>
          <w:tblCellMar>
            <w:top w:w="15" w:type="dxa"/>
            <w:left w:w="15" w:type="dxa"/>
            <w:bottom w:w="15" w:type="dxa"/>
            <w:right w:w="15" w:type="dxa"/>
          </w:tblCellMar>
        </w:tblPrEx>
        <w:trPr>
          <w:trHeight w:val="699" w:hRule="atLeast"/>
          <w:jc w:val="center"/>
        </w:trPr>
        <w:tc>
          <w:tcPr>
            <w:tcW w:w="909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trHeight w:val="51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185</w:t>
            </w:r>
          </w:p>
        </w:tc>
      </w:tr>
      <w:tr>
        <w:tblPrEx>
          <w:tblCellMar>
            <w:top w:w="15" w:type="dxa"/>
            <w:left w:w="15" w:type="dxa"/>
            <w:bottom w:w="15" w:type="dxa"/>
            <w:right w:w="15" w:type="dxa"/>
          </w:tblCellMar>
        </w:tblPrEx>
        <w:trPr>
          <w:trHeight w:val="450" w:hRule="atLeast"/>
          <w:jc w:val="center"/>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重点排污单位未按照要求公开环境信息的</w:t>
            </w:r>
          </w:p>
        </w:tc>
      </w:tr>
      <w:tr>
        <w:tblPrEx>
          <w:tblCellMar>
            <w:top w:w="15" w:type="dxa"/>
            <w:left w:w="15" w:type="dxa"/>
            <w:bottom w:w="15" w:type="dxa"/>
            <w:right w:w="15" w:type="dxa"/>
          </w:tblCellMar>
        </w:tblPrEx>
        <w:trPr>
          <w:trHeight w:val="2747" w:hRule="atLeast"/>
          <w:jc w:val="center"/>
        </w:trPr>
        <w:tc>
          <w:tcPr>
            <w:tcW w:w="1428"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63"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第六十条 第一款 </w:t>
            </w:r>
            <w:r>
              <w:rPr>
                <w:rFonts w:hint="eastAsia" w:ascii="仿宋_GB2312" w:hAnsi="仿宋_GB2312" w:eastAsia="仿宋_GB2312" w:cs="仿宋_GB2312"/>
                <w:sz w:val="24"/>
              </w:rPr>
              <w:t>重点排污单位应当按照规定如实向社会公开其主要污染物的名称、排放方式、执行标准、排放浓度和总量、超标排放情况，以及防治污染设施的建设和运行情况、突发环境事件应急预案等环境信息，接受社会监督，并对公开信息的真实性、准确性和完整性负责。</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第七十七条</w:t>
            </w:r>
            <w:r>
              <w:rPr>
                <w:rFonts w:hint="eastAsia" w:ascii="仿宋_GB2312" w:hAnsi="仿宋_GB2312" w:eastAsia="仿宋_GB2312" w:cs="仿宋_GB2312"/>
                <w:sz w:val="24"/>
              </w:rPr>
              <w:t xml:space="preserve"> 违反本条例规定，重点排污单位未按照要求公开环境信息的，由生态环境主管部门责令公开，处十万元以下的罚款，并予以公告。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205"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8"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7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82"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2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28"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772"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未完全公开环境信息的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28"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772" w:type="dxa"/>
            <w:vMerge w:val="continue"/>
            <w:noWrap w:val="0"/>
            <w:vAlign w:val="center"/>
          </w:tcPr>
          <w:p>
            <w:pPr>
              <w:jc w:val="center"/>
              <w:rPr>
                <w:rFonts w:hint="eastAsia" w:ascii="仿宋_GB2312" w:hAnsi="仿宋_GB2312" w:eastAsia="仿宋_GB2312" w:cs="仿宋_GB2312"/>
                <w:b/>
                <w:bCs/>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未公开环境信息的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28"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772" w:type="dxa"/>
            <w:vMerge w:val="continue"/>
            <w:noWrap w:val="0"/>
            <w:vAlign w:val="center"/>
          </w:tcPr>
          <w:p>
            <w:pPr>
              <w:jc w:val="center"/>
              <w:rPr>
                <w:rFonts w:hint="eastAsia" w:ascii="仿宋_GB2312" w:hAnsi="仿宋_GB2312" w:eastAsia="仿宋_GB2312" w:cs="仿宋_GB2312"/>
                <w:b/>
                <w:bCs/>
                <w:sz w:val="24"/>
              </w:rPr>
            </w:pPr>
          </w:p>
        </w:tc>
        <w:tc>
          <w:tcPr>
            <w:tcW w:w="3482" w:type="dxa"/>
            <w:noWrap w:val="0"/>
            <w:vAlign w:val="center"/>
          </w:tcPr>
          <w:p>
            <w:pPr>
              <w:adjustRightInd w:val="0"/>
              <w:snapToGrid w:val="0"/>
              <w:jc w:val="left"/>
              <w:rPr>
                <w:rFonts w:ascii="仿宋_GB2312" w:hAnsi="仿宋_GB2312" w:eastAsia="仿宋_GB2312" w:cs="仿宋_GB2312"/>
                <w:sz w:val="24"/>
              </w:rPr>
            </w:pPr>
            <w:r>
              <w:rPr>
                <w:rFonts w:hint="eastAsia" w:ascii="仿宋_GB2312" w:hAnsi="仿宋_GB2312" w:eastAsia="仿宋_GB2312" w:cs="仿宋_GB2312"/>
                <w:sz w:val="24"/>
              </w:rPr>
              <w:t>未如实公开环境信息的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continue"/>
            <w:noWrap w:val="0"/>
            <w:vAlign w:val="center"/>
          </w:tcPr>
          <w:p>
            <w:pPr>
              <w:jc w:val="left"/>
            </w:pPr>
          </w:p>
        </w:tc>
        <w:tc>
          <w:tcPr>
            <w:tcW w:w="1686" w:type="dxa"/>
            <w:vMerge w:val="continue"/>
            <w:noWrap w:val="0"/>
            <w:vAlign w:val="center"/>
          </w:tcPr>
          <w:p>
            <w:pPr>
              <w:jc w:val="center"/>
              <w:rPr>
                <w:sz w:val="24"/>
              </w:rPr>
            </w:pPr>
          </w:p>
        </w:tc>
        <w:tc>
          <w:tcPr>
            <w:tcW w:w="772" w:type="dxa"/>
            <w:vMerge w:val="continue"/>
            <w:noWrap w:val="0"/>
            <w:vAlign w:val="center"/>
          </w:tcPr>
          <w:p>
            <w:pPr>
              <w:jc w:val="center"/>
              <w:rPr>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28"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left"/>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28"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8"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jc w:val="cente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8"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tcBorders>
              <w:top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7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28"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772" w:type="dxa"/>
            <w:vMerge w:val="continue"/>
            <w:noWrap w:val="0"/>
            <w:vAlign w:val="center"/>
          </w:tcPr>
          <w:p>
            <w:pPr>
              <w:rPr>
                <w:rFonts w:hint="eastAsia" w:ascii="仿宋_GB2312" w:hAnsi="仿宋_GB2312" w:eastAsia="仿宋_GB2312" w:cs="仿宋_GB2312"/>
                <w:sz w:val="24"/>
              </w:rPr>
            </w:pPr>
          </w:p>
        </w:tc>
        <w:tc>
          <w:tcPr>
            <w:tcW w:w="3482"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2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0" w:type="auto"/>
        <w:jc w:val="center"/>
        <w:tblLayout w:type="fixed"/>
        <w:tblCellMar>
          <w:top w:w="15" w:type="dxa"/>
          <w:left w:w="15" w:type="dxa"/>
          <w:bottom w:w="15" w:type="dxa"/>
          <w:right w:w="15" w:type="dxa"/>
        </w:tblCellMar>
      </w:tblPr>
      <w:tblGrid>
        <w:gridCol w:w="1383"/>
        <w:gridCol w:w="1686"/>
        <w:gridCol w:w="1047"/>
        <w:gridCol w:w="3207"/>
        <w:gridCol w:w="1755"/>
      </w:tblGrid>
      <w:tr>
        <w:tblPrEx>
          <w:tblCellMar>
            <w:top w:w="15" w:type="dxa"/>
            <w:left w:w="15" w:type="dxa"/>
            <w:bottom w:w="15" w:type="dxa"/>
            <w:right w:w="15" w:type="dxa"/>
          </w:tblCellMar>
        </w:tblPrEx>
        <w:trPr>
          <w:trHeight w:val="699" w:hRule="atLeast"/>
          <w:jc w:val="center"/>
        </w:trPr>
        <w:tc>
          <w:tcPr>
            <w:tcW w:w="907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trHeight w:val="510" w:hRule="atLeast"/>
          <w:jc w:val="center"/>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69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sz w:val="24"/>
              </w:rPr>
            </w:pPr>
            <w:r>
              <w:rPr>
                <w:rFonts w:hint="eastAsia" w:ascii="仿宋_GB2312" w:hAnsi="仿宋_GB2312" w:eastAsia="仿宋_GB2312" w:cs="仿宋_GB2312"/>
                <w:sz w:val="24"/>
              </w:rPr>
              <w:t>186</w:t>
            </w:r>
          </w:p>
        </w:tc>
      </w:tr>
      <w:tr>
        <w:tblPrEx>
          <w:tblCellMar>
            <w:top w:w="15" w:type="dxa"/>
            <w:left w:w="15" w:type="dxa"/>
            <w:bottom w:w="15" w:type="dxa"/>
            <w:right w:w="15" w:type="dxa"/>
          </w:tblCellMar>
        </w:tblPrEx>
        <w:trPr>
          <w:trHeight w:val="467" w:hRule="atLeast"/>
          <w:jc w:val="center"/>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69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大气污染物排放重点企业不执行重污染天气应急减排措施的</w:t>
            </w:r>
          </w:p>
        </w:tc>
      </w:tr>
      <w:tr>
        <w:tblPrEx>
          <w:tblCellMar>
            <w:top w:w="15" w:type="dxa"/>
            <w:left w:w="15" w:type="dxa"/>
            <w:bottom w:w="15" w:type="dxa"/>
            <w:right w:w="15" w:type="dxa"/>
          </w:tblCellMar>
        </w:tblPrEx>
        <w:trPr>
          <w:trHeight w:val="2730" w:hRule="atLeast"/>
          <w:jc w:val="center"/>
        </w:trPr>
        <w:tc>
          <w:tcPr>
            <w:tcW w:w="1383" w:type="dxa"/>
            <w:tcBorders>
              <w:left w:val="single" w:color="000000" w:sz="4" w:space="0"/>
              <w:right w:val="single" w:color="000000" w:sz="4" w:space="0"/>
            </w:tcBorders>
            <w:noWrap w:val="0"/>
            <w:vAlign w:val="center"/>
          </w:tcPr>
          <w:p>
            <w:pPr>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处罚依据</w:t>
            </w:r>
          </w:p>
        </w:tc>
        <w:tc>
          <w:tcPr>
            <w:tcW w:w="769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第四十七条 第三款</w:t>
            </w:r>
            <w:r>
              <w:rPr>
                <w:rFonts w:hint="eastAsia" w:ascii="仿宋_GB2312" w:hAnsi="仿宋_GB2312" w:eastAsia="仿宋_GB2312" w:cs="仿宋_GB2312"/>
                <w:sz w:val="24"/>
              </w:rPr>
              <w:t xml:space="preserve"> 大气污染物排放重点企业根据重污染天气应急预案编制重污染天气应急响应操作方案，执行重污染天气应急减排措施。大气污染物排放重点企业清单由生态环境主管部门向社会公布。</w:t>
            </w:r>
          </w:p>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b/>
                <w:bCs/>
                <w:sz w:val="24"/>
              </w:rPr>
            </w:pPr>
            <w:r>
              <w:rPr>
                <w:rFonts w:hint="eastAsia" w:ascii="仿宋_GB2312" w:hAnsi="仿宋_GB2312" w:eastAsia="仿宋_GB2312" w:cs="仿宋_GB2312"/>
                <w:sz w:val="24"/>
              </w:rPr>
              <w:t>2.</w:t>
            </w:r>
            <w:r>
              <w:rPr>
                <w:rFonts w:hint="eastAsia" w:ascii="仿宋_GB2312" w:hAnsi="仿宋_GB2312" w:eastAsia="仿宋_GB2312" w:cs="仿宋_GB2312"/>
                <w:b/>
                <w:bCs/>
                <w:sz w:val="24"/>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bCs/>
                <w:sz w:val="24"/>
              </w:rPr>
              <w:t>生态环境保护条例》</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第七十八条</w:t>
            </w:r>
            <w:r>
              <w:rPr>
                <w:rFonts w:hint="eastAsia" w:ascii="仿宋_GB2312" w:hAnsi="仿宋_GB2312" w:eastAsia="仿宋_GB2312" w:cs="仿宋_GB2312"/>
                <w:sz w:val="24"/>
              </w:rPr>
              <w:t xml:space="preserve"> 违反本条例规定，大气污染物排放重点企业不执行重污染天气应急减排措施的，由生态环境主管部门责令改正；拒不改正的，处十万元以上五十万元以下的罚款。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6"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962"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3"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104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755"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3"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szCs w:val="32"/>
              </w:rPr>
              <w:t>对环境影响程度</w:t>
            </w:r>
          </w:p>
        </w:tc>
        <w:tc>
          <w:tcPr>
            <w:tcW w:w="1686"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违法行为类型</w:t>
            </w:r>
          </w:p>
        </w:tc>
        <w:tc>
          <w:tcPr>
            <w:tcW w:w="1047"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40%</w:t>
            </w: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未按规定执行减排措施2小时以内的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3"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1047" w:type="dxa"/>
            <w:vMerge w:val="continue"/>
            <w:noWrap w:val="0"/>
            <w:vAlign w:val="center"/>
          </w:tcPr>
          <w:p>
            <w:pPr>
              <w:jc w:val="center"/>
              <w:rPr>
                <w:rFonts w:hint="eastAsia" w:ascii="仿宋_GB2312" w:hAnsi="仿宋_GB2312" w:eastAsia="仿宋_GB2312" w:cs="仿宋_GB2312"/>
                <w:b/>
                <w:bCs/>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未按规定执行减排措施2小时以上12小时以内的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3"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1047" w:type="dxa"/>
            <w:vMerge w:val="continue"/>
            <w:noWrap w:val="0"/>
            <w:vAlign w:val="center"/>
          </w:tcPr>
          <w:p>
            <w:pPr>
              <w:jc w:val="center"/>
              <w:rPr>
                <w:rFonts w:hint="eastAsia" w:ascii="仿宋_GB2312" w:hAnsi="仿宋_GB2312" w:eastAsia="仿宋_GB2312" w:cs="仿宋_GB2312"/>
                <w:b/>
                <w:bCs/>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未按规定执行减排措施12小时以上24小时以内的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83" w:type="dxa"/>
            <w:vMerge w:val="continue"/>
            <w:noWrap w:val="0"/>
            <w:vAlign w:val="center"/>
          </w:tcPr>
          <w:p>
            <w:pPr>
              <w:jc w:val="center"/>
              <w:rPr>
                <w:rFonts w:hint="eastAsia" w:ascii="仿宋_GB2312" w:hAnsi="仿宋_GB2312" w:eastAsia="仿宋_GB2312" w:cs="仿宋_GB2312"/>
                <w:b/>
                <w:bCs/>
                <w:sz w:val="24"/>
              </w:rPr>
            </w:pPr>
          </w:p>
        </w:tc>
        <w:tc>
          <w:tcPr>
            <w:tcW w:w="1686" w:type="dxa"/>
            <w:vMerge w:val="continue"/>
            <w:noWrap w:val="0"/>
            <w:vAlign w:val="center"/>
          </w:tcPr>
          <w:p>
            <w:pPr>
              <w:jc w:val="center"/>
              <w:rPr>
                <w:rFonts w:hint="eastAsia" w:ascii="仿宋_GB2312" w:hAnsi="仿宋_GB2312" w:eastAsia="仿宋_GB2312" w:cs="仿宋_GB2312"/>
                <w:b/>
                <w:bCs/>
                <w:sz w:val="24"/>
              </w:rPr>
            </w:pPr>
          </w:p>
        </w:tc>
        <w:tc>
          <w:tcPr>
            <w:tcW w:w="1047" w:type="dxa"/>
            <w:vMerge w:val="continue"/>
            <w:noWrap w:val="0"/>
            <w:vAlign w:val="center"/>
          </w:tcPr>
          <w:p>
            <w:pPr>
              <w:jc w:val="center"/>
              <w:rPr>
                <w:rFonts w:hint="eastAsia" w:ascii="仿宋_GB2312" w:hAnsi="仿宋_GB2312" w:eastAsia="仿宋_GB2312" w:cs="仿宋_GB2312"/>
                <w:b/>
                <w:bCs/>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未按规定执行减排措施24小时以上的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104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83" w:type="dxa"/>
            <w:vMerge w:val="continue"/>
            <w:noWrap w:val="0"/>
            <w:vAlign w:val="center"/>
          </w:tcPr>
          <w:p>
            <w:pPr>
              <w:jc w:val="left"/>
            </w:pPr>
          </w:p>
        </w:tc>
        <w:tc>
          <w:tcPr>
            <w:tcW w:w="1686" w:type="dxa"/>
            <w:vMerge w:val="continue"/>
            <w:noWrap w:val="0"/>
            <w:vAlign w:val="center"/>
          </w:tcPr>
          <w:p>
            <w:pPr>
              <w:jc w:val="center"/>
              <w:rPr>
                <w:sz w:val="24"/>
              </w:rPr>
            </w:pPr>
          </w:p>
        </w:tc>
        <w:tc>
          <w:tcPr>
            <w:tcW w:w="1047" w:type="dxa"/>
            <w:vMerge w:val="continue"/>
            <w:noWrap w:val="0"/>
            <w:vAlign w:val="center"/>
          </w:tcPr>
          <w:p>
            <w:pPr>
              <w:jc w:val="center"/>
              <w:rPr>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83" w:type="dxa"/>
            <w:vMerge w:val="continue"/>
            <w:noWrap w:val="0"/>
            <w:vAlign w:val="center"/>
          </w:tcPr>
          <w:p>
            <w:pPr>
              <w:jc w:val="left"/>
              <w:rPr>
                <w:rFonts w:hint="eastAsia" w:ascii="仿宋_GB2312" w:hAnsi="仿宋_GB2312" w:eastAsia="仿宋_GB2312" w:cs="仿宋_GB2312"/>
                <w:sz w:val="24"/>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1047" w:type="dxa"/>
            <w:vMerge w:val="continue"/>
            <w:noWrap w:val="0"/>
            <w:vAlign w:val="center"/>
          </w:tcPr>
          <w:p>
            <w:pPr>
              <w:jc w:val="center"/>
              <w:rPr>
                <w:rFonts w:hint="eastAsia" w:ascii="仿宋_GB2312" w:hAnsi="仿宋_GB2312" w:eastAsia="仿宋_GB2312" w:cs="仿宋_GB2312"/>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1047" w:type="dxa"/>
            <w:vMerge w:val="continue"/>
            <w:noWrap w:val="0"/>
            <w:vAlign w:val="center"/>
          </w:tcPr>
          <w:p>
            <w:pPr>
              <w:jc w:val="center"/>
              <w:rPr>
                <w:rFonts w:hint="eastAsia" w:ascii="仿宋_GB2312" w:hAnsi="仿宋_GB2312" w:eastAsia="仿宋_GB2312" w:cs="仿宋_GB2312"/>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104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全面整改并停止违法行为的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1047" w:type="dxa"/>
            <w:vMerge w:val="continue"/>
            <w:noWrap w:val="0"/>
            <w:vAlign w:val="center"/>
          </w:tcPr>
          <w:p>
            <w:pPr>
              <w:jc w:val="center"/>
              <w:rPr>
                <w:rFonts w:hint="eastAsia" w:ascii="仿宋_GB2312" w:hAnsi="仿宋_GB2312" w:eastAsia="仿宋_GB2312" w:cs="仿宋_GB2312"/>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left"/>
              <w:rPr>
                <w:rFonts w:hint="eastAsia" w:ascii="仿宋_GB2312" w:hAnsi="仿宋_GB2312" w:eastAsia="仿宋_GB2312" w:cs="仿宋_GB2312"/>
                <w:sz w:val="24"/>
              </w:rPr>
            </w:pPr>
          </w:p>
        </w:tc>
        <w:tc>
          <w:tcPr>
            <w:tcW w:w="1047" w:type="dxa"/>
            <w:vMerge w:val="continue"/>
            <w:noWrap w:val="0"/>
            <w:vAlign w:val="center"/>
          </w:tcPr>
          <w:p>
            <w:pPr>
              <w:jc w:val="center"/>
              <w:rPr>
                <w:rFonts w:hint="eastAsia" w:ascii="仿宋_GB2312" w:hAnsi="仿宋_GB2312" w:eastAsia="仿宋_GB2312" w:cs="仿宋_GB2312"/>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复查时未采取整改措施的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83"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686" w:type="dxa"/>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104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383"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686" w:type="dxa"/>
            <w:vMerge w:val="continue"/>
            <w:tcBorders>
              <w:left w:val="single" w:color="auto" w:sz="4" w:space="0"/>
              <w:bottom w:val="single" w:color="auto" w:sz="4" w:space="0"/>
            </w:tcBorders>
            <w:noWrap w:val="0"/>
            <w:vAlign w:val="center"/>
          </w:tcPr>
          <w:p>
            <w:pPr>
              <w:jc w:val="center"/>
              <w:rPr>
                <w:rFonts w:hint="eastAsia" w:ascii="仿宋_GB2312" w:hAnsi="仿宋_GB2312" w:eastAsia="仿宋_GB2312" w:cs="仿宋_GB2312"/>
                <w:sz w:val="24"/>
              </w:rPr>
            </w:pPr>
          </w:p>
        </w:tc>
        <w:tc>
          <w:tcPr>
            <w:tcW w:w="1047" w:type="dxa"/>
            <w:vMerge w:val="continue"/>
            <w:noWrap w:val="0"/>
            <w:vAlign w:val="center"/>
          </w:tcPr>
          <w:p>
            <w:pPr>
              <w:jc w:val="center"/>
              <w:rPr>
                <w:rFonts w:hint="eastAsia" w:ascii="仿宋_GB2312" w:hAnsi="仿宋_GB2312" w:eastAsia="仿宋_GB2312" w:cs="仿宋_GB2312"/>
                <w:sz w:val="24"/>
              </w:rPr>
            </w:pPr>
          </w:p>
        </w:tc>
        <w:tc>
          <w:tcPr>
            <w:tcW w:w="3207"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3"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686" w:type="dxa"/>
            <w:vMerge w:val="restart"/>
            <w:tcBorders>
              <w:top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104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07" w:type="dxa"/>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83" w:type="dxa"/>
            <w:vMerge w:val="continue"/>
            <w:noWrap w:val="0"/>
            <w:vAlign w:val="center"/>
          </w:tcPr>
          <w:p>
            <w:pPr>
              <w:jc w:val="center"/>
              <w:rPr>
                <w:rFonts w:hint="eastAsia" w:ascii="仿宋_GB2312" w:hAnsi="仿宋_GB2312" w:eastAsia="仿宋_GB2312" w:cs="仿宋_GB2312"/>
                <w:b/>
                <w:bCs/>
                <w:sz w:val="24"/>
                <w:szCs w:val="32"/>
              </w:rPr>
            </w:pPr>
          </w:p>
        </w:tc>
        <w:tc>
          <w:tcPr>
            <w:tcW w:w="1686" w:type="dxa"/>
            <w:vMerge w:val="continue"/>
            <w:noWrap w:val="0"/>
            <w:vAlign w:val="center"/>
          </w:tcPr>
          <w:p>
            <w:pPr>
              <w:jc w:val="center"/>
              <w:rPr>
                <w:rFonts w:hint="eastAsia" w:ascii="仿宋_GB2312" w:hAnsi="仿宋_GB2312" w:eastAsia="仿宋_GB2312" w:cs="仿宋_GB2312"/>
                <w:sz w:val="24"/>
              </w:rPr>
            </w:pPr>
          </w:p>
        </w:tc>
        <w:tc>
          <w:tcPr>
            <w:tcW w:w="1047" w:type="dxa"/>
            <w:vMerge w:val="continue"/>
            <w:noWrap w:val="0"/>
            <w:vAlign w:val="center"/>
          </w:tcPr>
          <w:p>
            <w:pPr>
              <w:rPr>
                <w:rFonts w:hint="eastAsia" w:ascii="仿宋_GB2312" w:hAnsi="仿宋_GB2312" w:eastAsia="仿宋_GB2312" w:cs="仿宋_GB2312"/>
                <w:sz w:val="24"/>
              </w:rPr>
            </w:pPr>
          </w:p>
        </w:tc>
        <w:tc>
          <w:tcPr>
            <w:tcW w:w="3207" w:type="dxa"/>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7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10"/>
          <w:szCs w:val="10"/>
        </w:rPr>
      </w:pPr>
      <w:r>
        <w:rPr>
          <w:rFonts w:ascii="宋体" w:hAnsi="宋体" w:cs="宋体"/>
          <w:sz w:val="28"/>
          <w:szCs w:val="28"/>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
        <w:gridCol w:w="1359"/>
        <w:gridCol w:w="2057"/>
        <w:gridCol w:w="686"/>
        <w:gridCol w:w="3289"/>
        <w:gridCol w:w="149"/>
        <w:gridCol w:w="152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691" w:hRule="atLeast"/>
          <w:jc w:val="center"/>
        </w:trPr>
        <w:tc>
          <w:tcPr>
            <w:tcW w:w="9081" w:type="dxa"/>
            <w:gridSpan w:val="7"/>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510" w:hRule="atLeast"/>
          <w:jc w:val="center"/>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6"/>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483" w:hRule="atLeast"/>
          <w:jc w:val="center"/>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6"/>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在禁止养殖区域内建设畜禽养殖场、养殖小区的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3269" w:hRule="atLeast"/>
          <w:jc w:val="center"/>
        </w:trPr>
        <w:tc>
          <w:tcPr>
            <w:tcW w:w="1359"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6"/>
            <w:noWrap w:val="0"/>
            <w:vAlign w:val="center"/>
          </w:tcPr>
          <w:p>
            <w:pPr>
              <w:adjustRightInd w:val="0"/>
              <w:snapToGrid w:val="0"/>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《畜禽规模养殖污染防治条例》</w:t>
            </w:r>
          </w:p>
          <w:p>
            <w:pPr>
              <w:adjustRightInd w:val="0"/>
              <w:snapToGrid w:val="0"/>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第十一条</w:t>
            </w:r>
            <w:r>
              <w:rPr>
                <w:rFonts w:hint="eastAsia" w:ascii="仿宋_GB2312" w:hAnsi="仿宋_GB2312" w:eastAsia="仿宋_GB2312" w:cs="仿宋_GB2312"/>
                <w:sz w:val="24"/>
                <w:szCs w:val="32"/>
              </w:rPr>
              <w:t xml:space="preserve"> 禁止在下列区域内建设畜禽养殖场、养殖小区：</w:t>
            </w:r>
          </w:p>
          <w:p>
            <w:pPr>
              <w:adjustRightInd w:val="0"/>
              <w:snapToGrid w:val="0"/>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（一）饮用水水源保护区，风景名胜区；</w:t>
            </w:r>
          </w:p>
          <w:p>
            <w:pPr>
              <w:adjustRightInd w:val="0"/>
              <w:snapToGrid w:val="0"/>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（二）自然保护区的核心区和缓冲区；</w:t>
            </w:r>
          </w:p>
          <w:p>
            <w:pPr>
              <w:adjustRightInd w:val="0"/>
              <w:snapToGrid w:val="0"/>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（三）城镇居民区、文化教育科学研究区等人口集中区域；</w:t>
            </w:r>
          </w:p>
          <w:p>
            <w:pPr>
              <w:adjustRightInd w:val="0"/>
              <w:snapToGrid w:val="0"/>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（四）法律、法规规定的其他禁止养殖区域。</w:t>
            </w:r>
          </w:p>
          <w:p>
            <w:pPr>
              <w:adjustRightInd w:val="0"/>
              <w:snapToGrid w:val="0"/>
              <w:spacing w:line="300" w:lineRule="exact"/>
              <w:jc w:val="left"/>
              <w:rPr>
                <w:rFonts w:hint="eastAsia" w:ascii="仿宋_GB2312" w:hAnsi="仿宋_GB2312" w:eastAsia="仿宋_GB2312" w:cs="仿宋_GB2312"/>
                <w:sz w:val="24"/>
                <w:szCs w:val="32"/>
              </w:rPr>
            </w:pPr>
          </w:p>
          <w:p>
            <w:pPr>
              <w:adjustRightInd w:val="0"/>
              <w:snapToGrid w:val="0"/>
              <w:spacing w:line="300" w:lineRule="exact"/>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《畜禽规模养殖污染防治条例》</w:t>
            </w:r>
          </w:p>
          <w:p>
            <w:pPr>
              <w:adjustRightInd w:val="0"/>
              <w:snapToGrid w:val="0"/>
              <w:spacing w:line="3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第三十七条 第一款</w:t>
            </w:r>
            <w:r>
              <w:rPr>
                <w:rFonts w:hint="eastAsia" w:ascii="仿宋_GB2312" w:hAnsi="仿宋_GB2312" w:eastAsia="仿宋_GB2312" w:cs="仿宋_GB2312"/>
                <w:sz w:val="24"/>
                <w:szCs w:val="32"/>
              </w:rPr>
              <w:t xml:space="preserve"> 违反本条例规定，在禁止养殖区域内建设畜禽养殖场、养殖小区的，由县级以上地方人民政府环境保护主管部门责令停止违法行为；拒不停止违法行为的，处 3 万元以上 10 万元以下的罚款，并报县级以上人民政府责令拆除或者关闭。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339" w:hRule="atLeast"/>
          <w:jc w:val="center"/>
        </w:trPr>
        <w:tc>
          <w:tcPr>
            <w:tcW w:w="4102"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4979"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339" w:hRule="atLeast"/>
          <w:jc w:val="center"/>
        </w:trPr>
        <w:tc>
          <w:tcPr>
            <w:tcW w:w="135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438"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541"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283" w:hRule="atLeast"/>
          <w:jc w:val="center"/>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438" w:type="dxa"/>
            <w:gridSpan w:val="2"/>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在禁止养殖区域内建设畜禽养殖场、养殖小区，尚未投入生产</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539" w:hRule="atLeast"/>
          <w:jc w:val="center"/>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8" w:type="dxa"/>
            <w:gridSpan w:val="2"/>
            <w:noWrap w:val="0"/>
            <w:vAlign w:val="center"/>
          </w:tcPr>
          <w:p>
            <w:pPr>
              <w:adjustRightInd w:val="0"/>
              <w:snapToGrid w:val="0"/>
              <w:spacing w:line="29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在禁止养殖区域内建设畜禽养殖场、养殖小区，年出栏生猪 100 头以上，不足 500 头（其他畜禽种类折合猪的养殖规模）</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184" w:hRule="atLeast"/>
          <w:jc w:val="center"/>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8" w:type="dxa"/>
            <w:gridSpan w:val="2"/>
            <w:noWrap w:val="0"/>
            <w:vAlign w:val="center"/>
          </w:tcPr>
          <w:p>
            <w:pPr>
              <w:adjustRightInd w:val="0"/>
              <w:snapToGrid w:val="0"/>
              <w:spacing w:line="29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在禁止养殖区域内建设畜禽养殖场、养殖小区，年出栏生猪 500 头以上，不足 1000 头（其他畜禽种类折合猪的养殖规模）</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138" w:hRule="atLeast"/>
          <w:jc w:val="center"/>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8" w:type="dxa"/>
            <w:gridSpan w:val="2"/>
            <w:noWrap w:val="0"/>
            <w:vAlign w:val="center"/>
          </w:tcPr>
          <w:p>
            <w:pPr>
              <w:adjustRightInd w:val="0"/>
              <w:snapToGrid w:val="0"/>
              <w:spacing w:line="29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在禁止养殖区域内建设畜禽养殖场、养殖小区，年出栏生猪 1000 头以上（其他畜禽种类折合猪的养殖规模）</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100" w:hRule="atLeast"/>
          <w:jc w:val="center"/>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438" w:type="dxa"/>
            <w:gridSpan w:val="2"/>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100" w:hRule="atLeast"/>
          <w:jc w:val="center"/>
        </w:trPr>
        <w:tc>
          <w:tcPr>
            <w:tcW w:w="1359" w:type="dxa"/>
            <w:vMerge w:val="continue"/>
            <w:noWrap w:val="0"/>
            <w:vAlign w:val="center"/>
          </w:tcPr>
          <w:p>
            <w:pPr>
              <w:jc w:val="left"/>
            </w:pPr>
          </w:p>
        </w:tc>
        <w:tc>
          <w:tcPr>
            <w:tcW w:w="205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438" w:type="dxa"/>
            <w:gridSpan w:val="2"/>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100" w:hRule="atLeast"/>
          <w:jc w:val="center"/>
        </w:trPr>
        <w:tc>
          <w:tcPr>
            <w:tcW w:w="1359" w:type="dxa"/>
            <w:vMerge w:val="continue"/>
            <w:noWrap w:val="0"/>
            <w:vAlign w:val="center"/>
          </w:tcPr>
          <w:p>
            <w:pPr>
              <w:jc w:val="left"/>
              <w:rPr>
                <w:rFonts w:hint="eastAsia" w:ascii="仿宋_GB2312" w:hAnsi="仿宋_GB2312" w:eastAsia="仿宋_GB2312" w:cs="仿宋_GB2312"/>
                <w:sz w:val="24"/>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8" w:type="dxa"/>
            <w:gridSpan w:val="2"/>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149" w:hRule="atLeast"/>
          <w:jc w:val="center"/>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438" w:type="dxa"/>
            <w:gridSpan w:val="2"/>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541"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328" w:hRule="atLeast"/>
          <w:jc w:val="center"/>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205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是否配合执法检查</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3438" w:type="dxa"/>
            <w:gridSpan w:val="2"/>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54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312" w:hRule="atLeast"/>
          <w:jc w:val="center"/>
        </w:trPr>
        <w:tc>
          <w:tcPr>
            <w:tcW w:w="1359"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438" w:type="dxa"/>
            <w:gridSpan w:val="2"/>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54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388" w:hRule="atLeast"/>
          <w:jc w:val="center"/>
        </w:trPr>
        <w:tc>
          <w:tcPr>
            <w:tcW w:w="1359"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5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w:t>
            </w:r>
          </w:p>
        </w:tc>
        <w:tc>
          <w:tcPr>
            <w:tcW w:w="3438" w:type="dxa"/>
            <w:gridSpan w:val="2"/>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54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1" w:type="dxa"/>
          <w:trHeight w:val="249" w:hRule="atLeast"/>
          <w:jc w:val="center"/>
        </w:trPr>
        <w:tc>
          <w:tcPr>
            <w:tcW w:w="1359"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5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438" w:type="dxa"/>
            <w:gridSpan w:val="2"/>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541"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691" w:hRule="atLeast"/>
          <w:jc w:val="center"/>
        </w:trPr>
        <w:tc>
          <w:tcPr>
            <w:tcW w:w="9158" w:type="dxa"/>
            <w:gridSpan w:val="7"/>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510" w:hRule="atLeast"/>
          <w:jc w:val="center"/>
        </w:trPr>
        <w:tc>
          <w:tcPr>
            <w:tcW w:w="1450"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5"/>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529" w:hRule="atLeast"/>
          <w:jc w:val="center"/>
        </w:trPr>
        <w:tc>
          <w:tcPr>
            <w:tcW w:w="1450"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5"/>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在饮用水水源保护区建设畜禽养殖场、养殖小区的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3469" w:hRule="atLeast"/>
          <w:jc w:val="center"/>
        </w:trPr>
        <w:tc>
          <w:tcPr>
            <w:tcW w:w="1450" w:type="dxa"/>
            <w:gridSpan w:val="2"/>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5"/>
            <w:noWrap w:val="0"/>
            <w:vAlign w:val="center"/>
          </w:tcPr>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第十一条</w:t>
            </w:r>
            <w:r>
              <w:rPr>
                <w:rFonts w:hint="eastAsia" w:ascii="仿宋_GB2312" w:hAnsi="仿宋_GB2312" w:eastAsia="仿宋_GB2312" w:cs="仿宋_GB2312"/>
                <w:sz w:val="24"/>
                <w:szCs w:val="32"/>
              </w:rPr>
              <w:t xml:space="preserve"> 禁止在下列区域内建设畜禽养殖场、养殖小区：</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（一）饮用水水源保护区，风景名胜区；</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（二）自然保护区的核心区和缓冲区；</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（三）城镇居民区、文化教育科学研究区等人口集中区域；</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（四）法律、法规规定的其他禁止养殖区域。</w:t>
            </w:r>
          </w:p>
          <w:p>
            <w:pPr>
              <w:adjustRightInd w:val="0"/>
              <w:snapToGrid w:val="0"/>
              <w:jc w:val="left"/>
              <w:rPr>
                <w:rFonts w:hint="eastAsia" w:ascii="仿宋_GB2312" w:hAnsi="仿宋_GB2312" w:eastAsia="仿宋_GB2312" w:cs="仿宋_GB2312"/>
                <w:sz w:val="24"/>
                <w:szCs w:val="32"/>
              </w:rPr>
            </w:pPr>
          </w:p>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第三十七条 第二款</w:t>
            </w:r>
            <w:r>
              <w:rPr>
                <w:rFonts w:hint="eastAsia" w:ascii="仿宋_GB2312" w:hAnsi="仿宋_GB2312" w:eastAsia="仿宋_GB2312" w:cs="仿宋_GB2312"/>
                <w:sz w:val="24"/>
                <w:szCs w:val="32"/>
              </w:rPr>
              <w:t xml:space="preserve"> 在饮用水水源保护区建设畜禽养殖场、养殖小区的，由县级以上地方人民政府环境保护主管部门责令停止违法行为，处 10 万元以上 50 万元以下的罚款，并报经有批准权的人民政府批准，责令拆除或者关闭。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339" w:hRule="atLeast"/>
          <w:jc w:val="center"/>
        </w:trPr>
        <w:tc>
          <w:tcPr>
            <w:tcW w:w="4193" w:type="dxa"/>
            <w:gridSpan w:val="4"/>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496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339" w:hRule="atLeast"/>
          <w:jc w:val="center"/>
        </w:trPr>
        <w:tc>
          <w:tcPr>
            <w:tcW w:w="1450" w:type="dxa"/>
            <w:gridSpan w:val="2"/>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8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76"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283" w:hRule="atLeast"/>
          <w:jc w:val="center"/>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在饮用水水源保护区建设畜禽养殖场、养殖小区，尚未投入生产</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539" w:hRule="atLeast"/>
          <w:jc w:val="center"/>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在禁止养殖区域内建设畜禽养殖场、养殖小区，年出栏生猪 100 头以上，不足 500 头（其他畜禽种类折合猪的养殖规模）</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84" w:hRule="atLeast"/>
          <w:jc w:val="center"/>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在禁止养殖区域内建设畜禽养殖场、养殖小区，年出栏生猪500头以上，不足1000头（其他畜禽种类折合猪的养殖规模）</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38" w:hRule="atLeast"/>
          <w:jc w:val="center"/>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在饮用水水源保护区建设畜禽养殖场、养殖小区，年出栏生猪1000头以上（其他畜禽种类折合猪的养殖规模）</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00" w:hRule="atLeast"/>
          <w:jc w:val="center"/>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00" w:hRule="atLeast"/>
          <w:jc w:val="center"/>
        </w:trPr>
        <w:tc>
          <w:tcPr>
            <w:tcW w:w="1450" w:type="dxa"/>
            <w:gridSpan w:val="2"/>
            <w:vMerge w:val="continue"/>
            <w:noWrap w:val="0"/>
            <w:vAlign w:val="center"/>
          </w:tcPr>
          <w:p>
            <w:pPr>
              <w:jc w:val="left"/>
            </w:pPr>
          </w:p>
        </w:tc>
        <w:tc>
          <w:tcPr>
            <w:tcW w:w="205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00" w:hRule="atLeast"/>
          <w:jc w:val="center"/>
        </w:trPr>
        <w:tc>
          <w:tcPr>
            <w:tcW w:w="1450" w:type="dxa"/>
            <w:gridSpan w:val="2"/>
            <w:vMerge w:val="continue"/>
            <w:noWrap w:val="0"/>
            <w:vAlign w:val="center"/>
          </w:tcPr>
          <w:p>
            <w:pPr>
              <w:jc w:val="left"/>
              <w:rPr>
                <w:rFonts w:hint="eastAsia" w:ascii="仿宋_GB2312" w:hAnsi="仿宋_GB2312" w:eastAsia="仿宋_GB2312" w:cs="仿宋_GB2312"/>
                <w:sz w:val="24"/>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49" w:hRule="atLeast"/>
          <w:jc w:val="center"/>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7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83" w:hRule="atLeast"/>
          <w:jc w:val="center"/>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5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是否完成整改</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pacing w:val="7"/>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全面整改并停止违法行为的</w:t>
            </w:r>
          </w:p>
        </w:tc>
        <w:tc>
          <w:tcPr>
            <w:tcW w:w="167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193" w:hRule="atLeast"/>
          <w:jc w:val="center"/>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正在整改但违法行为未完全消除的</w:t>
            </w:r>
          </w:p>
        </w:tc>
        <w:tc>
          <w:tcPr>
            <w:tcW w:w="167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268" w:hRule="atLeast"/>
          <w:jc w:val="center"/>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复查时未采取整改措施的</w:t>
            </w:r>
          </w:p>
        </w:tc>
        <w:tc>
          <w:tcPr>
            <w:tcW w:w="167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328" w:hRule="atLeast"/>
          <w:jc w:val="center"/>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205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是否配合执法</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pacing w:val="7"/>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不配合检查的</w:t>
            </w:r>
          </w:p>
        </w:tc>
        <w:tc>
          <w:tcPr>
            <w:tcW w:w="167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312" w:hRule="atLeast"/>
          <w:jc w:val="center"/>
        </w:trPr>
        <w:tc>
          <w:tcPr>
            <w:tcW w:w="1450" w:type="dxa"/>
            <w:gridSpan w:val="2"/>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配合检查的</w:t>
            </w:r>
          </w:p>
        </w:tc>
        <w:tc>
          <w:tcPr>
            <w:tcW w:w="167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388" w:hRule="atLeast"/>
          <w:jc w:val="center"/>
        </w:trPr>
        <w:tc>
          <w:tcPr>
            <w:tcW w:w="1450" w:type="dxa"/>
            <w:gridSpan w:val="2"/>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5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pacing w:val="7"/>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造成社会影响或生态破坏的</w:t>
            </w:r>
          </w:p>
        </w:tc>
        <w:tc>
          <w:tcPr>
            <w:tcW w:w="167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4" w:type="dxa"/>
          <w:trHeight w:val="249" w:hRule="atLeast"/>
          <w:jc w:val="center"/>
        </w:trPr>
        <w:tc>
          <w:tcPr>
            <w:tcW w:w="1450" w:type="dxa"/>
            <w:gridSpan w:val="2"/>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57"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未造成社会影响与生态破坏的</w:t>
            </w:r>
          </w:p>
        </w:tc>
        <w:tc>
          <w:tcPr>
            <w:tcW w:w="1676" w:type="dxa"/>
            <w:gridSpan w:val="2"/>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0%</w:t>
            </w:r>
          </w:p>
        </w:tc>
      </w:tr>
    </w:tbl>
    <w:p/>
    <w:p/>
    <w:p/>
    <w:p/>
    <w:p/>
    <w:p/>
    <w:p/>
    <w:p/>
    <w:p/>
    <w:p/>
    <w:p/>
    <w:p/>
    <w:p/>
    <w:p/>
    <w:p/>
    <w:p/>
    <w:p/>
    <w:p/>
    <w:p/>
    <w:p/>
    <w:p/>
    <w:p/>
    <w:p/>
    <w:p/>
    <w:p/>
    <w:p/>
    <w:p/>
    <w:p/>
    <w:p/>
    <w:p/>
    <w:p/>
    <w:p/>
    <w:p/>
    <w:p/>
    <w:p/>
    <w:p/>
    <w:p/>
    <w:p/>
    <w:p/>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057"/>
        <w:gridCol w:w="686"/>
        <w:gridCol w:w="32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08"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畜禽养殖场、养殖小区依法应当进行环境影响评价而未进行的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第一款</w:t>
            </w:r>
            <w:r>
              <w:rPr>
                <w:rFonts w:hint="eastAsia" w:ascii="仿宋_GB2312" w:hAnsi="仿宋_GB2312" w:eastAsia="仿宋_GB2312" w:cs="仿宋_GB2312"/>
                <w:sz w:val="24"/>
                <w:szCs w:val="32"/>
              </w:rPr>
              <w:t xml:space="preserve"> 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p>
          <w:p>
            <w:pPr>
              <w:adjustRightInd w:val="0"/>
              <w:snapToGrid w:val="0"/>
              <w:jc w:val="left"/>
              <w:rPr>
                <w:rFonts w:hint="eastAsia" w:ascii="仿宋_GB2312" w:hAnsi="仿宋_GB2312" w:eastAsia="仿宋_GB2312" w:cs="仿宋_GB2312"/>
                <w:sz w:val="24"/>
                <w:szCs w:val="32"/>
              </w:rPr>
            </w:pPr>
          </w:p>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第三十八条</w:t>
            </w:r>
            <w:r>
              <w:rPr>
                <w:rFonts w:hint="eastAsia" w:ascii="仿宋_GB2312" w:hAnsi="仿宋_GB2312" w:eastAsia="仿宋_GB2312" w:cs="仿宋_GB2312"/>
                <w:sz w:val="24"/>
                <w:szCs w:val="32"/>
              </w:rPr>
              <w:t xml:space="preserve"> 违反本条例规定，畜禽养殖场、养殖小区依法应当进行环境影响评价而未进行的，由有权审批该项目环境影响评价文件的环境保护主管部门责令停止建设，限期补办手续；逾期不补办手续的，处 5</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万元以上 20</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12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497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8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40%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应当填报环境影响登记表的其他畜禽养殖场、养殖小区</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应当编制环境影响报告书的大型畜禽养殖场、养殖小区</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noWrap w:val="0"/>
            <w:vAlign w:val="center"/>
          </w:tcPr>
          <w:p>
            <w:pPr>
              <w:jc w:val="left"/>
            </w:pPr>
          </w:p>
        </w:tc>
        <w:tc>
          <w:tcPr>
            <w:tcW w:w="205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noWrap w:val="0"/>
            <w:vAlign w:val="center"/>
          </w:tcPr>
          <w:p>
            <w:pPr>
              <w:jc w:val="left"/>
              <w:rPr>
                <w:rFonts w:hint="eastAsia" w:ascii="仿宋_GB2312" w:hAnsi="仿宋_GB2312" w:eastAsia="仿宋_GB2312" w:cs="仿宋_GB2312"/>
                <w:sz w:val="24"/>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6"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5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2057"/>
        <w:gridCol w:w="686"/>
        <w:gridCol w:w="32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94"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top"/>
          </w:tcPr>
          <w:p>
            <w:pPr>
              <w:adjustRightInd w:val="0"/>
              <w:snapToGrid w:val="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未建设污染防治配套设施或者自行建设的配套设施不合格，也未委托他人对畜禽养殖废弃物进行综合利用和无害化处理，畜禽养殖场、养殖小区即投入生产、使用，或者建设的污染防治配套设施未正常运行的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2"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第十三条</w:t>
            </w:r>
            <w:r>
              <w:rPr>
                <w:rFonts w:hint="eastAsia" w:ascii="仿宋_GB2312" w:hAnsi="仿宋_GB2312" w:eastAsia="仿宋_GB2312" w:cs="仿宋_GB2312"/>
                <w:sz w:val="24"/>
                <w:szCs w:val="32"/>
              </w:rPr>
              <w:t xml:space="preserve"> 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建设污染防治配套设施、自行建设的配套设施不合格，或者未委托他人对畜禽养殖废弃物进行综合利用和无害化处理的，畜禽养殖场、养殖小区不得投入生产或者使用。畜禽养殖场、养殖小区自行建设污染防治配套设施的，应当确保其正常运行。</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畜禽养殖场、养殖小区自行建设污染防治配套设施的，应当确保其正常运行。</w:t>
            </w:r>
          </w:p>
          <w:p>
            <w:pPr>
              <w:adjustRightInd w:val="0"/>
              <w:snapToGrid w:val="0"/>
              <w:jc w:val="left"/>
              <w:rPr>
                <w:rFonts w:hint="eastAsia" w:ascii="仿宋_GB2312" w:hAnsi="仿宋_GB2312" w:eastAsia="仿宋_GB2312" w:cs="仿宋_GB2312"/>
                <w:sz w:val="24"/>
                <w:szCs w:val="32"/>
              </w:rPr>
            </w:pPr>
          </w:p>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第三十九条</w:t>
            </w:r>
            <w:r>
              <w:rPr>
                <w:rFonts w:hint="eastAsia" w:ascii="仿宋_GB2312" w:hAnsi="仿宋_GB2312" w:eastAsia="仿宋_GB2312" w:cs="仿宋_GB2312"/>
                <w:sz w:val="24"/>
                <w:szCs w:val="32"/>
              </w:rPr>
              <w:t xml:space="preserve">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11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497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8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40%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建设的污染防治配套设施未正常运行的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自行建设的配套设施不合格，也未委托他人对畜禽养殖废弃物进行综合利用和无害化处理的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未建设污染防治配套设施，也未委托他人对畜禽养殖废弃物进行综合利用和无害化处理的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noWrap w:val="0"/>
            <w:vAlign w:val="center"/>
          </w:tcPr>
          <w:p>
            <w:pPr>
              <w:jc w:val="left"/>
            </w:pPr>
          </w:p>
        </w:tc>
        <w:tc>
          <w:tcPr>
            <w:tcW w:w="205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noWrap w:val="0"/>
            <w:vAlign w:val="center"/>
          </w:tcPr>
          <w:p>
            <w:pPr>
              <w:jc w:val="left"/>
              <w:rPr>
                <w:rFonts w:hint="eastAsia" w:ascii="仿宋_GB2312" w:hAnsi="仿宋_GB2312" w:eastAsia="仿宋_GB2312" w:cs="仿宋_GB2312"/>
                <w:sz w:val="24"/>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5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
    <w:p/>
    <w:p/>
    <w:p/>
    <w:p/>
    <w:p/>
    <w:p/>
    <w:p/>
    <w:p/>
    <w:p/>
    <w:p/>
    <w:p/>
    <w:p/>
    <w:p/>
    <w:p/>
    <w:p/>
    <w:p/>
    <w:p/>
    <w:p/>
    <w:p/>
    <w:p/>
    <w:p/>
    <w:p/>
    <w:p/>
    <w:p/>
    <w:p/>
    <w:p/>
    <w:p/>
    <w:p/>
    <w:p/>
    <w:p/>
    <w:p/>
    <w:p/>
    <w:p/>
    <w:p/>
    <w:p/>
    <w:p/>
    <w:p/>
    <w:p/>
    <w:p/>
    <w:p/>
    <w:p/>
    <w:tbl>
      <w:tblPr>
        <w:tblStyle w:val="9"/>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057"/>
        <w:gridCol w:w="686"/>
        <w:gridCol w:w="32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08"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22"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22" w:type="dxa"/>
            <w:gridSpan w:val="4"/>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排放畜禽养殖废弃物不符合国家或者地方规定的污染物排放标准或者总量控制指标，或者未经无害化处理直接向环境排放畜禽养殖废弃物的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386"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22" w:type="dxa"/>
            <w:gridSpan w:val="4"/>
            <w:noWrap w:val="0"/>
            <w:vAlign w:val="center"/>
          </w:tcPr>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hint="eastAsia" w:ascii="仿宋_GB2312" w:hAnsi="仿宋_GB2312" w:eastAsia="仿宋_GB2312" w:cs="仿宋_GB2312"/>
                <w:sz w:val="24"/>
                <w:szCs w:val="32"/>
              </w:rPr>
              <w:t xml:space="preserve"> 向环境排放经过处理的畜禽养殖废弃物，应当符合国家和地方规定的污染物排放标准和总量控制指标。畜禽养殖废弃物未经处理，不得直接向环境排放。</w:t>
            </w:r>
          </w:p>
          <w:p>
            <w:pPr>
              <w:adjustRightInd w:val="0"/>
              <w:snapToGrid w:val="0"/>
              <w:jc w:val="left"/>
              <w:rPr>
                <w:rFonts w:hint="eastAsia" w:ascii="仿宋_GB2312" w:hAnsi="仿宋_GB2312" w:eastAsia="仿宋_GB2312" w:cs="仿宋_GB2312"/>
                <w:sz w:val="24"/>
                <w:szCs w:val="32"/>
              </w:rPr>
            </w:pP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《畜禽规模养殖污染防治条例》</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第四十一条</w:t>
            </w:r>
            <w:r>
              <w:rPr>
                <w:rFonts w:hint="eastAsia" w:ascii="仿宋_GB2312" w:hAnsi="仿宋_GB2312" w:eastAsia="仿宋_GB2312" w:cs="仿宋_GB2312"/>
                <w:sz w:val="24"/>
                <w:szCs w:val="32"/>
              </w:rPr>
              <w:t xml:space="preserve"> 排放畜禽养殖废弃物不符合国家或者地方规定的污染物排放标准或者总量控制指标，或者未经无害化处理直接向环境排放畜禽养殖废弃物的，由县级以上地方人民政府环境保护主管部门责令限期治理，可以处 5 万元以下的罚款。县级以上地方人民政府环境保护主管部门作出限期治理决定后，应当会同同级人民政府农牧等有关部门对整改措施的落实情况及时进行核查，并向社会公布核查结果。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129"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497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6"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8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5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未经无害化处理直接向环境排放畜禽养殖废弃物，但排放畜禽养殖废弃物未超国家或者地方污染物排放标准或者总量控制指标的</w:t>
            </w:r>
          </w:p>
        </w:tc>
        <w:tc>
          <w:tcPr>
            <w:tcW w:w="169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排放畜禽养殖废弃物超国家或者地方污染物排放标准不足5倍或者总量控制指标不足2倍</w:t>
            </w:r>
          </w:p>
        </w:tc>
        <w:tc>
          <w:tcPr>
            <w:tcW w:w="169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排放畜禽养殖废弃物超国家或者地方污染物排放标准5倍以上不足10倍或者总量控制指标2倍以上不足3倍</w:t>
            </w:r>
          </w:p>
        </w:tc>
        <w:tc>
          <w:tcPr>
            <w:tcW w:w="169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排放畜禽养殖废弃物超国家或者地方污染物排放标准10倍以上或者总量控制指标3倍以上</w:t>
            </w:r>
          </w:p>
        </w:tc>
        <w:tc>
          <w:tcPr>
            <w:tcW w:w="1690"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noWrap w:val="0"/>
            <w:vAlign w:val="center"/>
          </w:tcPr>
          <w:p>
            <w:pPr>
              <w:jc w:val="left"/>
            </w:pPr>
          </w:p>
        </w:tc>
        <w:tc>
          <w:tcPr>
            <w:tcW w:w="205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6" w:type="dxa"/>
            <w:vMerge w:val="continue"/>
            <w:noWrap w:val="0"/>
            <w:vAlign w:val="center"/>
          </w:tcPr>
          <w:p>
            <w:pPr>
              <w:jc w:val="left"/>
              <w:rPr>
                <w:rFonts w:hint="eastAsia" w:ascii="仿宋_GB2312" w:hAnsi="仿宋_GB2312" w:eastAsia="仿宋_GB2312" w:cs="仿宋_GB2312"/>
                <w:sz w:val="24"/>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正在整改但违法行为未完全消除的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left"/>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6"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86"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86"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5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69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
      <w:pPr>
        <w:jc w:val="cente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hint="eastAsia" w:ascii="宋体" w:hAnsi="宋体" w:cs="宋体"/>
          <w:sz w:val="28"/>
          <w:szCs w:val="28"/>
        </w:rPr>
      </w:pPr>
    </w:p>
    <w:p>
      <w:pPr>
        <w:rPr>
          <w:rFonts w:ascii="宋体" w:hAnsi="宋体" w:cs="宋体"/>
          <w:sz w:val="28"/>
          <w:szCs w:val="28"/>
        </w:rPr>
      </w:pPr>
    </w:p>
    <w:tbl>
      <w:tblPr>
        <w:tblStyle w:val="9"/>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2057"/>
        <w:gridCol w:w="686"/>
        <w:gridCol w:w="3289"/>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80" w:type="dxa"/>
            <w:gridSpan w:val="5"/>
            <w:noWrap w:val="0"/>
            <w:vAlign w:val="center"/>
          </w:tcPr>
          <w:p>
            <w:pPr>
              <w:jc w:val="center"/>
              <w:rPr>
                <w:rFonts w:hint="eastAsia"/>
              </w:rPr>
            </w:pPr>
            <w:r>
              <w:rPr>
                <w:rFonts w:hint="eastAsia" w:ascii="方正小标宋简体" w:hAnsi="方正小标宋简体" w:eastAsia="方正小标宋简体" w:cs="方正小标宋简体"/>
                <w:sz w:val="40"/>
                <w:szCs w:val="40"/>
              </w:rPr>
              <w:t>唐山市生态环境行政处罚裁量规则（其他类）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708" w:type="dxa"/>
            <w:gridSpan w:val="4"/>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违法行为</w:t>
            </w:r>
          </w:p>
        </w:tc>
        <w:tc>
          <w:tcPr>
            <w:tcW w:w="7708" w:type="dxa"/>
            <w:gridSpan w:val="4"/>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不实施强制性清洁生产审核或者在清洁生产审核中弄虚作假的，或者实施强制性清洁生产审核的企业不报告或者不如实报告审核结果的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6" w:hRule="atLeast"/>
        </w:trPr>
        <w:tc>
          <w:tcPr>
            <w:tcW w:w="1372" w:type="dxa"/>
            <w:noWrap w:val="0"/>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处罚依据</w:t>
            </w:r>
          </w:p>
        </w:tc>
        <w:tc>
          <w:tcPr>
            <w:tcW w:w="7708" w:type="dxa"/>
            <w:gridSpan w:val="4"/>
            <w:noWrap w:val="0"/>
            <w:vAlign w:val="center"/>
          </w:tcPr>
          <w:p>
            <w:pPr>
              <w:adjustRightInd w:val="0"/>
              <w:snapToGrid w:val="0"/>
              <w:jc w:val="left"/>
              <w:rPr>
                <w:rFonts w:hint="eastAsia" w:ascii="仿宋_GB2312" w:hAnsi="仿宋_GB2312" w:eastAsia="仿宋_GB2312" w:cs="仿宋_GB2312"/>
                <w:b/>
                <w:bCs/>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b/>
                <w:bCs/>
                <w:sz w:val="24"/>
                <w:szCs w:val="32"/>
              </w:rPr>
              <w:t>《中华人民共和国清洁生产促进法》</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第二十七条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b/>
                <w:bCs/>
                <w:sz w:val="24"/>
                <w:szCs w:val="32"/>
              </w:rPr>
              <w:t>第二款</w:t>
            </w: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有下列情形之一的企业，应当实施强制性清洁生产审核：</w:t>
            </w:r>
          </w:p>
          <w:p>
            <w:pPr>
              <w:adjustRightInd w:val="0"/>
              <w:snapToGrid w:val="0"/>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（一）污染物排放超过国家或者地方规定的排放标准，或者虽未超过国家或者地方规定的排放标准，但超过重点污染物排放总量控制指标的；</w:t>
            </w:r>
          </w:p>
          <w:p>
            <w:pPr>
              <w:adjustRightInd w:val="0"/>
              <w:snapToGrid w:val="0"/>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（二）超过单位产品能源消耗限额标准构成高耗能的；</w:t>
            </w:r>
          </w:p>
          <w:p>
            <w:pPr>
              <w:adjustRightInd w:val="0"/>
              <w:snapToGrid w:val="0"/>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（三）使用有毒、有害原料进行生产或者在生产中排放有毒、有害物质的。</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第四款 </w:t>
            </w:r>
            <w:r>
              <w:rPr>
                <w:rFonts w:ascii="仿宋_GB2312" w:hAnsi="仿宋_GB2312" w:eastAsia="仿宋_GB2312" w:cs="仿宋_GB2312"/>
                <w:sz w:val="24"/>
                <w:szCs w:val="32"/>
              </w:rPr>
              <w:t>实施强制性清洁生产审核的企业，应当将审核结果向所在地县级以上地方人民政府负责清洁生产综合协调的部门、环境保护部门报告，并在本地区主要媒体上公布，接受公众监督，但涉及商业秘密的除外。</w:t>
            </w:r>
          </w:p>
          <w:p>
            <w:pPr>
              <w:adjustRightInd w:val="0"/>
              <w:snapToGrid w:val="0"/>
              <w:jc w:val="left"/>
              <w:rPr>
                <w:rFonts w:hint="eastAsia" w:ascii="仿宋_GB2312" w:hAnsi="仿宋_GB2312" w:eastAsia="仿宋_GB2312" w:cs="仿宋_GB2312"/>
                <w:sz w:val="24"/>
                <w:szCs w:val="32"/>
              </w:rPr>
            </w:pP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b/>
                <w:bCs/>
                <w:sz w:val="24"/>
                <w:szCs w:val="32"/>
              </w:rPr>
              <w:t>《中华人民共和国清洁生产促进法》</w:t>
            </w:r>
          </w:p>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
                <w:bCs/>
                <w:sz w:val="24"/>
                <w:szCs w:val="32"/>
              </w:rPr>
              <w:t>第三十九条 第一款</w:t>
            </w:r>
            <w:r>
              <w:rPr>
                <w:rFonts w:hint="eastAsia" w:ascii="仿宋_GB2312" w:hAnsi="仿宋_GB2312" w:eastAsia="仿宋_GB2312" w:cs="仿宋_GB2312"/>
                <w:sz w:val="24"/>
                <w:szCs w:val="32"/>
              </w:rP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11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裁量要素</w:t>
            </w:r>
          </w:p>
        </w:tc>
        <w:tc>
          <w:tcPr>
            <w:tcW w:w="496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2057"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68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89"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76"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2057"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违法行为类型</w:t>
            </w:r>
          </w:p>
        </w:tc>
        <w:tc>
          <w:tcPr>
            <w:tcW w:w="686" w:type="dxa"/>
            <w:vMerge w:val="restart"/>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40%</w:t>
            </w: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实施强制性清洁生产审核的企业不向主管部门如实报告审核结果的</w:t>
            </w:r>
          </w:p>
        </w:tc>
        <w:tc>
          <w:tcPr>
            <w:tcW w:w="167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实施强制性清洁生产审核的企业不向主管部门报告审核结果的</w:t>
            </w:r>
          </w:p>
        </w:tc>
        <w:tc>
          <w:tcPr>
            <w:tcW w:w="167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应当实施强制性清洁生产审核</w:t>
            </w:r>
            <w:r>
              <w:rPr>
                <w:rFonts w:hint="eastAsia" w:ascii="仿宋_GB2312" w:hAnsi="仿宋_GB2312" w:eastAsia="仿宋_GB2312" w:cs="仿宋_GB2312"/>
                <w:sz w:val="24"/>
                <w:szCs w:val="32"/>
              </w:rPr>
              <w:t>的企业在清洁生产审核中弄虚作假的</w:t>
            </w:r>
          </w:p>
        </w:tc>
        <w:tc>
          <w:tcPr>
            <w:tcW w:w="167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szCs w:val="32"/>
              </w:rPr>
            </w:pPr>
          </w:p>
        </w:tc>
        <w:tc>
          <w:tcPr>
            <w:tcW w:w="686" w:type="dxa"/>
            <w:vMerge w:val="continue"/>
            <w:noWrap w:val="0"/>
            <w:vAlign w:val="center"/>
          </w:tcPr>
          <w:p>
            <w:pPr>
              <w:jc w:val="center"/>
              <w:rPr>
                <w:rFonts w:hint="eastAsia" w:ascii="仿宋_GB2312" w:hAnsi="仿宋_GB2312" w:eastAsia="仿宋_GB2312" w:cs="仿宋_GB2312"/>
                <w:sz w:val="24"/>
                <w:szCs w:val="32"/>
              </w:rPr>
            </w:pPr>
          </w:p>
        </w:tc>
        <w:tc>
          <w:tcPr>
            <w:tcW w:w="3289" w:type="dxa"/>
            <w:noWrap w:val="0"/>
            <w:vAlign w:val="center"/>
          </w:tcPr>
          <w:p>
            <w:pPr>
              <w:adjustRightInd w:val="0"/>
              <w:snapToGrid w:val="0"/>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应当实施强制性清洁生产审核</w:t>
            </w:r>
            <w:r>
              <w:rPr>
                <w:rFonts w:hint="eastAsia" w:ascii="仿宋_GB2312" w:hAnsi="仿宋_GB2312" w:eastAsia="仿宋_GB2312" w:cs="仿宋_GB2312"/>
                <w:sz w:val="24"/>
                <w:szCs w:val="32"/>
              </w:rPr>
              <w:t>的企业不实施强制性清洁生产审核的</w:t>
            </w:r>
          </w:p>
        </w:tc>
        <w:tc>
          <w:tcPr>
            <w:tcW w:w="1676" w:type="dxa"/>
            <w:noWrap w:val="0"/>
            <w:vAlign w:val="center"/>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noWrap w:val="0"/>
            <w:vAlign w:val="center"/>
          </w:tcPr>
          <w:p>
            <w:pPr>
              <w:jc w:val="left"/>
            </w:pPr>
          </w:p>
        </w:tc>
        <w:tc>
          <w:tcPr>
            <w:tcW w:w="2057" w:type="dxa"/>
            <w:vMerge w:val="continue"/>
            <w:noWrap w:val="0"/>
            <w:vAlign w:val="center"/>
          </w:tcPr>
          <w:p>
            <w:pPr>
              <w:jc w:val="center"/>
              <w:rPr>
                <w:sz w:val="24"/>
              </w:rPr>
            </w:pPr>
          </w:p>
        </w:tc>
        <w:tc>
          <w:tcPr>
            <w:tcW w:w="686" w:type="dxa"/>
            <w:vMerge w:val="continue"/>
            <w:noWrap w:val="0"/>
            <w:vAlign w:val="center"/>
          </w:tcPr>
          <w:p>
            <w:pPr>
              <w:jc w:val="center"/>
              <w:rPr>
                <w:sz w:val="24"/>
              </w:rPr>
            </w:pPr>
          </w:p>
        </w:tc>
        <w:tc>
          <w:tcPr>
            <w:tcW w:w="328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72" w:type="dxa"/>
            <w:vMerge w:val="continue"/>
            <w:noWrap w:val="0"/>
            <w:vAlign w:val="center"/>
          </w:tcPr>
          <w:p>
            <w:pPr>
              <w:jc w:val="left"/>
              <w:rPr>
                <w:rFonts w:hint="eastAsia" w:ascii="仿宋_GB2312" w:hAnsi="仿宋_GB2312" w:eastAsia="仿宋_GB2312" w:cs="仿宋_GB2312"/>
                <w:sz w:val="24"/>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是否完成整改</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全面整改并停止违法行为的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szCs w:val="32"/>
              </w:rPr>
              <w:t>正在整改但违法行为未完全消除的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复查时未采取整改措施的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289"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2" w:type="dxa"/>
            <w:vMerge w:val="continue"/>
            <w:noWrap w:val="0"/>
            <w:vAlign w:val="center"/>
          </w:tcPr>
          <w:p>
            <w:pPr>
              <w:jc w:val="center"/>
              <w:rPr>
                <w:rFonts w:hint="eastAsia" w:ascii="仿宋_GB2312" w:hAnsi="仿宋_GB2312" w:eastAsia="仿宋_GB2312" w:cs="仿宋_GB2312"/>
                <w:b/>
                <w:bCs/>
                <w:sz w:val="24"/>
                <w:szCs w:val="32"/>
              </w:rPr>
            </w:pPr>
          </w:p>
        </w:tc>
        <w:tc>
          <w:tcPr>
            <w:tcW w:w="2057" w:type="dxa"/>
            <w:vMerge w:val="continue"/>
            <w:noWrap w:val="0"/>
            <w:vAlign w:val="center"/>
          </w:tcPr>
          <w:p>
            <w:pPr>
              <w:jc w:val="center"/>
              <w:rPr>
                <w:rFonts w:hint="eastAsia" w:ascii="仿宋_GB2312" w:hAnsi="仿宋_GB2312" w:eastAsia="仿宋_GB2312" w:cs="仿宋_GB2312"/>
                <w:sz w:val="24"/>
              </w:rPr>
            </w:pPr>
          </w:p>
        </w:tc>
        <w:tc>
          <w:tcPr>
            <w:tcW w:w="686" w:type="dxa"/>
            <w:vMerge w:val="continue"/>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72"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205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686"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72" w:type="dxa"/>
            <w:vMerge w:val="continue"/>
            <w:tcBorders>
              <w:bottom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2057"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686" w:type="dxa"/>
            <w:vMerge w:val="continue"/>
            <w:tcBorders>
              <w:bottom w:val="single" w:color="auto" w:sz="4" w:space="0"/>
            </w:tcBorders>
            <w:noWrap w:val="0"/>
            <w:vAlign w:val="center"/>
          </w:tcPr>
          <w:p>
            <w:pPr>
              <w:jc w:val="center"/>
              <w:rPr>
                <w:rFonts w:hint="eastAsia" w:ascii="仿宋_GB2312" w:hAnsi="仿宋_GB2312" w:eastAsia="仿宋_GB2312" w:cs="仿宋_GB2312"/>
                <w:sz w:val="24"/>
              </w:rPr>
            </w:pPr>
          </w:p>
        </w:tc>
        <w:tc>
          <w:tcPr>
            <w:tcW w:w="3289" w:type="dxa"/>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未造成社会影响与生态破坏的</w:t>
            </w:r>
          </w:p>
        </w:tc>
        <w:tc>
          <w:tcPr>
            <w:tcW w:w="167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119" w:type="dxa"/>
        <w:tblInd w:w="0" w:type="dxa"/>
        <w:tblLayout w:type="fixed"/>
        <w:tblCellMar>
          <w:top w:w="15" w:type="dxa"/>
          <w:left w:w="15" w:type="dxa"/>
          <w:bottom w:w="15" w:type="dxa"/>
          <w:right w:w="15" w:type="dxa"/>
        </w:tblCellMar>
      </w:tblPr>
      <w:tblGrid>
        <w:gridCol w:w="23"/>
        <w:gridCol w:w="1188"/>
        <w:gridCol w:w="172"/>
        <w:gridCol w:w="31"/>
        <w:gridCol w:w="268"/>
        <w:gridCol w:w="1591"/>
        <w:gridCol w:w="299"/>
        <w:gridCol w:w="494"/>
        <w:gridCol w:w="299"/>
        <w:gridCol w:w="3036"/>
        <w:gridCol w:w="231"/>
        <w:gridCol w:w="68"/>
        <w:gridCol w:w="1391"/>
        <w:gridCol w:w="28"/>
      </w:tblGrid>
      <w:tr>
        <w:tblPrEx>
          <w:tblCellMar>
            <w:top w:w="15" w:type="dxa"/>
            <w:left w:w="15" w:type="dxa"/>
            <w:bottom w:w="15" w:type="dxa"/>
            <w:right w:w="15" w:type="dxa"/>
          </w:tblCellMar>
        </w:tblPrEx>
        <w:trPr>
          <w:gridBefore w:val="1"/>
          <w:wBefore w:w="23" w:type="dxa"/>
          <w:trHeight w:val="681" w:hRule="atLeast"/>
        </w:trPr>
        <w:tc>
          <w:tcPr>
            <w:tcW w:w="9096"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gridBefore w:val="1"/>
          <w:wBefore w:w="23" w:type="dxa"/>
          <w:trHeight w:val="510" w:hRule="atLeast"/>
        </w:trPr>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705"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193</w:t>
            </w:r>
          </w:p>
        </w:tc>
      </w:tr>
      <w:tr>
        <w:tblPrEx>
          <w:tblCellMar>
            <w:top w:w="15" w:type="dxa"/>
            <w:left w:w="15" w:type="dxa"/>
            <w:bottom w:w="15" w:type="dxa"/>
            <w:right w:w="15" w:type="dxa"/>
          </w:tblCellMar>
        </w:tblPrEx>
        <w:trPr>
          <w:gridBefore w:val="1"/>
          <w:wBefore w:w="23" w:type="dxa"/>
          <w:trHeight w:val="530" w:hRule="atLeast"/>
        </w:trPr>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705" w:type="dxa"/>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在人口集中地区对树木、花草喷洒剧毒、高毒农药</w:t>
            </w:r>
          </w:p>
        </w:tc>
      </w:tr>
      <w:tr>
        <w:tblPrEx>
          <w:tblCellMar>
            <w:top w:w="15" w:type="dxa"/>
            <w:left w:w="15" w:type="dxa"/>
            <w:bottom w:w="15" w:type="dxa"/>
            <w:right w:w="15" w:type="dxa"/>
          </w:tblCellMar>
        </w:tblPrEx>
        <w:trPr>
          <w:gridBefore w:val="1"/>
          <w:wBefore w:w="23" w:type="dxa"/>
          <w:trHeight w:val="5350" w:hRule="atLeast"/>
        </w:trPr>
        <w:tc>
          <w:tcPr>
            <w:tcW w:w="1391"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705" w:type="dxa"/>
            <w:gridSpan w:val="10"/>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《中华人民共和国大气污染防治法》</w:t>
            </w:r>
          </w:p>
          <w:p>
            <w:pPr>
              <w:adjustRightInd w:val="0"/>
              <w:snapToGrid w:val="0"/>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第七十四条</w:t>
            </w:r>
            <w:r>
              <w:rPr>
                <w:rFonts w:hint="eastAsia"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第二款</w:t>
            </w:r>
            <w:r>
              <w:rPr>
                <w:rFonts w:hint="eastAsia" w:ascii="仿宋_GB2312" w:hAnsi="仿宋_GB2312" w:eastAsia="仿宋_GB2312" w:cs="仿宋_GB2312"/>
                <w:sz w:val="24"/>
              </w:rPr>
              <w:t xml:space="preserve"> </w:t>
            </w:r>
            <w:r>
              <w:rPr>
                <w:rFonts w:hint="eastAsia" w:ascii="仿宋_GB2312" w:hAnsi="仿宋_GB2312" w:eastAsia="仿宋_GB2312" w:cs="仿宋_GB2312"/>
                <w:bCs/>
                <w:sz w:val="24"/>
                <w:szCs w:val="32"/>
              </w:rPr>
              <w:t>禁止在人口集中地区对树木、花草喷洒剧毒、高毒农药。</w:t>
            </w:r>
          </w:p>
          <w:p>
            <w:pPr>
              <w:adjustRightInd w:val="0"/>
              <w:snapToGrid w:val="0"/>
              <w:jc w:val="left"/>
              <w:rPr>
                <w:rFonts w:hint="eastAsia" w:ascii="仿宋_GB2312" w:hAnsi="仿宋_GB2312" w:eastAsia="仿宋_GB2312" w:cs="仿宋_GB2312"/>
                <w:bCs/>
                <w:sz w:val="24"/>
                <w:szCs w:val="32"/>
              </w:rPr>
            </w:pPr>
          </w:p>
          <w:p>
            <w:pPr>
              <w:adjustRightInd w:val="0"/>
              <w:snapToGrid w:val="0"/>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sz w:val="24"/>
                <w:szCs w:val="32"/>
              </w:rPr>
              <w:t>《中华人民共和国大气污染防治法》</w:t>
            </w:r>
          </w:p>
          <w:p>
            <w:pPr>
              <w:adjustRightInd w:val="0"/>
              <w:snapToGrid w:val="0"/>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第一百一十九条 第一款</w:t>
            </w:r>
            <w:r>
              <w:rPr>
                <w:rFonts w:hint="eastAsia" w:ascii="仿宋_GB2312" w:hAnsi="仿宋_GB2312" w:eastAsia="仿宋_GB2312" w:cs="仿宋_GB2312"/>
                <w:sz w:val="24"/>
              </w:rPr>
              <w:t xml:space="preserve"> </w:t>
            </w:r>
            <w:r>
              <w:rPr>
                <w:rFonts w:hint="eastAsia" w:ascii="仿宋_GB2312" w:hAnsi="仿宋_GB2312" w:eastAsia="仿宋_GB2312" w:cs="仿宋_GB2312"/>
                <w:bCs/>
                <w:sz w:val="24"/>
                <w:szCs w:val="32"/>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adjustRightInd w:val="0"/>
              <w:snapToGrid w:val="0"/>
              <w:jc w:val="left"/>
              <w:rPr>
                <w:rFonts w:hint="eastAsia" w:ascii="仿宋_GB2312" w:hAnsi="仿宋_GB2312" w:eastAsia="仿宋_GB2312" w:cs="仿宋_GB2312"/>
                <w:bCs/>
                <w:sz w:val="24"/>
                <w:szCs w:val="32"/>
              </w:rPr>
            </w:pPr>
          </w:p>
          <w:p>
            <w:pPr>
              <w:adjustRightInd w:val="0"/>
              <w:snapToGrid w:val="0"/>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3.</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大气污染防治条例》</w:t>
            </w:r>
          </w:p>
          <w:p>
            <w:pPr>
              <w:adjustRightInd w:val="0"/>
              <w:snapToGrid w:val="0"/>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第五十四条 第二款</w:t>
            </w:r>
            <w:r>
              <w:rPr>
                <w:rFonts w:hint="eastAsia" w:ascii="仿宋_GB2312" w:hAnsi="仿宋_GB2312" w:eastAsia="仿宋_GB2312" w:cs="仿宋_GB2312"/>
                <w:bCs/>
                <w:sz w:val="24"/>
                <w:szCs w:val="32"/>
              </w:rPr>
              <w:t xml:space="preserve"> 县级以上人民政府农业主管部门应当指导农业生产经营者科学合理施用农药、化肥等，降低大气污染物排放量。</w:t>
            </w:r>
          </w:p>
          <w:p>
            <w:pPr>
              <w:adjustRightInd w:val="0"/>
              <w:snapToGrid w:val="0"/>
              <w:jc w:val="left"/>
              <w:rPr>
                <w:rFonts w:hint="eastAsia" w:ascii="仿宋_GB2312" w:hAnsi="仿宋_GB2312" w:eastAsia="仿宋_GB2312" w:cs="仿宋_GB2312"/>
                <w:bCs/>
                <w:sz w:val="24"/>
                <w:szCs w:val="32"/>
              </w:rPr>
            </w:pPr>
          </w:p>
          <w:p>
            <w:pPr>
              <w:adjustRightInd w:val="0"/>
              <w:snapToGrid w:val="0"/>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4.</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大气污染防治条例》</w:t>
            </w:r>
          </w:p>
          <w:p>
            <w:pPr>
              <w:adjustRightInd w:val="0"/>
              <w:snapToGrid w:val="0"/>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第八十七条</w:t>
            </w:r>
            <w:r>
              <w:rPr>
                <w:rFonts w:hint="eastAsia" w:ascii="仿宋_GB2312" w:hAnsi="仿宋_GB2312" w:eastAsia="仿宋_GB2312" w:cs="仿宋_GB2312"/>
                <w:bCs/>
                <w:sz w:val="24"/>
                <w:szCs w:val="32"/>
              </w:rPr>
              <w:t xml:space="preserve"> 违反本条例规定，露天焚烧秸秆、落叶、枯草等产生烟尘污染的物质，在禁止燃放区域或者重污染天气应急响应时燃放烟花爆竹，或者在人口集中地区对树木、花草喷洒剧毒、高毒农药的，由县级以上人民政府确定的监督管理部门责令改正，并可以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90" w:hRule="atLeast"/>
        </w:trPr>
        <w:tc>
          <w:tcPr>
            <w:tcW w:w="4342" w:type="dxa"/>
            <w:gridSpan w:val="8"/>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754"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470" w:hRule="atLeast"/>
        </w:trPr>
        <w:tc>
          <w:tcPr>
            <w:tcW w:w="1659" w:type="dxa"/>
            <w:gridSpan w:val="4"/>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35"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419"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3" w:hRule="atLeast"/>
        </w:trPr>
        <w:tc>
          <w:tcPr>
            <w:tcW w:w="1659" w:type="dxa"/>
            <w:gridSpan w:val="4"/>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335" w:type="dxa"/>
            <w:gridSpan w:val="3"/>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Cs/>
                <w:sz w:val="24"/>
              </w:rPr>
              <w:t>喷洒剧毒、高毒农药占地面积1平方米以下的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83" w:hRule="atLeast"/>
        </w:trPr>
        <w:tc>
          <w:tcPr>
            <w:tcW w:w="1659" w:type="dxa"/>
            <w:gridSpan w:val="4"/>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3"/>
            <w:noWrap w:val="0"/>
            <w:vAlign w:val="center"/>
          </w:tcPr>
          <w:p>
            <w:pPr>
              <w:adjustRightInd w:val="0"/>
              <w:snapToGrid w:val="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喷洒剧毒、高毒农药占地面积1平方米以上10平方米以下的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62" w:hRule="atLeast"/>
        </w:trPr>
        <w:tc>
          <w:tcPr>
            <w:tcW w:w="1659" w:type="dxa"/>
            <w:gridSpan w:val="4"/>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3"/>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Cs/>
                <w:sz w:val="24"/>
              </w:rPr>
              <w:t>喷洒剧毒、高毒农药</w:t>
            </w:r>
            <w:r>
              <w:rPr>
                <w:rFonts w:hint="eastAsia" w:ascii="仿宋_GB2312" w:hAnsi="仿宋_GB2312" w:eastAsia="仿宋_GB2312" w:cs="仿宋_GB2312"/>
                <w:sz w:val="24"/>
              </w:rPr>
              <w:t>占地面积10平方米以上</w:t>
            </w:r>
          </w:p>
        </w:tc>
        <w:tc>
          <w:tcPr>
            <w:tcW w:w="1419"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62" w:hRule="atLeast"/>
        </w:trPr>
        <w:tc>
          <w:tcPr>
            <w:tcW w:w="1659" w:type="dxa"/>
            <w:gridSpan w:val="4"/>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5"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204" w:hRule="atLeast"/>
        </w:trPr>
        <w:tc>
          <w:tcPr>
            <w:tcW w:w="1659" w:type="dxa"/>
            <w:gridSpan w:val="4"/>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204" w:hRule="atLeast"/>
        </w:trPr>
        <w:tc>
          <w:tcPr>
            <w:tcW w:w="1659" w:type="dxa"/>
            <w:gridSpan w:val="4"/>
            <w:vMerge w:val="continue"/>
            <w:tcBorders>
              <w:right w:val="single" w:color="auto" w:sz="4" w:space="0"/>
            </w:tcBorders>
            <w:noWrap w:val="0"/>
            <w:vAlign w:val="center"/>
          </w:tcPr>
          <w:p>
            <w:pPr>
              <w:jc w:val="left"/>
            </w:pPr>
          </w:p>
        </w:tc>
        <w:tc>
          <w:tcPr>
            <w:tcW w:w="1890" w:type="dxa"/>
            <w:gridSpan w:val="2"/>
            <w:vMerge w:val="continue"/>
            <w:tcBorders>
              <w:left w:val="single" w:color="auto" w:sz="4" w:space="0"/>
            </w:tcBorders>
            <w:noWrap w:val="0"/>
            <w:vAlign w:val="center"/>
          </w:tcPr>
          <w:p>
            <w:pPr>
              <w:jc w:val="center"/>
              <w:rPr>
                <w:sz w:val="24"/>
              </w:rPr>
            </w:pPr>
          </w:p>
        </w:tc>
        <w:tc>
          <w:tcPr>
            <w:tcW w:w="793" w:type="dxa"/>
            <w:gridSpan w:val="2"/>
            <w:vMerge w:val="continue"/>
            <w:noWrap w:val="0"/>
            <w:vAlign w:val="center"/>
          </w:tcPr>
          <w:p>
            <w:pPr>
              <w:jc w:val="center"/>
              <w:rPr>
                <w:sz w:val="24"/>
              </w:rPr>
            </w:pPr>
          </w:p>
        </w:tc>
        <w:tc>
          <w:tcPr>
            <w:tcW w:w="3335"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204" w:hRule="atLeast"/>
        </w:trPr>
        <w:tc>
          <w:tcPr>
            <w:tcW w:w="1659" w:type="dxa"/>
            <w:gridSpan w:val="4"/>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90" w:hRule="atLeast"/>
        </w:trPr>
        <w:tc>
          <w:tcPr>
            <w:tcW w:w="1659" w:type="dxa"/>
            <w:gridSpan w:val="4"/>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35"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138" w:hRule="atLeast"/>
        </w:trPr>
        <w:tc>
          <w:tcPr>
            <w:tcW w:w="1659" w:type="dxa"/>
            <w:gridSpan w:val="4"/>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3"/>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395" w:hRule="atLeast"/>
        </w:trPr>
        <w:tc>
          <w:tcPr>
            <w:tcW w:w="1659" w:type="dxa"/>
            <w:gridSpan w:val="4"/>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5" w:type="dxa"/>
            <w:gridSpan w:val="3"/>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 w:type="dxa"/>
          <w:trHeight w:val="384" w:hRule="atLeast"/>
        </w:trPr>
        <w:tc>
          <w:tcPr>
            <w:tcW w:w="1659" w:type="dxa"/>
            <w:gridSpan w:val="4"/>
            <w:vMerge w:val="continue"/>
            <w:noWrap w:val="0"/>
            <w:vAlign w:val="center"/>
          </w:tcPr>
          <w:p>
            <w:pPr>
              <w:jc w:val="center"/>
              <w:rPr>
                <w:rFonts w:hint="eastAsia" w:ascii="仿宋_GB2312" w:hAnsi="仿宋_GB2312" w:eastAsia="仿宋_GB2312" w:cs="仿宋_GB2312"/>
                <w:b/>
                <w:bCs/>
                <w:sz w:val="24"/>
                <w:szCs w:val="32"/>
              </w:rPr>
            </w:pPr>
          </w:p>
        </w:tc>
        <w:tc>
          <w:tcPr>
            <w:tcW w:w="1890" w:type="dxa"/>
            <w:gridSpan w:val="2"/>
            <w:vMerge w:val="continue"/>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rPr>
                <w:rFonts w:hint="eastAsia" w:ascii="仿宋_GB2312" w:hAnsi="仿宋_GB2312" w:eastAsia="仿宋_GB2312" w:cs="仿宋_GB2312"/>
                <w:sz w:val="24"/>
              </w:rPr>
            </w:pPr>
          </w:p>
        </w:tc>
        <w:tc>
          <w:tcPr>
            <w:tcW w:w="3335" w:type="dxa"/>
            <w:gridSpan w:val="3"/>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未造成社会影响或生态破坏的</w:t>
            </w:r>
          </w:p>
        </w:tc>
        <w:tc>
          <w:tcPr>
            <w:tcW w:w="141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15" w:type="dxa"/>
            <w:left w:w="15" w:type="dxa"/>
            <w:bottom w:w="15" w:type="dxa"/>
            <w:right w:w="15" w:type="dxa"/>
          </w:tblCellMar>
        </w:tblPrEx>
        <w:trPr>
          <w:gridAfter w:val="1"/>
          <w:wAfter w:w="28" w:type="dxa"/>
          <w:trHeight w:val="681" w:hRule="atLeast"/>
        </w:trPr>
        <w:tc>
          <w:tcPr>
            <w:tcW w:w="909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gridAfter w:val="1"/>
          <w:wAfter w:w="28" w:type="dxa"/>
          <w:trHeight w:val="510" w:hRule="atLeast"/>
        </w:trPr>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194</w:t>
            </w:r>
          </w:p>
        </w:tc>
      </w:tr>
      <w:tr>
        <w:tblPrEx>
          <w:tblCellMar>
            <w:top w:w="15" w:type="dxa"/>
            <w:left w:w="15" w:type="dxa"/>
            <w:bottom w:w="15" w:type="dxa"/>
            <w:right w:w="15" w:type="dxa"/>
          </w:tblCellMar>
        </w:tblPrEx>
        <w:trPr>
          <w:gridAfter w:val="1"/>
          <w:wAfter w:w="28" w:type="dxa"/>
          <w:trHeight w:val="510" w:hRule="atLeast"/>
        </w:trPr>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11"/>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露天焚烧秸秆、落叶等产生烟尘污染的物质的</w:t>
            </w:r>
          </w:p>
        </w:tc>
      </w:tr>
      <w:tr>
        <w:tblPrEx>
          <w:tblCellMar>
            <w:top w:w="15" w:type="dxa"/>
            <w:left w:w="15" w:type="dxa"/>
            <w:bottom w:w="15" w:type="dxa"/>
            <w:right w:w="15" w:type="dxa"/>
          </w:tblCellMar>
        </w:tblPrEx>
        <w:trPr>
          <w:gridAfter w:val="1"/>
          <w:wAfter w:w="28" w:type="dxa"/>
          <w:trHeight w:val="90" w:hRule="atLeast"/>
        </w:trPr>
        <w:tc>
          <w:tcPr>
            <w:tcW w:w="1211" w:type="dxa"/>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880"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《中华人民共和国大气污染防治法》</w:t>
            </w:r>
          </w:p>
          <w:p>
            <w:pPr>
              <w:adjustRightInd w:val="0"/>
              <w:snapToGrid w:val="0"/>
              <w:spacing w:line="260" w:lineRule="exact"/>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 xml:space="preserve">第七十七条 </w:t>
            </w:r>
            <w:r>
              <w:rPr>
                <w:rFonts w:hint="eastAsia" w:ascii="仿宋_GB2312" w:hAnsi="仿宋_GB2312" w:eastAsia="仿宋_GB2312" w:cs="仿宋_GB2312"/>
                <w:bCs/>
                <w:sz w:val="24"/>
                <w:szCs w:val="32"/>
              </w:rPr>
              <w:t>省、自治区、直辖市人民政府应当划定区域，禁止露天焚烧秸秆、落叶等产生烟尘污染的物质。</w:t>
            </w:r>
          </w:p>
          <w:p>
            <w:pPr>
              <w:adjustRightInd w:val="0"/>
              <w:snapToGrid w:val="0"/>
              <w:spacing w:line="260" w:lineRule="exact"/>
              <w:jc w:val="left"/>
              <w:rPr>
                <w:rFonts w:hint="eastAsia" w:ascii="仿宋_GB2312" w:hAnsi="仿宋_GB2312" w:eastAsia="仿宋_GB2312" w:cs="仿宋_GB2312"/>
                <w:bCs/>
                <w:sz w:val="24"/>
                <w:szCs w:val="32"/>
              </w:rPr>
            </w:pPr>
          </w:p>
          <w:p>
            <w:pPr>
              <w:adjustRightInd w:val="0"/>
              <w:snapToGrid w:val="0"/>
              <w:spacing w:line="260" w:lineRule="exact"/>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2.</w:t>
            </w:r>
            <w:r>
              <w:rPr>
                <w:rFonts w:hint="eastAsia" w:ascii="仿宋_GB2312" w:hAnsi="仿宋_GB2312" w:eastAsia="仿宋_GB2312" w:cs="仿宋_GB2312"/>
                <w:b/>
                <w:sz w:val="24"/>
                <w:szCs w:val="32"/>
              </w:rPr>
              <w:t>《中华人民共和国大气污染防治法》</w:t>
            </w:r>
          </w:p>
          <w:p>
            <w:pPr>
              <w:adjustRightInd w:val="0"/>
              <w:snapToGrid w:val="0"/>
              <w:spacing w:line="260" w:lineRule="exact"/>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第一百一十九条</w:t>
            </w:r>
            <w:r>
              <w:rPr>
                <w:rFonts w:ascii="仿宋_GB2312" w:hAnsi="仿宋_GB2312" w:eastAsia="仿宋_GB2312" w:cs="仿宋_GB2312"/>
                <w:bCs/>
                <w:sz w:val="24"/>
                <w:szCs w:val="32"/>
              </w:rPr>
              <w:t xml:space="preserve"> </w:t>
            </w:r>
            <w:r>
              <w:rPr>
                <w:rFonts w:hint="eastAsia" w:ascii="仿宋_GB2312" w:hAnsi="仿宋_GB2312" w:eastAsia="仿宋_GB2312" w:cs="仿宋_GB2312"/>
                <w:b/>
                <w:sz w:val="24"/>
                <w:szCs w:val="32"/>
              </w:rPr>
              <w:t>第一款</w:t>
            </w:r>
            <w:r>
              <w:rPr>
                <w:rFonts w:hint="eastAsia" w:ascii="仿宋_GB2312" w:hAnsi="仿宋_GB2312" w:eastAsia="仿宋_GB2312" w:cs="仿宋_GB2312"/>
                <w:sz w:val="24"/>
              </w:rPr>
              <w:t xml:space="preserve"> </w:t>
            </w:r>
            <w:r>
              <w:rPr>
                <w:rFonts w:hint="eastAsia" w:ascii="仿宋_GB2312" w:hAnsi="仿宋_GB2312" w:eastAsia="仿宋_GB2312" w:cs="仿宋_GB2312"/>
                <w:bCs/>
                <w:sz w:val="24"/>
                <w:szCs w:val="32"/>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adjustRightInd w:val="0"/>
              <w:snapToGrid w:val="0"/>
              <w:spacing w:line="260" w:lineRule="exact"/>
              <w:jc w:val="left"/>
              <w:rPr>
                <w:rFonts w:hint="eastAsia" w:ascii="仿宋_GB2312" w:hAnsi="仿宋_GB2312" w:eastAsia="仿宋_GB2312" w:cs="仿宋_GB2312"/>
                <w:bCs/>
                <w:sz w:val="24"/>
                <w:szCs w:val="32"/>
              </w:rPr>
            </w:pPr>
          </w:p>
          <w:p>
            <w:pPr>
              <w:adjustRightInd w:val="0"/>
              <w:snapToGrid w:val="0"/>
              <w:spacing w:line="260" w:lineRule="exact"/>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3.</w:t>
            </w:r>
            <w:r>
              <w:rPr>
                <w:rFonts w:hint="eastAsia" w:ascii="仿宋_GB2312" w:hAnsi="仿宋_GB2312" w:eastAsia="仿宋_GB2312" w:cs="仿宋_GB2312"/>
                <w:b/>
                <w:sz w:val="24"/>
                <w:szCs w:val="32"/>
              </w:rPr>
              <w:t>《河北省大气污染防治条例》</w:t>
            </w:r>
          </w:p>
          <w:p>
            <w:pPr>
              <w:adjustRightInd w:val="0"/>
              <w:snapToGrid w:val="0"/>
              <w:spacing w:line="26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4"/>
                <w:szCs w:val="32"/>
              </w:rPr>
              <w:t xml:space="preserve">第五十条 </w:t>
            </w:r>
            <w:r>
              <w:rPr>
                <w:rFonts w:hint="eastAsia" w:ascii="仿宋_GB2312" w:hAnsi="仿宋_GB2312" w:eastAsia="仿宋_GB2312" w:cs="仿宋_GB2312"/>
                <w:sz w:val="24"/>
              </w:rPr>
              <w:t>禁止露天焚烧秸秆、落叶、枯草等产生烟尘污染的物质，以及电子废弃物、油毡、橡胶、塑料、皮革、沥青、垃圾等产生有毒有害、恶臭或者强烈异味气体的物质。</w:t>
            </w:r>
          </w:p>
          <w:p>
            <w:pPr>
              <w:adjustRightInd w:val="0"/>
              <w:snapToGrid w:val="0"/>
              <w:spacing w:line="260" w:lineRule="exact"/>
              <w:jc w:val="left"/>
              <w:rPr>
                <w:rFonts w:hint="eastAsia" w:ascii="仿宋_GB2312" w:hAnsi="仿宋_GB2312" w:eastAsia="仿宋_GB2312" w:cs="仿宋_GB2312"/>
                <w:sz w:val="24"/>
              </w:rPr>
            </w:pPr>
          </w:p>
          <w:p>
            <w:pPr>
              <w:adjustRightInd w:val="0"/>
              <w:snapToGrid w:val="0"/>
              <w:spacing w:line="260" w:lineRule="exact"/>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4.</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大气污染防治条例》</w:t>
            </w:r>
          </w:p>
          <w:p>
            <w:pPr>
              <w:adjustRightInd w:val="0"/>
              <w:snapToGrid w:val="0"/>
              <w:spacing w:line="260" w:lineRule="exact"/>
              <w:jc w:val="left"/>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第八十七条</w:t>
            </w:r>
            <w:r>
              <w:rPr>
                <w:rFonts w:hint="eastAsia" w:ascii="仿宋_GB2312" w:hAnsi="仿宋_GB2312" w:eastAsia="仿宋_GB2312" w:cs="仿宋_GB2312"/>
                <w:bCs/>
                <w:sz w:val="24"/>
                <w:szCs w:val="32"/>
              </w:rPr>
              <w:t xml:space="preserve"> 违反本条例规定，露天焚烧秸秆、落叶、枯草等产生烟尘污染的物质，在禁止燃放区域或者重污染天气应急响应时燃放烟花爆竹，或者在人口集中地区对树木、花草喷洒剧毒、高毒农药的，由县级以上人民政府确定的监督管理部门责令改正，并可以处五百元以上二千元以下罚款。</w:t>
            </w:r>
          </w:p>
          <w:p>
            <w:pPr>
              <w:adjustRightInd w:val="0"/>
              <w:snapToGrid w:val="0"/>
              <w:spacing w:line="260" w:lineRule="exact"/>
              <w:jc w:val="left"/>
              <w:rPr>
                <w:rFonts w:hint="eastAsia" w:ascii="仿宋_GB2312" w:hAnsi="仿宋_GB2312" w:eastAsia="仿宋_GB2312" w:cs="仿宋_GB2312"/>
                <w:bCs/>
                <w:sz w:val="24"/>
                <w:szCs w:val="32"/>
              </w:rPr>
            </w:pPr>
          </w:p>
          <w:p>
            <w:pPr>
              <w:adjustRightInd w:val="0"/>
              <w:snapToGrid w:val="0"/>
              <w:spacing w:line="260" w:lineRule="exact"/>
              <w:jc w:val="left"/>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5.</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人民代表大会常务委员会关于促进农作物秸秆综合利用和禁止露天焚烧的决定》</w:t>
            </w:r>
          </w:p>
          <w:p>
            <w:pPr>
              <w:adjustRightInd w:val="0"/>
              <w:snapToGrid w:val="0"/>
              <w:spacing w:line="260" w:lineRule="exact"/>
              <w:jc w:val="left"/>
              <w:rPr>
                <w:rFonts w:ascii="仿宋_GB2312" w:hAnsi="仿宋_GB2312" w:eastAsia="仿宋_GB2312" w:cs="仿宋_GB2312"/>
                <w:bCs/>
                <w:sz w:val="24"/>
                <w:szCs w:val="32"/>
              </w:rPr>
            </w:pPr>
            <w:r>
              <w:rPr>
                <w:rFonts w:hint="eastAsia" w:ascii="仿宋_GB2312" w:hAnsi="仿宋_GB2312" w:eastAsia="仿宋_GB2312" w:cs="仿宋_GB2312"/>
                <w:b/>
                <w:sz w:val="24"/>
                <w:szCs w:val="32"/>
              </w:rPr>
              <w:t>第二十四条</w:t>
            </w:r>
            <w:r>
              <w:rPr>
                <w:rFonts w:hint="eastAsia" w:ascii="仿宋_GB2312" w:hAnsi="仿宋_GB2312" w:eastAsia="仿宋_GB2312" w:cs="仿宋_GB2312"/>
                <w:bCs/>
                <w:sz w:val="24"/>
                <w:szCs w:val="32"/>
              </w:rPr>
              <w:t xml:space="preserve"> 违反本决定有关规定，露天焚烧秸秆及树叶、荒草等的，由所在地县级人民政府环境保护行政主管部门责令停止违法行为，并处五百元以上二千元以下罚款；情节严重，尚不构成犯罪的，由当地公安机关依据《中华人民共和国治安管理处罚法》进行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14" w:hRule="atLeast"/>
        </w:trPr>
        <w:tc>
          <w:tcPr>
            <w:tcW w:w="4066" w:type="dxa"/>
            <w:gridSpan w:val="8"/>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70" w:hRule="atLeast"/>
        </w:trPr>
        <w:tc>
          <w:tcPr>
            <w:tcW w:w="1383" w:type="dxa"/>
            <w:gridSpan w:val="3"/>
            <w:noWrap w:val="0"/>
            <w:vAlign w:val="center"/>
          </w:tcPr>
          <w:p>
            <w:pPr>
              <w:spacing w:line="27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gridSpan w:val="3"/>
            <w:noWrap w:val="0"/>
            <w:vAlign w:val="center"/>
          </w:tcPr>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gridSpan w:val="2"/>
            <w:noWrap w:val="0"/>
            <w:vAlign w:val="center"/>
          </w:tcPr>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566" w:type="dxa"/>
            <w:gridSpan w:val="3"/>
            <w:noWrap w:val="0"/>
            <w:vAlign w:val="center"/>
          </w:tcPr>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459" w:type="dxa"/>
            <w:gridSpan w:val="2"/>
            <w:noWrap w:val="0"/>
            <w:vAlign w:val="center"/>
          </w:tcPr>
          <w:p>
            <w:pPr>
              <w:spacing w:line="270" w:lineRule="exact"/>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83" w:hRule="atLeast"/>
        </w:trPr>
        <w:tc>
          <w:tcPr>
            <w:tcW w:w="1383" w:type="dxa"/>
            <w:gridSpan w:val="3"/>
            <w:vMerge w:val="restart"/>
            <w:tcBorders>
              <w:right w:val="single" w:color="auto" w:sz="4" w:space="0"/>
            </w:tcBorders>
            <w:noWrap w:val="0"/>
            <w:vAlign w:val="center"/>
          </w:tcPr>
          <w:p>
            <w:pPr>
              <w:spacing w:line="27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gridSpan w:val="3"/>
            <w:vMerge w:val="restart"/>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gridSpan w:val="2"/>
            <w:vMerge w:val="restart"/>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bCs/>
                <w:sz w:val="24"/>
              </w:rPr>
              <w:t>焚烧物占地面积1平方米以下</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83" w:hRule="atLeast"/>
        </w:trPr>
        <w:tc>
          <w:tcPr>
            <w:tcW w:w="1383" w:type="dxa"/>
            <w:gridSpan w:val="3"/>
            <w:vMerge w:val="continue"/>
            <w:tcBorders>
              <w:right w:val="single" w:color="auto" w:sz="4" w:space="0"/>
            </w:tcBorders>
            <w:noWrap w:val="0"/>
            <w:vAlign w:val="center"/>
          </w:tcPr>
          <w:p>
            <w:pPr>
              <w:spacing w:line="270" w:lineRule="exact"/>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p>
        </w:tc>
        <w:tc>
          <w:tcPr>
            <w:tcW w:w="793" w:type="dxa"/>
            <w:gridSpan w:val="2"/>
            <w:vMerge w:val="continue"/>
            <w:noWrap w:val="0"/>
            <w:vAlign w:val="center"/>
          </w:tcPr>
          <w:p>
            <w:pPr>
              <w:spacing w:line="270" w:lineRule="exact"/>
              <w:jc w:val="center"/>
              <w:rPr>
                <w:rFonts w:hint="eastAsia" w:ascii="仿宋_GB2312" w:hAnsi="仿宋_GB2312" w:eastAsia="仿宋_GB2312" w:cs="仿宋_GB2312"/>
                <w:sz w:val="24"/>
              </w:rPr>
            </w:pPr>
          </w:p>
        </w:tc>
        <w:tc>
          <w:tcPr>
            <w:tcW w:w="3566" w:type="dxa"/>
            <w:gridSpan w:val="3"/>
            <w:noWrap w:val="0"/>
            <w:vAlign w:val="center"/>
          </w:tcPr>
          <w:p>
            <w:pPr>
              <w:spacing w:line="27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焚烧物占地面积1平方米以上10平方米以下</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62" w:hRule="atLeast"/>
        </w:trPr>
        <w:tc>
          <w:tcPr>
            <w:tcW w:w="1383" w:type="dxa"/>
            <w:gridSpan w:val="3"/>
            <w:vMerge w:val="continue"/>
            <w:tcBorders>
              <w:right w:val="single" w:color="auto" w:sz="4" w:space="0"/>
            </w:tcBorders>
            <w:noWrap w:val="0"/>
            <w:vAlign w:val="center"/>
          </w:tcPr>
          <w:p>
            <w:pPr>
              <w:spacing w:line="270" w:lineRule="exact"/>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p>
        </w:tc>
        <w:tc>
          <w:tcPr>
            <w:tcW w:w="793" w:type="dxa"/>
            <w:gridSpan w:val="2"/>
            <w:vMerge w:val="continue"/>
            <w:noWrap w:val="0"/>
            <w:vAlign w:val="center"/>
          </w:tcPr>
          <w:p>
            <w:pPr>
              <w:spacing w:line="270" w:lineRule="exact"/>
              <w:jc w:val="center"/>
              <w:rPr>
                <w:rFonts w:hint="eastAsia" w:ascii="仿宋_GB2312" w:hAnsi="仿宋_GB2312" w:eastAsia="仿宋_GB2312" w:cs="仿宋_GB2312"/>
                <w:sz w:val="24"/>
              </w:rPr>
            </w:pP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bCs/>
                <w:sz w:val="24"/>
              </w:rPr>
              <w:t>焚烧物</w:t>
            </w:r>
            <w:r>
              <w:rPr>
                <w:rFonts w:hint="eastAsia" w:ascii="仿宋_GB2312" w:hAnsi="仿宋_GB2312" w:eastAsia="仿宋_GB2312" w:cs="仿宋_GB2312"/>
                <w:sz w:val="24"/>
              </w:rPr>
              <w:t>占地面积10平方米以上</w:t>
            </w:r>
          </w:p>
        </w:tc>
        <w:tc>
          <w:tcPr>
            <w:tcW w:w="1459" w:type="dxa"/>
            <w:gridSpan w:val="2"/>
            <w:noWrap w:val="0"/>
            <w:vAlign w:val="center"/>
          </w:tcPr>
          <w:p>
            <w:pPr>
              <w:spacing w:line="270" w:lineRule="exact"/>
              <w:jc w:val="center"/>
              <w:rPr>
                <w:rFonts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62" w:hRule="atLeast"/>
        </w:trPr>
        <w:tc>
          <w:tcPr>
            <w:tcW w:w="1383" w:type="dxa"/>
            <w:gridSpan w:val="3"/>
            <w:vMerge w:val="restart"/>
            <w:tcBorders>
              <w:right w:val="single" w:color="auto" w:sz="4" w:space="0"/>
            </w:tcBorders>
            <w:noWrap w:val="0"/>
            <w:vAlign w:val="center"/>
          </w:tcPr>
          <w:p>
            <w:pPr>
              <w:spacing w:line="27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gridSpan w:val="3"/>
            <w:vMerge w:val="restart"/>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w:t>
            </w:r>
          </w:p>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次数</w:t>
            </w:r>
          </w:p>
        </w:tc>
        <w:tc>
          <w:tcPr>
            <w:tcW w:w="793" w:type="dxa"/>
            <w:gridSpan w:val="2"/>
            <w:vMerge w:val="restart"/>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04" w:hRule="atLeast"/>
        </w:trPr>
        <w:tc>
          <w:tcPr>
            <w:tcW w:w="1383" w:type="dxa"/>
            <w:gridSpan w:val="3"/>
            <w:vMerge w:val="continue"/>
            <w:tcBorders>
              <w:right w:val="single" w:color="auto" w:sz="4" w:space="0"/>
            </w:tcBorders>
            <w:noWrap w:val="0"/>
            <w:vAlign w:val="center"/>
          </w:tcPr>
          <w:p>
            <w:pPr>
              <w:spacing w:line="270" w:lineRule="exact"/>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p>
        </w:tc>
        <w:tc>
          <w:tcPr>
            <w:tcW w:w="793" w:type="dxa"/>
            <w:gridSpan w:val="2"/>
            <w:vMerge w:val="continue"/>
            <w:noWrap w:val="0"/>
            <w:vAlign w:val="center"/>
          </w:tcPr>
          <w:p>
            <w:pPr>
              <w:spacing w:line="270" w:lineRule="exact"/>
              <w:jc w:val="center"/>
              <w:rPr>
                <w:rFonts w:hint="eastAsia" w:ascii="仿宋_GB2312" w:hAnsi="仿宋_GB2312" w:eastAsia="仿宋_GB2312" w:cs="仿宋_GB2312"/>
                <w:sz w:val="24"/>
              </w:rPr>
            </w:pP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04" w:hRule="atLeast"/>
        </w:trPr>
        <w:tc>
          <w:tcPr>
            <w:tcW w:w="1383" w:type="dxa"/>
            <w:gridSpan w:val="3"/>
            <w:vMerge w:val="continue"/>
            <w:tcBorders>
              <w:right w:val="single" w:color="auto" w:sz="4" w:space="0"/>
            </w:tcBorders>
            <w:noWrap w:val="0"/>
            <w:vAlign w:val="center"/>
          </w:tcPr>
          <w:p>
            <w:pPr>
              <w:spacing w:line="270" w:lineRule="exact"/>
              <w:jc w:val="left"/>
            </w:pPr>
          </w:p>
        </w:tc>
        <w:tc>
          <w:tcPr>
            <w:tcW w:w="1890" w:type="dxa"/>
            <w:gridSpan w:val="3"/>
            <w:vMerge w:val="continue"/>
            <w:tcBorders>
              <w:left w:val="single" w:color="auto" w:sz="4" w:space="0"/>
            </w:tcBorders>
            <w:noWrap w:val="0"/>
            <w:vAlign w:val="center"/>
          </w:tcPr>
          <w:p>
            <w:pPr>
              <w:spacing w:line="270" w:lineRule="exact"/>
              <w:jc w:val="center"/>
              <w:rPr>
                <w:sz w:val="24"/>
              </w:rPr>
            </w:pPr>
          </w:p>
        </w:tc>
        <w:tc>
          <w:tcPr>
            <w:tcW w:w="793" w:type="dxa"/>
            <w:gridSpan w:val="2"/>
            <w:vMerge w:val="continue"/>
            <w:noWrap w:val="0"/>
            <w:vAlign w:val="center"/>
          </w:tcPr>
          <w:p>
            <w:pPr>
              <w:spacing w:line="270" w:lineRule="exact"/>
              <w:jc w:val="center"/>
              <w:rPr>
                <w:sz w:val="24"/>
              </w:rPr>
            </w:pP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04" w:hRule="atLeast"/>
        </w:trPr>
        <w:tc>
          <w:tcPr>
            <w:tcW w:w="1383" w:type="dxa"/>
            <w:gridSpan w:val="3"/>
            <w:vMerge w:val="continue"/>
            <w:tcBorders>
              <w:right w:val="single" w:color="auto" w:sz="4" w:space="0"/>
            </w:tcBorders>
            <w:noWrap w:val="0"/>
            <w:vAlign w:val="center"/>
          </w:tcPr>
          <w:p>
            <w:pPr>
              <w:spacing w:line="270" w:lineRule="exact"/>
              <w:jc w:val="left"/>
              <w:rPr>
                <w:rFonts w:hint="eastAsia" w:ascii="仿宋_GB2312" w:hAnsi="仿宋_GB2312" w:eastAsia="仿宋_GB2312" w:cs="仿宋_GB2312"/>
                <w:sz w:val="24"/>
                <w:szCs w:val="32"/>
              </w:rPr>
            </w:pPr>
          </w:p>
        </w:tc>
        <w:tc>
          <w:tcPr>
            <w:tcW w:w="1890" w:type="dxa"/>
            <w:gridSpan w:val="3"/>
            <w:vMerge w:val="continue"/>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p>
        </w:tc>
        <w:tc>
          <w:tcPr>
            <w:tcW w:w="793" w:type="dxa"/>
            <w:gridSpan w:val="2"/>
            <w:vMerge w:val="continue"/>
            <w:noWrap w:val="0"/>
            <w:vAlign w:val="center"/>
          </w:tcPr>
          <w:p>
            <w:pPr>
              <w:spacing w:line="270" w:lineRule="exact"/>
              <w:jc w:val="center"/>
              <w:rPr>
                <w:rFonts w:hint="eastAsia" w:ascii="仿宋_GB2312" w:hAnsi="仿宋_GB2312" w:eastAsia="仿宋_GB2312" w:cs="仿宋_GB2312"/>
                <w:sz w:val="24"/>
              </w:rPr>
            </w:pP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90" w:hRule="atLeast"/>
        </w:trPr>
        <w:tc>
          <w:tcPr>
            <w:tcW w:w="1383" w:type="dxa"/>
            <w:gridSpan w:val="3"/>
            <w:vMerge w:val="restart"/>
            <w:tcBorders>
              <w:right w:val="single" w:color="auto" w:sz="4" w:space="0"/>
            </w:tcBorders>
            <w:noWrap w:val="0"/>
            <w:vAlign w:val="center"/>
          </w:tcPr>
          <w:p>
            <w:pPr>
              <w:spacing w:line="27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gridSpan w:val="3"/>
            <w:vMerge w:val="restart"/>
            <w:tcBorders>
              <w:left w:val="single" w:color="auto" w:sz="4" w:space="0"/>
            </w:tcBorders>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gridSpan w:val="2"/>
            <w:vMerge w:val="restart"/>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38" w:hRule="atLeast"/>
        </w:trPr>
        <w:tc>
          <w:tcPr>
            <w:tcW w:w="1383" w:type="dxa"/>
            <w:gridSpan w:val="3"/>
            <w:vMerge w:val="continue"/>
            <w:tcBorders>
              <w:right w:val="single" w:color="auto" w:sz="4" w:space="0"/>
            </w:tcBorders>
            <w:noWrap w:val="0"/>
            <w:vAlign w:val="center"/>
          </w:tcPr>
          <w:p>
            <w:pPr>
              <w:spacing w:line="270" w:lineRule="exact"/>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spacing w:line="270" w:lineRule="exact"/>
              <w:jc w:val="left"/>
              <w:rPr>
                <w:rFonts w:hint="eastAsia" w:ascii="仿宋_GB2312" w:hAnsi="仿宋_GB2312" w:eastAsia="仿宋_GB2312" w:cs="仿宋_GB2312"/>
                <w:sz w:val="24"/>
              </w:rPr>
            </w:pPr>
          </w:p>
        </w:tc>
        <w:tc>
          <w:tcPr>
            <w:tcW w:w="793" w:type="dxa"/>
            <w:gridSpan w:val="2"/>
            <w:vMerge w:val="continue"/>
            <w:noWrap w:val="0"/>
            <w:vAlign w:val="center"/>
          </w:tcPr>
          <w:p>
            <w:pPr>
              <w:spacing w:line="270" w:lineRule="exact"/>
              <w:jc w:val="center"/>
              <w:rPr>
                <w:rFonts w:hint="eastAsia" w:ascii="仿宋_GB2312" w:hAnsi="仿宋_GB2312" w:eastAsia="仿宋_GB2312" w:cs="仿宋_GB2312"/>
                <w:sz w:val="24"/>
              </w:rPr>
            </w:pPr>
          </w:p>
        </w:tc>
        <w:tc>
          <w:tcPr>
            <w:tcW w:w="3566" w:type="dxa"/>
            <w:gridSpan w:val="3"/>
            <w:noWrap w:val="0"/>
            <w:vAlign w:val="center"/>
          </w:tcPr>
          <w:p>
            <w:pPr>
              <w:spacing w:line="27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5" w:hRule="atLeast"/>
        </w:trPr>
        <w:tc>
          <w:tcPr>
            <w:tcW w:w="1383" w:type="dxa"/>
            <w:gridSpan w:val="3"/>
            <w:vMerge w:val="restart"/>
            <w:noWrap w:val="0"/>
            <w:vAlign w:val="center"/>
          </w:tcPr>
          <w:p>
            <w:pPr>
              <w:spacing w:line="270" w:lineRule="exact"/>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gridSpan w:val="3"/>
            <w:vMerge w:val="restart"/>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gridSpan w:val="2"/>
            <w:vMerge w:val="restart"/>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566" w:type="dxa"/>
            <w:gridSpan w:val="3"/>
            <w:noWrap w:val="0"/>
            <w:vAlign w:val="center"/>
          </w:tcPr>
          <w:p>
            <w:pPr>
              <w:spacing w:line="270" w:lineRule="exact"/>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459" w:type="dxa"/>
            <w:gridSpan w:val="2"/>
            <w:noWrap w:val="0"/>
            <w:vAlign w:val="center"/>
          </w:tcPr>
          <w:p>
            <w:pPr>
              <w:spacing w:line="27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84" w:hRule="atLeast"/>
        </w:trPr>
        <w:tc>
          <w:tcPr>
            <w:tcW w:w="1383"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890" w:type="dxa"/>
            <w:gridSpan w:val="3"/>
            <w:vMerge w:val="continue"/>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rPr>
                <w:rFonts w:hint="eastAsia" w:ascii="仿宋_GB2312" w:hAnsi="仿宋_GB2312" w:eastAsia="仿宋_GB2312" w:cs="仿宋_GB2312"/>
                <w:sz w:val="24"/>
              </w:rPr>
            </w:pPr>
          </w:p>
        </w:tc>
        <w:tc>
          <w:tcPr>
            <w:tcW w:w="3566" w:type="dxa"/>
            <w:gridSpan w:val="3"/>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未造成社会影响或生态破坏的</w:t>
            </w:r>
          </w:p>
        </w:tc>
        <w:tc>
          <w:tcPr>
            <w:tcW w:w="1459"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15" w:type="dxa"/>
            <w:left w:w="15" w:type="dxa"/>
            <w:bottom w:w="15" w:type="dxa"/>
            <w:right w:w="15" w:type="dxa"/>
          </w:tblCellMar>
        </w:tblPrEx>
        <w:trPr>
          <w:gridAfter w:val="1"/>
          <w:wAfter w:w="28" w:type="dxa"/>
          <w:trHeight w:val="681" w:hRule="atLeast"/>
        </w:trPr>
        <w:tc>
          <w:tcPr>
            <w:tcW w:w="909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唐山市生态环境行政处罚裁量规则（其他类）</w:t>
            </w:r>
          </w:p>
        </w:tc>
      </w:tr>
      <w:tr>
        <w:tblPrEx>
          <w:tblCellMar>
            <w:top w:w="15" w:type="dxa"/>
            <w:left w:w="15" w:type="dxa"/>
            <w:bottom w:w="15" w:type="dxa"/>
            <w:right w:w="15" w:type="dxa"/>
          </w:tblCellMar>
        </w:tblPrEx>
        <w:trPr>
          <w:gridAfter w:val="1"/>
          <w:wAfter w:w="28" w:type="dxa"/>
          <w:trHeight w:val="510" w:hRule="atLeast"/>
        </w:trPr>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7880"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195</w:t>
            </w:r>
          </w:p>
        </w:tc>
      </w:tr>
      <w:tr>
        <w:tblPrEx>
          <w:tblCellMar>
            <w:top w:w="15" w:type="dxa"/>
            <w:left w:w="15" w:type="dxa"/>
            <w:bottom w:w="15" w:type="dxa"/>
            <w:right w:w="15" w:type="dxa"/>
          </w:tblCellMar>
        </w:tblPrEx>
        <w:trPr>
          <w:gridAfter w:val="1"/>
          <w:wAfter w:w="28" w:type="dxa"/>
          <w:trHeight w:val="681" w:hRule="atLeast"/>
        </w:trPr>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sz w:val="28"/>
                <w:szCs w:val="28"/>
              </w:rPr>
            </w:pPr>
            <w:r>
              <w:rPr>
                <w:rFonts w:hint="eastAsia" w:ascii="仿宋_GB2312" w:hAnsi="宋体" w:eastAsia="仿宋_GB2312" w:cs="仿宋_GB2312"/>
                <w:b/>
                <w:kern w:val="0"/>
                <w:sz w:val="28"/>
                <w:szCs w:val="28"/>
              </w:rPr>
              <w:t>违法行为</w:t>
            </w:r>
          </w:p>
        </w:tc>
        <w:tc>
          <w:tcPr>
            <w:tcW w:w="7880"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sz w:val="24"/>
                <w:szCs w:val="32"/>
              </w:rPr>
            </w:pPr>
            <w:r>
              <w:rPr>
                <w:rFonts w:hint="eastAsia" w:ascii="仿宋_GB2312" w:hAnsi="仿宋_GB2312" w:eastAsia="仿宋_GB2312" w:cs="仿宋_GB2312"/>
                <w:bCs/>
                <w:sz w:val="24"/>
                <w:szCs w:val="32"/>
              </w:rPr>
              <w:t>农业经营主体因未妥善采取综合利用措施，对农产品采收后的秸秆及树叶、荒草予以处理，致使露天焚烧的</w:t>
            </w:r>
          </w:p>
        </w:tc>
      </w:tr>
      <w:tr>
        <w:tblPrEx>
          <w:tblCellMar>
            <w:top w:w="15" w:type="dxa"/>
            <w:left w:w="15" w:type="dxa"/>
            <w:bottom w:w="15" w:type="dxa"/>
            <w:right w:w="15" w:type="dxa"/>
          </w:tblCellMar>
        </w:tblPrEx>
        <w:trPr>
          <w:gridAfter w:val="1"/>
          <w:wAfter w:w="28" w:type="dxa"/>
          <w:trHeight w:val="1877" w:hRule="atLeast"/>
        </w:trPr>
        <w:tc>
          <w:tcPr>
            <w:tcW w:w="1211" w:type="dxa"/>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Cs/>
                <w:sz w:val="28"/>
                <w:szCs w:val="28"/>
              </w:rPr>
            </w:pPr>
            <w:r>
              <w:rPr>
                <w:rFonts w:hint="eastAsia" w:ascii="仿宋_GB2312" w:hAnsi="宋体" w:eastAsia="仿宋_GB2312" w:cs="仿宋_GB2312"/>
                <w:b/>
                <w:kern w:val="0"/>
                <w:sz w:val="28"/>
                <w:szCs w:val="28"/>
              </w:rPr>
              <w:t>处罚依据</w:t>
            </w:r>
          </w:p>
        </w:tc>
        <w:tc>
          <w:tcPr>
            <w:tcW w:w="7880" w:type="dxa"/>
            <w:gridSpan w:val="11"/>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仿宋_GB2312" w:eastAsia="仿宋_GB2312" w:cs="仿宋_GB2312"/>
                <w:b/>
                <w:sz w:val="24"/>
                <w:szCs w:val="32"/>
              </w:rPr>
            </w:pPr>
            <w:r>
              <w:rPr>
                <w:rFonts w:hint="eastAsia" w:ascii="仿宋_GB2312" w:hAnsi="仿宋_GB2312" w:eastAsia="仿宋_GB2312" w:cs="仿宋_GB2312"/>
                <w:bCs/>
                <w:sz w:val="24"/>
                <w:szCs w:val="32"/>
              </w:rPr>
              <w:t>1.</w:t>
            </w:r>
            <w:r>
              <w:rPr>
                <w:rFonts w:hint="eastAsia" w:ascii="仿宋_GB2312" w:hAnsi="仿宋_GB2312" w:eastAsia="仿宋_GB2312" w:cs="仿宋_GB2312"/>
                <w:b/>
                <w:sz w:val="24"/>
                <w:szCs w:val="32"/>
              </w:rPr>
              <w:t>《</w:t>
            </w:r>
            <w:r>
              <w:rPr>
                <w:rFonts w:hint="eastAsia" w:ascii="仿宋_GB2312" w:hAnsi="仿宋_GB2312" w:eastAsia="仿宋_GB2312" w:cs="仿宋_GB2312"/>
                <w:b/>
                <w:bCs/>
                <w:sz w:val="24"/>
                <w:szCs w:val="32"/>
              </w:rPr>
              <w:t>河北省</w:t>
            </w:r>
            <w:r>
              <w:rPr>
                <w:rFonts w:hint="eastAsia" w:ascii="仿宋_GB2312" w:hAnsi="仿宋_GB2312" w:eastAsia="仿宋_GB2312" w:cs="仿宋_GB2312"/>
                <w:b/>
                <w:sz w:val="24"/>
                <w:szCs w:val="32"/>
              </w:rPr>
              <w:t>人民代表大会常务委员会关于促进农作物秸秆综合利用和禁止露天焚烧的决定》</w:t>
            </w:r>
          </w:p>
          <w:p>
            <w:pPr>
              <w:adjustRightInd w:val="0"/>
              <w:snapToGrid w:val="0"/>
              <w:rPr>
                <w:rFonts w:hint="eastAsia" w:ascii="仿宋_GB2312" w:hAnsi="仿宋_GB2312" w:eastAsia="仿宋_GB2312" w:cs="仿宋_GB2312"/>
                <w:bCs/>
                <w:sz w:val="24"/>
                <w:szCs w:val="32"/>
              </w:rPr>
            </w:pPr>
            <w:r>
              <w:rPr>
                <w:rFonts w:hint="eastAsia" w:ascii="仿宋_GB2312" w:hAnsi="仿宋_GB2312" w:eastAsia="仿宋_GB2312" w:cs="仿宋_GB2312"/>
                <w:b/>
                <w:sz w:val="24"/>
                <w:szCs w:val="32"/>
              </w:rPr>
              <w:t>第二十五条</w:t>
            </w:r>
            <w:r>
              <w:rPr>
                <w:rFonts w:hint="eastAsia" w:ascii="仿宋_GB2312" w:hAnsi="仿宋_GB2312" w:eastAsia="仿宋_GB2312" w:cs="仿宋_GB2312"/>
                <w:bCs/>
                <w:sz w:val="24"/>
                <w:szCs w:val="32"/>
              </w:rPr>
              <w:t xml:space="preserve"> 违反本决定有关规定，农业经营主体因未妥善采取综合利用措施，对农产品采收后的秸秆及树叶、荒草予以处理，致使露天焚烧的，由所在地县级人民政府环境保护行政主管部门给予批评教育，可以处五百元以上一千元以下罚款。但已按照第二十四条规定实施处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90" w:hRule="atLeast"/>
        </w:trPr>
        <w:tc>
          <w:tcPr>
            <w:tcW w:w="4066" w:type="dxa"/>
            <w:gridSpan w:val="8"/>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5025" w:type="dxa"/>
            <w:gridSpan w:val="5"/>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70" w:hRule="atLeast"/>
        </w:trPr>
        <w:tc>
          <w:tcPr>
            <w:tcW w:w="1383" w:type="dxa"/>
            <w:gridSpan w:val="3"/>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335" w:type="dxa"/>
            <w:gridSpan w:val="2"/>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690" w:type="dxa"/>
            <w:gridSpan w:val="3"/>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83" w:hRule="atLeast"/>
        </w:trPr>
        <w:tc>
          <w:tcPr>
            <w:tcW w:w="1383" w:type="dxa"/>
            <w:gridSpan w:val="3"/>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对环境影响程度</w:t>
            </w:r>
          </w:p>
        </w:tc>
        <w:tc>
          <w:tcPr>
            <w:tcW w:w="1890" w:type="dxa"/>
            <w:gridSpan w:val="3"/>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违法行为类型</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3335" w:type="dxa"/>
            <w:gridSpan w:val="2"/>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Cs/>
                <w:sz w:val="24"/>
              </w:rPr>
              <w:t>焚烧物占地面积1平方米以下</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83" w:hRule="atLeast"/>
        </w:trPr>
        <w:tc>
          <w:tcPr>
            <w:tcW w:w="1383"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2"/>
            <w:noWrap w:val="0"/>
            <w:vAlign w:val="center"/>
          </w:tcPr>
          <w:p>
            <w:pPr>
              <w:adjustRightInd w:val="0"/>
              <w:snapToGrid w:val="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焚烧物占地面积1平方米以上10平方米以下</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62" w:hRule="atLeast"/>
        </w:trPr>
        <w:tc>
          <w:tcPr>
            <w:tcW w:w="1383"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2"/>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bCs/>
                <w:sz w:val="24"/>
              </w:rPr>
              <w:t>焚烧物</w:t>
            </w:r>
            <w:r>
              <w:rPr>
                <w:rFonts w:hint="eastAsia" w:ascii="仿宋_GB2312" w:hAnsi="仿宋_GB2312" w:eastAsia="仿宋_GB2312" w:cs="仿宋_GB2312"/>
                <w:sz w:val="24"/>
              </w:rPr>
              <w:t>占地面积10平方米以上</w:t>
            </w:r>
          </w:p>
        </w:tc>
        <w:tc>
          <w:tcPr>
            <w:tcW w:w="1690" w:type="dxa"/>
            <w:gridSpan w:val="3"/>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62" w:hRule="atLeast"/>
        </w:trPr>
        <w:tc>
          <w:tcPr>
            <w:tcW w:w="1383" w:type="dxa"/>
            <w:gridSpan w:val="3"/>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890" w:type="dxa"/>
            <w:gridSpan w:val="3"/>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一年内违法次数</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首次实施违法行为的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04" w:hRule="atLeast"/>
        </w:trPr>
        <w:tc>
          <w:tcPr>
            <w:tcW w:w="1383"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再次实施违法行为的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04" w:hRule="atLeast"/>
        </w:trPr>
        <w:tc>
          <w:tcPr>
            <w:tcW w:w="1383" w:type="dxa"/>
            <w:gridSpan w:val="3"/>
            <w:vMerge w:val="continue"/>
            <w:tcBorders>
              <w:right w:val="single" w:color="auto" w:sz="4" w:space="0"/>
            </w:tcBorders>
            <w:noWrap w:val="0"/>
            <w:vAlign w:val="center"/>
          </w:tcPr>
          <w:p>
            <w:pPr>
              <w:jc w:val="left"/>
            </w:pPr>
          </w:p>
        </w:tc>
        <w:tc>
          <w:tcPr>
            <w:tcW w:w="1890" w:type="dxa"/>
            <w:gridSpan w:val="3"/>
            <w:vMerge w:val="continue"/>
            <w:tcBorders>
              <w:left w:val="single" w:color="auto" w:sz="4" w:space="0"/>
            </w:tcBorders>
            <w:noWrap w:val="0"/>
            <w:vAlign w:val="center"/>
          </w:tcPr>
          <w:p>
            <w:pPr>
              <w:jc w:val="center"/>
              <w:rPr>
                <w:sz w:val="24"/>
              </w:rPr>
            </w:pPr>
          </w:p>
        </w:tc>
        <w:tc>
          <w:tcPr>
            <w:tcW w:w="793" w:type="dxa"/>
            <w:gridSpan w:val="2"/>
            <w:vMerge w:val="continue"/>
            <w:noWrap w:val="0"/>
            <w:vAlign w:val="center"/>
          </w:tcPr>
          <w:p>
            <w:pPr>
              <w:jc w:val="center"/>
              <w:rPr>
                <w:sz w:val="24"/>
              </w:rPr>
            </w:pPr>
          </w:p>
        </w:tc>
        <w:tc>
          <w:tcPr>
            <w:tcW w:w="333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第三次实施违法行为的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04" w:hRule="atLeast"/>
        </w:trPr>
        <w:tc>
          <w:tcPr>
            <w:tcW w:w="1383" w:type="dxa"/>
            <w:gridSpan w:val="3"/>
            <w:vMerge w:val="continue"/>
            <w:tcBorders>
              <w:right w:val="single" w:color="auto" w:sz="4" w:space="0"/>
            </w:tcBorders>
            <w:noWrap w:val="0"/>
            <w:vAlign w:val="center"/>
          </w:tcPr>
          <w:p>
            <w:pPr>
              <w:jc w:val="left"/>
              <w:rPr>
                <w:rFonts w:hint="eastAsia" w:ascii="仿宋_GB2312" w:hAnsi="仿宋_GB2312" w:eastAsia="仿宋_GB2312" w:cs="仿宋_GB2312"/>
                <w:sz w:val="24"/>
                <w:szCs w:val="32"/>
              </w:rPr>
            </w:pPr>
          </w:p>
        </w:tc>
        <w:tc>
          <w:tcPr>
            <w:tcW w:w="1890" w:type="dxa"/>
            <w:gridSpan w:val="3"/>
            <w:vMerge w:val="continue"/>
            <w:tcBorders>
              <w:left w:val="single" w:color="auto" w:sz="4" w:space="0"/>
            </w:tcBorders>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三次以上实施违法行为的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90" w:hRule="atLeast"/>
        </w:trPr>
        <w:tc>
          <w:tcPr>
            <w:tcW w:w="1383" w:type="dxa"/>
            <w:gridSpan w:val="3"/>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配合调查取证情况</w:t>
            </w:r>
          </w:p>
        </w:tc>
        <w:tc>
          <w:tcPr>
            <w:tcW w:w="1890" w:type="dxa"/>
            <w:gridSpan w:val="3"/>
            <w:vMerge w:val="restart"/>
            <w:tcBorders>
              <w:lef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是否配合执法检查</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33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不配合检查的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38" w:hRule="atLeast"/>
        </w:trPr>
        <w:tc>
          <w:tcPr>
            <w:tcW w:w="1383" w:type="dxa"/>
            <w:gridSpan w:val="3"/>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gridSpan w:val="3"/>
            <w:vMerge w:val="continue"/>
            <w:tcBorders>
              <w:left w:val="single" w:color="auto" w:sz="4" w:space="0"/>
            </w:tcBorders>
            <w:noWrap w:val="0"/>
            <w:vAlign w:val="center"/>
          </w:tcPr>
          <w:p>
            <w:pPr>
              <w:jc w:val="left"/>
              <w:rPr>
                <w:rFonts w:hint="eastAsia" w:ascii="仿宋_GB2312" w:hAnsi="仿宋_GB2312" w:eastAsia="仿宋_GB2312" w:cs="仿宋_GB2312"/>
                <w:sz w:val="24"/>
              </w:rPr>
            </w:pPr>
          </w:p>
        </w:tc>
        <w:tc>
          <w:tcPr>
            <w:tcW w:w="793" w:type="dxa"/>
            <w:gridSpan w:val="2"/>
            <w:vMerge w:val="continue"/>
            <w:noWrap w:val="0"/>
            <w:vAlign w:val="center"/>
          </w:tcPr>
          <w:p>
            <w:pPr>
              <w:jc w:val="center"/>
              <w:rPr>
                <w:rFonts w:hint="eastAsia" w:ascii="仿宋_GB2312" w:hAnsi="仿宋_GB2312" w:eastAsia="仿宋_GB2312" w:cs="仿宋_GB2312"/>
                <w:sz w:val="24"/>
              </w:rPr>
            </w:pPr>
          </w:p>
        </w:tc>
        <w:tc>
          <w:tcPr>
            <w:tcW w:w="3335" w:type="dxa"/>
            <w:gridSpan w:val="2"/>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配合检查的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95" w:hRule="atLeast"/>
        </w:trPr>
        <w:tc>
          <w:tcPr>
            <w:tcW w:w="1383" w:type="dxa"/>
            <w:gridSpan w:val="3"/>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gridSpan w:val="3"/>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是否造成社会影响或生态破坏</w:t>
            </w:r>
          </w:p>
        </w:tc>
        <w:tc>
          <w:tcPr>
            <w:tcW w:w="793"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3335"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造成社会影响或生态破坏的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84" w:hRule="atLeast"/>
        </w:trPr>
        <w:tc>
          <w:tcPr>
            <w:tcW w:w="1383" w:type="dxa"/>
            <w:gridSpan w:val="3"/>
            <w:vMerge w:val="continue"/>
            <w:noWrap w:val="0"/>
            <w:vAlign w:val="center"/>
          </w:tcPr>
          <w:p>
            <w:pPr>
              <w:jc w:val="center"/>
              <w:rPr>
                <w:rFonts w:hint="eastAsia" w:ascii="仿宋_GB2312" w:hAnsi="仿宋_GB2312" w:eastAsia="仿宋_GB2312" w:cs="仿宋_GB2312"/>
                <w:b/>
                <w:bCs/>
                <w:sz w:val="24"/>
                <w:szCs w:val="32"/>
              </w:rPr>
            </w:pPr>
          </w:p>
        </w:tc>
        <w:tc>
          <w:tcPr>
            <w:tcW w:w="1890" w:type="dxa"/>
            <w:gridSpan w:val="3"/>
            <w:vMerge w:val="continue"/>
            <w:noWrap w:val="0"/>
            <w:vAlign w:val="center"/>
          </w:tcPr>
          <w:p>
            <w:pPr>
              <w:jc w:val="center"/>
              <w:rPr>
                <w:rFonts w:hint="eastAsia" w:ascii="仿宋_GB2312" w:hAnsi="仿宋_GB2312" w:eastAsia="仿宋_GB2312" w:cs="仿宋_GB2312"/>
                <w:sz w:val="24"/>
              </w:rPr>
            </w:pPr>
          </w:p>
        </w:tc>
        <w:tc>
          <w:tcPr>
            <w:tcW w:w="793" w:type="dxa"/>
            <w:gridSpan w:val="2"/>
            <w:vMerge w:val="continue"/>
            <w:noWrap w:val="0"/>
            <w:vAlign w:val="center"/>
          </w:tcPr>
          <w:p>
            <w:pPr>
              <w:rPr>
                <w:rFonts w:hint="eastAsia" w:ascii="仿宋_GB2312" w:hAnsi="仿宋_GB2312" w:eastAsia="仿宋_GB2312" w:cs="仿宋_GB2312"/>
                <w:sz w:val="24"/>
              </w:rPr>
            </w:pPr>
          </w:p>
        </w:tc>
        <w:tc>
          <w:tcPr>
            <w:tcW w:w="3335"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未造成社会影响或生态破坏的</w:t>
            </w:r>
          </w:p>
        </w:tc>
        <w:tc>
          <w:tcPr>
            <w:tcW w:w="16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rPr>
          <w:rFonts w:hint="eastAsia" w:ascii="方正小标宋简体" w:hAnsi="方正小标宋简体" w:eastAsia="方正小标宋简体" w:cs="方正小标宋简体"/>
          <w:sz w:val="22"/>
          <w:szCs w:val="22"/>
        </w:rPr>
      </w:pPr>
    </w:p>
    <w:p>
      <w:pPr>
        <w:rPr>
          <w:rFonts w:ascii="宋体" w:hAnsi="宋体" w:cs="宋体"/>
          <w:sz w:val="28"/>
          <w:szCs w:val="28"/>
        </w:rPr>
      </w:pPr>
    </w:p>
    <w:p>
      <w:pPr>
        <w:rPr>
          <w:rFonts w:ascii="宋体" w:hAnsi="宋体" w:cs="宋体"/>
          <w:sz w:val="28"/>
          <w:szCs w:val="28"/>
        </w:rPr>
      </w:pPr>
    </w:p>
    <w:p>
      <w:pPr>
        <w:rPr>
          <w:vanish/>
          <w:sz w:val="10"/>
          <w:szCs w:val="10"/>
        </w:rPr>
      </w:pPr>
    </w:p>
    <w:tbl>
      <w:tblPr>
        <w:tblStyle w:val="9"/>
        <w:tblpPr w:leftFromText="180" w:rightFromText="180" w:vertAnchor="page" w:horzAnchor="page" w:tblpX="1404" w:tblpY="1483"/>
        <w:tblOverlap w:val="never"/>
        <w:tblW w:w="942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1530"/>
        <w:gridCol w:w="1160"/>
        <w:gridCol w:w="4039"/>
        <w:gridCol w:w="1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421" w:type="dxa"/>
            <w:gridSpan w:val="5"/>
            <w:noWrap w:val="0"/>
            <w:vAlign w:val="top"/>
          </w:tcPr>
          <w:p>
            <w:pPr>
              <w:widowControl/>
              <w:spacing w:before="155" w:line="212" w:lineRule="auto"/>
              <w:ind w:left="147"/>
              <w:jc w:val="center"/>
              <w:rPr>
                <w:rFonts w:hint="eastAsia" w:ascii="微软雅黑" w:hAnsi="微软雅黑" w:eastAsia="方正小标宋简体"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76" w:type="dxa"/>
            <w:noWrap w:val="0"/>
            <w:vAlign w:val="center"/>
          </w:tcPr>
          <w:p>
            <w:pPr>
              <w:widowControl/>
              <w:spacing w:line="218" w:lineRule="auto"/>
              <w:ind w:left="461"/>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8045" w:type="dxa"/>
            <w:gridSpan w:val="4"/>
            <w:noWrap w:val="0"/>
            <w:vAlign w:val="center"/>
          </w:tcPr>
          <w:p>
            <w:pPr>
              <w:widowControl/>
              <w:spacing w:line="187" w:lineRule="auto"/>
              <w:jc w:val="center"/>
              <w:rPr>
                <w:rFonts w:hint="eastAsia" w:ascii="仿宋_GB2312" w:hAnsi="仿宋" w:eastAsia="仿宋_GB2312" w:cs="仿宋"/>
                <w:sz w:val="24"/>
              </w:rPr>
            </w:pPr>
            <w:r>
              <w:rPr>
                <w:rFonts w:hint="eastAsia" w:ascii="仿宋_GB2312" w:hAnsi="仿宋" w:eastAsia="仿宋_GB2312" w:cs="仿宋"/>
                <w:sz w:val="24"/>
              </w:rPr>
              <w:t>196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376" w:type="dxa"/>
            <w:noWrap w:val="0"/>
            <w:vAlign w:val="center"/>
          </w:tcPr>
          <w:p>
            <w:pPr>
              <w:widowControl/>
              <w:spacing w:line="216" w:lineRule="auto"/>
              <w:ind w:left="187"/>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8045" w:type="dxa"/>
            <w:gridSpan w:val="4"/>
            <w:noWrap w:val="0"/>
            <w:vAlign w:val="center"/>
          </w:tcPr>
          <w:p>
            <w:pPr>
              <w:widowControl/>
              <w:adjustRightInd w:val="0"/>
              <w:snapToGrid w:val="0"/>
              <w:spacing w:before="39"/>
              <w:ind w:right="108"/>
              <w:jc w:val="left"/>
              <w:rPr>
                <w:rFonts w:hint="eastAsia" w:ascii="仿宋_GB2312" w:hAnsi="仿宋" w:eastAsia="仿宋_GB2312" w:cs="仿宋"/>
                <w:sz w:val="24"/>
              </w:rPr>
            </w:pPr>
            <w:r>
              <w:rPr>
                <w:rFonts w:hint="eastAsia" w:ascii="仿宋_GB2312" w:hAnsi="仿宋" w:eastAsia="仿宋_GB2312" w:cs="仿宋"/>
                <w:sz w:val="24"/>
              </w:rPr>
              <w:t>非煤矿山建设单位未依法报批建设项目环境影响报告书、报告表，或者未依法重新报批或者报请重新审核环境影响报告书、报告表，擅自开工建设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1376" w:type="dxa"/>
            <w:noWrap w:val="0"/>
            <w:vAlign w:val="center"/>
          </w:tcPr>
          <w:p>
            <w:pPr>
              <w:widowControl/>
              <w:spacing w:before="91" w:line="219" w:lineRule="auto"/>
              <w:ind w:left="194"/>
              <w:jc w:val="left"/>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8045" w:type="dxa"/>
            <w:gridSpan w:val="4"/>
            <w:noWrap w:val="0"/>
            <w:vAlign w:val="top"/>
          </w:tcPr>
          <w:p>
            <w:pPr>
              <w:widowControl/>
              <w:adjustRightInd w:val="0"/>
              <w:snapToGrid w:val="0"/>
              <w:spacing w:before="30"/>
              <w:ind w:right="102"/>
              <w:jc w:val="left"/>
              <w:rPr>
                <w:rFonts w:hint="eastAsia" w:ascii="仿宋_GB2312" w:hAnsi="仿宋" w:eastAsia="仿宋_GB2312" w:cs="仿宋"/>
                <w:b/>
                <w:bCs/>
                <w:sz w:val="24"/>
              </w:rPr>
            </w:pPr>
            <w:r>
              <w:rPr>
                <w:rFonts w:hint="eastAsia" w:ascii="仿宋_GB2312" w:hAnsi="仿宋" w:eastAsia="仿宋_GB2312" w:cs="仿宋"/>
                <w:sz w:val="24"/>
              </w:rPr>
              <w:t>1</w:t>
            </w:r>
            <w:r>
              <w:rPr>
                <w:rFonts w:ascii="仿宋_GB2312" w:hAnsi="仿宋" w:eastAsia="仿宋_GB2312" w:cs="仿宋"/>
                <w:sz w:val="24"/>
              </w:rPr>
              <w:t>.</w:t>
            </w:r>
            <w:r>
              <w:rPr>
                <w:rFonts w:hint="eastAsia" w:ascii="仿宋_GB2312" w:hAnsi="仿宋" w:eastAsia="仿宋_GB2312" w:cs="仿宋"/>
                <w:b/>
                <w:bCs/>
                <w:sz w:val="24"/>
              </w:rPr>
              <w:t>《</w:t>
            </w:r>
            <w:r>
              <w:rPr>
                <w:rFonts w:hint="eastAsia" w:ascii="仿宋_GB2312" w:hAnsi="仿宋_GB2312" w:eastAsia="仿宋_GB2312" w:cs="仿宋_GB2312"/>
                <w:b/>
                <w:bCs/>
                <w:sz w:val="24"/>
              </w:rPr>
              <w:t>河北省</w:t>
            </w:r>
            <w:r>
              <w:rPr>
                <w:rFonts w:hint="eastAsia" w:ascii="仿宋_GB2312" w:hAnsi="仿宋" w:eastAsia="仿宋_GB2312" w:cs="仿宋"/>
                <w:b/>
                <w:bCs/>
                <w:sz w:val="24"/>
              </w:rPr>
              <w:t>非煤矿山综合治理条例》</w:t>
            </w:r>
          </w:p>
          <w:p>
            <w:pPr>
              <w:widowControl/>
              <w:adjustRightInd w:val="0"/>
              <w:snapToGrid w:val="0"/>
              <w:spacing w:before="30"/>
              <w:ind w:right="102"/>
              <w:jc w:val="left"/>
              <w:rPr>
                <w:rFonts w:hint="eastAsia" w:ascii="仿宋_GB2312" w:hAnsi="仿宋" w:eastAsia="仿宋_GB2312" w:cs="仿宋"/>
                <w:sz w:val="24"/>
              </w:rPr>
            </w:pPr>
            <w:r>
              <w:rPr>
                <w:rFonts w:hint="eastAsia" w:ascii="仿宋_GB2312" w:hAnsi="仿宋" w:eastAsia="仿宋_GB2312" w:cs="仿宋"/>
                <w:b/>
                <w:bCs/>
                <w:sz w:val="24"/>
              </w:rPr>
              <w:t>第十二条 第一款</w:t>
            </w:r>
            <w:r>
              <w:rPr>
                <w:rFonts w:hint="eastAsia" w:ascii="仿宋_GB2312" w:hAnsi="仿宋" w:eastAsia="仿宋_GB2312" w:cs="仿宋"/>
                <w:sz w:val="24"/>
              </w:rPr>
              <w:t xml:space="preserve"> 非煤矿山建设项目应当依法进行环境影响评价；未依法进行环境影响评价的，建设单位不得开工建设。</w:t>
            </w:r>
          </w:p>
          <w:p>
            <w:pPr>
              <w:widowControl/>
              <w:adjustRightInd w:val="0"/>
              <w:snapToGrid w:val="0"/>
              <w:spacing w:before="30"/>
              <w:ind w:right="102"/>
              <w:jc w:val="left"/>
              <w:rPr>
                <w:rFonts w:hint="eastAsia" w:ascii="仿宋_GB2312" w:hAnsi="仿宋" w:eastAsia="仿宋_GB2312" w:cs="仿宋"/>
                <w:sz w:val="24"/>
              </w:rPr>
            </w:pPr>
            <w:r>
              <w:rPr>
                <w:rFonts w:hint="eastAsia" w:ascii="仿宋_GB2312" w:hAnsi="仿宋" w:eastAsia="仿宋_GB2312" w:cs="仿宋"/>
                <w:b/>
                <w:bCs/>
                <w:sz w:val="24"/>
              </w:rPr>
              <w:t>第四十七条</w:t>
            </w:r>
            <w:r>
              <w:rPr>
                <w:rFonts w:hint="eastAsia" w:ascii="仿宋_GB2312" w:hAnsi="仿宋" w:eastAsia="仿宋_GB2312" w:cs="仿宋"/>
                <w:sz w:val="24"/>
              </w:rPr>
              <w:t xml:space="preserve"> 违反本条例规定，非煤矿山建设单位未依法报批建设项目环境影响报告书、报告表，或者未依法重新报批或者报请重新审核环境影响报告书、报告表，擅自开工建设的，由县级以上人民政府生态环境主管部门责令停止建设，根据违法情节和危害后果，处建设项目总投资额百分之三以上百分之五以下的罚款，并可以责令恢复原状；对非煤矿山企业直接负责的主管人员和其他直接责任人员，依法给予处分。</w:t>
            </w:r>
          </w:p>
          <w:p>
            <w:pPr>
              <w:widowControl/>
              <w:adjustRightInd w:val="0"/>
              <w:snapToGrid w:val="0"/>
              <w:spacing w:before="30"/>
              <w:ind w:right="102"/>
              <w:jc w:val="left"/>
              <w:rPr>
                <w:rFonts w:hint="eastAsia" w:ascii="仿宋_GB2312" w:hAnsi="仿宋" w:eastAsia="仿宋_GB2312" w:cs="仿宋"/>
                <w:sz w:val="24"/>
              </w:rPr>
            </w:pPr>
            <w:r>
              <w:rPr>
                <w:rFonts w:hint="eastAsia" w:ascii="仿宋_GB2312" w:hAnsi="仿宋" w:eastAsia="仿宋_GB2312" w:cs="仿宋"/>
                <w:sz w:val="24"/>
              </w:rPr>
              <w:t>非煤矿山建设项目环境影响报告书、报告表未经批准或者未经原审批部门重新审核同意，建设单位擅自开工建设的，依照前款的规定处罚、处分。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4066" w:type="dxa"/>
            <w:gridSpan w:val="3"/>
            <w:noWrap w:val="0"/>
            <w:vAlign w:val="center"/>
          </w:tcPr>
          <w:p>
            <w:pPr>
              <w:widowControl/>
              <w:jc w:val="center"/>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5355" w:type="dxa"/>
            <w:gridSpan w:val="2"/>
            <w:noWrap w:val="0"/>
            <w:vAlign w:val="center"/>
          </w:tcPr>
          <w:p>
            <w:pPr>
              <w:widowControl/>
              <w:jc w:val="center"/>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76" w:type="dxa"/>
            <w:noWrap w:val="0"/>
            <w:vAlign w:val="center"/>
          </w:tcPr>
          <w:p>
            <w:pPr>
              <w:widowControl/>
              <w:spacing w:line="228" w:lineRule="auto"/>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530" w:type="dxa"/>
            <w:noWrap w:val="0"/>
            <w:vAlign w:val="center"/>
          </w:tcPr>
          <w:p>
            <w:pPr>
              <w:widowControl/>
              <w:spacing w:line="225" w:lineRule="auto"/>
              <w:jc w:val="center"/>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1160" w:type="dxa"/>
            <w:noWrap w:val="0"/>
            <w:vAlign w:val="center"/>
          </w:tcPr>
          <w:p>
            <w:pPr>
              <w:widowControl/>
              <w:spacing w:line="238" w:lineRule="auto"/>
              <w:ind w:left="118" w:right="113"/>
              <w:jc w:val="left"/>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构成比</w:t>
            </w:r>
            <w:r>
              <w:rPr>
                <w:rFonts w:hint="eastAsia" w:ascii="仿宋_GB2312" w:hAnsi="仿宋" w:eastAsia="仿宋_GB2312" w:cs="仿宋"/>
                <w:b/>
                <w:bCs/>
                <w:spacing w:val="-12"/>
                <w:sz w:val="22"/>
                <w:szCs w:val="22"/>
              </w:rPr>
              <w:t>例</w:t>
            </w:r>
          </w:p>
        </w:tc>
        <w:tc>
          <w:tcPr>
            <w:tcW w:w="4039" w:type="dxa"/>
            <w:noWrap w:val="0"/>
            <w:vAlign w:val="center"/>
          </w:tcPr>
          <w:p>
            <w:pPr>
              <w:widowControl/>
              <w:spacing w:line="226" w:lineRule="auto"/>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316" w:type="dxa"/>
            <w:noWrap w:val="0"/>
            <w:vAlign w:val="center"/>
          </w:tcPr>
          <w:p>
            <w:pPr>
              <w:widowControl/>
              <w:spacing w:line="223" w:lineRule="auto"/>
              <w:ind w:left="224"/>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76"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对环境影响程度</w:t>
            </w:r>
          </w:p>
        </w:tc>
        <w:tc>
          <w:tcPr>
            <w:tcW w:w="1530" w:type="dxa"/>
            <w:vMerge w:val="restart"/>
            <w:noWrap w:val="0"/>
            <w:vAlign w:val="center"/>
          </w:tcPr>
          <w:p>
            <w:pPr>
              <w:widowControl/>
              <w:adjustRightInd w:val="0"/>
              <w:snapToGrid w:val="0"/>
              <w:jc w:val="center"/>
              <w:rPr>
                <w:rFonts w:ascii="仿宋_GB2312" w:hAnsi="仿宋" w:eastAsia="仿宋_GB2312" w:cs="仿宋"/>
                <w:spacing w:val="8"/>
                <w:sz w:val="24"/>
              </w:rPr>
            </w:pPr>
            <w:r>
              <w:rPr>
                <w:rFonts w:hint="eastAsia" w:ascii="仿宋_GB2312" w:hAnsi="仿宋" w:eastAsia="仿宋_GB2312" w:cs="仿宋"/>
                <w:spacing w:val="8"/>
                <w:sz w:val="24"/>
              </w:rPr>
              <w:t>违法行为</w:t>
            </w:r>
          </w:p>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类</w:t>
            </w:r>
            <w:r>
              <w:rPr>
                <w:rFonts w:hint="eastAsia" w:ascii="仿宋_GB2312" w:hAnsi="仿宋" w:eastAsia="仿宋_GB2312" w:cs="仿宋"/>
                <w:spacing w:val="7"/>
                <w:sz w:val="24"/>
              </w:rPr>
              <w:t>型</w:t>
            </w:r>
          </w:p>
        </w:tc>
        <w:tc>
          <w:tcPr>
            <w:tcW w:w="1160" w:type="dxa"/>
            <w:vMerge w:val="restart"/>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30%</w:t>
            </w:r>
          </w:p>
        </w:tc>
        <w:tc>
          <w:tcPr>
            <w:tcW w:w="4039" w:type="dxa"/>
            <w:tcBorders>
              <w:bottom w:val="single" w:color="auto" w:sz="4" w:space="0"/>
              <w:right w:val="single" w:color="auto" w:sz="4" w:space="0"/>
            </w:tcBorders>
            <w:noWrap w:val="0"/>
            <w:vAlign w:val="center"/>
          </w:tcPr>
          <w:p>
            <w:pPr>
              <w:adjustRightInd w:val="0"/>
              <w:snapToGrid w:val="0"/>
              <w:ind w:left="114"/>
              <w:rPr>
                <w:rFonts w:hint="eastAsia" w:ascii="仿宋_GB2312" w:hAnsi="仿宋" w:eastAsia="仿宋_GB2312" w:cs="仿宋"/>
                <w:sz w:val="24"/>
              </w:rPr>
            </w:pPr>
            <w:r>
              <w:rPr>
                <w:rFonts w:hint="eastAsia" w:ascii="仿宋_GB2312" w:hAnsi="仿宋" w:eastAsia="仿宋_GB2312" w:cs="仿宋"/>
                <w:spacing w:val="9"/>
                <w:sz w:val="24"/>
              </w:rPr>
              <w:t>编制环境影响报告表的建设项目</w:t>
            </w:r>
          </w:p>
        </w:tc>
        <w:tc>
          <w:tcPr>
            <w:tcW w:w="1316" w:type="dxa"/>
            <w:tcBorders>
              <w:left w:val="single" w:color="auto" w:sz="4" w:space="0"/>
              <w:bottom w:val="single" w:color="auto" w:sz="4" w:space="0"/>
            </w:tcBorders>
            <w:noWrap w:val="0"/>
            <w:vAlign w:val="center"/>
          </w:tcPr>
          <w:p>
            <w:pPr>
              <w:adjustRightInd w:val="0"/>
              <w:snapToGrid w:val="0"/>
              <w:ind w:left="307"/>
              <w:rPr>
                <w:rFonts w:hint="eastAsia" w:ascii="仿宋_GB2312" w:hAnsi="仿宋" w:eastAsia="仿宋_GB2312" w:cs="仿宋"/>
                <w:sz w:val="24"/>
              </w:rPr>
            </w:pPr>
            <w:r>
              <w:rPr>
                <w:rFonts w:hint="eastAsia" w:ascii="仿宋_GB2312" w:hAnsi="仿宋" w:eastAsia="仿宋_GB2312" w:cs="仿宋"/>
                <w:spacing w:val="-6"/>
                <w:sz w:val="24"/>
              </w:rPr>
              <w:t>1</w:t>
            </w:r>
            <w:r>
              <w:rPr>
                <w:rFonts w:hint="eastAsia" w:ascii="仿宋_GB2312" w:hAnsi="仿宋" w:eastAsia="仿宋_GB2312" w:cs="仿宋"/>
                <w:spacing w:val="-3"/>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376" w:type="dxa"/>
            <w:vMerge w:val="continue"/>
            <w:noWrap w:val="0"/>
            <w:vAlign w:val="center"/>
          </w:tcPr>
          <w:p>
            <w:pPr>
              <w:widowControl/>
              <w:adjustRightInd w:val="0"/>
              <w:snapToGrid w:val="0"/>
              <w:jc w:val="center"/>
              <w:rPr>
                <w:rFonts w:hint="eastAsia" w:ascii="仿宋_GB2312" w:hAnsi="仿宋" w:eastAsia="仿宋_GB2312" w:cs="宋体"/>
                <w:b/>
                <w:bCs/>
                <w:sz w:val="24"/>
              </w:rPr>
            </w:pPr>
          </w:p>
        </w:tc>
        <w:tc>
          <w:tcPr>
            <w:tcW w:w="1530" w:type="dxa"/>
            <w:vMerge w:val="continue"/>
            <w:tcBorders>
              <w:bottom w:val="nil"/>
            </w:tcBorders>
            <w:noWrap w:val="0"/>
            <w:vAlign w:val="center"/>
          </w:tcPr>
          <w:p>
            <w:pPr>
              <w:widowControl/>
              <w:adjustRightInd w:val="0"/>
              <w:snapToGrid w:val="0"/>
              <w:ind w:left="239"/>
              <w:jc w:val="center"/>
              <w:rPr>
                <w:rFonts w:hint="eastAsia" w:ascii="仿宋_GB2312" w:hAnsi="仿宋" w:eastAsia="仿宋_GB2312" w:cs="仿宋"/>
                <w:spacing w:val="8"/>
                <w:sz w:val="24"/>
              </w:rPr>
            </w:pPr>
          </w:p>
        </w:tc>
        <w:tc>
          <w:tcPr>
            <w:tcW w:w="1160" w:type="dxa"/>
            <w:vMerge w:val="continue"/>
            <w:tcBorders>
              <w:bottom w:val="single" w:color="auto" w:sz="4" w:space="0"/>
            </w:tcBorders>
            <w:noWrap w:val="0"/>
            <w:vAlign w:val="center"/>
          </w:tcPr>
          <w:p>
            <w:pPr>
              <w:widowControl/>
              <w:adjustRightInd w:val="0"/>
              <w:snapToGrid w:val="0"/>
              <w:ind w:left="187"/>
              <w:jc w:val="center"/>
              <w:rPr>
                <w:rFonts w:hint="eastAsia" w:ascii="仿宋_GB2312" w:hAnsi="仿宋" w:eastAsia="仿宋_GB2312" w:cs="仿宋"/>
                <w:spacing w:val="-1"/>
                <w:position w:val="1"/>
                <w:sz w:val="24"/>
              </w:rPr>
            </w:pPr>
          </w:p>
        </w:tc>
        <w:tc>
          <w:tcPr>
            <w:tcW w:w="4039" w:type="dxa"/>
            <w:tcBorders>
              <w:top w:val="single" w:color="auto" w:sz="4" w:space="0"/>
              <w:bottom w:val="single" w:color="auto" w:sz="4" w:space="0"/>
              <w:right w:val="single" w:color="auto" w:sz="4" w:space="0"/>
            </w:tcBorders>
            <w:noWrap w:val="0"/>
            <w:vAlign w:val="center"/>
          </w:tcPr>
          <w:p>
            <w:pPr>
              <w:adjustRightInd w:val="0"/>
              <w:snapToGrid w:val="0"/>
              <w:ind w:left="114"/>
              <w:rPr>
                <w:rFonts w:hint="eastAsia" w:ascii="仿宋_GB2312" w:hAnsi="仿宋" w:eastAsia="仿宋_GB2312" w:cs="仿宋"/>
                <w:sz w:val="24"/>
              </w:rPr>
            </w:pPr>
            <w:r>
              <w:rPr>
                <w:rFonts w:hint="eastAsia" w:ascii="仿宋_GB2312" w:hAnsi="仿宋" w:eastAsia="仿宋_GB2312" w:cs="仿宋"/>
                <w:spacing w:val="13"/>
                <w:sz w:val="24"/>
              </w:rPr>
              <w:t>编</w:t>
            </w:r>
            <w:r>
              <w:rPr>
                <w:rFonts w:hint="eastAsia" w:ascii="仿宋_GB2312" w:hAnsi="仿宋" w:eastAsia="仿宋_GB2312" w:cs="仿宋"/>
                <w:spacing w:val="9"/>
                <w:sz w:val="24"/>
              </w:rPr>
              <w:t>制环境影响报告书的建设项目</w:t>
            </w:r>
          </w:p>
        </w:tc>
        <w:tc>
          <w:tcPr>
            <w:tcW w:w="1316" w:type="dxa"/>
            <w:tcBorders>
              <w:top w:val="single" w:color="auto" w:sz="4" w:space="0"/>
              <w:left w:val="single" w:color="auto" w:sz="4" w:space="0"/>
              <w:bottom w:val="single" w:color="auto" w:sz="4" w:space="0"/>
            </w:tcBorders>
            <w:noWrap w:val="0"/>
            <w:vAlign w:val="center"/>
          </w:tcPr>
          <w:p>
            <w:pPr>
              <w:adjustRightInd w:val="0"/>
              <w:snapToGrid w:val="0"/>
              <w:ind w:left="252"/>
              <w:rPr>
                <w:rFonts w:hint="eastAsia" w:ascii="仿宋_GB2312" w:hAnsi="仿宋" w:eastAsia="仿宋_GB2312" w:cs="仿宋"/>
                <w:sz w:val="24"/>
              </w:rPr>
            </w:pPr>
            <w:r>
              <w:rPr>
                <w:rFonts w:hint="eastAsia" w:ascii="仿宋_GB2312" w:hAnsi="仿宋" w:eastAsia="仿宋_GB2312" w:cs="仿宋"/>
                <w:spacing w:val="-3"/>
                <w:sz w:val="24"/>
              </w:rPr>
              <w:t>16%-30%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76" w:type="dxa"/>
            <w:vMerge w:val="continue"/>
            <w:noWrap w:val="0"/>
            <w:vAlign w:val="center"/>
          </w:tcPr>
          <w:p>
            <w:pPr>
              <w:widowControl/>
              <w:adjustRightInd w:val="0"/>
              <w:snapToGrid w:val="0"/>
              <w:jc w:val="center"/>
              <w:rPr>
                <w:rFonts w:hint="eastAsia" w:ascii="仿宋_GB2312" w:hAnsi="仿宋" w:eastAsia="仿宋_GB2312" w:cs="宋体"/>
                <w:b/>
                <w:bCs/>
                <w:sz w:val="24"/>
              </w:rPr>
            </w:pPr>
          </w:p>
        </w:tc>
        <w:tc>
          <w:tcPr>
            <w:tcW w:w="1530" w:type="dxa"/>
            <w:vMerge w:val="restart"/>
            <w:tcBorders>
              <w:top w:val="single" w:color="auto" w:sz="4" w:space="0"/>
            </w:tcBorders>
            <w:noWrap w:val="0"/>
            <w:vAlign w:val="center"/>
          </w:tcPr>
          <w:p>
            <w:pPr>
              <w:widowControl/>
              <w:adjustRightInd w:val="0"/>
              <w:snapToGrid w:val="0"/>
              <w:jc w:val="center"/>
              <w:rPr>
                <w:rFonts w:ascii="仿宋_GB2312" w:hAnsi="仿宋" w:eastAsia="仿宋_GB2312" w:cs="仿宋"/>
                <w:spacing w:val="8"/>
                <w:sz w:val="24"/>
                <w:lang w:eastAsia="zh-Hans"/>
              </w:rPr>
            </w:pPr>
            <w:r>
              <w:rPr>
                <w:rFonts w:hint="eastAsia" w:ascii="仿宋_GB2312" w:hAnsi="仿宋" w:eastAsia="仿宋_GB2312" w:cs="仿宋"/>
                <w:spacing w:val="8"/>
                <w:sz w:val="24"/>
                <w:lang w:eastAsia="zh-Hans"/>
              </w:rPr>
              <w:t>建设生产</w:t>
            </w:r>
          </w:p>
          <w:p>
            <w:pPr>
              <w:widowControl/>
              <w:adjustRightInd w:val="0"/>
              <w:snapToGrid w:val="0"/>
              <w:jc w:val="center"/>
              <w:rPr>
                <w:rFonts w:hint="eastAsia" w:ascii="仿宋_GB2312" w:hAnsi="宋体" w:eastAsia="仿宋_GB2312" w:cs="宋体"/>
                <w:sz w:val="24"/>
                <w:lang w:eastAsia="zh-Hans"/>
              </w:rPr>
            </w:pPr>
            <w:r>
              <w:rPr>
                <w:rFonts w:hint="eastAsia" w:ascii="仿宋_GB2312" w:hAnsi="仿宋" w:eastAsia="仿宋_GB2312" w:cs="仿宋"/>
                <w:spacing w:val="8"/>
                <w:sz w:val="24"/>
                <w:lang w:eastAsia="zh-Hans"/>
              </w:rPr>
              <w:t>情况</w:t>
            </w:r>
          </w:p>
        </w:tc>
        <w:tc>
          <w:tcPr>
            <w:tcW w:w="1160" w:type="dxa"/>
            <w:vMerge w:val="restart"/>
            <w:tcBorders>
              <w:top w:val="single" w:color="auto" w:sz="4" w:space="0"/>
            </w:tcBorders>
            <w:noWrap w:val="0"/>
            <w:vAlign w:val="center"/>
          </w:tcPr>
          <w:p>
            <w:pPr>
              <w:widowControl/>
              <w:adjustRightInd w:val="0"/>
              <w:snapToGrid w:val="0"/>
              <w:jc w:val="center"/>
              <w:rPr>
                <w:rFonts w:hint="eastAsia" w:ascii="仿宋_GB2312" w:hAnsi="宋体" w:eastAsia="仿宋_GB2312" w:cs="宋体"/>
                <w:sz w:val="24"/>
              </w:rPr>
            </w:pPr>
            <w:r>
              <w:rPr>
                <w:rFonts w:hint="eastAsia" w:ascii="仿宋_GB2312" w:hAnsi="仿宋" w:eastAsia="仿宋_GB2312" w:cs="仿宋"/>
                <w:spacing w:val="-1"/>
                <w:position w:val="1"/>
                <w:sz w:val="24"/>
              </w:rPr>
              <w:t>30%</w:t>
            </w:r>
          </w:p>
        </w:tc>
        <w:tc>
          <w:tcPr>
            <w:tcW w:w="4039" w:type="dxa"/>
            <w:tcBorders>
              <w:top w:val="single" w:color="auto" w:sz="4" w:space="0"/>
              <w:bottom w:val="single" w:color="auto" w:sz="4" w:space="0"/>
              <w:right w:val="single" w:color="auto" w:sz="4" w:space="0"/>
            </w:tcBorders>
            <w:noWrap w:val="0"/>
            <w:vAlign w:val="center"/>
          </w:tcPr>
          <w:p>
            <w:pPr>
              <w:adjustRightInd w:val="0"/>
              <w:snapToGrid w:val="0"/>
              <w:ind w:left="155"/>
              <w:rPr>
                <w:rFonts w:hint="eastAsia" w:ascii="仿宋_GB2312" w:hAnsi="仿宋" w:eastAsia="仿宋_GB2312" w:cs="仿宋"/>
                <w:sz w:val="24"/>
              </w:rPr>
            </w:pPr>
            <w:r>
              <w:rPr>
                <w:rFonts w:hint="eastAsia" w:ascii="仿宋_GB2312" w:hAnsi="仿宋" w:eastAsia="仿宋_GB2312" w:cs="仿宋"/>
                <w:spacing w:val="12"/>
                <w:sz w:val="24"/>
              </w:rPr>
              <w:t>已</w:t>
            </w:r>
            <w:r>
              <w:rPr>
                <w:rFonts w:hint="eastAsia" w:ascii="仿宋_GB2312" w:hAnsi="仿宋" w:eastAsia="仿宋_GB2312" w:cs="仿宋"/>
                <w:spacing w:val="6"/>
                <w:sz w:val="24"/>
              </w:rPr>
              <w:t>开工建设但主体工程未建成的</w:t>
            </w:r>
          </w:p>
        </w:tc>
        <w:tc>
          <w:tcPr>
            <w:tcW w:w="1316" w:type="dxa"/>
            <w:tcBorders>
              <w:top w:val="single" w:color="auto" w:sz="4" w:space="0"/>
              <w:left w:val="single" w:color="auto" w:sz="4" w:space="0"/>
              <w:bottom w:val="single" w:color="auto" w:sz="4" w:space="0"/>
            </w:tcBorders>
            <w:noWrap w:val="0"/>
            <w:vAlign w:val="center"/>
          </w:tcPr>
          <w:p>
            <w:pPr>
              <w:adjustRightInd w:val="0"/>
              <w:snapToGrid w:val="0"/>
              <w:ind w:left="307"/>
              <w:rPr>
                <w:rFonts w:hint="eastAsia" w:ascii="仿宋_GB2312" w:hAnsi="仿宋" w:eastAsia="仿宋_GB2312" w:cs="仿宋"/>
                <w:sz w:val="24"/>
              </w:rPr>
            </w:pPr>
            <w:r>
              <w:rPr>
                <w:rFonts w:hint="eastAsia" w:ascii="仿宋_GB2312" w:hAnsi="仿宋" w:eastAsia="仿宋_GB2312" w:cs="仿宋"/>
                <w:spacing w:val="-6"/>
                <w:sz w:val="24"/>
              </w:rPr>
              <w:t>1</w:t>
            </w:r>
            <w:r>
              <w:rPr>
                <w:rFonts w:hint="eastAsia" w:ascii="仿宋_GB2312" w:hAnsi="仿宋" w:eastAsia="仿宋_GB2312" w:cs="仿宋"/>
                <w:spacing w:val="-3"/>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376" w:type="dxa"/>
            <w:vMerge w:val="continue"/>
            <w:noWrap w:val="0"/>
            <w:vAlign w:val="center"/>
          </w:tcPr>
          <w:p>
            <w:pPr>
              <w:widowControl/>
              <w:adjustRightInd w:val="0"/>
              <w:snapToGrid w:val="0"/>
              <w:jc w:val="center"/>
              <w:rPr>
                <w:rFonts w:hint="eastAsia" w:ascii="仿宋_GB2312" w:hAnsi="仿宋" w:eastAsia="仿宋_GB2312" w:cs="宋体"/>
                <w:b/>
                <w:bCs/>
                <w:sz w:val="24"/>
              </w:rPr>
            </w:pPr>
          </w:p>
        </w:tc>
        <w:tc>
          <w:tcPr>
            <w:tcW w:w="1530" w:type="dxa"/>
            <w:vMerge w:val="continue"/>
            <w:noWrap w:val="0"/>
            <w:vAlign w:val="center"/>
          </w:tcPr>
          <w:p>
            <w:pPr>
              <w:widowControl/>
              <w:adjustRightInd w:val="0"/>
              <w:snapToGrid w:val="0"/>
              <w:ind w:firstLine="256" w:firstLineChars="100"/>
              <w:jc w:val="center"/>
              <w:rPr>
                <w:rFonts w:hint="eastAsia" w:ascii="仿宋_GB2312" w:hAnsi="仿宋" w:eastAsia="仿宋_GB2312" w:cs="仿宋"/>
                <w:spacing w:val="8"/>
                <w:sz w:val="24"/>
                <w:lang w:eastAsia="zh-Hans"/>
              </w:rPr>
            </w:pPr>
          </w:p>
        </w:tc>
        <w:tc>
          <w:tcPr>
            <w:tcW w:w="1160" w:type="dxa"/>
            <w:vMerge w:val="continue"/>
            <w:noWrap w:val="0"/>
            <w:vAlign w:val="center"/>
          </w:tcPr>
          <w:p>
            <w:pPr>
              <w:widowControl/>
              <w:adjustRightInd w:val="0"/>
              <w:snapToGrid w:val="0"/>
              <w:jc w:val="center"/>
              <w:rPr>
                <w:rFonts w:hint="eastAsia" w:ascii="仿宋_GB2312" w:hAnsi="宋体" w:eastAsia="仿宋_GB2312" w:cs="宋体"/>
                <w:sz w:val="24"/>
              </w:rPr>
            </w:pPr>
          </w:p>
        </w:tc>
        <w:tc>
          <w:tcPr>
            <w:tcW w:w="4039" w:type="dxa"/>
            <w:tcBorders>
              <w:top w:val="single" w:color="auto" w:sz="4" w:space="0"/>
              <w:bottom w:val="single" w:color="auto" w:sz="4" w:space="0"/>
              <w:right w:val="single" w:color="auto" w:sz="4" w:space="0"/>
            </w:tcBorders>
            <w:noWrap w:val="0"/>
            <w:vAlign w:val="center"/>
          </w:tcPr>
          <w:p>
            <w:pPr>
              <w:adjustRightInd w:val="0"/>
              <w:snapToGrid w:val="0"/>
              <w:ind w:left="114" w:right="67" w:firstLine="10"/>
              <w:rPr>
                <w:rFonts w:hint="eastAsia" w:ascii="仿宋_GB2312" w:hAnsi="仿宋" w:eastAsia="仿宋_GB2312" w:cs="仿宋"/>
                <w:sz w:val="24"/>
              </w:rPr>
            </w:pPr>
            <w:r>
              <w:rPr>
                <w:rFonts w:hint="eastAsia" w:ascii="仿宋_GB2312" w:hAnsi="仿宋" w:eastAsia="仿宋_GB2312" w:cs="仿宋"/>
                <w:spacing w:val="16"/>
                <w:sz w:val="24"/>
              </w:rPr>
              <w:t>主</w:t>
            </w:r>
            <w:r>
              <w:rPr>
                <w:rFonts w:hint="eastAsia" w:ascii="仿宋_GB2312" w:hAnsi="仿宋" w:eastAsia="仿宋_GB2312" w:cs="仿宋"/>
                <w:spacing w:val="8"/>
                <w:sz w:val="24"/>
              </w:rPr>
              <w:t>体工程已建成但尚未投入生产或者使用的</w:t>
            </w:r>
          </w:p>
        </w:tc>
        <w:tc>
          <w:tcPr>
            <w:tcW w:w="1316" w:type="dxa"/>
            <w:tcBorders>
              <w:top w:val="single" w:color="auto" w:sz="4" w:space="0"/>
              <w:left w:val="single" w:color="auto" w:sz="4" w:space="0"/>
              <w:bottom w:val="single" w:color="auto" w:sz="4" w:space="0"/>
            </w:tcBorders>
            <w:noWrap w:val="0"/>
            <w:vAlign w:val="center"/>
          </w:tcPr>
          <w:p>
            <w:pPr>
              <w:adjustRightInd w:val="0"/>
              <w:snapToGrid w:val="0"/>
              <w:ind w:left="252"/>
              <w:rPr>
                <w:rFonts w:hint="eastAsia" w:ascii="仿宋_GB2312" w:hAnsi="仿宋" w:eastAsia="仿宋_GB2312" w:cs="仿宋"/>
                <w:sz w:val="24"/>
              </w:rPr>
            </w:pPr>
            <w:r>
              <w:rPr>
                <w:rFonts w:hint="eastAsia" w:ascii="仿宋_GB2312" w:hAnsi="仿宋" w:eastAsia="仿宋_GB2312" w:cs="仿宋"/>
                <w:spacing w:val="-3"/>
                <w:sz w:val="24"/>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376" w:type="dxa"/>
            <w:vMerge w:val="continue"/>
            <w:noWrap w:val="0"/>
            <w:vAlign w:val="center"/>
          </w:tcPr>
          <w:p>
            <w:pPr>
              <w:widowControl/>
              <w:adjustRightInd w:val="0"/>
              <w:snapToGrid w:val="0"/>
              <w:jc w:val="center"/>
              <w:rPr>
                <w:rFonts w:hint="eastAsia" w:ascii="仿宋_GB2312" w:hAnsi="仿宋" w:eastAsia="仿宋_GB2312" w:cs="宋体"/>
                <w:b/>
                <w:bCs/>
                <w:sz w:val="24"/>
              </w:rPr>
            </w:pPr>
          </w:p>
        </w:tc>
        <w:tc>
          <w:tcPr>
            <w:tcW w:w="1530" w:type="dxa"/>
            <w:vMerge w:val="continue"/>
            <w:noWrap w:val="0"/>
            <w:vAlign w:val="center"/>
          </w:tcPr>
          <w:p>
            <w:pPr>
              <w:widowControl/>
              <w:adjustRightInd w:val="0"/>
              <w:snapToGrid w:val="0"/>
              <w:ind w:firstLine="256" w:firstLineChars="100"/>
              <w:jc w:val="center"/>
              <w:rPr>
                <w:rFonts w:hint="eastAsia" w:ascii="仿宋_GB2312" w:hAnsi="仿宋" w:eastAsia="仿宋_GB2312" w:cs="仿宋"/>
                <w:spacing w:val="8"/>
                <w:sz w:val="24"/>
                <w:lang w:eastAsia="zh-Hans"/>
              </w:rPr>
            </w:pPr>
          </w:p>
        </w:tc>
        <w:tc>
          <w:tcPr>
            <w:tcW w:w="1160" w:type="dxa"/>
            <w:vMerge w:val="continue"/>
            <w:noWrap w:val="0"/>
            <w:vAlign w:val="center"/>
          </w:tcPr>
          <w:p>
            <w:pPr>
              <w:widowControl/>
              <w:adjustRightInd w:val="0"/>
              <w:snapToGrid w:val="0"/>
              <w:jc w:val="center"/>
              <w:rPr>
                <w:rFonts w:hint="eastAsia" w:ascii="仿宋_GB2312" w:hAnsi="宋体" w:eastAsia="仿宋_GB2312" w:cs="宋体"/>
                <w:sz w:val="24"/>
              </w:rPr>
            </w:pPr>
          </w:p>
        </w:tc>
        <w:tc>
          <w:tcPr>
            <w:tcW w:w="4039" w:type="dxa"/>
            <w:tcBorders>
              <w:top w:val="single" w:color="auto" w:sz="4" w:space="0"/>
              <w:right w:val="single" w:color="auto" w:sz="4" w:space="0"/>
            </w:tcBorders>
            <w:noWrap w:val="0"/>
            <w:vAlign w:val="center"/>
          </w:tcPr>
          <w:p>
            <w:pPr>
              <w:adjustRightInd w:val="0"/>
              <w:snapToGrid w:val="0"/>
              <w:ind w:left="125"/>
              <w:rPr>
                <w:rFonts w:hint="eastAsia" w:ascii="仿宋_GB2312" w:hAnsi="仿宋" w:eastAsia="仿宋_GB2312" w:cs="仿宋"/>
                <w:sz w:val="24"/>
              </w:rPr>
            </w:pPr>
            <w:r>
              <w:rPr>
                <w:rFonts w:hint="eastAsia" w:ascii="仿宋_GB2312" w:hAnsi="仿宋" w:eastAsia="仿宋_GB2312" w:cs="仿宋"/>
                <w:spacing w:val="16"/>
                <w:sz w:val="24"/>
              </w:rPr>
              <w:t>主</w:t>
            </w:r>
            <w:r>
              <w:rPr>
                <w:rFonts w:hint="eastAsia" w:ascii="仿宋_GB2312" w:hAnsi="仿宋" w:eastAsia="仿宋_GB2312" w:cs="仿宋"/>
                <w:spacing w:val="8"/>
                <w:sz w:val="24"/>
              </w:rPr>
              <w:t>体工程已投入生产或者使用的</w:t>
            </w:r>
          </w:p>
        </w:tc>
        <w:tc>
          <w:tcPr>
            <w:tcW w:w="1316" w:type="dxa"/>
            <w:tcBorders>
              <w:top w:val="single" w:color="auto" w:sz="4" w:space="0"/>
              <w:left w:val="single" w:color="auto" w:sz="4" w:space="0"/>
            </w:tcBorders>
            <w:noWrap w:val="0"/>
            <w:vAlign w:val="center"/>
          </w:tcPr>
          <w:p>
            <w:pPr>
              <w:adjustRightInd w:val="0"/>
              <w:snapToGrid w:val="0"/>
              <w:ind w:left="247"/>
              <w:rPr>
                <w:rFonts w:hint="eastAsia" w:ascii="仿宋_GB2312" w:hAnsi="仿宋" w:eastAsia="仿宋_GB2312" w:cs="仿宋"/>
                <w:sz w:val="24"/>
              </w:rPr>
            </w:pPr>
            <w:r>
              <w:rPr>
                <w:rFonts w:hint="eastAsia" w:ascii="仿宋_GB2312" w:hAnsi="仿宋" w:eastAsia="仿宋_GB2312" w:cs="仿宋"/>
                <w:spacing w:val="-3"/>
                <w:sz w:val="24"/>
              </w:rPr>
              <w:t>2</w:t>
            </w:r>
            <w:r>
              <w:rPr>
                <w:rFonts w:hint="eastAsia" w:ascii="仿宋_GB2312" w:hAnsi="仿宋" w:eastAsia="仿宋_GB2312" w:cs="仿宋"/>
                <w:spacing w:val="-2"/>
                <w:sz w:val="24"/>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6" w:type="dxa"/>
            <w:vMerge w:val="restart"/>
            <w:tcBorders>
              <w:bottom w:val="nil"/>
            </w:tcBorders>
            <w:noWrap w:val="0"/>
            <w:vAlign w:val="center"/>
          </w:tcPr>
          <w:p>
            <w:pPr>
              <w:adjustRightInd w:val="0"/>
              <w:snapToGrid w:val="0"/>
              <w:jc w:val="center"/>
              <w:rPr>
                <w:rFonts w:ascii="仿宋_GB2312" w:hAnsi="仿宋" w:eastAsia="仿宋_GB2312" w:cs="宋体"/>
                <w:b/>
                <w:bCs/>
                <w:sz w:val="24"/>
              </w:rPr>
            </w:pPr>
            <w:r>
              <w:rPr>
                <w:rFonts w:hint="eastAsia" w:ascii="仿宋_GB2312" w:hAnsi="仿宋" w:eastAsia="仿宋_GB2312" w:cs="宋体"/>
                <w:b/>
                <w:bCs/>
                <w:sz w:val="24"/>
                <w:lang w:eastAsia="zh-Hans"/>
              </w:rPr>
              <w:t>配</w:t>
            </w:r>
            <w:r>
              <w:rPr>
                <w:rFonts w:hint="eastAsia" w:ascii="仿宋_GB2312" w:hAnsi="仿宋" w:eastAsia="仿宋_GB2312" w:cs="宋体"/>
                <w:b/>
                <w:bCs/>
                <w:sz w:val="24"/>
              </w:rPr>
              <w:t>合调查</w:t>
            </w:r>
          </w:p>
          <w:p>
            <w:pPr>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取证情况</w:t>
            </w:r>
          </w:p>
        </w:tc>
        <w:tc>
          <w:tcPr>
            <w:tcW w:w="1530"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1160" w:type="dxa"/>
            <w:vMerge w:val="restart"/>
            <w:tcBorders>
              <w:bottom w:val="nil"/>
            </w:tcBorders>
            <w:noWrap w:val="0"/>
            <w:vAlign w:val="center"/>
          </w:tcPr>
          <w:p>
            <w:pPr>
              <w:adjustRightInd w:val="0"/>
              <w:snapToGrid w:val="0"/>
              <w:ind w:left="237" w:firstLine="232" w:firstLineChars="100"/>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4039" w:type="dxa"/>
            <w:noWrap w:val="0"/>
            <w:vAlign w:val="center"/>
          </w:tcPr>
          <w:p>
            <w:pPr>
              <w:adjustRightInd w:val="0"/>
              <w:snapToGrid w:val="0"/>
              <w:ind w:left="119"/>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316" w:type="dxa"/>
            <w:noWrap w:val="0"/>
            <w:vAlign w:val="center"/>
          </w:tcPr>
          <w:p>
            <w:pPr>
              <w:adjustRightInd w:val="0"/>
              <w:snapToGrid w:val="0"/>
              <w:ind w:left="278"/>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6" w:type="dxa"/>
            <w:vMerge w:val="continue"/>
            <w:tcBorders>
              <w:top w:val="nil"/>
              <w:bottom w:val="single" w:color="auto" w:sz="4" w:space="0"/>
            </w:tcBorders>
            <w:noWrap w:val="0"/>
            <w:vAlign w:val="center"/>
          </w:tcPr>
          <w:p>
            <w:pPr>
              <w:adjustRightInd w:val="0"/>
              <w:snapToGrid w:val="0"/>
              <w:jc w:val="center"/>
              <w:rPr>
                <w:rFonts w:hint="eastAsia" w:ascii="仿宋_GB2312" w:hAnsi="仿宋" w:eastAsia="仿宋_GB2312" w:cs="宋体"/>
                <w:b/>
                <w:bCs/>
                <w:sz w:val="24"/>
              </w:rPr>
            </w:pPr>
          </w:p>
        </w:tc>
        <w:tc>
          <w:tcPr>
            <w:tcW w:w="1530" w:type="dxa"/>
            <w:vMerge w:val="continue"/>
            <w:tcBorders>
              <w:top w:val="nil"/>
              <w:bottom w:val="single" w:color="auto" w:sz="4" w:space="0"/>
            </w:tcBorders>
            <w:noWrap w:val="0"/>
            <w:vAlign w:val="center"/>
          </w:tcPr>
          <w:p>
            <w:pPr>
              <w:adjustRightInd w:val="0"/>
              <w:snapToGrid w:val="0"/>
              <w:jc w:val="center"/>
              <w:rPr>
                <w:rFonts w:hint="eastAsia" w:ascii="仿宋_GB2312" w:hAnsi="宋体" w:eastAsia="仿宋_GB2312" w:cs="宋体"/>
                <w:sz w:val="24"/>
              </w:rPr>
            </w:pPr>
          </w:p>
        </w:tc>
        <w:tc>
          <w:tcPr>
            <w:tcW w:w="1160" w:type="dxa"/>
            <w:vMerge w:val="continue"/>
            <w:tcBorders>
              <w:top w:val="nil"/>
              <w:bottom w:val="single" w:color="auto" w:sz="4" w:space="0"/>
            </w:tcBorders>
            <w:noWrap w:val="0"/>
            <w:vAlign w:val="center"/>
          </w:tcPr>
          <w:p>
            <w:pPr>
              <w:adjustRightInd w:val="0"/>
              <w:snapToGrid w:val="0"/>
              <w:jc w:val="center"/>
              <w:rPr>
                <w:rFonts w:hint="eastAsia" w:ascii="仿宋_GB2312" w:hAnsi="宋体" w:eastAsia="仿宋_GB2312" w:cs="宋体"/>
                <w:sz w:val="24"/>
              </w:rPr>
            </w:pPr>
          </w:p>
        </w:tc>
        <w:tc>
          <w:tcPr>
            <w:tcW w:w="4039" w:type="dxa"/>
            <w:tcBorders>
              <w:bottom w:val="single" w:color="auto" w:sz="4" w:space="0"/>
            </w:tcBorders>
            <w:noWrap w:val="0"/>
            <w:vAlign w:val="center"/>
          </w:tcPr>
          <w:p>
            <w:pPr>
              <w:adjustRightInd w:val="0"/>
              <w:snapToGrid w:val="0"/>
              <w:ind w:left="125"/>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316" w:type="dxa"/>
            <w:noWrap w:val="0"/>
            <w:vAlign w:val="center"/>
          </w:tcPr>
          <w:p>
            <w:pPr>
              <w:adjustRightInd w:val="0"/>
              <w:snapToGrid w:val="0"/>
              <w:ind w:left="519"/>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76" w:type="dxa"/>
            <w:vMerge w:val="restart"/>
            <w:tcBorders>
              <w:top w:val="single" w:color="auto" w:sz="4" w:space="0"/>
              <w:bottom w:val="nil"/>
            </w:tcBorders>
            <w:noWrap w:val="0"/>
            <w:vAlign w:val="center"/>
          </w:tcPr>
          <w:p>
            <w:pPr>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整改情况</w:t>
            </w:r>
          </w:p>
        </w:tc>
        <w:tc>
          <w:tcPr>
            <w:tcW w:w="1530" w:type="dxa"/>
            <w:vMerge w:val="restart"/>
            <w:tcBorders>
              <w:top w:val="single" w:color="auto" w:sz="4" w:space="0"/>
              <w:bottom w:val="nil"/>
            </w:tcBorders>
            <w:noWrap w:val="0"/>
            <w:vAlign w:val="center"/>
          </w:tcPr>
          <w:p>
            <w:pPr>
              <w:adjustRightInd w:val="0"/>
              <w:snapToGrid w:val="0"/>
              <w:jc w:val="center"/>
              <w:rPr>
                <w:rFonts w:hint="eastAsia" w:ascii="仿宋_GB2312" w:hAnsi="仿宋" w:eastAsia="仿宋_GB2312" w:cs="仿宋"/>
                <w:spacing w:val="9"/>
                <w:sz w:val="24"/>
              </w:rPr>
            </w:pPr>
            <w:r>
              <w:rPr>
                <w:rFonts w:hint="eastAsia" w:ascii="仿宋_GB2312" w:hAnsi="仿宋" w:eastAsia="仿宋_GB2312" w:cs="仿宋"/>
                <w:spacing w:val="9"/>
                <w:sz w:val="24"/>
              </w:rPr>
              <w:t>是否</w:t>
            </w:r>
          </w:p>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及时整改</w:t>
            </w:r>
          </w:p>
        </w:tc>
        <w:tc>
          <w:tcPr>
            <w:tcW w:w="1160" w:type="dxa"/>
            <w:vMerge w:val="restart"/>
            <w:tcBorders>
              <w:top w:val="single" w:color="auto" w:sz="4" w:space="0"/>
              <w:bottom w:val="nil"/>
            </w:tcBorders>
            <w:noWrap w:val="0"/>
            <w:vAlign w:val="center"/>
          </w:tcPr>
          <w:p>
            <w:pPr>
              <w:adjustRightInd w:val="0"/>
              <w:snapToGrid w:val="0"/>
              <w:ind w:left="237" w:firstLine="232" w:firstLineChars="100"/>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4039" w:type="dxa"/>
            <w:tcBorders>
              <w:top w:val="single" w:color="auto" w:sz="4" w:space="0"/>
            </w:tcBorders>
            <w:noWrap w:val="0"/>
            <w:vAlign w:val="center"/>
          </w:tcPr>
          <w:p>
            <w:pPr>
              <w:adjustRightInd w:val="0"/>
              <w:snapToGrid w:val="0"/>
              <w:ind w:left="111"/>
              <w:rPr>
                <w:rFonts w:hint="eastAsia" w:ascii="仿宋_GB2312" w:hAnsi="仿宋" w:eastAsia="仿宋_GB2312" w:cs="仿宋"/>
                <w:sz w:val="24"/>
              </w:rPr>
            </w:pPr>
            <w:r>
              <w:rPr>
                <w:rFonts w:hint="eastAsia" w:ascii="仿宋_GB2312" w:hAnsi="仿宋" w:eastAsia="仿宋_GB2312" w:cs="仿宋"/>
                <w:spacing w:val="9"/>
                <w:sz w:val="24"/>
              </w:rPr>
              <w:t>及时停止建设的</w:t>
            </w:r>
          </w:p>
        </w:tc>
        <w:tc>
          <w:tcPr>
            <w:tcW w:w="1316" w:type="dxa"/>
            <w:noWrap w:val="0"/>
            <w:vAlign w:val="center"/>
          </w:tcPr>
          <w:p>
            <w:pPr>
              <w:adjustRightInd w:val="0"/>
              <w:snapToGrid w:val="0"/>
              <w:ind w:left="519"/>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76" w:type="dxa"/>
            <w:vMerge w:val="continue"/>
            <w:tcBorders>
              <w:top w:val="nil"/>
              <w:bottom w:val="single" w:color="auto" w:sz="4" w:space="0"/>
            </w:tcBorders>
            <w:noWrap w:val="0"/>
            <w:vAlign w:val="center"/>
          </w:tcPr>
          <w:p>
            <w:pPr>
              <w:adjustRightInd w:val="0"/>
              <w:snapToGrid w:val="0"/>
              <w:jc w:val="center"/>
              <w:rPr>
                <w:rFonts w:hint="eastAsia" w:ascii="仿宋_GB2312" w:hAnsi="仿宋" w:eastAsia="仿宋_GB2312" w:cs="宋体"/>
                <w:b/>
                <w:bCs/>
                <w:sz w:val="24"/>
              </w:rPr>
            </w:pPr>
          </w:p>
        </w:tc>
        <w:tc>
          <w:tcPr>
            <w:tcW w:w="1530" w:type="dxa"/>
            <w:vMerge w:val="continue"/>
            <w:tcBorders>
              <w:top w:val="nil"/>
              <w:bottom w:val="single" w:color="auto" w:sz="4" w:space="0"/>
            </w:tcBorders>
            <w:noWrap w:val="0"/>
            <w:vAlign w:val="center"/>
          </w:tcPr>
          <w:p>
            <w:pPr>
              <w:adjustRightInd w:val="0"/>
              <w:snapToGrid w:val="0"/>
              <w:jc w:val="center"/>
              <w:rPr>
                <w:rFonts w:hint="eastAsia" w:ascii="仿宋_GB2312" w:hAnsi="宋体" w:eastAsia="仿宋_GB2312" w:cs="宋体"/>
                <w:sz w:val="24"/>
              </w:rPr>
            </w:pPr>
          </w:p>
        </w:tc>
        <w:tc>
          <w:tcPr>
            <w:tcW w:w="1160" w:type="dxa"/>
            <w:vMerge w:val="continue"/>
            <w:tcBorders>
              <w:top w:val="nil"/>
              <w:bottom w:val="single" w:color="auto" w:sz="4" w:space="0"/>
            </w:tcBorders>
            <w:noWrap w:val="0"/>
            <w:vAlign w:val="center"/>
          </w:tcPr>
          <w:p>
            <w:pPr>
              <w:adjustRightInd w:val="0"/>
              <w:snapToGrid w:val="0"/>
              <w:jc w:val="center"/>
              <w:rPr>
                <w:rFonts w:hint="eastAsia" w:ascii="仿宋_GB2312" w:hAnsi="宋体" w:eastAsia="仿宋_GB2312" w:cs="宋体"/>
                <w:sz w:val="24"/>
              </w:rPr>
            </w:pPr>
          </w:p>
        </w:tc>
        <w:tc>
          <w:tcPr>
            <w:tcW w:w="4039" w:type="dxa"/>
            <w:tcBorders>
              <w:bottom w:val="single" w:color="auto" w:sz="4" w:space="0"/>
            </w:tcBorders>
            <w:noWrap w:val="0"/>
            <w:vAlign w:val="center"/>
          </w:tcPr>
          <w:p>
            <w:pPr>
              <w:adjustRightInd w:val="0"/>
              <w:snapToGrid w:val="0"/>
              <w:ind w:left="120"/>
              <w:rPr>
                <w:rFonts w:hint="eastAsia" w:ascii="仿宋_GB2312" w:hAnsi="仿宋" w:eastAsia="仿宋_GB2312" w:cs="仿宋"/>
                <w:sz w:val="24"/>
              </w:rPr>
            </w:pPr>
            <w:r>
              <w:rPr>
                <w:rFonts w:hint="eastAsia" w:ascii="仿宋_GB2312" w:hAnsi="仿宋" w:eastAsia="仿宋_GB2312" w:cs="仿宋"/>
                <w:spacing w:val="8"/>
                <w:sz w:val="24"/>
              </w:rPr>
              <w:t>拒不停止建设</w:t>
            </w:r>
            <w:r>
              <w:rPr>
                <w:rFonts w:hint="eastAsia" w:ascii="仿宋_GB2312" w:hAnsi="仿宋" w:eastAsia="仿宋_GB2312" w:cs="仿宋"/>
                <w:spacing w:val="6"/>
                <w:sz w:val="24"/>
              </w:rPr>
              <w:t>的</w:t>
            </w:r>
          </w:p>
        </w:tc>
        <w:tc>
          <w:tcPr>
            <w:tcW w:w="1316" w:type="dxa"/>
            <w:noWrap w:val="0"/>
            <w:vAlign w:val="center"/>
          </w:tcPr>
          <w:p>
            <w:pPr>
              <w:adjustRightInd w:val="0"/>
              <w:snapToGrid w:val="0"/>
              <w:ind w:left="278"/>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76"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对社会影响</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或生态破坏</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程度</w:t>
            </w:r>
          </w:p>
        </w:tc>
        <w:tc>
          <w:tcPr>
            <w:tcW w:w="1530"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1160" w:type="dxa"/>
            <w:vMerge w:val="restart"/>
            <w:tcBorders>
              <w:bottom w:val="nil"/>
            </w:tcBorders>
            <w:noWrap w:val="0"/>
            <w:vAlign w:val="center"/>
          </w:tcPr>
          <w:p>
            <w:pPr>
              <w:widowControl/>
              <w:adjustRightInd w:val="0"/>
              <w:snapToGrid w:val="0"/>
              <w:ind w:left="188" w:firstLine="236" w:firstLineChars="100"/>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4039" w:type="dxa"/>
            <w:noWrap w:val="0"/>
            <w:vAlign w:val="center"/>
          </w:tcPr>
          <w:p>
            <w:pPr>
              <w:widowControl/>
              <w:adjustRightInd w:val="0"/>
              <w:snapToGrid w:val="0"/>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316" w:type="dxa"/>
            <w:noWrap w:val="0"/>
            <w:vAlign w:val="center"/>
          </w:tcPr>
          <w:p>
            <w:pPr>
              <w:widowControl/>
              <w:adjustRightInd w:val="0"/>
              <w:snapToGrid w:val="0"/>
              <w:ind w:left="229"/>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76" w:type="dxa"/>
            <w:vMerge w:val="continue"/>
            <w:tcBorders>
              <w:top w:val="nil"/>
            </w:tcBorders>
            <w:noWrap w:val="0"/>
            <w:vAlign w:val="top"/>
          </w:tcPr>
          <w:p>
            <w:pPr>
              <w:widowControl/>
              <w:adjustRightInd w:val="0"/>
              <w:snapToGrid w:val="0"/>
              <w:jc w:val="left"/>
              <w:rPr>
                <w:rFonts w:hint="eastAsia" w:ascii="仿宋_GB2312" w:hAnsi="宋体" w:eastAsia="仿宋_GB2312" w:cs="宋体"/>
                <w:sz w:val="24"/>
              </w:rPr>
            </w:pPr>
          </w:p>
        </w:tc>
        <w:tc>
          <w:tcPr>
            <w:tcW w:w="1530" w:type="dxa"/>
            <w:vMerge w:val="continue"/>
            <w:tcBorders>
              <w:top w:val="nil"/>
            </w:tcBorders>
            <w:noWrap w:val="0"/>
            <w:vAlign w:val="top"/>
          </w:tcPr>
          <w:p>
            <w:pPr>
              <w:widowControl/>
              <w:adjustRightInd w:val="0"/>
              <w:snapToGrid w:val="0"/>
              <w:jc w:val="left"/>
              <w:rPr>
                <w:rFonts w:hint="eastAsia" w:ascii="仿宋_GB2312" w:hAnsi="宋体" w:eastAsia="仿宋_GB2312" w:cs="宋体"/>
                <w:sz w:val="24"/>
              </w:rPr>
            </w:pPr>
          </w:p>
        </w:tc>
        <w:tc>
          <w:tcPr>
            <w:tcW w:w="1160" w:type="dxa"/>
            <w:vMerge w:val="continue"/>
            <w:tcBorders>
              <w:top w:val="nil"/>
            </w:tcBorders>
            <w:noWrap w:val="0"/>
            <w:vAlign w:val="top"/>
          </w:tcPr>
          <w:p>
            <w:pPr>
              <w:widowControl/>
              <w:adjustRightInd w:val="0"/>
              <w:snapToGrid w:val="0"/>
              <w:jc w:val="left"/>
              <w:rPr>
                <w:rFonts w:hint="eastAsia" w:ascii="仿宋_GB2312" w:hAnsi="宋体" w:eastAsia="仿宋_GB2312" w:cs="宋体"/>
                <w:sz w:val="24"/>
              </w:rPr>
            </w:pPr>
          </w:p>
        </w:tc>
        <w:tc>
          <w:tcPr>
            <w:tcW w:w="4039" w:type="dxa"/>
            <w:noWrap w:val="0"/>
            <w:vAlign w:val="center"/>
          </w:tcPr>
          <w:p>
            <w:pPr>
              <w:widowControl/>
              <w:adjustRightInd w:val="0"/>
              <w:snapToGrid w:val="0"/>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316" w:type="dxa"/>
            <w:noWrap w:val="0"/>
            <w:vAlign w:val="center"/>
          </w:tcPr>
          <w:p>
            <w:pPr>
              <w:widowControl/>
              <w:adjustRightInd w:val="0"/>
              <w:snapToGrid w:val="0"/>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spacing w:before="75" w:line="334" w:lineRule="auto"/>
        <w:ind w:left="119" w:firstLine="1"/>
        <w:rPr>
          <w:rFonts w:ascii="宋体" w:hAnsi="宋体" w:cs="宋体"/>
          <w:sz w:val="23"/>
          <w:szCs w:val="23"/>
        </w:rPr>
      </w:pPr>
      <w:r>
        <w:rPr>
          <w:rFonts w:ascii="宋体" w:hAnsi="宋体" w:cs="宋体"/>
          <w:b/>
          <w:bCs/>
          <w:spacing w:val="6"/>
          <w:sz w:val="23"/>
          <w:szCs w:val="23"/>
        </w:rPr>
        <w:t>注：</w:t>
      </w:r>
      <w:r>
        <w:rPr>
          <w:rFonts w:ascii="宋体" w:hAnsi="宋体" w:cs="宋体"/>
          <w:spacing w:val="6"/>
          <w:sz w:val="23"/>
          <w:szCs w:val="23"/>
        </w:rPr>
        <w:t>本裁量规则计算方法 罚款金额＝建设项目总投资额×</w:t>
      </w:r>
      <w:r>
        <w:rPr>
          <w:rFonts w:hint="eastAsia" w:ascii="宋体" w:hAnsi="宋体" w:cs="宋体"/>
          <w:spacing w:val="6"/>
          <w:sz w:val="23"/>
          <w:szCs w:val="23"/>
        </w:rPr>
        <w:t>3</w:t>
      </w:r>
      <w:r>
        <w:rPr>
          <w:rFonts w:ascii="宋体" w:hAnsi="宋体" w:cs="宋体"/>
          <w:spacing w:val="6"/>
          <w:sz w:val="23"/>
          <w:szCs w:val="23"/>
        </w:rPr>
        <w:t>-5%</w:t>
      </w:r>
      <w:r>
        <w:rPr>
          <w:rFonts w:eastAsia="Calibri" w:cs="Calibri"/>
          <w:spacing w:val="6"/>
          <w:sz w:val="23"/>
          <w:szCs w:val="23"/>
        </w:rPr>
        <w:t xml:space="preserve"> </w:t>
      </w:r>
      <w:r>
        <w:rPr>
          <w:rFonts w:ascii="宋体" w:hAnsi="宋体" w:cs="宋体"/>
          <w:spacing w:val="6"/>
          <w:sz w:val="23"/>
          <w:szCs w:val="23"/>
        </w:rPr>
        <w:t xml:space="preserve">(由总百分值确定) </w:t>
      </w:r>
      <w:r>
        <w:rPr>
          <w:rFonts w:ascii="宋体" w:hAnsi="宋体" w:cs="宋体"/>
          <w:spacing w:val="4"/>
          <w:sz w:val="23"/>
          <w:szCs w:val="23"/>
        </w:rPr>
        <w:t>，</w:t>
      </w:r>
      <w:r>
        <w:rPr>
          <w:rFonts w:ascii="宋体" w:hAnsi="宋体" w:cs="宋体"/>
          <w:sz w:val="23"/>
          <w:szCs w:val="23"/>
        </w:rPr>
        <w:t xml:space="preserve"> </w:t>
      </w:r>
      <w:r>
        <w:rPr>
          <w:rFonts w:ascii="宋体" w:hAnsi="宋体" w:cs="宋体"/>
          <w:spacing w:val="6"/>
          <w:sz w:val="23"/>
          <w:szCs w:val="23"/>
        </w:rPr>
        <w:t>但罚款金额不能低于建设项目总投资额的</w:t>
      </w:r>
      <w:r>
        <w:rPr>
          <w:rFonts w:hint="eastAsia" w:ascii="宋体" w:hAnsi="宋体" w:cs="宋体"/>
          <w:spacing w:val="6"/>
          <w:sz w:val="23"/>
          <w:szCs w:val="23"/>
        </w:rPr>
        <w:t>3</w:t>
      </w:r>
      <w:r>
        <w:rPr>
          <w:rFonts w:ascii="宋体" w:hAnsi="宋体" w:cs="宋体"/>
          <w:spacing w:val="6"/>
          <w:sz w:val="23"/>
          <w:szCs w:val="23"/>
        </w:rPr>
        <w:t>%。</w:t>
      </w:r>
    </w:p>
    <w:p>
      <w:pPr>
        <w:spacing w:line="28" w:lineRule="exact"/>
      </w:pPr>
    </w:p>
    <w:tbl>
      <w:tblPr>
        <w:tblStyle w:val="9"/>
        <w:tblW w:w="7323" w:type="dxa"/>
        <w:tblInd w:w="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2"/>
        <w:gridCol w:w="3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542" w:type="dxa"/>
            <w:noWrap w:val="0"/>
            <w:vAlign w:val="top"/>
          </w:tcPr>
          <w:p>
            <w:pPr>
              <w:spacing w:before="104" w:line="228" w:lineRule="auto"/>
              <w:ind w:left="1362"/>
              <w:rPr>
                <w:rFonts w:ascii="宋体" w:hAnsi="宋体" w:cs="宋体"/>
                <w:sz w:val="20"/>
                <w:szCs w:val="20"/>
              </w:rPr>
            </w:pPr>
            <w:r>
              <w:rPr>
                <w:rFonts w:ascii="宋体" w:hAnsi="宋体" w:cs="宋体"/>
                <w:spacing w:val="7"/>
                <w:sz w:val="20"/>
                <w:szCs w:val="20"/>
              </w:rPr>
              <w:t>总百分值</w:t>
            </w:r>
          </w:p>
        </w:tc>
        <w:tc>
          <w:tcPr>
            <w:tcW w:w="3781" w:type="dxa"/>
            <w:noWrap w:val="0"/>
            <w:vAlign w:val="top"/>
          </w:tcPr>
          <w:p>
            <w:pPr>
              <w:spacing w:before="104" w:line="228" w:lineRule="auto"/>
              <w:ind w:left="1483"/>
              <w:rPr>
                <w:rFonts w:ascii="宋体" w:hAnsi="宋体" w:cs="宋体"/>
                <w:sz w:val="20"/>
                <w:szCs w:val="20"/>
              </w:rPr>
            </w:pPr>
            <w:r>
              <w:rPr>
                <w:rFonts w:ascii="宋体" w:hAnsi="宋体" w:cs="宋体"/>
                <w:spacing w:val="7"/>
                <w:sz w:val="20"/>
                <w:szCs w:val="20"/>
              </w:rPr>
              <w:t>罚</w:t>
            </w:r>
            <w:r>
              <w:rPr>
                <w:rFonts w:ascii="宋体" w:hAnsi="宋体" w:cs="宋体"/>
                <w:spacing w:val="6"/>
                <w:sz w:val="20"/>
                <w:szCs w:val="20"/>
              </w:rPr>
              <w:t>款金额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542" w:type="dxa"/>
            <w:noWrap w:val="0"/>
            <w:vAlign w:val="top"/>
          </w:tcPr>
          <w:p>
            <w:pPr>
              <w:spacing w:before="63" w:line="280" w:lineRule="exact"/>
              <w:ind w:left="1184"/>
              <w:rPr>
                <w:rFonts w:ascii="仿宋_GB2312" w:eastAsia="仿宋_GB2312" w:cs="Calibri"/>
                <w:sz w:val="20"/>
                <w:szCs w:val="20"/>
              </w:rPr>
            </w:pPr>
            <w:r>
              <w:rPr>
                <w:rFonts w:ascii="仿宋_GB2312" w:hAnsi="宋体" w:eastAsia="仿宋_GB2312" w:cs="宋体"/>
                <w:spacing w:val="9"/>
                <w:position w:val="1"/>
                <w:sz w:val="20"/>
                <w:szCs w:val="20"/>
              </w:rPr>
              <w:t>百</w:t>
            </w:r>
            <w:r>
              <w:rPr>
                <w:rFonts w:ascii="仿宋_GB2312" w:hAnsi="宋体" w:eastAsia="仿宋_GB2312" w:cs="宋体"/>
                <w:spacing w:val="5"/>
                <w:position w:val="1"/>
                <w:sz w:val="20"/>
                <w:szCs w:val="20"/>
              </w:rPr>
              <w:t>分值≤</w:t>
            </w:r>
            <w:r>
              <w:rPr>
                <w:rFonts w:hint="eastAsia" w:ascii="仿宋_GB2312" w:hAnsi="宋体" w:eastAsia="仿宋_GB2312" w:cs="宋体"/>
                <w:spacing w:val="5"/>
                <w:position w:val="1"/>
                <w:sz w:val="20"/>
                <w:szCs w:val="20"/>
              </w:rPr>
              <w:t>4</w:t>
            </w:r>
            <w:r>
              <w:rPr>
                <w:rFonts w:ascii="仿宋_GB2312" w:eastAsia="仿宋_GB2312" w:cs="Calibri"/>
                <w:spacing w:val="5"/>
                <w:position w:val="1"/>
                <w:sz w:val="20"/>
                <w:szCs w:val="20"/>
              </w:rPr>
              <w:t>0%</w:t>
            </w:r>
          </w:p>
        </w:tc>
        <w:tc>
          <w:tcPr>
            <w:tcW w:w="3781" w:type="dxa"/>
            <w:noWrap w:val="0"/>
            <w:vAlign w:val="top"/>
          </w:tcPr>
          <w:p>
            <w:pPr>
              <w:spacing w:before="63" w:line="280"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hint="eastAsia" w:ascii="仿宋_GB2312" w:hAnsi="宋体" w:eastAsia="仿宋_GB2312" w:cs="宋体"/>
                <w:spacing w:val="8"/>
                <w:position w:val="1"/>
                <w:sz w:val="20"/>
                <w:szCs w:val="20"/>
              </w:rPr>
              <w:t>3</w:t>
            </w:r>
            <w:r>
              <w:rPr>
                <w:rFonts w:ascii="仿宋_GB2312" w:eastAsia="仿宋_GB2312" w:cs="Calibri"/>
                <w:spacing w:val="8"/>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542" w:type="dxa"/>
            <w:noWrap w:val="0"/>
            <w:vAlign w:val="top"/>
          </w:tcPr>
          <w:p>
            <w:pPr>
              <w:spacing w:before="68" w:line="279" w:lineRule="exact"/>
              <w:ind w:left="894"/>
              <w:rPr>
                <w:rFonts w:ascii="仿宋_GB2312" w:eastAsia="仿宋_GB2312" w:cs="Calibri"/>
                <w:sz w:val="20"/>
                <w:szCs w:val="20"/>
              </w:rPr>
            </w:pPr>
            <w:r>
              <w:rPr>
                <w:rFonts w:hint="eastAsia" w:ascii="仿宋_GB2312" w:eastAsia="仿宋_GB2312" w:cs="Calibri"/>
                <w:spacing w:val="6"/>
                <w:position w:val="1"/>
                <w:sz w:val="20"/>
                <w:szCs w:val="20"/>
              </w:rPr>
              <w:t>4</w:t>
            </w:r>
            <w:r>
              <w:rPr>
                <w:rFonts w:ascii="仿宋_GB2312" w:eastAsia="仿宋_GB2312" w:cs="Calibri"/>
                <w:spacing w:val="6"/>
                <w:position w:val="1"/>
                <w:sz w:val="20"/>
                <w:szCs w:val="20"/>
              </w:rPr>
              <w:t>0%</w:t>
            </w:r>
            <w:r>
              <w:rPr>
                <w:rFonts w:ascii="仿宋_GB2312" w:hAnsi="宋体" w:eastAsia="仿宋_GB2312" w:cs="宋体"/>
                <w:spacing w:val="6"/>
                <w:position w:val="1"/>
                <w:sz w:val="20"/>
                <w:szCs w:val="20"/>
              </w:rPr>
              <w:t>＜百分值≤</w:t>
            </w:r>
            <w:r>
              <w:rPr>
                <w:rFonts w:hint="eastAsia" w:ascii="仿宋_GB2312" w:hAnsi="宋体" w:eastAsia="仿宋_GB2312" w:cs="宋体"/>
                <w:spacing w:val="6"/>
                <w:position w:val="1"/>
                <w:sz w:val="20"/>
                <w:szCs w:val="20"/>
              </w:rPr>
              <w:t>7</w:t>
            </w:r>
            <w:r>
              <w:rPr>
                <w:rFonts w:ascii="仿宋_GB2312" w:eastAsia="仿宋_GB2312" w:cs="Calibri"/>
                <w:spacing w:val="6"/>
                <w:position w:val="1"/>
                <w:sz w:val="20"/>
                <w:szCs w:val="20"/>
              </w:rPr>
              <w:t>0%</w:t>
            </w:r>
          </w:p>
        </w:tc>
        <w:tc>
          <w:tcPr>
            <w:tcW w:w="3781" w:type="dxa"/>
            <w:noWrap w:val="0"/>
            <w:vAlign w:val="top"/>
          </w:tcPr>
          <w:p>
            <w:pPr>
              <w:spacing w:before="68" w:line="279"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hint="eastAsia" w:ascii="仿宋_GB2312" w:hAnsi="宋体" w:eastAsia="仿宋_GB2312" w:cs="宋体"/>
                <w:spacing w:val="8"/>
                <w:position w:val="1"/>
                <w:sz w:val="20"/>
                <w:szCs w:val="20"/>
              </w:rPr>
              <w:t>4</w:t>
            </w:r>
            <w:r>
              <w:rPr>
                <w:rFonts w:ascii="仿宋_GB2312" w:eastAsia="仿宋_GB2312" w:cs="Calibri"/>
                <w:spacing w:val="8"/>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542" w:type="dxa"/>
            <w:noWrap w:val="0"/>
            <w:vAlign w:val="top"/>
          </w:tcPr>
          <w:p>
            <w:pPr>
              <w:spacing w:before="66" w:line="280" w:lineRule="exact"/>
              <w:ind w:left="888"/>
              <w:rPr>
                <w:rFonts w:ascii="仿宋_GB2312" w:eastAsia="仿宋_GB2312" w:cs="Calibri"/>
                <w:sz w:val="20"/>
                <w:szCs w:val="20"/>
              </w:rPr>
            </w:pPr>
            <w:r>
              <w:rPr>
                <w:rFonts w:hint="eastAsia" w:ascii="仿宋_GB2312" w:eastAsia="仿宋_GB2312" w:cs="Calibri"/>
                <w:spacing w:val="7"/>
                <w:position w:val="1"/>
                <w:sz w:val="20"/>
                <w:szCs w:val="20"/>
              </w:rPr>
              <w:t>7</w:t>
            </w:r>
            <w:r>
              <w:rPr>
                <w:rFonts w:ascii="仿宋_GB2312" w:eastAsia="仿宋_GB2312" w:cs="Calibri"/>
                <w:spacing w:val="7"/>
                <w:position w:val="1"/>
                <w:sz w:val="20"/>
                <w:szCs w:val="20"/>
              </w:rPr>
              <w:t>0%</w:t>
            </w:r>
            <w:r>
              <w:rPr>
                <w:rFonts w:ascii="仿宋_GB2312" w:hAnsi="宋体" w:eastAsia="仿宋_GB2312" w:cs="宋体"/>
                <w:spacing w:val="7"/>
                <w:position w:val="1"/>
                <w:sz w:val="20"/>
                <w:szCs w:val="20"/>
              </w:rPr>
              <w:t>＜百分值≤</w:t>
            </w:r>
            <w:r>
              <w:rPr>
                <w:rFonts w:hint="eastAsia" w:ascii="仿宋_GB2312" w:hAnsi="宋体" w:eastAsia="仿宋_GB2312" w:cs="宋体"/>
                <w:spacing w:val="7"/>
                <w:position w:val="1"/>
                <w:sz w:val="20"/>
                <w:szCs w:val="20"/>
              </w:rPr>
              <w:t>10</w:t>
            </w:r>
            <w:r>
              <w:rPr>
                <w:rFonts w:ascii="仿宋_GB2312" w:eastAsia="仿宋_GB2312" w:cs="Calibri"/>
                <w:spacing w:val="7"/>
                <w:position w:val="1"/>
                <w:sz w:val="20"/>
                <w:szCs w:val="20"/>
              </w:rPr>
              <w:t>0</w:t>
            </w:r>
            <w:r>
              <w:rPr>
                <w:rFonts w:ascii="仿宋_GB2312" w:eastAsia="仿宋_GB2312" w:cs="Calibri"/>
                <w:spacing w:val="5"/>
                <w:position w:val="1"/>
                <w:sz w:val="20"/>
                <w:szCs w:val="20"/>
              </w:rPr>
              <w:t>%</w:t>
            </w:r>
          </w:p>
        </w:tc>
        <w:tc>
          <w:tcPr>
            <w:tcW w:w="3781" w:type="dxa"/>
            <w:noWrap w:val="0"/>
            <w:vAlign w:val="top"/>
          </w:tcPr>
          <w:p>
            <w:pPr>
              <w:spacing w:before="66" w:line="280" w:lineRule="exact"/>
              <w:ind w:left="824"/>
              <w:rPr>
                <w:rFonts w:ascii="仿宋_GB2312" w:eastAsia="仿宋_GB2312" w:cs="Calibri"/>
                <w:sz w:val="20"/>
                <w:szCs w:val="20"/>
              </w:rPr>
            </w:pPr>
            <w:r>
              <w:rPr>
                <w:rFonts w:ascii="仿宋_GB2312" w:hAnsi="宋体" w:eastAsia="仿宋_GB2312" w:cs="宋体"/>
                <w:spacing w:val="8"/>
                <w:position w:val="1"/>
                <w:sz w:val="20"/>
                <w:szCs w:val="20"/>
              </w:rPr>
              <w:t>建设项目总投资额×</w:t>
            </w:r>
            <w:r>
              <w:rPr>
                <w:rFonts w:hint="eastAsia" w:ascii="仿宋_GB2312" w:hAnsi="宋体" w:eastAsia="仿宋_GB2312" w:cs="宋体"/>
                <w:spacing w:val="8"/>
                <w:position w:val="1"/>
                <w:sz w:val="20"/>
                <w:szCs w:val="20"/>
              </w:rPr>
              <w:t>5</w:t>
            </w:r>
            <w:r>
              <w:rPr>
                <w:rFonts w:ascii="仿宋_GB2312" w:eastAsia="仿宋_GB2312" w:cs="Calibri"/>
                <w:spacing w:val="8"/>
                <w:position w:val="1"/>
                <w:sz w:val="20"/>
                <w:szCs w:val="20"/>
              </w:rPr>
              <w:t>%</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bl>
      <w:tblPr>
        <w:tblStyle w:val="9"/>
        <w:tblW w:w="90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1903"/>
        <w:gridCol w:w="1305"/>
        <w:gridCol w:w="2871"/>
        <w:gridCol w:w="1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083" w:type="dxa"/>
            <w:gridSpan w:val="5"/>
            <w:noWrap w:val="0"/>
            <w:vAlign w:val="top"/>
          </w:tcPr>
          <w:p>
            <w:pPr>
              <w:widowControl/>
              <w:spacing w:before="155" w:line="212" w:lineRule="auto"/>
              <w:ind w:right="-288" w:rightChars="-137"/>
              <w:jc w:val="center"/>
              <w:rPr>
                <w:rFonts w:hint="eastAsia" w:ascii="微软雅黑" w:hAnsi="微软雅黑" w:eastAsia="方正小标宋简体"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89" w:type="dxa"/>
            <w:noWrap w:val="0"/>
            <w:vAlign w:val="center"/>
          </w:tcPr>
          <w:p>
            <w:pPr>
              <w:widowControl/>
              <w:spacing w:line="218" w:lineRule="auto"/>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594" w:type="dxa"/>
            <w:gridSpan w:val="4"/>
            <w:noWrap w:val="0"/>
            <w:vAlign w:val="center"/>
          </w:tcPr>
          <w:p>
            <w:pPr>
              <w:widowControl/>
              <w:spacing w:line="187" w:lineRule="auto"/>
              <w:jc w:val="center"/>
              <w:rPr>
                <w:rFonts w:hint="eastAsia" w:ascii="仿宋_GB2312" w:hAnsi="仿宋" w:eastAsia="仿宋_GB2312" w:cs="仿宋"/>
                <w:sz w:val="24"/>
              </w:rPr>
            </w:pPr>
            <w:r>
              <w:rPr>
                <w:rFonts w:hint="eastAsia" w:ascii="仿宋_GB2312" w:hAnsi="仿宋" w:eastAsia="仿宋_GB2312" w:cs="仿宋"/>
                <w:sz w:val="24"/>
              </w:rPr>
              <w:t>197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489" w:type="dxa"/>
            <w:noWrap w:val="0"/>
            <w:vAlign w:val="center"/>
          </w:tcPr>
          <w:p>
            <w:pPr>
              <w:widowControl/>
              <w:spacing w:line="216" w:lineRule="auto"/>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594" w:type="dxa"/>
            <w:gridSpan w:val="4"/>
            <w:noWrap w:val="0"/>
            <w:vAlign w:val="center"/>
          </w:tcPr>
          <w:p>
            <w:pPr>
              <w:widowControl/>
              <w:spacing w:line="241" w:lineRule="auto"/>
              <w:ind w:right="105"/>
              <w:rPr>
                <w:rFonts w:hint="eastAsia" w:ascii="仿宋_GB2312" w:hAnsi="仿宋" w:eastAsia="仿宋_GB2312" w:cs="仿宋"/>
                <w:sz w:val="24"/>
              </w:rPr>
            </w:pPr>
            <w:r>
              <w:rPr>
                <w:rFonts w:hint="eastAsia" w:ascii="仿宋_GB2312" w:hAnsi="仿宋" w:eastAsia="仿宋_GB2312" w:cs="仿宋"/>
                <w:sz w:val="24"/>
              </w:rPr>
              <w:t>未依法备案建设项目环境影响登记表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jc w:val="center"/>
        </w:trPr>
        <w:tc>
          <w:tcPr>
            <w:tcW w:w="1489" w:type="dxa"/>
            <w:noWrap w:val="0"/>
            <w:vAlign w:val="center"/>
          </w:tcPr>
          <w:p>
            <w:pPr>
              <w:widowControl/>
              <w:spacing w:before="91" w:line="219" w:lineRule="auto"/>
              <w:jc w:val="center"/>
              <w:rPr>
                <w:rFonts w:hint="eastAsia" w:ascii="仿宋_GB2312" w:hAnsi="仿宋" w:eastAsia="仿宋_GB2312" w:cs="仿宋"/>
                <w:b/>
                <w:bCs/>
                <w:sz w:val="24"/>
              </w:rPr>
            </w:pPr>
            <w:r>
              <w:rPr>
                <w:rFonts w:hint="eastAsia" w:ascii="仿宋_GB2312" w:hAnsi="仿宋" w:eastAsia="仿宋_GB2312" w:cs="仿宋"/>
                <w:b/>
                <w:bCs/>
                <w:spacing w:val="-7"/>
                <w:sz w:val="24"/>
              </w:rPr>
              <w:t>处</w:t>
            </w:r>
            <w:r>
              <w:rPr>
                <w:rFonts w:hint="eastAsia" w:ascii="仿宋_GB2312" w:hAnsi="仿宋" w:eastAsia="仿宋_GB2312" w:cs="仿宋"/>
                <w:b/>
                <w:bCs/>
                <w:spacing w:val="-4"/>
                <w:sz w:val="24"/>
              </w:rPr>
              <w:t>罚依据</w:t>
            </w:r>
          </w:p>
        </w:tc>
        <w:tc>
          <w:tcPr>
            <w:tcW w:w="7594" w:type="dxa"/>
            <w:gridSpan w:val="4"/>
            <w:noWrap w:val="0"/>
            <w:vAlign w:val="top"/>
          </w:tcPr>
          <w:p>
            <w:pPr>
              <w:widowControl/>
              <w:adjustRightInd w:val="0"/>
              <w:snapToGrid w:val="0"/>
              <w:ind w:left="125" w:right="100"/>
              <w:jc w:val="left"/>
              <w:rPr>
                <w:rFonts w:hint="eastAsia" w:ascii="仿宋_GB2312" w:hAnsi="仿宋" w:eastAsia="仿宋_GB2312" w:cs="仿宋"/>
                <w:b/>
                <w:bCs/>
                <w:sz w:val="24"/>
              </w:rPr>
            </w:pPr>
            <w:r>
              <w:rPr>
                <w:rFonts w:ascii="仿宋_GB2312" w:hAnsi="仿宋" w:eastAsia="仿宋_GB2312" w:cs="仿宋"/>
                <w:sz w:val="24"/>
              </w:rPr>
              <w:t>1.</w:t>
            </w:r>
            <w:r>
              <w:rPr>
                <w:rFonts w:hint="eastAsia" w:ascii="仿宋_GB2312" w:hAnsi="仿宋" w:eastAsia="仿宋_GB2312" w:cs="仿宋"/>
                <w:b/>
                <w:bCs/>
                <w:sz w:val="24"/>
              </w:rPr>
              <w:t>《</w:t>
            </w:r>
            <w:r>
              <w:rPr>
                <w:rFonts w:hint="eastAsia" w:ascii="仿宋_GB2312" w:hAnsi="仿宋_GB2312" w:eastAsia="仿宋_GB2312" w:cs="仿宋_GB2312"/>
                <w:b/>
                <w:bCs/>
                <w:sz w:val="24"/>
              </w:rPr>
              <w:t>河北省</w:t>
            </w:r>
            <w:r>
              <w:rPr>
                <w:rFonts w:hint="eastAsia" w:ascii="仿宋_GB2312" w:hAnsi="仿宋" w:eastAsia="仿宋_GB2312" w:cs="仿宋"/>
                <w:b/>
                <w:bCs/>
                <w:sz w:val="24"/>
              </w:rPr>
              <w:t>非煤矿山综合治理条例》</w:t>
            </w:r>
          </w:p>
          <w:p>
            <w:pPr>
              <w:widowControl/>
              <w:adjustRightInd w:val="0"/>
              <w:snapToGrid w:val="0"/>
              <w:ind w:left="125" w:right="100"/>
              <w:jc w:val="left"/>
              <w:rPr>
                <w:rFonts w:hint="eastAsia" w:ascii="仿宋_GB2312" w:hAnsi="仿宋" w:eastAsia="仿宋_GB2312" w:cs="仿宋"/>
                <w:sz w:val="24"/>
              </w:rPr>
            </w:pPr>
            <w:r>
              <w:rPr>
                <w:rFonts w:hint="eastAsia" w:ascii="仿宋_GB2312" w:hAnsi="仿宋" w:eastAsia="仿宋_GB2312" w:cs="仿宋"/>
                <w:b/>
                <w:bCs/>
                <w:sz w:val="24"/>
              </w:rPr>
              <w:t>第十二条 第二款</w:t>
            </w:r>
            <w:r>
              <w:rPr>
                <w:rFonts w:hint="eastAsia" w:ascii="仿宋_GB2312" w:hAnsi="仿宋" w:eastAsia="仿宋_GB2312" w:cs="仿宋"/>
                <w:sz w:val="24"/>
              </w:rPr>
              <w:t xml:space="preserve"> 非煤矿山建设项目在建设、运行过程中产生不符合经批准的环境影响评价文件的情形的，建设单位应当依法组织环境影响后评价，采取改进措施，并报原环境影响评价文件审批部门和建设项目审批部门备案；原环境影响评价文件审批部门也可以责成建设单位进行环境影响的后评价，采取改进措施。</w:t>
            </w:r>
          </w:p>
          <w:p>
            <w:pPr>
              <w:widowControl/>
              <w:adjustRightInd w:val="0"/>
              <w:snapToGrid w:val="0"/>
              <w:ind w:left="125" w:right="100"/>
              <w:jc w:val="left"/>
              <w:rPr>
                <w:rFonts w:hint="eastAsia" w:ascii="仿宋_GB2312" w:hAnsi="仿宋" w:eastAsia="仿宋_GB2312" w:cs="仿宋"/>
                <w:sz w:val="24"/>
              </w:rPr>
            </w:pPr>
            <w:r>
              <w:rPr>
                <w:rFonts w:hint="eastAsia" w:ascii="仿宋_GB2312" w:hAnsi="仿宋" w:eastAsia="仿宋_GB2312" w:cs="仿宋"/>
                <w:b/>
                <w:bCs/>
                <w:sz w:val="24"/>
              </w:rPr>
              <w:t>第四十七条 第三款</w:t>
            </w:r>
            <w:r>
              <w:rPr>
                <w:rFonts w:hint="eastAsia" w:ascii="仿宋_GB2312" w:hAnsi="仿宋" w:eastAsia="仿宋_GB2312" w:cs="仿宋"/>
                <w:sz w:val="24"/>
              </w:rPr>
              <w:t xml:space="preserve"> 非煤矿山建设单位未依法备案建设项目环境影响登记表的，由县级以上人民政府生态环境主管部门责令备案，处五万元以下的罚款。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4697" w:type="dxa"/>
            <w:gridSpan w:val="3"/>
            <w:noWrap w:val="0"/>
            <w:vAlign w:val="center"/>
          </w:tcPr>
          <w:p>
            <w:pPr>
              <w:widowControl/>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4386" w:type="dxa"/>
            <w:gridSpan w:val="2"/>
            <w:noWrap w:val="0"/>
            <w:vAlign w:val="center"/>
          </w:tcPr>
          <w:p>
            <w:pPr>
              <w:widowControl/>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89" w:type="dxa"/>
            <w:noWrap w:val="0"/>
            <w:vAlign w:val="center"/>
          </w:tcPr>
          <w:p>
            <w:pPr>
              <w:widowControl/>
              <w:spacing w:line="228" w:lineRule="auto"/>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widowControl/>
              <w:adjustRightInd w:val="0"/>
              <w:snapToGrid w:val="0"/>
              <w:ind w:left="483"/>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1305" w:type="dxa"/>
            <w:noWrap w:val="0"/>
            <w:vAlign w:val="center"/>
          </w:tcPr>
          <w:p>
            <w:pPr>
              <w:widowControl/>
              <w:adjustRightInd w:val="0"/>
              <w:snapToGrid w:val="0"/>
              <w:ind w:left="118" w:right="113"/>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widowControl/>
              <w:adjustRightInd w:val="0"/>
              <w:snapToGrid w:val="0"/>
              <w:ind w:left="118" w:right="113"/>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2871" w:type="dxa"/>
            <w:noWrap w:val="0"/>
            <w:vAlign w:val="center"/>
          </w:tcPr>
          <w:p>
            <w:pPr>
              <w:widowControl/>
              <w:adjustRightInd w:val="0"/>
              <w:snapToGrid w:val="0"/>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515" w:type="dxa"/>
            <w:noWrap w:val="0"/>
            <w:vAlign w:val="center"/>
          </w:tcPr>
          <w:p>
            <w:pPr>
              <w:widowControl/>
              <w:adjustRightInd w:val="0"/>
              <w:snapToGrid w:val="0"/>
              <w:ind w:left="224"/>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1489" w:type="dxa"/>
            <w:vMerge w:val="restart"/>
            <w:tcBorders>
              <w:bottom w:val="nil"/>
            </w:tcBorders>
            <w:noWrap w:val="0"/>
            <w:vAlign w:val="center"/>
          </w:tcPr>
          <w:p>
            <w:pPr>
              <w:widowControl/>
              <w:adjustRightInd w:val="0"/>
              <w:snapToGrid w:val="0"/>
              <w:spacing w:before="218"/>
              <w:jc w:val="center"/>
              <w:rPr>
                <w:rFonts w:hint="eastAsia" w:ascii="仿宋_GB2312" w:hAnsi="仿宋" w:eastAsia="仿宋_GB2312" w:cs="仿宋"/>
                <w:b/>
                <w:bCs/>
                <w:spacing w:val="7"/>
                <w:sz w:val="24"/>
              </w:rPr>
            </w:pPr>
            <w:r>
              <w:rPr>
                <w:rFonts w:hint="eastAsia" w:ascii="仿宋_GB2312" w:hAnsi="仿宋" w:eastAsia="仿宋_GB2312" w:cs="仿宋"/>
                <w:b/>
                <w:bCs/>
                <w:spacing w:val="7"/>
                <w:sz w:val="24"/>
              </w:rPr>
              <w:t>对环境影响</w:t>
            </w:r>
          </w:p>
          <w:p>
            <w:pPr>
              <w:widowControl/>
              <w:adjustRightInd w:val="0"/>
              <w:snapToGrid w:val="0"/>
              <w:spacing w:before="218"/>
              <w:jc w:val="center"/>
              <w:rPr>
                <w:rFonts w:hint="eastAsia" w:ascii="仿宋_GB2312" w:hAnsi="仿宋" w:eastAsia="仿宋_GB2312" w:cs="仿宋"/>
                <w:b/>
                <w:bCs/>
                <w:spacing w:val="7"/>
                <w:sz w:val="24"/>
              </w:rPr>
            </w:pPr>
            <w:r>
              <w:rPr>
                <w:rFonts w:hint="eastAsia" w:ascii="仿宋_GB2312" w:hAnsi="仿宋" w:eastAsia="仿宋_GB2312" w:cs="仿宋"/>
                <w:b/>
                <w:bCs/>
                <w:spacing w:val="7"/>
                <w:sz w:val="24"/>
              </w:rPr>
              <w:t>程度</w:t>
            </w:r>
          </w:p>
        </w:tc>
        <w:tc>
          <w:tcPr>
            <w:tcW w:w="1903" w:type="dxa"/>
            <w:vMerge w:val="restart"/>
            <w:tcBorders>
              <w:bottom w:val="nil"/>
            </w:tcBorders>
            <w:noWrap w:val="0"/>
            <w:vAlign w:val="center"/>
          </w:tcPr>
          <w:p>
            <w:pPr>
              <w:adjustRightInd w:val="0"/>
              <w:snapToGrid w:val="0"/>
              <w:ind w:left="318"/>
              <w:rPr>
                <w:rFonts w:hint="eastAsia" w:ascii="仿宋_GB2312" w:hAnsi="仿宋" w:eastAsia="仿宋_GB2312" w:cs="仿宋"/>
                <w:sz w:val="24"/>
              </w:rPr>
            </w:pPr>
            <w:r>
              <w:rPr>
                <w:rFonts w:hint="eastAsia" w:ascii="仿宋_GB2312" w:hAnsi="仿宋" w:eastAsia="仿宋_GB2312" w:cs="仿宋"/>
                <w:spacing w:val="-2"/>
                <w:sz w:val="24"/>
              </w:rPr>
              <w:t>违法行为</w:t>
            </w:r>
            <w:r>
              <w:rPr>
                <w:rFonts w:hint="eastAsia" w:ascii="仿宋_GB2312" w:hAnsi="仿宋" w:eastAsia="仿宋_GB2312" w:cs="仿宋"/>
                <w:spacing w:val="-1"/>
                <w:sz w:val="24"/>
              </w:rPr>
              <w:t>类型</w:t>
            </w:r>
          </w:p>
        </w:tc>
        <w:tc>
          <w:tcPr>
            <w:tcW w:w="1305"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6"/>
                <w:sz w:val="24"/>
              </w:rPr>
              <w:t>4</w:t>
            </w:r>
            <w:r>
              <w:rPr>
                <w:rFonts w:hint="eastAsia" w:ascii="仿宋_GB2312" w:hAnsi="仿宋" w:eastAsia="仿宋_GB2312" w:cs="仿宋"/>
                <w:spacing w:val="-5"/>
                <w:sz w:val="24"/>
              </w:rPr>
              <w:t>0%</w:t>
            </w:r>
          </w:p>
        </w:tc>
        <w:tc>
          <w:tcPr>
            <w:tcW w:w="2871" w:type="dxa"/>
            <w:tcBorders>
              <w:bottom w:val="single" w:color="auto" w:sz="4" w:space="0"/>
            </w:tcBorders>
            <w:noWrap w:val="0"/>
            <w:vAlign w:val="center"/>
          </w:tcPr>
          <w:p>
            <w:pPr>
              <w:adjustRightInd w:val="0"/>
              <w:snapToGrid w:val="0"/>
              <w:ind w:left="117"/>
              <w:rPr>
                <w:rFonts w:hint="eastAsia" w:ascii="仿宋_GB2312" w:hAnsi="仿宋" w:eastAsia="仿宋_GB2312" w:cs="仿宋"/>
                <w:sz w:val="24"/>
              </w:rPr>
            </w:pPr>
            <w:r>
              <w:rPr>
                <w:rFonts w:hint="eastAsia" w:ascii="仿宋_GB2312" w:hAnsi="仿宋" w:eastAsia="仿宋_GB2312" w:cs="仿宋"/>
                <w:spacing w:val="-16"/>
                <w:sz w:val="24"/>
              </w:rPr>
              <w:t>违</w:t>
            </w:r>
            <w:r>
              <w:rPr>
                <w:rFonts w:hint="eastAsia" w:ascii="仿宋_GB2312" w:hAnsi="仿宋" w:eastAsia="仿宋_GB2312" w:cs="仿宋"/>
                <w:spacing w:val="-10"/>
                <w:sz w:val="24"/>
              </w:rPr>
              <w:t>法</w:t>
            </w:r>
            <w:r>
              <w:rPr>
                <w:rFonts w:hint="eastAsia" w:ascii="仿宋_GB2312" w:hAnsi="仿宋" w:eastAsia="仿宋_GB2312" w:cs="仿宋"/>
                <w:spacing w:val="-8"/>
                <w:sz w:val="24"/>
              </w:rPr>
              <w:t>行为持续不足1个月的</w:t>
            </w:r>
          </w:p>
        </w:tc>
        <w:tc>
          <w:tcPr>
            <w:tcW w:w="1515" w:type="dxa"/>
            <w:tcBorders>
              <w:bottom w:val="single" w:color="auto" w:sz="4" w:space="0"/>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6"/>
                <w:sz w:val="24"/>
              </w:rPr>
              <w:t>1</w:t>
            </w:r>
            <w:r>
              <w:rPr>
                <w:rFonts w:hint="eastAsia" w:ascii="仿宋_GB2312" w:hAnsi="仿宋" w:eastAsia="仿宋_GB2312" w:cs="仿宋"/>
                <w:spacing w:val="-3"/>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489" w:type="dxa"/>
            <w:vMerge w:val="continue"/>
            <w:noWrap w:val="0"/>
            <w:vAlign w:val="center"/>
          </w:tcPr>
          <w:p>
            <w:pPr>
              <w:widowControl/>
              <w:adjustRightInd w:val="0"/>
              <w:snapToGrid w:val="0"/>
              <w:spacing w:before="218"/>
              <w:ind w:left="482"/>
              <w:jc w:val="center"/>
              <w:rPr>
                <w:rFonts w:hint="eastAsia" w:ascii="仿宋_GB2312" w:hAnsi="仿宋" w:eastAsia="仿宋_GB2312" w:cs="仿宋"/>
                <w:b/>
                <w:bCs/>
                <w:spacing w:val="7"/>
                <w:sz w:val="24"/>
              </w:rPr>
            </w:pPr>
          </w:p>
        </w:tc>
        <w:tc>
          <w:tcPr>
            <w:tcW w:w="1903" w:type="dxa"/>
            <w:vMerge w:val="continue"/>
            <w:noWrap w:val="0"/>
            <w:vAlign w:val="center"/>
          </w:tcPr>
          <w:p>
            <w:pPr>
              <w:adjustRightInd w:val="0"/>
              <w:snapToGrid w:val="0"/>
              <w:jc w:val="center"/>
              <w:rPr>
                <w:rFonts w:hint="eastAsia" w:ascii="仿宋_GB2312" w:hAnsi="仿宋" w:eastAsia="仿宋_GB2312" w:cs="仿宋"/>
                <w:sz w:val="24"/>
              </w:rPr>
            </w:pPr>
          </w:p>
        </w:tc>
        <w:tc>
          <w:tcPr>
            <w:tcW w:w="1305" w:type="dxa"/>
            <w:vMerge w:val="continue"/>
            <w:noWrap w:val="0"/>
            <w:vAlign w:val="center"/>
          </w:tcPr>
          <w:p>
            <w:pPr>
              <w:adjustRightInd w:val="0"/>
              <w:snapToGrid w:val="0"/>
              <w:jc w:val="center"/>
              <w:rPr>
                <w:rFonts w:hint="eastAsia" w:ascii="仿宋_GB2312" w:hAnsi="仿宋" w:eastAsia="仿宋_GB2312" w:cs="仿宋"/>
                <w:sz w:val="24"/>
              </w:rPr>
            </w:pPr>
          </w:p>
        </w:tc>
        <w:tc>
          <w:tcPr>
            <w:tcW w:w="2871" w:type="dxa"/>
            <w:tcBorders>
              <w:top w:val="single" w:color="auto" w:sz="4" w:space="0"/>
            </w:tcBorders>
            <w:noWrap w:val="0"/>
            <w:vAlign w:val="center"/>
          </w:tcPr>
          <w:p>
            <w:pPr>
              <w:adjustRightInd w:val="0"/>
              <w:snapToGrid w:val="0"/>
              <w:ind w:left="117"/>
              <w:rPr>
                <w:rFonts w:hint="eastAsia" w:ascii="仿宋_GB2312" w:hAnsi="仿宋" w:eastAsia="仿宋_GB2312" w:cs="仿宋"/>
                <w:sz w:val="24"/>
              </w:rPr>
            </w:pPr>
            <w:r>
              <w:rPr>
                <w:rFonts w:hint="eastAsia" w:ascii="仿宋_GB2312" w:hAnsi="仿宋" w:eastAsia="仿宋_GB2312" w:cs="仿宋"/>
                <w:spacing w:val="-6"/>
                <w:sz w:val="24"/>
              </w:rPr>
              <w:t>违法行为</w:t>
            </w:r>
            <w:r>
              <w:rPr>
                <w:rFonts w:hint="eastAsia" w:ascii="仿宋_GB2312" w:hAnsi="仿宋" w:eastAsia="仿宋_GB2312" w:cs="仿宋"/>
                <w:spacing w:val="-3"/>
                <w:sz w:val="24"/>
              </w:rPr>
              <w:t>持续1个月以上 不足3个月的</w:t>
            </w:r>
          </w:p>
        </w:tc>
        <w:tc>
          <w:tcPr>
            <w:tcW w:w="1515" w:type="dxa"/>
            <w:tcBorders>
              <w:top w:val="single" w:color="auto" w:sz="4" w:space="0"/>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3"/>
                <w:sz w:val="24"/>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489" w:type="dxa"/>
            <w:vMerge w:val="continue"/>
            <w:tcBorders>
              <w:top w:val="nil"/>
            </w:tcBorders>
            <w:noWrap w:val="0"/>
            <w:vAlign w:val="center"/>
          </w:tcPr>
          <w:p>
            <w:pPr>
              <w:widowControl/>
              <w:adjustRightInd w:val="0"/>
              <w:snapToGrid w:val="0"/>
              <w:spacing w:before="218"/>
              <w:ind w:left="482"/>
              <w:jc w:val="center"/>
              <w:rPr>
                <w:rFonts w:hint="eastAsia" w:ascii="仿宋_GB2312" w:hAnsi="仿宋" w:eastAsia="仿宋_GB2312" w:cs="仿宋"/>
                <w:b/>
                <w:bCs/>
                <w:spacing w:val="7"/>
                <w:sz w:val="24"/>
              </w:rPr>
            </w:pPr>
          </w:p>
        </w:tc>
        <w:tc>
          <w:tcPr>
            <w:tcW w:w="1903"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1305"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2871" w:type="dxa"/>
            <w:noWrap w:val="0"/>
            <w:vAlign w:val="center"/>
          </w:tcPr>
          <w:p>
            <w:pPr>
              <w:adjustRightInd w:val="0"/>
              <w:snapToGrid w:val="0"/>
              <w:ind w:left="117"/>
              <w:rPr>
                <w:rFonts w:hint="eastAsia" w:ascii="仿宋_GB2312" w:hAnsi="仿宋" w:eastAsia="仿宋_GB2312" w:cs="仿宋"/>
                <w:sz w:val="24"/>
              </w:rPr>
            </w:pPr>
            <w:r>
              <w:rPr>
                <w:rFonts w:hint="eastAsia" w:ascii="仿宋_GB2312" w:hAnsi="仿宋" w:eastAsia="仿宋_GB2312" w:cs="仿宋"/>
                <w:spacing w:val="-8"/>
                <w:sz w:val="24"/>
              </w:rPr>
              <w:t>违法</w:t>
            </w:r>
            <w:r>
              <w:rPr>
                <w:rFonts w:hint="eastAsia" w:ascii="仿宋_GB2312" w:hAnsi="仿宋" w:eastAsia="仿宋_GB2312" w:cs="仿宋"/>
                <w:spacing w:val="-7"/>
                <w:sz w:val="24"/>
              </w:rPr>
              <w:t>行</w:t>
            </w:r>
            <w:r>
              <w:rPr>
                <w:rFonts w:hint="eastAsia" w:ascii="仿宋_GB2312" w:hAnsi="仿宋" w:eastAsia="仿宋_GB2312" w:cs="仿宋"/>
                <w:spacing w:val="-4"/>
                <w:sz w:val="24"/>
              </w:rPr>
              <w:t>为持续3个月以上的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3"/>
                <w:sz w:val="24"/>
              </w:rPr>
              <w:t>2</w:t>
            </w:r>
            <w:r>
              <w:rPr>
                <w:rFonts w:hint="eastAsia" w:ascii="仿宋_GB2312" w:hAnsi="仿宋" w:eastAsia="仿宋_GB2312" w:cs="仿宋"/>
                <w:spacing w:val="-2"/>
                <w:sz w:val="24"/>
              </w:rPr>
              <w:t>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89" w:type="dxa"/>
            <w:vMerge w:val="restart"/>
            <w:tcBorders>
              <w:bottom w:val="nil"/>
            </w:tcBorders>
            <w:noWrap w:val="0"/>
            <w:vAlign w:val="center"/>
          </w:tcPr>
          <w:p>
            <w:pPr>
              <w:widowControl/>
              <w:adjustRightInd w:val="0"/>
              <w:snapToGrid w:val="0"/>
              <w:jc w:val="center"/>
              <w:rPr>
                <w:rFonts w:hint="eastAsia" w:ascii="仿宋_GB2312" w:hAnsi="仿宋" w:eastAsia="仿宋_GB2312" w:cs="仿宋"/>
                <w:b/>
                <w:bCs/>
                <w:spacing w:val="7"/>
                <w:sz w:val="24"/>
              </w:rPr>
            </w:pPr>
            <w:r>
              <w:rPr>
                <w:rFonts w:hint="eastAsia" w:ascii="仿宋_GB2312" w:hAnsi="仿宋" w:eastAsia="仿宋_GB2312" w:cs="仿宋"/>
                <w:b/>
                <w:bCs/>
                <w:spacing w:val="7"/>
                <w:sz w:val="24"/>
              </w:rPr>
              <w:t>违法频次</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2"/>
                <w:sz w:val="24"/>
              </w:rPr>
              <w:t>一</w:t>
            </w:r>
            <w:r>
              <w:rPr>
                <w:rFonts w:hint="eastAsia" w:ascii="仿宋_GB2312" w:hAnsi="仿宋" w:eastAsia="仿宋_GB2312" w:cs="仿宋"/>
                <w:spacing w:val="-3"/>
                <w:position w:val="2"/>
                <w:sz w:val="24"/>
              </w:rPr>
              <w:t>年内违法次数</w:t>
            </w:r>
          </w:p>
        </w:tc>
        <w:tc>
          <w:tcPr>
            <w:tcW w:w="1305"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6"/>
                <w:sz w:val="24"/>
              </w:rPr>
              <w:t>2</w:t>
            </w:r>
            <w:r>
              <w:rPr>
                <w:rFonts w:hint="eastAsia" w:ascii="仿宋_GB2312" w:hAnsi="仿宋" w:eastAsia="仿宋_GB2312" w:cs="仿宋"/>
                <w:spacing w:val="-5"/>
                <w:sz w:val="24"/>
              </w:rPr>
              <w:t>0%</w:t>
            </w:r>
          </w:p>
        </w:tc>
        <w:tc>
          <w:tcPr>
            <w:tcW w:w="2871" w:type="dxa"/>
            <w:noWrap w:val="0"/>
            <w:vAlign w:val="center"/>
          </w:tcPr>
          <w:p>
            <w:pPr>
              <w:adjustRightInd w:val="0"/>
              <w:snapToGrid w:val="0"/>
              <w:ind w:left="122"/>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0"/>
                <w:sz w:val="24"/>
              </w:rPr>
              <w:t>5</w:t>
            </w:r>
            <w:r>
              <w:rPr>
                <w:rFonts w:hint="eastAsia" w:ascii="仿宋_GB2312" w:hAnsi="仿宋" w:eastAsia="仿宋_GB2312" w:cs="仿宋"/>
                <w:spacing w:val="-9"/>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89" w:type="dxa"/>
            <w:vMerge w:val="continue"/>
            <w:tcBorders>
              <w:top w:val="nil"/>
              <w:bottom w:val="nil"/>
            </w:tcBorders>
            <w:noWrap w:val="0"/>
            <w:vAlign w:val="center"/>
          </w:tcPr>
          <w:p>
            <w:pPr>
              <w:widowControl/>
              <w:adjustRightInd w:val="0"/>
              <w:snapToGrid w:val="0"/>
              <w:spacing w:before="218"/>
              <w:ind w:left="482"/>
              <w:jc w:val="center"/>
              <w:rPr>
                <w:rFonts w:hint="eastAsia" w:ascii="仿宋_GB2312" w:hAnsi="仿宋" w:eastAsia="仿宋_GB2312" w:cs="仿宋"/>
                <w:b/>
                <w:bCs/>
                <w:spacing w:val="7"/>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hAnsi="宋体" w:eastAsia="仿宋_GB2312" w:cs="宋体"/>
                <w:sz w:val="24"/>
              </w:rPr>
            </w:pPr>
          </w:p>
        </w:tc>
        <w:tc>
          <w:tcPr>
            <w:tcW w:w="1305" w:type="dxa"/>
            <w:vMerge w:val="continue"/>
            <w:tcBorders>
              <w:top w:val="nil"/>
              <w:bottom w:val="nil"/>
            </w:tcBorders>
            <w:noWrap w:val="0"/>
            <w:vAlign w:val="center"/>
          </w:tcPr>
          <w:p>
            <w:pPr>
              <w:adjustRightInd w:val="0"/>
              <w:snapToGrid w:val="0"/>
              <w:jc w:val="center"/>
              <w:rPr>
                <w:rFonts w:hint="eastAsia" w:ascii="仿宋_GB2312" w:hAnsi="宋体" w:eastAsia="仿宋_GB2312" w:cs="宋体"/>
                <w:sz w:val="24"/>
              </w:rPr>
            </w:pPr>
          </w:p>
        </w:tc>
        <w:tc>
          <w:tcPr>
            <w:tcW w:w="2871" w:type="dxa"/>
            <w:noWrap w:val="0"/>
            <w:vAlign w:val="center"/>
          </w:tcPr>
          <w:p>
            <w:pPr>
              <w:adjustRightInd w:val="0"/>
              <w:snapToGrid w:val="0"/>
              <w:ind w:left="121"/>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1</w:t>
            </w:r>
            <w:r>
              <w:rPr>
                <w:rFonts w:hint="eastAsia" w:ascii="仿宋_GB2312" w:hAnsi="仿宋" w:eastAsia="仿宋_GB2312" w:cs="仿宋"/>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89" w:type="dxa"/>
            <w:vMerge w:val="continue"/>
            <w:tcBorders>
              <w:top w:val="nil"/>
              <w:bottom w:val="nil"/>
            </w:tcBorders>
            <w:noWrap w:val="0"/>
            <w:vAlign w:val="center"/>
          </w:tcPr>
          <w:p>
            <w:pPr>
              <w:widowControl/>
              <w:adjustRightInd w:val="0"/>
              <w:snapToGrid w:val="0"/>
              <w:spacing w:before="218"/>
              <w:ind w:left="482"/>
              <w:jc w:val="center"/>
              <w:rPr>
                <w:rFonts w:hint="eastAsia" w:ascii="仿宋_GB2312" w:hAnsi="仿宋" w:eastAsia="仿宋_GB2312" w:cs="仿宋"/>
                <w:b/>
                <w:bCs/>
                <w:spacing w:val="7"/>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hAnsi="宋体" w:eastAsia="仿宋_GB2312" w:cs="宋体"/>
                <w:sz w:val="24"/>
              </w:rPr>
            </w:pPr>
          </w:p>
        </w:tc>
        <w:tc>
          <w:tcPr>
            <w:tcW w:w="1305" w:type="dxa"/>
            <w:vMerge w:val="continue"/>
            <w:tcBorders>
              <w:top w:val="nil"/>
              <w:bottom w:val="nil"/>
            </w:tcBorders>
            <w:noWrap w:val="0"/>
            <w:vAlign w:val="center"/>
          </w:tcPr>
          <w:p>
            <w:pPr>
              <w:adjustRightInd w:val="0"/>
              <w:snapToGrid w:val="0"/>
              <w:jc w:val="center"/>
              <w:rPr>
                <w:rFonts w:hint="eastAsia" w:ascii="仿宋_GB2312" w:hAnsi="宋体" w:eastAsia="仿宋_GB2312" w:cs="宋体"/>
                <w:sz w:val="24"/>
              </w:rPr>
            </w:pPr>
          </w:p>
        </w:tc>
        <w:tc>
          <w:tcPr>
            <w:tcW w:w="2871" w:type="dxa"/>
            <w:noWrap w:val="0"/>
            <w:vAlign w:val="center"/>
          </w:tcPr>
          <w:p>
            <w:pPr>
              <w:adjustRightInd w:val="0"/>
              <w:snapToGrid w:val="0"/>
              <w:ind w:left="127"/>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1</w:t>
            </w:r>
            <w:r>
              <w:rPr>
                <w:rFonts w:hint="eastAsia" w:ascii="仿宋_GB2312" w:hAnsi="仿宋" w:eastAsia="仿宋_GB2312" w:cs="仿宋"/>
                <w:spacing w:val="-7"/>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89" w:type="dxa"/>
            <w:vMerge w:val="continue"/>
            <w:tcBorders>
              <w:top w:val="nil"/>
            </w:tcBorders>
            <w:noWrap w:val="0"/>
            <w:vAlign w:val="center"/>
          </w:tcPr>
          <w:p>
            <w:pPr>
              <w:widowControl/>
              <w:adjustRightInd w:val="0"/>
              <w:snapToGrid w:val="0"/>
              <w:spacing w:before="218"/>
              <w:ind w:left="482"/>
              <w:jc w:val="center"/>
              <w:rPr>
                <w:rFonts w:hint="eastAsia" w:ascii="仿宋_GB2312" w:hAnsi="仿宋" w:eastAsia="仿宋_GB2312" w:cs="仿宋"/>
                <w:b/>
                <w:bCs/>
                <w:spacing w:val="7"/>
                <w:sz w:val="24"/>
              </w:rPr>
            </w:pPr>
          </w:p>
        </w:tc>
        <w:tc>
          <w:tcPr>
            <w:tcW w:w="1903"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1305"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2871" w:type="dxa"/>
            <w:noWrap w:val="0"/>
            <w:vAlign w:val="center"/>
          </w:tcPr>
          <w:p>
            <w:pPr>
              <w:adjustRightInd w:val="0"/>
              <w:snapToGrid w:val="0"/>
              <w:ind w:left="133"/>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6"/>
                <w:sz w:val="24"/>
              </w:rPr>
              <w:t>2</w:t>
            </w:r>
            <w:r>
              <w:rPr>
                <w:rFonts w:hint="eastAsia" w:ascii="仿宋_GB2312" w:hAnsi="仿宋" w:eastAsia="仿宋_GB2312" w:cs="仿宋"/>
                <w:spacing w:val="-5"/>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89" w:type="dxa"/>
            <w:vMerge w:val="restart"/>
            <w:tcBorders>
              <w:bottom w:val="nil"/>
            </w:tcBorders>
            <w:noWrap w:val="0"/>
            <w:vAlign w:val="center"/>
          </w:tcPr>
          <w:p>
            <w:pPr>
              <w:widowControl/>
              <w:adjustRightInd w:val="0"/>
              <w:snapToGrid w:val="0"/>
              <w:jc w:val="center"/>
              <w:rPr>
                <w:rFonts w:hint="eastAsia" w:ascii="仿宋_GB2312" w:hAnsi="仿宋" w:eastAsia="仿宋_GB2312" w:cs="仿宋"/>
                <w:b/>
                <w:bCs/>
                <w:spacing w:val="7"/>
                <w:sz w:val="24"/>
              </w:rPr>
            </w:pPr>
            <w:r>
              <w:rPr>
                <w:rFonts w:hint="eastAsia" w:ascii="仿宋_GB2312" w:hAnsi="仿宋" w:eastAsia="仿宋_GB2312" w:cs="仿宋"/>
                <w:b/>
                <w:bCs/>
                <w:spacing w:val="7"/>
                <w:sz w:val="24"/>
              </w:rPr>
              <w:t>配合调查</w:t>
            </w:r>
          </w:p>
          <w:p>
            <w:pPr>
              <w:widowControl/>
              <w:adjustRightInd w:val="0"/>
              <w:snapToGrid w:val="0"/>
              <w:jc w:val="center"/>
              <w:rPr>
                <w:rFonts w:hint="eastAsia" w:ascii="仿宋_GB2312" w:hAnsi="仿宋" w:eastAsia="仿宋_GB2312" w:cs="仿宋"/>
                <w:b/>
                <w:bCs/>
                <w:spacing w:val="7"/>
                <w:sz w:val="24"/>
              </w:rPr>
            </w:pPr>
            <w:r>
              <w:rPr>
                <w:rFonts w:hint="eastAsia" w:ascii="仿宋_GB2312" w:hAnsi="仿宋" w:eastAsia="仿宋_GB2312" w:cs="仿宋"/>
                <w:b/>
                <w:bCs/>
                <w:spacing w:val="7"/>
                <w:sz w:val="24"/>
              </w:rPr>
              <w:t>取证情况</w:t>
            </w:r>
          </w:p>
        </w:tc>
        <w:tc>
          <w:tcPr>
            <w:tcW w:w="1903" w:type="dxa"/>
            <w:vMerge w:val="restart"/>
            <w:tcBorders>
              <w:bottom w:val="nil"/>
            </w:tcBorders>
            <w:noWrap w:val="0"/>
            <w:vAlign w:val="center"/>
          </w:tcPr>
          <w:p>
            <w:pPr>
              <w:adjustRightInd w:val="0"/>
              <w:snapToGrid w:val="0"/>
              <w:ind w:left="132" w:right="129"/>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否配合执法检</w:t>
            </w:r>
            <w:r>
              <w:rPr>
                <w:rFonts w:hint="eastAsia" w:ascii="仿宋_GB2312" w:hAnsi="仿宋" w:eastAsia="仿宋_GB2312" w:cs="仿宋"/>
                <w:sz w:val="24"/>
              </w:rPr>
              <w:t>查</w:t>
            </w:r>
          </w:p>
        </w:tc>
        <w:tc>
          <w:tcPr>
            <w:tcW w:w="1305"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2871" w:type="dxa"/>
            <w:noWrap w:val="0"/>
            <w:vAlign w:val="center"/>
          </w:tcPr>
          <w:p>
            <w:pPr>
              <w:adjustRightInd w:val="0"/>
              <w:snapToGrid w:val="0"/>
              <w:ind w:left="120"/>
              <w:rPr>
                <w:rFonts w:hint="eastAsia" w:ascii="仿宋_GB2312" w:hAnsi="仿宋" w:eastAsia="仿宋_GB2312" w:cs="仿宋"/>
                <w:sz w:val="24"/>
              </w:rPr>
            </w:pPr>
            <w:r>
              <w:rPr>
                <w:rFonts w:hint="eastAsia" w:ascii="仿宋_GB2312" w:hAnsi="仿宋" w:eastAsia="仿宋_GB2312" w:cs="仿宋"/>
                <w:spacing w:val="7"/>
                <w:sz w:val="24"/>
              </w:rPr>
              <w:t>配合检查的</w:t>
            </w:r>
          </w:p>
        </w:tc>
        <w:tc>
          <w:tcPr>
            <w:tcW w:w="1515" w:type="dxa"/>
            <w:noWrap w:val="0"/>
            <w:vAlign w:val="center"/>
          </w:tcPr>
          <w:p>
            <w:pPr>
              <w:adjustRightInd w:val="0"/>
              <w:snapToGrid w:val="0"/>
              <w:ind w:firstLine="222" w:firstLineChars="100"/>
              <w:jc w:val="center"/>
              <w:rPr>
                <w:rFonts w:hint="eastAsia" w:ascii="仿宋_GB2312" w:hAnsi="仿宋" w:eastAsia="仿宋_GB2312" w:cs="仿宋"/>
                <w:sz w:val="24"/>
              </w:rPr>
            </w:pPr>
            <w:r>
              <w:rPr>
                <w:rFonts w:hint="eastAsia" w:ascii="仿宋_GB2312" w:hAnsi="仿宋" w:eastAsia="仿宋_GB2312" w:cs="仿宋"/>
                <w:spacing w:val="-9"/>
                <w:sz w:val="24"/>
              </w:rPr>
              <w:t>0</w:t>
            </w:r>
            <w:r>
              <w:rPr>
                <w:rFonts w:hint="eastAsia" w:ascii="仿宋_GB2312" w:hAnsi="仿宋" w:eastAsia="仿宋_GB2312" w:cs="仿宋"/>
                <w:spacing w:val="-8"/>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89"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仿宋"/>
                <w:b/>
                <w:bCs/>
                <w:spacing w:val="7"/>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hAnsi="宋体" w:eastAsia="仿宋_GB2312" w:cs="宋体"/>
                <w:sz w:val="24"/>
              </w:rPr>
            </w:pPr>
          </w:p>
        </w:tc>
        <w:tc>
          <w:tcPr>
            <w:tcW w:w="1305" w:type="dxa"/>
            <w:vMerge w:val="continue"/>
            <w:tcBorders>
              <w:top w:val="nil"/>
              <w:bottom w:val="nil"/>
            </w:tcBorders>
            <w:noWrap w:val="0"/>
            <w:vAlign w:val="center"/>
          </w:tcPr>
          <w:p>
            <w:pPr>
              <w:adjustRightInd w:val="0"/>
              <w:snapToGrid w:val="0"/>
              <w:jc w:val="center"/>
              <w:rPr>
                <w:rFonts w:hint="eastAsia" w:ascii="仿宋_GB2312" w:hAnsi="宋体" w:eastAsia="仿宋_GB2312" w:cs="宋体"/>
                <w:sz w:val="24"/>
              </w:rPr>
            </w:pPr>
          </w:p>
        </w:tc>
        <w:tc>
          <w:tcPr>
            <w:tcW w:w="2871" w:type="dxa"/>
            <w:noWrap w:val="0"/>
            <w:vAlign w:val="center"/>
          </w:tcPr>
          <w:p>
            <w:pPr>
              <w:adjustRightInd w:val="0"/>
              <w:snapToGrid w:val="0"/>
              <w:ind w:left="125"/>
              <w:rPr>
                <w:rFonts w:hint="eastAsia" w:ascii="仿宋_GB2312" w:hAnsi="仿宋" w:eastAsia="仿宋_GB2312" w:cs="仿宋"/>
                <w:sz w:val="24"/>
              </w:rPr>
            </w:pPr>
            <w:r>
              <w:rPr>
                <w:rFonts w:hint="eastAsia" w:ascii="仿宋_GB2312" w:hAnsi="仿宋" w:eastAsia="仿宋_GB2312" w:cs="仿宋"/>
                <w:spacing w:val="6"/>
                <w:sz w:val="24"/>
              </w:rPr>
              <w:t>不配合检查的</w:t>
            </w:r>
          </w:p>
        </w:tc>
        <w:tc>
          <w:tcPr>
            <w:tcW w:w="1515" w:type="dxa"/>
            <w:noWrap w:val="0"/>
            <w:vAlign w:val="center"/>
          </w:tcPr>
          <w:p>
            <w:pPr>
              <w:adjustRightInd w:val="0"/>
              <w:snapToGrid w:val="0"/>
              <w:ind w:firstLine="242" w:firstLineChars="100"/>
              <w:jc w:val="center"/>
              <w:rPr>
                <w:rFonts w:hint="eastAsia" w:ascii="仿宋_GB2312" w:hAnsi="仿宋" w:eastAsia="仿宋_GB2312" w:cs="仿宋"/>
                <w:sz w:val="24"/>
              </w:rPr>
            </w:pPr>
            <w:r>
              <w:rPr>
                <w:rFonts w:hint="eastAsia" w:ascii="仿宋_GB2312" w:hAnsi="仿宋" w:eastAsia="仿宋_GB2312" w:cs="仿宋"/>
                <w:spacing w:val="1"/>
                <w:sz w:val="24"/>
              </w:rPr>
              <w:t>1%-10</w:t>
            </w:r>
            <w:r>
              <w:rPr>
                <w:rFonts w:hint="eastAsia" w:ascii="仿宋_GB2312" w:hAnsi="仿宋" w:eastAsia="仿宋_GB2312" w:cs="仿宋"/>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89" w:type="dxa"/>
            <w:vMerge w:val="restart"/>
            <w:tcBorders>
              <w:bottom w:val="nil"/>
            </w:tcBorders>
            <w:noWrap w:val="0"/>
            <w:vAlign w:val="center"/>
          </w:tcPr>
          <w:p>
            <w:pPr>
              <w:widowControl/>
              <w:adjustRightInd w:val="0"/>
              <w:snapToGrid w:val="0"/>
              <w:jc w:val="center"/>
              <w:rPr>
                <w:rFonts w:hint="eastAsia" w:ascii="仿宋_GB2312" w:hAnsi="仿宋" w:eastAsia="仿宋_GB2312" w:cs="仿宋"/>
                <w:b/>
                <w:bCs/>
                <w:spacing w:val="7"/>
                <w:sz w:val="24"/>
              </w:rPr>
            </w:pPr>
            <w:r>
              <w:rPr>
                <w:rFonts w:hint="eastAsia" w:ascii="仿宋_GB2312" w:hAnsi="仿宋" w:eastAsia="仿宋_GB2312" w:cs="仿宋"/>
                <w:b/>
                <w:bCs/>
                <w:spacing w:val="7"/>
                <w:sz w:val="24"/>
              </w:rPr>
              <w:t>整改情况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1305"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2871" w:type="dxa"/>
            <w:noWrap w:val="0"/>
            <w:vAlign w:val="center"/>
          </w:tcPr>
          <w:p>
            <w:pPr>
              <w:adjustRightInd w:val="0"/>
              <w:snapToGrid w:val="0"/>
              <w:ind w:left="115"/>
              <w:rPr>
                <w:rFonts w:hint="eastAsia" w:ascii="仿宋_GB2312" w:hAnsi="仿宋" w:eastAsia="仿宋_GB2312" w:cs="仿宋"/>
                <w:sz w:val="24"/>
              </w:rPr>
            </w:pPr>
            <w:r>
              <w:rPr>
                <w:rFonts w:hint="eastAsia" w:ascii="仿宋_GB2312" w:hAnsi="仿宋" w:eastAsia="仿宋_GB2312" w:cs="仿宋"/>
                <w:spacing w:val="9"/>
                <w:sz w:val="24"/>
              </w:rPr>
              <w:t>查处后及时备案</w:t>
            </w:r>
            <w:r>
              <w:rPr>
                <w:rFonts w:hint="eastAsia" w:ascii="仿宋_GB2312" w:hAnsi="仿宋" w:eastAsia="仿宋_GB2312" w:cs="仿宋"/>
                <w:spacing w:val="7"/>
                <w:sz w:val="24"/>
              </w:rPr>
              <w:t>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0</w:t>
            </w:r>
            <w:r>
              <w:rPr>
                <w:rFonts w:hint="eastAsia" w:ascii="仿宋_GB2312" w:hAnsi="仿宋" w:eastAsia="仿宋_GB2312" w:cs="仿宋"/>
                <w:spacing w:val="-8"/>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89" w:type="dxa"/>
            <w:vMerge w:val="continue"/>
            <w:tcBorders>
              <w:top w:val="nil"/>
            </w:tcBorders>
            <w:noWrap w:val="0"/>
            <w:vAlign w:val="center"/>
          </w:tcPr>
          <w:p>
            <w:pPr>
              <w:widowControl/>
              <w:adjustRightInd w:val="0"/>
              <w:snapToGrid w:val="0"/>
              <w:spacing w:before="218"/>
              <w:ind w:left="482"/>
              <w:jc w:val="center"/>
              <w:rPr>
                <w:rFonts w:hint="eastAsia" w:ascii="仿宋_GB2312" w:hAnsi="仿宋" w:eastAsia="仿宋_GB2312" w:cs="仿宋"/>
                <w:b/>
                <w:bCs/>
                <w:spacing w:val="7"/>
                <w:sz w:val="24"/>
              </w:rPr>
            </w:pPr>
          </w:p>
        </w:tc>
        <w:tc>
          <w:tcPr>
            <w:tcW w:w="1903"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1305"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2871" w:type="dxa"/>
            <w:noWrap w:val="0"/>
            <w:vAlign w:val="center"/>
          </w:tcPr>
          <w:p>
            <w:pPr>
              <w:adjustRightInd w:val="0"/>
              <w:snapToGrid w:val="0"/>
              <w:ind w:left="109"/>
              <w:rPr>
                <w:rFonts w:hint="eastAsia" w:ascii="仿宋_GB2312" w:hAnsi="仿宋" w:eastAsia="仿宋_GB2312" w:cs="仿宋"/>
                <w:sz w:val="24"/>
              </w:rPr>
            </w:pPr>
            <w:r>
              <w:rPr>
                <w:rFonts w:hint="eastAsia" w:ascii="仿宋_GB2312" w:hAnsi="仿宋" w:eastAsia="仿宋_GB2312" w:cs="仿宋"/>
                <w:spacing w:val="13"/>
                <w:sz w:val="24"/>
              </w:rPr>
              <w:t>仍</w:t>
            </w:r>
            <w:r>
              <w:rPr>
                <w:rFonts w:hint="eastAsia" w:ascii="仿宋_GB2312" w:hAnsi="仿宋" w:eastAsia="仿宋_GB2312" w:cs="仿宋"/>
                <w:spacing w:val="9"/>
                <w:sz w:val="24"/>
              </w:rPr>
              <w:t>未及时备案的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sz w:val="24"/>
              </w:rPr>
              <w:t>1%-10</w:t>
            </w:r>
            <w:r>
              <w:rPr>
                <w:rFonts w:hint="eastAsia" w:ascii="仿宋_GB2312" w:hAnsi="仿宋" w:eastAsia="仿宋_GB2312" w:cs="仿宋"/>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89" w:type="dxa"/>
            <w:vMerge w:val="restart"/>
            <w:tcBorders>
              <w:bottom w:val="nil"/>
            </w:tcBorders>
            <w:noWrap w:val="0"/>
            <w:vAlign w:val="center"/>
          </w:tcPr>
          <w:p>
            <w:pPr>
              <w:widowControl/>
              <w:adjustRightInd w:val="0"/>
              <w:snapToGrid w:val="0"/>
              <w:jc w:val="center"/>
              <w:rPr>
                <w:rFonts w:hint="eastAsia" w:ascii="仿宋_GB2312" w:hAnsi="仿宋" w:eastAsia="仿宋_GB2312" w:cs="仿宋"/>
                <w:b/>
                <w:bCs/>
                <w:spacing w:val="7"/>
                <w:sz w:val="24"/>
              </w:rPr>
            </w:pPr>
            <w:r>
              <w:rPr>
                <w:rFonts w:hint="eastAsia" w:ascii="仿宋_GB2312" w:hAnsi="仿宋" w:eastAsia="仿宋_GB2312" w:cs="仿宋"/>
                <w:b/>
                <w:bCs/>
                <w:spacing w:val="7"/>
                <w:sz w:val="24"/>
              </w:rPr>
              <w:t>对社会影响或生态破坏程度</w:t>
            </w:r>
          </w:p>
        </w:tc>
        <w:tc>
          <w:tcPr>
            <w:tcW w:w="1903" w:type="dxa"/>
            <w:vMerge w:val="restart"/>
            <w:tcBorders>
              <w:bottom w:val="nil"/>
            </w:tcBorders>
            <w:noWrap w:val="0"/>
            <w:vAlign w:val="center"/>
          </w:tcPr>
          <w:p>
            <w:pPr>
              <w:adjustRightInd w:val="0"/>
              <w:snapToGrid w:val="0"/>
              <w:ind w:left="39"/>
              <w:jc w:val="center"/>
              <w:rPr>
                <w:rFonts w:hint="eastAsia" w:ascii="仿宋_GB2312" w:hAnsi="仿宋" w:eastAsia="仿宋_GB2312" w:cs="仿宋"/>
                <w:sz w:val="24"/>
              </w:rPr>
            </w:pPr>
            <w:r>
              <w:rPr>
                <w:rFonts w:hint="eastAsia" w:ascii="仿宋_GB2312" w:hAnsi="仿宋" w:eastAsia="仿宋_GB2312" w:cs="仿宋"/>
                <w:spacing w:val="8"/>
                <w:sz w:val="24"/>
              </w:rPr>
              <w:t>是</w:t>
            </w:r>
            <w:r>
              <w:rPr>
                <w:rFonts w:hint="eastAsia" w:ascii="仿宋_GB2312" w:hAnsi="仿宋" w:eastAsia="仿宋_GB2312" w:cs="仿宋"/>
                <w:spacing w:val="7"/>
                <w:sz w:val="24"/>
              </w:rPr>
              <w:t>否造成社会影响</w:t>
            </w:r>
            <w:r>
              <w:rPr>
                <w:rFonts w:hint="eastAsia" w:ascii="仿宋_GB2312" w:hAnsi="仿宋" w:eastAsia="仿宋_GB2312" w:cs="仿宋"/>
                <w:spacing w:val="5"/>
                <w:sz w:val="24"/>
              </w:rPr>
              <w:t>与</w:t>
            </w:r>
            <w:r>
              <w:rPr>
                <w:rFonts w:hint="eastAsia" w:ascii="仿宋_GB2312" w:hAnsi="仿宋" w:eastAsia="仿宋_GB2312" w:cs="仿宋"/>
                <w:spacing w:val="3"/>
                <w:sz w:val="24"/>
              </w:rPr>
              <w:t>生态破坏</w:t>
            </w:r>
          </w:p>
        </w:tc>
        <w:tc>
          <w:tcPr>
            <w:tcW w:w="1305"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2871" w:type="dxa"/>
            <w:noWrap w:val="0"/>
            <w:vAlign w:val="center"/>
          </w:tcPr>
          <w:p>
            <w:pPr>
              <w:adjustRightInd w:val="0"/>
              <w:snapToGrid w:val="0"/>
              <w:ind w:left="118"/>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89" w:type="dxa"/>
            <w:vMerge w:val="continue"/>
            <w:tcBorders>
              <w:top w:val="nil"/>
            </w:tcBorders>
            <w:noWrap w:val="0"/>
            <w:vAlign w:val="center"/>
          </w:tcPr>
          <w:p>
            <w:pPr>
              <w:jc w:val="center"/>
              <w:rPr>
                <w:rFonts w:hint="eastAsia" w:ascii="仿宋_GB2312" w:hAnsi="宋体" w:eastAsia="仿宋_GB2312" w:cs="宋体"/>
                <w:sz w:val="24"/>
              </w:rPr>
            </w:pPr>
          </w:p>
        </w:tc>
        <w:tc>
          <w:tcPr>
            <w:tcW w:w="1903"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1305" w:type="dxa"/>
            <w:vMerge w:val="continue"/>
            <w:tcBorders>
              <w:top w:val="nil"/>
            </w:tcBorders>
            <w:noWrap w:val="0"/>
            <w:vAlign w:val="center"/>
          </w:tcPr>
          <w:p>
            <w:pPr>
              <w:adjustRightInd w:val="0"/>
              <w:snapToGrid w:val="0"/>
              <w:jc w:val="center"/>
              <w:rPr>
                <w:rFonts w:hint="eastAsia" w:ascii="仿宋_GB2312" w:hAnsi="宋体" w:eastAsia="仿宋_GB2312" w:cs="宋体"/>
                <w:sz w:val="24"/>
              </w:rPr>
            </w:pPr>
          </w:p>
        </w:tc>
        <w:tc>
          <w:tcPr>
            <w:tcW w:w="2871" w:type="dxa"/>
            <w:noWrap w:val="0"/>
            <w:vAlign w:val="center"/>
          </w:tcPr>
          <w:p>
            <w:pPr>
              <w:adjustRightInd w:val="0"/>
              <w:snapToGrid w:val="0"/>
              <w:ind w:left="115"/>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515"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rPr>
          <w:rFonts w:ascii="宋体" w:hAnsi="宋体" w:cs="宋体"/>
          <w:sz w:val="28"/>
          <w:szCs w:val="28"/>
        </w:rPr>
      </w:pPr>
    </w:p>
    <w:p>
      <w:pPr>
        <w:rPr>
          <w:rFonts w:ascii="宋体" w:hAnsi="宋体" w:cs="宋体"/>
          <w:sz w:val="28"/>
          <w:szCs w:val="28"/>
        </w:rPr>
      </w:pPr>
    </w:p>
    <w:p>
      <w:pPr>
        <w:rPr>
          <w:rFonts w:hint="eastAsia" w:ascii="宋体" w:hAnsi="宋体" w:cs="宋体"/>
          <w:sz w:val="28"/>
          <w:szCs w:val="28"/>
        </w:rPr>
      </w:pPr>
    </w:p>
    <w:tbl>
      <w:tblPr>
        <w:tblStyle w:val="9"/>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903"/>
        <w:gridCol w:w="1093"/>
        <w:gridCol w:w="3375"/>
        <w:gridCol w:w="1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18" w:type="dxa"/>
            <w:gridSpan w:val="5"/>
            <w:noWrap w:val="0"/>
            <w:vAlign w:val="top"/>
          </w:tcPr>
          <w:p>
            <w:pPr>
              <w:widowControl/>
              <w:spacing w:before="155" w:line="212" w:lineRule="auto"/>
              <w:ind w:left="147"/>
              <w:jc w:val="center"/>
              <w:rPr>
                <w:rFonts w:hint="eastAsia" w:ascii="微软雅黑" w:hAnsi="微软雅黑" w:eastAsia="方正小标宋简体"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74" w:type="dxa"/>
            <w:noWrap w:val="0"/>
            <w:vAlign w:val="center"/>
          </w:tcPr>
          <w:p>
            <w:pPr>
              <w:widowControl/>
              <w:spacing w:line="218" w:lineRule="auto"/>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644" w:type="dxa"/>
            <w:gridSpan w:val="4"/>
            <w:noWrap w:val="0"/>
            <w:vAlign w:val="center"/>
          </w:tcPr>
          <w:p>
            <w:pPr>
              <w:widowControl/>
              <w:spacing w:line="187" w:lineRule="auto"/>
              <w:jc w:val="center"/>
              <w:rPr>
                <w:rFonts w:hint="eastAsia" w:ascii="仿宋_GB2312" w:hAnsi="仿宋" w:eastAsia="仿宋_GB2312" w:cs="仿宋"/>
                <w:sz w:val="24"/>
              </w:rPr>
            </w:pPr>
            <w:r>
              <w:rPr>
                <w:rFonts w:hint="eastAsia" w:ascii="仿宋_GB2312" w:hAnsi="仿宋" w:eastAsia="仿宋_GB2312" w:cs="仿宋"/>
                <w:sz w:val="24"/>
              </w:rPr>
              <w:t>198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1474" w:type="dxa"/>
            <w:noWrap w:val="0"/>
            <w:vAlign w:val="center"/>
          </w:tcPr>
          <w:p>
            <w:pPr>
              <w:widowControl/>
              <w:spacing w:line="216" w:lineRule="auto"/>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644" w:type="dxa"/>
            <w:gridSpan w:val="4"/>
            <w:noWrap w:val="0"/>
            <w:vAlign w:val="center"/>
          </w:tcPr>
          <w:p>
            <w:pPr>
              <w:widowControl/>
              <w:adjustRightInd w:val="0"/>
              <w:snapToGrid w:val="0"/>
              <w:ind w:right="105"/>
              <w:rPr>
                <w:rFonts w:hint="eastAsia" w:ascii="仿宋_GB2312" w:hAnsi="仿宋" w:eastAsia="仿宋_GB2312" w:cs="仿宋"/>
                <w:sz w:val="24"/>
              </w:rPr>
            </w:pPr>
            <w:r>
              <w:rPr>
                <w:rFonts w:hint="eastAsia" w:ascii="仿宋_GB2312" w:hAnsi="仿宋" w:eastAsia="仿宋_GB2312" w:cs="仿宋"/>
                <w:sz w:val="24"/>
              </w:rPr>
              <w:t>非煤矿山企业未采取相关措施控制、减少粉尘、气态污染物、扬尘排放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jc w:val="center"/>
        </w:trPr>
        <w:tc>
          <w:tcPr>
            <w:tcW w:w="1474" w:type="dxa"/>
            <w:noWrap w:val="0"/>
            <w:vAlign w:val="center"/>
          </w:tcPr>
          <w:p>
            <w:pPr>
              <w:widowControl/>
              <w:spacing w:before="91" w:line="219" w:lineRule="auto"/>
              <w:ind w:left="194"/>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644" w:type="dxa"/>
            <w:gridSpan w:val="4"/>
            <w:noWrap w:val="0"/>
            <w:vAlign w:val="top"/>
          </w:tcPr>
          <w:p>
            <w:pPr>
              <w:widowControl/>
              <w:adjustRightInd w:val="0"/>
              <w:snapToGrid w:val="0"/>
              <w:spacing w:line="280" w:lineRule="exact"/>
              <w:ind w:right="105"/>
              <w:jc w:val="left"/>
              <w:rPr>
                <w:rFonts w:hint="eastAsia" w:ascii="仿宋_GB2312" w:hAnsi="仿宋" w:eastAsia="仿宋_GB2312" w:cs="仿宋"/>
                <w:b/>
                <w:bCs/>
                <w:sz w:val="24"/>
              </w:rPr>
            </w:pPr>
            <w:r>
              <w:rPr>
                <w:rFonts w:hint="eastAsia" w:ascii="仿宋_GB2312" w:hAnsi="仿宋" w:eastAsia="仿宋_GB2312" w:cs="仿宋"/>
                <w:sz w:val="24"/>
              </w:rPr>
              <w:t>1</w:t>
            </w:r>
            <w:r>
              <w:rPr>
                <w:rFonts w:ascii="仿宋_GB2312" w:hAnsi="仿宋" w:eastAsia="仿宋_GB2312" w:cs="仿宋"/>
                <w:sz w:val="24"/>
              </w:rPr>
              <w:t>.</w:t>
            </w:r>
            <w:r>
              <w:rPr>
                <w:rFonts w:hint="eastAsia" w:ascii="仿宋_GB2312" w:hAnsi="仿宋" w:eastAsia="仿宋_GB2312" w:cs="仿宋"/>
                <w:b/>
                <w:bCs/>
                <w:sz w:val="24"/>
              </w:rPr>
              <w:t>《</w:t>
            </w:r>
            <w:r>
              <w:rPr>
                <w:rFonts w:hint="eastAsia" w:ascii="仿宋_GB2312" w:hAnsi="仿宋_GB2312" w:eastAsia="仿宋_GB2312" w:cs="仿宋_GB2312"/>
                <w:b/>
                <w:bCs/>
                <w:sz w:val="24"/>
              </w:rPr>
              <w:t>河北省</w:t>
            </w:r>
            <w:r>
              <w:rPr>
                <w:rFonts w:hint="eastAsia" w:ascii="仿宋_GB2312" w:hAnsi="仿宋" w:eastAsia="仿宋_GB2312" w:cs="仿宋"/>
                <w:b/>
                <w:bCs/>
                <w:sz w:val="24"/>
              </w:rPr>
              <w:t>非煤矿山综合治理条例》</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b/>
                <w:bCs/>
                <w:sz w:val="24"/>
              </w:rPr>
              <w:t>第二十二条</w:t>
            </w:r>
            <w:r>
              <w:rPr>
                <w:rFonts w:hint="eastAsia" w:ascii="仿宋_GB2312" w:hAnsi="仿宋" w:eastAsia="仿宋_GB2312" w:cs="仿宋"/>
                <w:sz w:val="24"/>
              </w:rPr>
              <w:t xml:space="preserve"> 非煤矿山企业应当编制矿产资源开发利用方案，采用合理的开采顺序、方法和选矿工艺，提高矿产资源的开采回采率、选矿回收率、综合利用率，在开采主要矿产的同时，对具有工业价值的共生、伴生矿产进行综合回收，减少废石、尾矿、粉尘、废水等废弃物和污染物的产生量、排放量、贮存量。</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b/>
                <w:bCs/>
                <w:sz w:val="24"/>
              </w:rPr>
              <w:t xml:space="preserve">第二十七条 </w:t>
            </w:r>
            <w:r>
              <w:rPr>
                <w:rFonts w:hint="eastAsia" w:ascii="仿宋_GB2312" w:hAnsi="仿宋" w:eastAsia="仿宋_GB2312" w:cs="仿宋"/>
                <w:sz w:val="24"/>
              </w:rPr>
              <w:t>非煤矿山企业应当严格控制粉尘、扬尘和气态污染物的排放，并采取下列防尘、抑尘、降尘和收尘措施:</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sz w:val="24"/>
              </w:rPr>
              <w:t>（三）破碎、筛分、切割作业采用尘源密闭、局部抽风和安装除尘装置等方式；</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sz w:val="24"/>
              </w:rPr>
              <w:t>（四）矿石和废石堆场采取遮盖、洒水等措施；</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sz w:val="24"/>
              </w:rPr>
              <w:t>（六）矿石加工区实行围挡封闭；</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sz w:val="24"/>
              </w:rPr>
              <w:t>（七）矿区运输道路作硬化处理或者采取洒水等措施；</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sz w:val="24"/>
              </w:rPr>
              <w:t>（八）其他防尘、抑尘、降尘和收尘措施。</w:t>
            </w:r>
          </w:p>
          <w:p>
            <w:pPr>
              <w:widowControl/>
              <w:adjustRightInd w:val="0"/>
              <w:snapToGrid w:val="0"/>
              <w:spacing w:line="280" w:lineRule="exact"/>
              <w:ind w:left="125" w:right="100"/>
              <w:jc w:val="left"/>
              <w:rPr>
                <w:rFonts w:hint="eastAsia" w:ascii="仿宋_GB2312" w:hAnsi="仿宋" w:eastAsia="仿宋_GB2312" w:cs="仿宋"/>
                <w:sz w:val="24"/>
              </w:rPr>
            </w:pPr>
            <w:r>
              <w:rPr>
                <w:rFonts w:hint="eastAsia" w:ascii="仿宋_GB2312" w:hAnsi="仿宋" w:eastAsia="仿宋_GB2312" w:cs="仿宋"/>
                <w:b/>
                <w:bCs/>
                <w:sz w:val="24"/>
              </w:rPr>
              <w:t xml:space="preserve">第五十三条 </w:t>
            </w:r>
            <w:r>
              <w:rPr>
                <w:rFonts w:hint="eastAsia" w:ascii="仿宋_GB2312" w:hAnsi="仿宋" w:eastAsia="仿宋_GB2312" w:cs="仿宋"/>
                <w:sz w:val="24"/>
              </w:rPr>
              <w:t>违反本条例规定，非煤矿山企业未采取相关措施控制、减少粉尘和气态污染物排放的，由县级以上人民政府生态环境主管部门责令改正，处二万元以上二十万元以下的罚款；拒不改正的，责令停产整治。</w:t>
            </w:r>
          </w:p>
          <w:p>
            <w:pPr>
              <w:widowControl/>
              <w:adjustRightInd w:val="0"/>
              <w:snapToGrid w:val="0"/>
              <w:spacing w:line="280" w:lineRule="exact"/>
              <w:ind w:right="100"/>
              <w:jc w:val="left"/>
              <w:rPr>
                <w:rFonts w:ascii="仿宋_GB2312" w:hAnsi="仿宋" w:eastAsia="仿宋_GB2312" w:cs="仿宋"/>
                <w:sz w:val="24"/>
              </w:rPr>
            </w:pPr>
            <w:r>
              <w:rPr>
                <w:rFonts w:hint="eastAsia" w:ascii="仿宋_GB2312" w:hAnsi="仿宋" w:eastAsia="仿宋_GB2312" w:cs="仿宋"/>
                <w:sz w:val="24"/>
              </w:rPr>
              <w:t>违反本条例规定，非煤矿山企业未采取相关措施控制、减少扬尘排放的，由县级以上人民政府生态环境主管部门和其他负有环境保护监督管理职责的部门按照职责责令改正，处一万元以上三万元以下的罚款；情节较重的，处三万元以上十万元以下的罚款；拒不改正的，责令其停工停产整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4470" w:type="dxa"/>
            <w:gridSpan w:val="3"/>
            <w:noWrap w:val="0"/>
            <w:vAlign w:val="center"/>
          </w:tcPr>
          <w:p>
            <w:pPr>
              <w:widowControl/>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4648" w:type="dxa"/>
            <w:gridSpan w:val="2"/>
            <w:noWrap w:val="0"/>
            <w:vAlign w:val="center"/>
          </w:tcPr>
          <w:p>
            <w:pPr>
              <w:widowControl/>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74" w:type="dxa"/>
            <w:noWrap w:val="0"/>
            <w:vAlign w:val="center"/>
          </w:tcPr>
          <w:p>
            <w:pPr>
              <w:widowControl/>
              <w:spacing w:line="228" w:lineRule="auto"/>
              <w:ind w:left="510"/>
              <w:jc w:val="left"/>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widowControl/>
              <w:adjustRightInd w:val="0"/>
              <w:snapToGrid w:val="0"/>
              <w:ind w:left="483"/>
              <w:rPr>
                <w:rFonts w:hint="eastAsia" w:ascii="仿宋_GB2312" w:hAnsi="仿宋" w:eastAsia="仿宋_GB2312" w:cs="仿宋"/>
                <w:b/>
                <w:bCs/>
                <w:spacing w:val="7"/>
                <w:sz w:val="22"/>
                <w:szCs w:val="22"/>
              </w:rPr>
            </w:pPr>
            <w:r>
              <w:rPr>
                <w:rFonts w:hint="eastAsia" w:ascii="仿宋_GB2312" w:hAnsi="仿宋" w:eastAsia="仿宋_GB2312" w:cs="仿宋"/>
                <w:b/>
                <w:bCs/>
                <w:spacing w:val="7"/>
                <w:sz w:val="22"/>
                <w:szCs w:val="22"/>
              </w:rPr>
              <w:t>具体条件</w:t>
            </w:r>
          </w:p>
        </w:tc>
        <w:tc>
          <w:tcPr>
            <w:tcW w:w="1093" w:type="dxa"/>
            <w:noWrap w:val="0"/>
            <w:vAlign w:val="center"/>
          </w:tcPr>
          <w:p>
            <w:pPr>
              <w:widowControl/>
              <w:adjustRightInd w:val="0"/>
              <w:snapToGrid w:val="0"/>
              <w:jc w:val="center"/>
              <w:rPr>
                <w:rFonts w:hint="eastAsia" w:ascii="仿宋_GB2312" w:hAnsi="仿宋" w:eastAsia="仿宋_GB2312" w:cs="仿宋"/>
                <w:b/>
                <w:bCs/>
                <w:spacing w:val="7"/>
                <w:sz w:val="22"/>
                <w:szCs w:val="22"/>
              </w:rPr>
            </w:pPr>
            <w:r>
              <w:rPr>
                <w:rFonts w:hint="eastAsia" w:ascii="仿宋_GB2312" w:hAnsi="仿宋" w:eastAsia="仿宋_GB2312" w:cs="仿宋"/>
                <w:b/>
                <w:bCs/>
                <w:spacing w:val="7"/>
                <w:sz w:val="22"/>
                <w:szCs w:val="22"/>
              </w:rPr>
              <w:t>构成</w:t>
            </w:r>
          </w:p>
          <w:p>
            <w:pPr>
              <w:widowControl/>
              <w:adjustRightInd w:val="0"/>
              <w:snapToGrid w:val="0"/>
              <w:jc w:val="center"/>
              <w:rPr>
                <w:rFonts w:hint="eastAsia" w:ascii="仿宋_GB2312" w:hAnsi="仿宋" w:eastAsia="仿宋_GB2312" w:cs="仿宋"/>
                <w:b/>
                <w:bCs/>
                <w:spacing w:val="7"/>
                <w:sz w:val="22"/>
                <w:szCs w:val="22"/>
              </w:rPr>
            </w:pPr>
            <w:r>
              <w:rPr>
                <w:rFonts w:hint="eastAsia" w:ascii="仿宋_GB2312" w:hAnsi="仿宋" w:eastAsia="仿宋_GB2312" w:cs="仿宋"/>
                <w:b/>
                <w:bCs/>
                <w:spacing w:val="7"/>
                <w:sz w:val="22"/>
                <w:szCs w:val="22"/>
              </w:rPr>
              <w:t>比例</w:t>
            </w:r>
          </w:p>
        </w:tc>
        <w:tc>
          <w:tcPr>
            <w:tcW w:w="3375" w:type="dxa"/>
            <w:noWrap w:val="0"/>
            <w:vAlign w:val="center"/>
          </w:tcPr>
          <w:p>
            <w:pPr>
              <w:widowControl/>
              <w:adjustRightInd w:val="0"/>
              <w:snapToGrid w:val="0"/>
              <w:ind w:left="483"/>
              <w:jc w:val="center"/>
              <w:rPr>
                <w:rFonts w:hint="eastAsia" w:ascii="仿宋_GB2312" w:hAnsi="仿宋" w:eastAsia="仿宋_GB2312" w:cs="仿宋"/>
                <w:b/>
                <w:bCs/>
                <w:spacing w:val="7"/>
                <w:sz w:val="22"/>
                <w:szCs w:val="22"/>
              </w:rPr>
            </w:pPr>
            <w:r>
              <w:rPr>
                <w:rFonts w:hint="eastAsia" w:ascii="仿宋_GB2312" w:hAnsi="仿宋" w:eastAsia="仿宋_GB2312" w:cs="仿宋"/>
                <w:b/>
                <w:bCs/>
                <w:spacing w:val="7"/>
                <w:sz w:val="22"/>
                <w:szCs w:val="22"/>
              </w:rPr>
              <w:t>程度</w:t>
            </w:r>
          </w:p>
        </w:tc>
        <w:tc>
          <w:tcPr>
            <w:tcW w:w="1273" w:type="dxa"/>
            <w:noWrap w:val="0"/>
            <w:vAlign w:val="center"/>
          </w:tcPr>
          <w:p>
            <w:pPr>
              <w:widowControl/>
              <w:adjustRightInd w:val="0"/>
              <w:snapToGrid w:val="0"/>
              <w:jc w:val="center"/>
              <w:rPr>
                <w:rFonts w:hint="eastAsia" w:ascii="仿宋_GB2312" w:hAnsi="仿宋" w:eastAsia="仿宋_GB2312" w:cs="仿宋"/>
                <w:b/>
                <w:bCs/>
                <w:spacing w:val="7"/>
                <w:sz w:val="22"/>
                <w:szCs w:val="22"/>
              </w:rPr>
            </w:pPr>
            <w:r>
              <w:rPr>
                <w:rFonts w:hint="eastAsia" w:ascii="仿宋_GB2312" w:hAnsi="仿宋" w:eastAsia="仿宋_GB2312" w:cs="仿宋"/>
                <w:b/>
                <w:bCs/>
                <w:spacing w:val="7"/>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对环境影响</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程度</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109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375" w:type="dxa"/>
            <w:noWrap w:val="0"/>
            <w:vAlign w:val="center"/>
          </w:tcPr>
          <w:p>
            <w:pPr>
              <w:adjustRightInd w:val="0"/>
              <w:snapToGrid w:val="0"/>
              <w:ind w:left="115" w:right="104" w:firstLine="5"/>
              <w:rPr>
                <w:rFonts w:hint="eastAsia" w:ascii="仿宋_GB2312" w:hAnsi="仿宋" w:eastAsia="仿宋_GB2312" w:cs="仿宋"/>
                <w:sz w:val="24"/>
              </w:rPr>
            </w:pPr>
            <w:r>
              <w:rPr>
                <w:rFonts w:hint="eastAsia" w:ascii="仿宋_GB2312" w:hAnsi="仿宋" w:eastAsia="仿宋_GB2312" w:cs="仿宋"/>
                <w:spacing w:val="7"/>
                <w:sz w:val="24"/>
              </w:rPr>
              <w:t>应</w:t>
            </w:r>
            <w:r>
              <w:rPr>
                <w:rFonts w:hint="eastAsia" w:ascii="仿宋_GB2312" w:hAnsi="仿宋" w:eastAsia="仿宋_GB2312" w:cs="仿宋"/>
                <w:spacing w:val="5"/>
                <w:sz w:val="24"/>
              </w:rPr>
              <w:t>密闭未密闭，未能有效控制、减</w:t>
            </w:r>
            <w:r>
              <w:rPr>
                <w:rFonts w:hint="eastAsia" w:ascii="仿宋_GB2312" w:hAnsi="仿宋" w:eastAsia="仿宋_GB2312" w:cs="仿宋"/>
                <w:spacing w:val="12"/>
                <w:sz w:val="24"/>
              </w:rPr>
              <w:t>少</w:t>
            </w:r>
            <w:r>
              <w:rPr>
                <w:rFonts w:hint="eastAsia" w:ascii="仿宋_GB2312" w:hAnsi="仿宋" w:eastAsia="仿宋_GB2312" w:cs="仿宋"/>
                <w:spacing w:val="8"/>
                <w:sz w:val="24"/>
              </w:rPr>
              <w:t>污染物排放的</w:t>
            </w:r>
          </w:p>
        </w:tc>
        <w:tc>
          <w:tcPr>
            <w:tcW w:w="1273" w:type="dxa"/>
            <w:noWrap w:val="0"/>
            <w:vAlign w:val="center"/>
          </w:tcPr>
          <w:p>
            <w:pPr>
              <w:adjustRightInd w:val="0"/>
              <w:snapToGrid w:val="0"/>
              <w:ind w:left="208"/>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75" w:type="dxa"/>
            <w:tcBorders>
              <w:bottom w:val="single" w:color="auto" w:sz="4" w:space="0"/>
            </w:tcBorders>
            <w:noWrap w:val="0"/>
            <w:vAlign w:val="center"/>
          </w:tcPr>
          <w:p>
            <w:pPr>
              <w:adjustRightInd w:val="0"/>
              <w:snapToGrid w:val="0"/>
              <w:ind w:left="135" w:right="104" w:hanging="14"/>
              <w:rPr>
                <w:rFonts w:hint="eastAsia" w:ascii="仿宋_GB2312" w:hAnsi="仿宋" w:eastAsia="仿宋_GB2312" w:cs="仿宋"/>
                <w:sz w:val="24"/>
              </w:rPr>
            </w:pPr>
            <w:r>
              <w:rPr>
                <w:rFonts w:hint="eastAsia" w:ascii="仿宋_GB2312" w:hAnsi="仿宋" w:eastAsia="仿宋_GB2312" w:cs="仿宋"/>
                <w:spacing w:val="7"/>
                <w:sz w:val="24"/>
              </w:rPr>
              <w:t>应</w:t>
            </w:r>
            <w:r>
              <w:rPr>
                <w:rFonts w:hint="eastAsia" w:ascii="仿宋_GB2312" w:hAnsi="仿宋" w:eastAsia="仿宋_GB2312" w:cs="仿宋"/>
                <w:spacing w:val="5"/>
                <w:sz w:val="24"/>
              </w:rPr>
              <w:t>采取集中收集处理未采取的，未</w:t>
            </w:r>
            <w:r>
              <w:rPr>
                <w:rFonts w:hint="eastAsia" w:ascii="仿宋_GB2312" w:hAnsi="仿宋" w:eastAsia="仿宋_GB2312" w:cs="仿宋"/>
                <w:spacing w:val="8"/>
                <w:sz w:val="24"/>
              </w:rPr>
              <w:t>能有效控制、减少污染物排放</w:t>
            </w:r>
            <w:r>
              <w:rPr>
                <w:rFonts w:hint="eastAsia" w:ascii="仿宋_GB2312" w:hAnsi="仿宋" w:eastAsia="仿宋_GB2312" w:cs="仿宋"/>
                <w:spacing w:val="5"/>
                <w:sz w:val="24"/>
              </w:rPr>
              <w:t>的</w:t>
            </w:r>
          </w:p>
        </w:tc>
        <w:tc>
          <w:tcPr>
            <w:tcW w:w="1273" w:type="dxa"/>
            <w:tcBorders>
              <w:bottom w:val="single" w:color="auto" w:sz="4" w:space="0"/>
            </w:tcBorders>
            <w:noWrap w:val="0"/>
            <w:vAlign w:val="center"/>
          </w:tcPr>
          <w:p>
            <w:pPr>
              <w:adjustRightInd w:val="0"/>
              <w:snapToGrid w:val="0"/>
              <w:ind w:left="208"/>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1474" w:type="dxa"/>
            <w:vMerge w:val="continue"/>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noWrap w:val="0"/>
            <w:vAlign w:val="center"/>
          </w:tcPr>
          <w:p>
            <w:pPr>
              <w:widowControl/>
              <w:adjustRightInd w:val="0"/>
              <w:snapToGrid w:val="0"/>
              <w:jc w:val="center"/>
              <w:rPr>
                <w:rFonts w:hint="eastAsia" w:ascii="仿宋_GB2312" w:hAnsi="宋体" w:eastAsia="仿宋_GB2312" w:cs="宋体"/>
                <w:sz w:val="24"/>
              </w:rPr>
            </w:pPr>
          </w:p>
        </w:tc>
        <w:tc>
          <w:tcPr>
            <w:tcW w:w="3375" w:type="dxa"/>
            <w:tcBorders>
              <w:top w:val="single" w:color="auto" w:sz="4" w:space="0"/>
            </w:tcBorders>
            <w:noWrap w:val="0"/>
            <w:vAlign w:val="center"/>
          </w:tcPr>
          <w:p>
            <w:pPr>
              <w:adjustRightInd w:val="0"/>
              <w:snapToGrid w:val="0"/>
              <w:ind w:left="115" w:right="104" w:firstLine="5"/>
              <w:rPr>
                <w:rFonts w:hint="eastAsia" w:ascii="仿宋_GB2312" w:hAnsi="仿宋" w:eastAsia="仿宋_GB2312" w:cs="仿宋"/>
                <w:sz w:val="24"/>
              </w:rPr>
            </w:pPr>
            <w:r>
              <w:rPr>
                <w:rFonts w:hint="eastAsia" w:ascii="仿宋_GB2312" w:hAnsi="仿宋" w:eastAsia="仿宋_GB2312" w:cs="仿宋"/>
                <w:spacing w:val="9"/>
                <w:sz w:val="24"/>
              </w:rPr>
              <w:t>应密闭未密闭且应采取集中收</w:t>
            </w:r>
            <w:r>
              <w:rPr>
                <w:rFonts w:hint="eastAsia" w:ascii="仿宋_GB2312" w:hAnsi="仿宋" w:eastAsia="仿宋_GB2312" w:cs="仿宋"/>
                <w:spacing w:val="7"/>
                <w:sz w:val="24"/>
              </w:rPr>
              <w:t>集</w:t>
            </w:r>
            <w:r>
              <w:rPr>
                <w:rFonts w:hint="eastAsia" w:ascii="仿宋_GB2312" w:hAnsi="仿宋" w:eastAsia="仿宋_GB2312" w:cs="仿宋"/>
                <w:spacing w:val="10"/>
                <w:sz w:val="24"/>
              </w:rPr>
              <w:t>处</w:t>
            </w:r>
            <w:r>
              <w:rPr>
                <w:rFonts w:hint="eastAsia" w:ascii="仿宋_GB2312" w:hAnsi="仿宋" w:eastAsia="仿宋_GB2312" w:cs="仿宋"/>
                <w:spacing w:val="8"/>
                <w:sz w:val="24"/>
              </w:rPr>
              <w:t>理</w:t>
            </w:r>
            <w:r>
              <w:rPr>
                <w:rFonts w:hint="eastAsia" w:ascii="仿宋_GB2312" w:hAnsi="仿宋" w:eastAsia="仿宋_GB2312" w:cs="仿宋"/>
                <w:spacing w:val="5"/>
                <w:sz w:val="24"/>
              </w:rPr>
              <w:t>未采取的，未能有效控制、减</w:t>
            </w:r>
            <w:r>
              <w:rPr>
                <w:rFonts w:hint="eastAsia" w:ascii="仿宋_GB2312" w:hAnsi="仿宋" w:eastAsia="仿宋_GB2312" w:cs="仿宋"/>
                <w:sz w:val="24"/>
              </w:rPr>
              <w:t xml:space="preserve"> </w:t>
            </w:r>
            <w:r>
              <w:rPr>
                <w:rFonts w:hint="eastAsia" w:ascii="仿宋_GB2312" w:hAnsi="仿宋" w:eastAsia="仿宋_GB2312" w:cs="仿宋"/>
                <w:spacing w:val="12"/>
                <w:sz w:val="24"/>
              </w:rPr>
              <w:t>少</w:t>
            </w:r>
            <w:r>
              <w:rPr>
                <w:rFonts w:hint="eastAsia" w:ascii="仿宋_GB2312" w:hAnsi="仿宋" w:eastAsia="仿宋_GB2312" w:cs="仿宋"/>
                <w:spacing w:val="8"/>
                <w:sz w:val="24"/>
              </w:rPr>
              <w:t>污染物排放的</w:t>
            </w:r>
          </w:p>
        </w:tc>
        <w:tc>
          <w:tcPr>
            <w:tcW w:w="1273" w:type="dxa"/>
            <w:tcBorders>
              <w:top w:val="single" w:color="auto" w:sz="4" w:space="0"/>
            </w:tcBorders>
            <w:noWrap w:val="0"/>
            <w:vAlign w:val="center"/>
          </w:tcPr>
          <w:p>
            <w:pPr>
              <w:adjustRightInd w:val="0"/>
              <w:snapToGrid w:val="0"/>
              <w:ind w:left="142"/>
              <w:rPr>
                <w:rFonts w:hint="eastAsia" w:ascii="仿宋_GB2312" w:hAnsi="仿宋" w:eastAsia="仿宋_GB2312" w:cs="仿宋"/>
                <w:sz w:val="24"/>
              </w:rPr>
            </w:pPr>
            <w:r>
              <w:rPr>
                <w:rFonts w:hint="eastAsia" w:ascii="仿宋_GB2312" w:hAnsi="仿宋" w:eastAsia="仿宋_GB2312" w:cs="仿宋"/>
                <w:spacing w:val="4"/>
                <w:position w:val="1"/>
                <w:sz w:val="24"/>
              </w:rPr>
              <w:t>2</w:t>
            </w:r>
            <w:r>
              <w:rPr>
                <w:rFonts w:hint="eastAsia" w:ascii="仿宋_GB2312" w:hAnsi="仿宋" w:eastAsia="仿宋_GB2312" w:cs="仿宋"/>
                <w:spacing w:val="2"/>
                <w:position w:val="1"/>
                <w:sz w:val="24"/>
              </w:rPr>
              <w:t>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违法频次</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109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375" w:type="dxa"/>
            <w:noWrap w:val="0"/>
            <w:vAlign w:val="center"/>
          </w:tcPr>
          <w:p>
            <w:pPr>
              <w:widowControl/>
              <w:adjustRightInd w:val="0"/>
              <w:snapToGrid w:val="0"/>
              <w:ind w:left="121"/>
              <w:jc w:val="left"/>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273" w:type="dxa"/>
            <w:noWrap w:val="0"/>
            <w:vAlign w:val="center"/>
          </w:tcPr>
          <w:p>
            <w:pPr>
              <w:widowControl/>
              <w:adjustRightInd w:val="0"/>
              <w:snapToGrid w:val="0"/>
              <w:ind w:left="466"/>
              <w:jc w:val="left"/>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375" w:type="dxa"/>
            <w:noWrap w:val="0"/>
            <w:vAlign w:val="center"/>
          </w:tcPr>
          <w:p>
            <w:pPr>
              <w:widowControl/>
              <w:adjustRightInd w:val="0"/>
              <w:snapToGrid w:val="0"/>
              <w:ind w:left="119"/>
              <w:jc w:val="left"/>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273" w:type="dxa"/>
            <w:noWrap w:val="0"/>
            <w:vAlign w:val="center"/>
          </w:tcPr>
          <w:p>
            <w:pPr>
              <w:widowControl/>
              <w:adjustRightInd w:val="0"/>
              <w:snapToGrid w:val="0"/>
              <w:ind w:left="409"/>
              <w:jc w:val="left"/>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375" w:type="dxa"/>
            <w:noWrap w:val="0"/>
            <w:vAlign w:val="center"/>
          </w:tcPr>
          <w:p>
            <w:pPr>
              <w:widowControl/>
              <w:adjustRightInd w:val="0"/>
              <w:snapToGrid w:val="0"/>
              <w:ind w:left="126"/>
              <w:jc w:val="left"/>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273" w:type="dxa"/>
            <w:noWrap w:val="0"/>
            <w:vAlign w:val="center"/>
          </w:tcPr>
          <w:p>
            <w:pPr>
              <w:widowControl/>
              <w:adjustRightInd w:val="0"/>
              <w:snapToGrid w:val="0"/>
              <w:ind w:left="409"/>
              <w:jc w:val="left"/>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75" w:type="dxa"/>
            <w:noWrap w:val="0"/>
            <w:vAlign w:val="center"/>
          </w:tcPr>
          <w:p>
            <w:pPr>
              <w:widowControl/>
              <w:adjustRightInd w:val="0"/>
              <w:snapToGrid w:val="0"/>
              <w:ind w:left="131"/>
              <w:jc w:val="left"/>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273" w:type="dxa"/>
            <w:noWrap w:val="0"/>
            <w:vAlign w:val="center"/>
          </w:tcPr>
          <w:p>
            <w:pPr>
              <w:widowControl/>
              <w:adjustRightInd w:val="0"/>
              <w:snapToGrid w:val="0"/>
              <w:ind w:left="403"/>
              <w:jc w:val="left"/>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整改情况</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109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375" w:type="dxa"/>
            <w:noWrap w:val="0"/>
            <w:vAlign w:val="center"/>
          </w:tcPr>
          <w:p>
            <w:pPr>
              <w:widowControl/>
              <w:adjustRightInd w:val="0"/>
              <w:snapToGrid w:val="0"/>
              <w:ind w:left="113"/>
              <w:jc w:val="left"/>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273" w:type="dxa"/>
            <w:noWrap w:val="0"/>
            <w:vAlign w:val="center"/>
          </w:tcPr>
          <w:p>
            <w:pPr>
              <w:widowControl/>
              <w:adjustRightInd w:val="0"/>
              <w:snapToGrid w:val="0"/>
              <w:ind w:left="471"/>
              <w:jc w:val="left"/>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375" w:type="dxa"/>
            <w:noWrap w:val="0"/>
            <w:vAlign w:val="center"/>
          </w:tcPr>
          <w:p>
            <w:pPr>
              <w:widowControl/>
              <w:adjustRightInd w:val="0"/>
              <w:snapToGrid w:val="0"/>
              <w:ind w:left="121"/>
              <w:jc w:val="left"/>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273" w:type="dxa"/>
            <w:noWrap w:val="0"/>
            <w:vAlign w:val="center"/>
          </w:tcPr>
          <w:p>
            <w:pPr>
              <w:widowControl/>
              <w:adjustRightInd w:val="0"/>
              <w:snapToGrid w:val="0"/>
              <w:ind w:left="289"/>
              <w:jc w:val="left"/>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75" w:type="dxa"/>
            <w:noWrap w:val="0"/>
            <w:vAlign w:val="center"/>
          </w:tcPr>
          <w:p>
            <w:pPr>
              <w:widowControl/>
              <w:adjustRightInd w:val="0"/>
              <w:snapToGrid w:val="0"/>
              <w:ind w:left="125"/>
              <w:jc w:val="left"/>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273" w:type="dxa"/>
            <w:noWrap w:val="0"/>
            <w:vAlign w:val="center"/>
          </w:tcPr>
          <w:p>
            <w:pPr>
              <w:widowControl/>
              <w:adjustRightInd w:val="0"/>
              <w:snapToGrid w:val="0"/>
              <w:ind w:left="225"/>
              <w:jc w:val="left"/>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配合调查</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取证情况</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109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375" w:type="dxa"/>
            <w:noWrap w:val="0"/>
            <w:vAlign w:val="center"/>
          </w:tcPr>
          <w:p>
            <w:pPr>
              <w:widowControl/>
              <w:adjustRightInd w:val="0"/>
              <w:snapToGrid w:val="0"/>
              <w:ind w:left="118"/>
              <w:jc w:val="left"/>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273" w:type="dxa"/>
            <w:noWrap w:val="0"/>
            <w:vAlign w:val="center"/>
          </w:tcPr>
          <w:p>
            <w:pPr>
              <w:widowControl/>
              <w:adjustRightInd w:val="0"/>
              <w:snapToGrid w:val="0"/>
              <w:ind w:left="229"/>
              <w:jc w:val="left"/>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109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75" w:type="dxa"/>
            <w:noWrap w:val="0"/>
            <w:vAlign w:val="center"/>
          </w:tcPr>
          <w:p>
            <w:pPr>
              <w:widowControl/>
              <w:adjustRightInd w:val="0"/>
              <w:snapToGrid w:val="0"/>
              <w:ind w:left="124"/>
              <w:jc w:val="left"/>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273" w:type="dxa"/>
            <w:noWrap w:val="0"/>
            <w:vAlign w:val="center"/>
          </w:tcPr>
          <w:p>
            <w:pPr>
              <w:widowControl/>
              <w:adjustRightInd w:val="0"/>
              <w:snapToGrid w:val="0"/>
              <w:ind w:left="471"/>
              <w:jc w:val="left"/>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对社会影响</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或生态破坏</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程度</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pacing w:val="7"/>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w:t>
            </w:r>
          </w:p>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7"/>
                <w:sz w:val="24"/>
              </w:rPr>
              <w:t>破坏</w:t>
            </w:r>
          </w:p>
        </w:tc>
        <w:tc>
          <w:tcPr>
            <w:tcW w:w="109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375" w:type="dxa"/>
            <w:noWrap w:val="0"/>
            <w:vAlign w:val="center"/>
          </w:tcPr>
          <w:p>
            <w:pPr>
              <w:widowControl/>
              <w:adjustRightInd w:val="0"/>
              <w:snapToGrid w:val="0"/>
              <w:ind w:left="117"/>
              <w:jc w:val="left"/>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273" w:type="dxa"/>
            <w:noWrap w:val="0"/>
            <w:vAlign w:val="center"/>
          </w:tcPr>
          <w:p>
            <w:pPr>
              <w:widowControl/>
              <w:adjustRightInd w:val="0"/>
              <w:snapToGrid w:val="0"/>
              <w:ind w:left="229"/>
              <w:jc w:val="left"/>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74" w:type="dxa"/>
            <w:vMerge w:val="continue"/>
            <w:tcBorders>
              <w:top w:val="nil"/>
            </w:tcBorders>
            <w:noWrap w:val="0"/>
            <w:vAlign w:val="center"/>
          </w:tcPr>
          <w:p>
            <w:pPr>
              <w:widowControl/>
              <w:adjustRightInd w:val="0"/>
              <w:snapToGrid w:val="0"/>
              <w:jc w:val="left"/>
              <w:rPr>
                <w:rFonts w:hint="eastAsia" w:ascii="仿宋_GB2312" w:hAnsi="宋体" w:eastAsia="仿宋_GB2312" w:cs="宋体"/>
                <w:sz w:val="24"/>
              </w:rPr>
            </w:pPr>
          </w:p>
        </w:tc>
        <w:tc>
          <w:tcPr>
            <w:tcW w:w="1903" w:type="dxa"/>
            <w:vMerge w:val="continue"/>
            <w:tcBorders>
              <w:top w:val="nil"/>
            </w:tcBorders>
            <w:noWrap w:val="0"/>
            <w:vAlign w:val="center"/>
          </w:tcPr>
          <w:p>
            <w:pPr>
              <w:widowControl/>
              <w:adjustRightInd w:val="0"/>
              <w:snapToGrid w:val="0"/>
              <w:jc w:val="left"/>
              <w:rPr>
                <w:rFonts w:hint="eastAsia" w:ascii="仿宋_GB2312" w:hAnsi="宋体" w:eastAsia="仿宋_GB2312" w:cs="宋体"/>
                <w:sz w:val="24"/>
              </w:rPr>
            </w:pPr>
          </w:p>
        </w:tc>
        <w:tc>
          <w:tcPr>
            <w:tcW w:w="1093" w:type="dxa"/>
            <w:vMerge w:val="continue"/>
            <w:tcBorders>
              <w:top w:val="nil"/>
            </w:tcBorders>
            <w:noWrap w:val="0"/>
            <w:vAlign w:val="center"/>
          </w:tcPr>
          <w:p>
            <w:pPr>
              <w:widowControl/>
              <w:adjustRightInd w:val="0"/>
              <w:snapToGrid w:val="0"/>
              <w:jc w:val="left"/>
              <w:rPr>
                <w:rFonts w:hint="eastAsia" w:ascii="仿宋_GB2312" w:hAnsi="宋体" w:eastAsia="仿宋_GB2312" w:cs="宋体"/>
                <w:sz w:val="24"/>
              </w:rPr>
            </w:pPr>
          </w:p>
        </w:tc>
        <w:tc>
          <w:tcPr>
            <w:tcW w:w="3375" w:type="dxa"/>
            <w:noWrap w:val="0"/>
            <w:vAlign w:val="center"/>
          </w:tcPr>
          <w:p>
            <w:pPr>
              <w:widowControl/>
              <w:adjustRightInd w:val="0"/>
              <w:snapToGrid w:val="0"/>
              <w:ind w:left="114"/>
              <w:jc w:val="left"/>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273" w:type="dxa"/>
            <w:noWrap w:val="0"/>
            <w:vAlign w:val="center"/>
          </w:tcPr>
          <w:p>
            <w:pPr>
              <w:widowControl/>
              <w:adjustRightInd w:val="0"/>
              <w:snapToGrid w:val="0"/>
              <w:ind w:left="471"/>
              <w:jc w:val="left"/>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rPr>
          <w:rFonts w:ascii="宋体" w:hAnsi="宋体" w:cs="宋体"/>
          <w:sz w:val="28"/>
          <w:szCs w:val="28"/>
        </w:rPr>
      </w:pPr>
    </w:p>
    <w:p>
      <w:pPr>
        <w:rPr>
          <w:rFonts w:ascii="宋体" w:hAnsi="宋体" w:cs="宋体"/>
          <w:sz w:val="28"/>
          <w:szCs w:val="28"/>
        </w:rPr>
      </w:pPr>
    </w:p>
    <w:p>
      <w:pPr>
        <w:rPr>
          <w:rFonts w:ascii="宋体" w:hAnsi="宋体" w:cs="宋体"/>
          <w:sz w:val="10"/>
          <w:szCs w:val="10"/>
        </w:rPr>
      </w:pPr>
      <w:r>
        <w:rPr>
          <w:rFonts w:ascii="宋体" w:hAnsi="宋体" w:cs="宋体"/>
          <w:sz w:val="28"/>
          <w:szCs w:val="28"/>
        </w:rPr>
        <w:br w:type="page"/>
      </w:r>
    </w:p>
    <w:tbl>
      <w:tblPr>
        <w:tblStyle w:val="9"/>
        <w:tblW w:w="9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5"/>
        <w:gridCol w:w="1903"/>
        <w:gridCol w:w="708"/>
        <w:gridCol w:w="3735"/>
        <w:gridCol w:w="1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32" w:type="dxa"/>
            <w:gridSpan w:val="5"/>
            <w:noWrap w:val="0"/>
            <w:vAlign w:val="top"/>
          </w:tcPr>
          <w:p>
            <w:pPr>
              <w:widowControl/>
              <w:spacing w:before="155" w:line="212" w:lineRule="auto"/>
              <w:ind w:left="147"/>
              <w:jc w:val="center"/>
              <w:rPr>
                <w:rFonts w:ascii="微软雅黑" w:hAnsi="微软雅黑" w:eastAsia="微软雅黑"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395" w:type="dxa"/>
            <w:noWrap w:val="0"/>
            <w:vAlign w:val="center"/>
          </w:tcPr>
          <w:p>
            <w:pPr>
              <w:widowControl/>
              <w:adjustRightInd w:val="0"/>
              <w:snapToGrid w:val="0"/>
              <w:ind w:left="461"/>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737" w:type="dxa"/>
            <w:gridSpan w:val="4"/>
            <w:noWrap w:val="0"/>
            <w:vAlign w:val="center"/>
          </w:tcPr>
          <w:p>
            <w:pPr>
              <w:widowControl/>
              <w:adjustRightInd w:val="0"/>
              <w:snapToGrid w:val="0"/>
              <w:jc w:val="center"/>
              <w:rPr>
                <w:rFonts w:ascii="仿宋_GB2312" w:hAnsi="仿宋" w:eastAsia="仿宋_GB2312" w:cs="仿宋"/>
                <w:sz w:val="24"/>
              </w:rPr>
            </w:pPr>
            <w:r>
              <w:rPr>
                <w:rFonts w:hint="eastAsia" w:ascii="仿宋_GB2312" w:hAnsi="仿宋" w:eastAsia="仿宋_GB2312" w:cs="仿宋"/>
                <w:sz w:val="24"/>
              </w:rPr>
              <w:t>199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1395" w:type="dxa"/>
            <w:noWrap w:val="0"/>
            <w:vAlign w:val="center"/>
          </w:tcPr>
          <w:p>
            <w:pPr>
              <w:widowControl/>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737" w:type="dxa"/>
            <w:gridSpan w:val="4"/>
            <w:noWrap w:val="0"/>
            <w:vAlign w:val="center"/>
          </w:tcPr>
          <w:p>
            <w:pPr>
              <w:widowControl/>
              <w:adjustRightInd w:val="0"/>
              <w:snapToGrid w:val="0"/>
              <w:ind w:right="105"/>
              <w:jc w:val="left"/>
              <w:rPr>
                <w:rFonts w:hint="eastAsia" w:ascii="仿宋_GB2312" w:hAnsi="仿宋" w:eastAsia="仿宋_GB2312" w:cs="仿宋"/>
                <w:sz w:val="24"/>
              </w:rPr>
            </w:pPr>
            <w:r>
              <w:rPr>
                <w:rFonts w:hint="eastAsia" w:ascii="仿宋_GB2312" w:hAnsi="仿宋" w:eastAsia="仿宋_GB2312" w:cs="仿宋"/>
                <w:sz w:val="24"/>
              </w:rPr>
              <w:t>未按时通过全国固体废物污染环境防治信息平台填报上一年度产生的相关信息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jc w:val="center"/>
        </w:trPr>
        <w:tc>
          <w:tcPr>
            <w:tcW w:w="1395" w:type="dxa"/>
            <w:noWrap w:val="0"/>
            <w:vAlign w:val="center"/>
          </w:tcPr>
          <w:p>
            <w:pPr>
              <w:widowControl/>
              <w:adjustRightInd w:val="0"/>
              <w:snapToGrid w:val="0"/>
              <w:ind w:left="194"/>
              <w:jc w:val="center"/>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737" w:type="dxa"/>
            <w:gridSpan w:val="4"/>
            <w:noWrap w:val="0"/>
            <w:vAlign w:val="top"/>
          </w:tcPr>
          <w:p>
            <w:pPr>
              <w:widowControl/>
              <w:adjustRightInd w:val="0"/>
              <w:snapToGrid w:val="0"/>
              <w:ind w:left="139" w:right="104" w:firstLine="14"/>
              <w:jc w:val="left"/>
              <w:rPr>
                <w:rFonts w:hint="eastAsia" w:ascii="仿宋_GB2312" w:hAnsi="仿宋" w:eastAsia="仿宋_GB2312" w:cs="仿宋"/>
                <w:b/>
                <w:bCs/>
                <w:sz w:val="24"/>
              </w:rPr>
            </w:pPr>
            <w:r>
              <w:rPr>
                <w:rFonts w:hint="eastAsia" w:ascii="仿宋_GB2312" w:hAnsi="仿宋" w:eastAsia="仿宋_GB2312" w:cs="仿宋"/>
                <w:sz w:val="24"/>
              </w:rPr>
              <w:t>1</w:t>
            </w:r>
            <w:r>
              <w:rPr>
                <w:rFonts w:ascii="仿宋_GB2312" w:hAnsi="仿宋" w:eastAsia="仿宋_GB2312" w:cs="仿宋"/>
                <w:sz w:val="24"/>
              </w:rPr>
              <w:t>.</w:t>
            </w:r>
            <w:r>
              <w:rPr>
                <w:rFonts w:hint="eastAsia" w:ascii="仿宋_GB2312" w:hAnsi="仿宋" w:eastAsia="仿宋_GB2312" w:cs="仿宋"/>
                <w:b/>
                <w:bCs/>
                <w:sz w:val="24"/>
              </w:rPr>
              <w:t>《尾矿污染环境防治管理办法》</w:t>
            </w:r>
          </w:p>
          <w:p>
            <w:pPr>
              <w:widowControl/>
              <w:adjustRightInd w:val="0"/>
              <w:snapToGrid w:val="0"/>
              <w:ind w:left="153" w:right="104"/>
              <w:jc w:val="left"/>
              <w:rPr>
                <w:rFonts w:hint="eastAsia" w:ascii="仿宋_GB2312" w:hAnsi="仿宋" w:eastAsia="仿宋_GB2312" w:cs="仿宋"/>
                <w:sz w:val="24"/>
              </w:rPr>
            </w:pPr>
            <w:r>
              <w:rPr>
                <w:rFonts w:hint="eastAsia" w:ascii="仿宋_GB2312" w:hAnsi="仿宋" w:eastAsia="仿宋_GB2312" w:cs="仿宋"/>
                <w:b/>
                <w:bCs/>
                <w:sz w:val="24"/>
              </w:rPr>
              <w:t>第七条 第四款</w:t>
            </w:r>
            <w:r>
              <w:rPr>
                <w:rFonts w:hint="eastAsia" w:ascii="仿宋_GB2312" w:hAnsi="仿宋" w:eastAsia="仿宋_GB2312" w:cs="仿宋"/>
                <w:sz w:val="24"/>
              </w:rPr>
              <w:t xml:space="preserve"> 产生尾矿的单位和尾矿库运营、管理单位应当于每年 1月 31</w:t>
            </w:r>
            <w:r>
              <w:rPr>
                <w:rFonts w:ascii="仿宋_GB2312" w:hAnsi="仿宋" w:eastAsia="仿宋_GB2312" w:cs="仿宋"/>
                <w:sz w:val="24"/>
              </w:rPr>
              <w:t xml:space="preserve"> </w:t>
            </w:r>
            <w:r>
              <w:rPr>
                <w:rFonts w:hint="eastAsia" w:ascii="仿宋_GB2312" w:hAnsi="仿宋" w:eastAsia="仿宋_GB2312" w:cs="仿宋"/>
                <w:sz w:val="24"/>
              </w:rPr>
              <w:t>日之前通过全国固体废物污染环境防治信息平台填报上一年度产生的相关信息。</w:t>
            </w:r>
          </w:p>
          <w:p>
            <w:pPr>
              <w:widowControl/>
              <w:adjustRightInd w:val="0"/>
              <w:snapToGrid w:val="0"/>
              <w:ind w:left="139" w:right="104" w:firstLine="14"/>
              <w:jc w:val="left"/>
              <w:rPr>
                <w:rFonts w:hint="eastAsia" w:ascii="仿宋_GB2312" w:hAnsi="仿宋" w:eastAsia="仿宋_GB2312" w:cs="仿宋"/>
                <w:sz w:val="24"/>
              </w:rPr>
            </w:pPr>
            <w:r>
              <w:rPr>
                <w:rFonts w:hint="eastAsia" w:ascii="仿宋_GB2312" w:hAnsi="仿宋" w:eastAsia="仿宋_GB2312" w:cs="仿宋"/>
                <w:b/>
                <w:bCs/>
                <w:sz w:val="24"/>
              </w:rPr>
              <w:t>第三十一条</w:t>
            </w:r>
            <w:r>
              <w:rPr>
                <w:rFonts w:hint="eastAsia" w:ascii="仿宋_GB2312" w:hAnsi="仿宋" w:eastAsia="仿宋_GB2312" w:cs="仿宋"/>
                <w:sz w:val="24"/>
              </w:rPr>
              <w:t xml:space="preserve">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4006" w:type="dxa"/>
            <w:gridSpan w:val="3"/>
            <w:noWrap w:val="0"/>
            <w:vAlign w:val="center"/>
          </w:tcPr>
          <w:p>
            <w:pPr>
              <w:widowControl/>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5126" w:type="dxa"/>
            <w:gridSpan w:val="2"/>
            <w:noWrap w:val="0"/>
            <w:vAlign w:val="center"/>
          </w:tcPr>
          <w:p>
            <w:pPr>
              <w:widowControl/>
              <w:adjustRightInd w:val="0"/>
              <w:snapToGrid w:val="0"/>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395" w:type="dxa"/>
            <w:noWrap w:val="0"/>
            <w:vAlign w:val="center"/>
          </w:tcPr>
          <w:p>
            <w:pPr>
              <w:widowControl/>
              <w:adjustRightInd w:val="0"/>
              <w:snapToGrid w:val="0"/>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widowControl/>
              <w:adjustRightInd w:val="0"/>
              <w:snapToGrid w:val="0"/>
              <w:ind w:left="483"/>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708" w:type="dxa"/>
            <w:noWrap w:val="0"/>
            <w:vAlign w:val="center"/>
          </w:tcPr>
          <w:p>
            <w:pPr>
              <w:widowControl/>
              <w:adjustRightInd w:val="0"/>
              <w:snapToGrid w:val="0"/>
              <w:ind w:left="118" w:right="113"/>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widowControl/>
              <w:adjustRightInd w:val="0"/>
              <w:snapToGrid w:val="0"/>
              <w:ind w:left="118" w:right="113"/>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735" w:type="dxa"/>
            <w:noWrap w:val="0"/>
            <w:vAlign w:val="center"/>
          </w:tcPr>
          <w:p>
            <w:pPr>
              <w:widowControl/>
              <w:adjustRightInd w:val="0"/>
              <w:snapToGrid w:val="0"/>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391" w:type="dxa"/>
            <w:noWrap w:val="0"/>
            <w:vAlign w:val="center"/>
          </w:tcPr>
          <w:p>
            <w:pPr>
              <w:widowControl/>
              <w:adjustRightInd w:val="0"/>
              <w:snapToGrid w:val="0"/>
              <w:ind w:left="224"/>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395"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对环境影响</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程度</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708"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735" w:type="dxa"/>
            <w:noWrap w:val="0"/>
            <w:vAlign w:val="center"/>
          </w:tcPr>
          <w:p>
            <w:pPr>
              <w:widowControl/>
              <w:adjustRightInd w:val="0"/>
              <w:snapToGrid w:val="0"/>
              <w:ind w:left="139" w:right="104" w:firstLine="14"/>
              <w:jc w:val="left"/>
              <w:rPr>
                <w:rFonts w:hint="eastAsia" w:ascii="仿宋_GB2312" w:hAnsi="仿宋" w:eastAsia="仿宋_GB2312" w:cs="仿宋"/>
                <w:sz w:val="24"/>
                <w:lang w:eastAsia="zh-Hans"/>
              </w:rPr>
            </w:pPr>
            <w:r>
              <w:rPr>
                <w:rFonts w:hint="eastAsia" w:ascii="仿宋_GB2312" w:hAnsi="仿宋" w:eastAsia="仿宋_GB2312" w:cs="仿宋"/>
                <w:sz w:val="24"/>
              </w:rPr>
              <w:t>未</w:t>
            </w:r>
            <w:r>
              <w:rPr>
                <w:rFonts w:hint="eastAsia" w:ascii="仿宋_GB2312" w:hAnsi="仿宋" w:eastAsia="仿宋_GB2312" w:cs="仿宋"/>
                <w:sz w:val="24"/>
                <w:lang w:eastAsia="zh-Hans"/>
              </w:rPr>
              <w:t>按时</w:t>
            </w:r>
            <w:r>
              <w:rPr>
                <w:rFonts w:hint="eastAsia" w:ascii="仿宋_GB2312" w:hAnsi="仿宋" w:eastAsia="仿宋_GB2312" w:cs="仿宋"/>
                <w:sz w:val="24"/>
              </w:rPr>
              <w:t>通过全国固体废物污染环境防治信息平台填报上一年度产生的相关信息</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1395"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708"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735" w:type="dxa"/>
            <w:noWrap w:val="0"/>
            <w:vAlign w:val="center"/>
          </w:tcPr>
          <w:p>
            <w:pPr>
              <w:widowControl/>
              <w:adjustRightInd w:val="0"/>
              <w:snapToGrid w:val="0"/>
              <w:ind w:left="139" w:right="104" w:firstLine="14"/>
              <w:jc w:val="left"/>
              <w:rPr>
                <w:rFonts w:hint="eastAsia" w:ascii="仿宋_GB2312" w:hAnsi="仿宋" w:eastAsia="仿宋_GB2312" w:cs="仿宋"/>
                <w:sz w:val="24"/>
              </w:rPr>
            </w:pPr>
            <w:r>
              <w:rPr>
                <w:rFonts w:hint="eastAsia" w:ascii="仿宋_GB2312" w:hAnsi="仿宋" w:eastAsia="仿宋_GB2312" w:cs="仿宋"/>
                <w:sz w:val="24"/>
              </w:rPr>
              <w:t>未通过全国固体废物污染环境防治信息平台填报上一年度产生的相关信息</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395"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违法频次</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708"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735" w:type="dxa"/>
            <w:noWrap w:val="0"/>
            <w:vAlign w:val="center"/>
          </w:tcPr>
          <w:p>
            <w:pPr>
              <w:widowControl/>
              <w:adjustRightInd w:val="0"/>
              <w:snapToGrid w:val="0"/>
              <w:ind w:left="121"/>
              <w:jc w:val="left"/>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395"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708"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735" w:type="dxa"/>
            <w:noWrap w:val="0"/>
            <w:vAlign w:val="center"/>
          </w:tcPr>
          <w:p>
            <w:pPr>
              <w:widowControl/>
              <w:adjustRightInd w:val="0"/>
              <w:snapToGrid w:val="0"/>
              <w:ind w:left="119"/>
              <w:jc w:val="left"/>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395"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708"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735" w:type="dxa"/>
            <w:noWrap w:val="0"/>
            <w:vAlign w:val="center"/>
          </w:tcPr>
          <w:p>
            <w:pPr>
              <w:widowControl/>
              <w:adjustRightInd w:val="0"/>
              <w:snapToGrid w:val="0"/>
              <w:ind w:left="126"/>
              <w:jc w:val="left"/>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395"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708"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735" w:type="dxa"/>
            <w:noWrap w:val="0"/>
            <w:vAlign w:val="center"/>
          </w:tcPr>
          <w:p>
            <w:pPr>
              <w:widowControl/>
              <w:adjustRightInd w:val="0"/>
              <w:snapToGrid w:val="0"/>
              <w:ind w:left="131"/>
              <w:jc w:val="left"/>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395"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整改情况</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708"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735" w:type="dxa"/>
            <w:noWrap w:val="0"/>
            <w:vAlign w:val="center"/>
          </w:tcPr>
          <w:p>
            <w:pPr>
              <w:widowControl/>
              <w:adjustRightInd w:val="0"/>
              <w:snapToGrid w:val="0"/>
              <w:ind w:left="113"/>
              <w:jc w:val="left"/>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395"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708"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735" w:type="dxa"/>
            <w:noWrap w:val="0"/>
            <w:vAlign w:val="center"/>
          </w:tcPr>
          <w:p>
            <w:pPr>
              <w:widowControl/>
              <w:adjustRightInd w:val="0"/>
              <w:snapToGrid w:val="0"/>
              <w:ind w:left="121"/>
              <w:jc w:val="left"/>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395"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708"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735" w:type="dxa"/>
            <w:noWrap w:val="0"/>
            <w:vAlign w:val="center"/>
          </w:tcPr>
          <w:p>
            <w:pPr>
              <w:widowControl/>
              <w:adjustRightInd w:val="0"/>
              <w:snapToGrid w:val="0"/>
              <w:ind w:left="125"/>
              <w:jc w:val="left"/>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395"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配合调查</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取证情况</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708"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735" w:type="dxa"/>
            <w:noWrap w:val="0"/>
            <w:vAlign w:val="center"/>
          </w:tcPr>
          <w:p>
            <w:pPr>
              <w:widowControl/>
              <w:adjustRightInd w:val="0"/>
              <w:snapToGrid w:val="0"/>
              <w:ind w:left="118"/>
              <w:jc w:val="left"/>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395"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708"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735" w:type="dxa"/>
            <w:noWrap w:val="0"/>
            <w:vAlign w:val="center"/>
          </w:tcPr>
          <w:p>
            <w:pPr>
              <w:widowControl/>
              <w:adjustRightInd w:val="0"/>
              <w:snapToGrid w:val="0"/>
              <w:ind w:left="124"/>
              <w:jc w:val="left"/>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395"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对社会影响</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或生态破坏</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程度</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pacing w:val="7"/>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708"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735" w:type="dxa"/>
            <w:noWrap w:val="0"/>
            <w:vAlign w:val="center"/>
          </w:tcPr>
          <w:p>
            <w:pPr>
              <w:widowControl/>
              <w:adjustRightInd w:val="0"/>
              <w:snapToGrid w:val="0"/>
              <w:ind w:left="117"/>
              <w:jc w:val="left"/>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95" w:type="dxa"/>
            <w:vMerge w:val="continue"/>
            <w:tcBorders>
              <w:top w:val="nil"/>
            </w:tcBorders>
            <w:noWrap w:val="0"/>
            <w:vAlign w:val="center"/>
          </w:tcPr>
          <w:p>
            <w:pPr>
              <w:widowControl/>
              <w:adjustRightInd w:val="0"/>
              <w:snapToGrid w:val="0"/>
              <w:jc w:val="left"/>
              <w:rPr>
                <w:rFonts w:hint="eastAsia" w:ascii="仿宋_GB2312" w:hAnsi="宋体" w:eastAsia="仿宋_GB2312" w:cs="宋体"/>
                <w:sz w:val="24"/>
              </w:rPr>
            </w:pPr>
          </w:p>
        </w:tc>
        <w:tc>
          <w:tcPr>
            <w:tcW w:w="1903" w:type="dxa"/>
            <w:vMerge w:val="continue"/>
            <w:tcBorders>
              <w:top w:val="nil"/>
            </w:tcBorders>
            <w:noWrap w:val="0"/>
            <w:vAlign w:val="center"/>
          </w:tcPr>
          <w:p>
            <w:pPr>
              <w:widowControl/>
              <w:adjustRightInd w:val="0"/>
              <w:snapToGrid w:val="0"/>
              <w:jc w:val="left"/>
              <w:rPr>
                <w:rFonts w:hint="eastAsia" w:ascii="仿宋_GB2312" w:hAnsi="宋体" w:eastAsia="仿宋_GB2312" w:cs="宋体"/>
                <w:sz w:val="24"/>
              </w:rPr>
            </w:pPr>
          </w:p>
        </w:tc>
        <w:tc>
          <w:tcPr>
            <w:tcW w:w="708" w:type="dxa"/>
            <w:vMerge w:val="continue"/>
            <w:tcBorders>
              <w:top w:val="nil"/>
            </w:tcBorders>
            <w:noWrap w:val="0"/>
            <w:vAlign w:val="center"/>
          </w:tcPr>
          <w:p>
            <w:pPr>
              <w:widowControl/>
              <w:adjustRightInd w:val="0"/>
              <w:snapToGrid w:val="0"/>
              <w:jc w:val="left"/>
              <w:rPr>
                <w:rFonts w:hint="eastAsia" w:ascii="仿宋_GB2312" w:hAnsi="宋体" w:eastAsia="仿宋_GB2312" w:cs="宋体"/>
                <w:sz w:val="24"/>
              </w:rPr>
            </w:pPr>
          </w:p>
        </w:tc>
        <w:tc>
          <w:tcPr>
            <w:tcW w:w="3735" w:type="dxa"/>
            <w:noWrap w:val="0"/>
            <w:vAlign w:val="center"/>
          </w:tcPr>
          <w:p>
            <w:pPr>
              <w:widowControl/>
              <w:adjustRightInd w:val="0"/>
              <w:snapToGrid w:val="0"/>
              <w:ind w:left="114"/>
              <w:jc w:val="left"/>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391" w:type="dxa"/>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rPr>
          <w:rFonts w:ascii="宋体" w:hAnsi="宋体" w:cs="宋体"/>
          <w:sz w:val="28"/>
          <w:szCs w:val="28"/>
        </w:rPr>
      </w:pPr>
    </w:p>
    <w:p>
      <w:pPr>
        <w:rPr>
          <w:rFonts w:ascii="宋体" w:hAnsi="宋体" w:cs="宋体"/>
          <w:sz w:val="10"/>
          <w:szCs w:val="10"/>
        </w:rPr>
      </w:pPr>
      <w:r>
        <w:rPr>
          <w:rFonts w:ascii="宋体" w:hAnsi="宋体" w:cs="宋体"/>
          <w:sz w:val="28"/>
          <w:szCs w:val="28"/>
        </w:rPr>
        <w:br w:type="page"/>
      </w:r>
    </w:p>
    <w:tbl>
      <w:tblPr>
        <w:tblStyle w:val="9"/>
        <w:tblW w:w="91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903"/>
        <w:gridCol w:w="803"/>
        <w:gridCol w:w="3383"/>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9124" w:type="dxa"/>
            <w:gridSpan w:val="5"/>
            <w:noWrap w:val="0"/>
            <w:vAlign w:val="center"/>
          </w:tcPr>
          <w:p>
            <w:pPr>
              <w:widowControl/>
              <w:adjustRightInd w:val="0"/>
              <w:snapToGrid w:val="0"/>
              <w:ind w:left="147"/>
              <w:jc w:val="center"/>
              <w:rPr>
                <w:rFonts w:ascii="微软雅黑" w:hAnsi="微软雅黑" w:eastAsia="微软雅黑"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74" w:type="dxa"/>
            <w:noWrap w:val="0"/>
            <w:vAlign w:val="center"/>
          </w:tcPr>
          <w:p>
            <w:pPr>
              <w:widowControl/>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650" w:type="dxa"/>
            <w:gridSpan w:val="4"/>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474" w:type="dxa"/>
            <w:noWrap w:val="0"/>
            <w:vAlign w:val="center"/>
          </w:tcPr>
          <w:p>
            <w:pPr>
              <w:widowControl/>
              <w:adjustRightInd w:val="0"/>
              <w:snapToGrid w:val="0"/>
              <w:ind w:left="186"/>
              <w:jc w:val="left"/>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650" w:type="dxa"/>
            <w:gridSpan w:val="4"/>
            <w:noWrap w:val="0"/>
            <w:vAlign w:val="center"/>
          </w:tcPr>
          <w:p>
            <w:pPr>
              <w:widowControl/>
              <w:adjustRightInd w:val="0"/>
              <w:snapToGrid w:val="0"/>
              <w:ind w:right="105"/>
              <w:rPr>
                <w:rFonts w:hint="eastAsia" w:ascii="仿宋_GB2312" w:hAnsi="仿宋" w:eastAsia="仿宋_GB2312" w:cs="仿宋"/>
                <w:sz w:val="24"/>
              </w:rPr>
            </w:pPr>
            <w:r>
              <w:rPr>
                <w:rFonts w:hint="eastAsia" w:ascii="仿宋_GB2312" w:hAnsi="仿宋" w:eastAsia="仿宋_GB2312" w:cs="仿宋"/>
                <w:sz w:val="24"/>
              </w:rPr>
              <w:t>向环境排放尾矿水，未按照国家有关规定设置污染物排放口标志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jc w:val="center"/>
        </w:trPr>
        <w:tc>
          <w:tcPr>
            <w:tcW w:w="1474" w:type="dxa"/>
            <w:noWrap w:val="0"/>
            <w:vAlign w:val="center"/>
          </w:tcPr>
          <w:p>
            <w:pPr>
              <w:widowControl/>
              <w:adjustRightInd w:val="0"/>
              <w:snapToGrid w:val="0"/>
              <w:ind w:left="194"/>
              <w:jc w:val="left"/>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650" w:type="dxa"/>
            <w:gridSpan w:val="4"/>
            <w:noWrap w:val="0"/>
            <w:vAlign w:val="center"/>
          </w:tcPr>
          <w:p>
            <w:pPr>
              <w:widowControl/>
              <w:adjustRightInd w:val="0"/>
              <w:snapToGrid w:val="0"/>
              <w:ind w:right="105"/>
              <w:jc w:val="left"/>
              <w:rPr>
                <w:rFonts w:hint="eastAsia" w:ascii="仿宋_GB2312" w:hAnsi="仿宋" w:eastAsia="仿宋_GB2312" w:cs="仿宋"/>
                <w:b/>
                <w:bCs/>
                <w:sz w:val="24"/>
              </w:rPr>
            </w:pPr>
            <w:r>
              <w:rPr>
                <w:rFonts w:hint="eastAsia" w:ascii="仿宋_GB2312" w:hAnsi="仿宋" w:eastAsia="仿宋_GB2312" w:cs="仿宋"/>
                <w:sz w:val="24"/>
              </w:rPr>
              <w:t>1</w:t>
            </w:r>
            <w:r>
              <w:rPr>
                <w:rFonts w:ascii="仿宋_GB2312" w:hAnsi="仿宋" w:eastAsia="仿宋_GB2312" w:cs="仿宋"/>
                <w:sz w:val="24"/>
              </w:rPr>
              <w:t>.</w:t>
            </w:r>
            <w:r>
              <w:rPr>
                <w:rFonts w:hint="eastAsia" w:ascii="仿宋_GB2312" w:hAnsi="仿宋" w:eastAsia="仿宋_GB2312" w:cs="仿宋"/>
                <w:b/>
                <w:bCs/>
                <w:sz w:val="24"/>
              </w:rPr>
              <w:t>《尾矿污染环境防治管理办法》</w:t>
            </w:r>
          </w:p>
          <w:p>
            <w:pPr>
              <w:widowControl/>
              <w:adjustRightInd w:val="0"/>
              <w:snapToGrid w:val="0"/>
              <w:ind w:right="105"/>
              <w:jc w:val="left"/>
              <w:rPr>
                <w:rFonts w:hint="eastAsia" w:ascii="仿宋_GB2312" w:hAnsi="仿宋" w:eastAsia="仿宋_GB2312" w:cs="仿宋"/>
                <w:sz w:val="24"/>
              </w:rPr>
            </w:pPr>
            <w:r>
              <w:rPr>
                <w:rFonts w:hint="eastAsia" w:ascii="仿宋_GB2312" w:hAnsi="仿宋" w:eastAsia="仿宋_GB2312" w:cs="仿宋"/>
                <w:b/>
                <w:bCs/>
                <w:sz w:val="24"/>
              </w:rPr>
              <w:t>第十七条</w:t>
            </w:r>
            <w:r>
              <w:rPr>
                <w:rFonts w:hint="eastAsia" w:ascii="仿宋_GB2312" w:hAnsi="仿宋" w:eastAsia="仿宋_GB2312" w:cs="仿宋"/>
                <w:sz w:val="24"/>
              </w:rPr>
              <w:t xml:space="preserve"> 尾矿水应当优先返回选矿工艺使用；向环境排放的，应当符合国家和地方污染物排放标准，不得与尾矿库外的雨水混合排放，并按照有关规定设置污染物排放口，设立标志，依法安装流量计和视频监控。</w:t>
            </w:r>
          </w:p>
          <w:p>
            <w:pPr>
              <w:widowControl/>
              <w:adjustRightInd w:val="0"/>
              <w:snapToGrid w:val="0"/>
              <w:ind w:right="105"/>
              <w:jc w:val="left"/>
              <w:rPr>
                <w:rFonts w:hint="eastAsia" w:ascii="仿宋_GB2312" w:hAnsi="仿宋" w:eastAsia="仿宋_GB2312" w:cs="仿宋"/>
                <w:sz w:val="24"/>
              </w:rPr>
            </w:pPr>
            <w:r>
              <w:rPr>
                <w:rFonts w:hint="eastAsia" w:ascii="仿宋_GB2312" w:hAnsi="仿宋" w:eastAsia="仿宋_GB2312" w:cs="仿宋"/>
                <w:b/>
                <w:bCs/>
                <w:sz w:val="24"/>
              </w:rPr>
              <w:t>第三十二条</w:t>
            </w:r>
            <w:r>
              <w:rPr>
                <w:rFonts w:hint="eastAsia" w:ascii="仿宋_GB2312" w:hAnsi="仿宋" w:eastAsia="仿宋_GB2312" w:cs="仿宋"/>
                <w:sz w:val="24"/>
              </w:rPr>
              <w:t xml:space="preserve"> 违反本办法规定，向环境排放尾矿水，未按照国家有关规定设置污染物排放口标志的，由设区的市级以上地方生态环境主管部门责令改正，给予警告；拒不改正的，处五万元以下的罚款。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4180" w:type="dxa"/>
            <w:gridSpan w:val="3"/>
            <w:noWrap w:val="0"/>
            <w:vAlign w:val="center"/>
          </w:tcPr>
          <w:p>
            <w:pPr>
              <w:widowControl/>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4944" w:type="dxa"/>
            <w:gridSpan w:val="2"/>
            <w:noWrap w:val="0"/>
            <w:vAlign w:val="center"/>
          </w:tcPr>
          <w:p>
            <w:pPr>
              <w:widowControl/>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474" w:type="dxa"/>
            <w:noWrap w:val="0"/>
            <w:vAlign w:val="center"/>
          </w:tcPr>
          <w:p>
            <w:pPr>
              <w:widowControl/>
              <w:adjustRightInd w:val="0"/>
              <w:snapToGrid w:val="0"/>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widowControl/>
              <w:adjustRightInd w:val="0"/>
              <w:snapToGrid w:val="0"/>
              <w:ind w:left="483"/>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803" w:type="dxa"/>
            <w:noWrap w:val="0"/>
            <w:vAlign w:val="center"/>
          </w:tcPr>
          <w:p>
            <w:pPr>
              <w:widowControl/>
              <w:adjustRightInd w:val="0"/>
              <w:snapToGrid w:val="0"/>
              <w:ind w:left="118" w:right="113"/>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widowControl/>
              <w:adjustRightInd w:val="0"/>
              <w:snapToGrid w:val="0"/>
              <w:ind w:left="118" w:right="113"/>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383" w:type="dxa"/>
            <w:noWrap w:val="0"/>
            <w:vAlign w:val="center"/>
          </w:tcPr>
          <w:p>
            <w:pPr>
              <w:widowControl/>
              <w:adjustRightInd w:val="0"/>
              <w:snapToGrid w:val="0"/>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561" w:type="dxa"/>
            <w:noWrap w:val="0"/>
            <w:vAlign w:val="center"/>
          </w:tcPr>
          <w:p>
            <w:pPr>
              <w:widowControl/>
              <w:adjustRightInd w:val="0"/>
              <w:snapToGrid w:val="0"/>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对环境影响</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程度</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8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383" w:type="dxa"/>
            <w:noWrap w:val="0"/>
            <w:vAlign w:val="center"/>
          </w:tcPr>
          <w:p>
            <w:pPr>
              <w:widowControl/>
              <w:adjustRightInd w:val="0"/>
              <w:snapToGrid w:val="0"/>
              <w:ind w:right="104"/>
              <w:jc w:val="left"/>
              <w:rPr>
                <w:rFonts w:hint="eastAsia" w:ascii="仿宋_GB2312" w:hAnsi="仿宋" w:eastAsia="仿宋_GB2312" w:cs="仿宋"/>
                <w:sz w:val="24"/>
                <w:lang w:eastAsia="zh-Hans"/>
              </w:rPr>
            </w:pPr>
            <w:r>
              <w:rPr>
                <w:rFonts w:hint="eastAsia" w:ascii="仿宋_GB2312" w:hAnsi="仿宋" w:eastAsia="仿宋_GB2312" w:cs="仿宋"/>
                <w:sz w:val="24"/>
                <w:lang w:eastAsia="zh-Hans"/>
              </w:rPr>
              <w:t>未按照国家有关规定设置污染物排放口标志</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14" w:right="104" w:firstLine="40"/>
              <w:jc w:val="left"/>
              <w:rPr>
                <w:rFonts w:hint="eastAsia" w:ascii="仿宋_GB2312" w:hAnsi="仿宋" w:eastAsia="仿宋_GB2312" w:cs="仿宋"/>
                <w:sz w:val="24"/>
              </w:rPr>
            </w:pPr>
            <w:r>
              <w:rPr>
                <w:rFonts w:hint="eastAsia" w:ascii="仿宋_GB2312" w:hAnsi="仿宋" w:eastAsia="仿宋_GB2312" w:cs="仿宋"/>
                <w:sz w:val="24"/>
                <w:lang w:eastAsia="zh-Hans"/>
              </w:rPr>
              <w:t>未设置污染物排放口标志</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违法频次</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8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383" w:type="dxa"/>
            <w:noWrap w:val="0"/>
            <w:vAlign w:val="center"/>
          </w:tcPr>
          <w:p>
            <w:pPr>
              <w:widowControl/>
              <w:adjustRightInd w:val="0"/>
              <w:snapToGrid w:val="0"/>
              <w:ind w:left="121"/>
              <w:jc w:val="left"/>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474"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19"/>
              <w:jc w:val="left"/>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474"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26"/>
              <w:jc w:val="left"/>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31"/>
              <w:jc w:val="left"/>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整改情况</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8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383" w:type="dxa"/>
            <w:noWrap w:val="0"/>
            <w:vAlign w:val="center"/>
          </w:tcPr>
          <w:p>
            <w:pPr>
              <w:widowControl/>
              <w:adjustRightInd w:val="0"/>
              <w:snapToGrid w:val="0"/>
              <w:ind w:left="113"/>
              <w:jc w:val="left"/>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474" w:type="dxa"/>
            <w:vMerge w:val="continue"/>
            <w:tcBorders>
              <w:top w:val="nil"/>
              <w:bottom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bottom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21"/>
              <w:jc w:val="left"/>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25"/>
              <w:jc w:val="left"/>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配合调查</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取证情况</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8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383" w:type="dxa"/>
            <w:noWrap w:val="0"/>
            <w:vAlign w:val="center"/>
          </w:tcPr>
          <w:p>
            <w:pPr>
              <w:widowControl/>
              <w:adjustRightInd w:val="0"/>
              <w:snapToGrid w:val="0"/>
              <w:ind w:left="118"/>
              <w:jc w:val="left"/>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仿宋" w:eastAsia="仿宋_GB2312" w:cs="宋体"/>
                <w:b/>
                <w:bCs/>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24"/>
              <w:jc w:val="left"/>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474" w:type="dxa"/>
            <w:vMerge w:val="restart"/>
            <w:tcBorders>
              <w:bottom w:val="nil"/>
            </w:tcBorders>
            <w:noWrap w:val="0"/>
            <w:vAlign w:val="center"/>
          </w:tcPr>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对社会影响</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或生态破坏</w:t>
            </w:r>
          </w:p>
          <w:p>
            <w:pPr>
              <w:widowControl/>
              <w:adjustRightInd w:val="0"/>
              <w:snapToGrid w:val="0"/>
              <w:jc w:val="center"/>
              <w:rPr>
                <w:rFonts w:hint="eastAsia" w:ascii="仿宋_GB2312" w:hAnsi="仿宋" w:eastAsia="仿宋_GB2312" w:cs="宋体"/>
                <w:b/>
                <w:bCs/>
                <w:sz w:val="24"/>
              </w:rPr>
            </w:pPr>
            <w:r>
              <w:rPr>
                <w:rFonts w:hint="eastAsia" w:ascii="仿宋_GB2312" w:hAnsi="仿宋" w:eastAsia="仿宋_GB2312" w:cs="宋体"/>
                <w:b/>
                <w:bCs/>
                <w:sz w:val="24"/>
              </w:rPr>
              <w:t>程度</w:t>
            </w:r>
          </w:p>
        </w:tc>
        <w:tc>
          <w:tcPr>
            <w:tcW w:w="19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803" w:type="dxa"/>
            <w:vMerge w:val="restart"/>
            <w:tcBorders>
              <w:bottom w:val="nil"/>
            </w:tcBorders>
            <w:noWrap w:val="0"/>
            <w:vAlign w:val="center"/>
          </w:tcPr>
          <w:p>
            <w:pPr>
              <w:widowControl/>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383" w:type="dxa"/>
            <w:noWrap w:val="0"/>
            <w:vAlign w:val="center"/>
          </w:tcPr>
          <w:p>
            <w:pPr>
              <w:widowControl/>
              <w:adjustRightInd w:val="0"/>
              <w:snapToGrid w:val="0"/>
              <w:ind w:left="117"/>
              <w:jc w:val="left"/>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474"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19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803" w:type="dxa"/>
            <w:vMerge w:val="continue"/>
            <w:tcBorders>
              <w:top w:val="nil"/>
            </w:tcBorders>
            <w:noWrap w:val="0"/>
            <w:vAlign w:val="center"/>
          </w:tcPr>
          <w:p>
            <w:pPr>
              <w:widowControl/>
              <w:adjustRightInd w:val="0"/>
              <w:snapToGrid w:val="0"/>
              <w:jc w:val="center"/>
              <w:rPr>
                <w:rFonts w:hint="eastAsia" w:ascii="仿宋_GB2312" w:hAnsi="宋体" w:eastAsia="仿宋_GB2312" w:cs="宋体"/>
                <w:sz w:val="24"/>
              </w:rPr>
            </w:pPr>
          </w:p>
        </w:tc>
        <w:tc>
          <w:tcPr>
            <w:tcW w:w="3383" w:type="dxa"/>
            <w:noWrap w:val="0"/>
            <w:vAlign w:val="center"/>
          </w:tcPr>
          <w:p>
            <w:pPr>
              <w:widowControl/>
              <w:adjustRightInd w:val="0"/>
              <w:snapToGrid w:val="0"/>
              <w:ind w:left="114"/>
              <w:jc w:val="left"/>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561" w:type="dxa"/>
            <w:noWrap w:val="0"/>
            <w:vAlign w:val="center"/>
          </w:tcPr>
          <w:p>
            <w:pPr>
              <w:jc w:val="center"/>
              <w:rPr>
                <w:rFonts w:hint="eastAsia" w:ascii="仿宋_GB2312" w:hAnsi="仿宋" w:eastAsia="仿宋_GB2312" w:cs="仿宋"/>
                <w:sz w:val="24"/>
              </w:rPr>
            </w:pPr>
            <w:r>
              <w:rPr>
                <w:rFonts w:hint="eastAsia" w:ascii="仿宋_GB2312" w:hAnsi="仿宋" w:eastAsia="仿宋_GB2312" w:cs="仿宋"/>
                <w:sz w:val="24"/>
              </w:rPr>
              <w:t>0%</w:t>
            </w:r>
          </w:p>
        </w:tc>
      </w:tr>
    </w:tbl>
    <w:p>
      <w:pPr>
        <w:rPr>
          <w:rFonts w:ascii="宋体" w:hAnsi="宋体" w:cs="宋体"/>
          <w:sz w:val="10"/>
          <w:szCs w:val="10"/>
        </w:rPr>
      </w:pPr>
      <w:r>
        <w:rPr>
          <w:rFonts w:ascii="宋体" w:hAnsi="宋体" w:cs="宋体"/>
          <w:sz w:val="28"/>
          <w:szCs w:val="28"/>
        </w:rPr>
        <w:br w:type="page"/>
      </w:r>
    </w:p>
    <w:tbl>
      <w:tblPr>
        <w:tblStyle w:val="9"/>
        <w:tblW w:w="90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903"/>
        <w:gridCol w:w="803"/>
        <w:gridCol w:w="3640"/>
        <w:gridCol w:w="1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089" w:type="dxa"/>
            <w:gridSpan w:val="5"/>
            <w:noWrap w:val="0"/>
            <w:vAlign w:val="center"/>
          </w:tcPr>
          <w:p>
            <w:pPr>
              <w:widowControl/>
              <w:adjustRightInd w:val="0"/>
              <w:snapToGrid w:val="0"/>
              <w:ind w:left="147"/>
              <w:jc w:val="center"/>
              <w:rPr>
                <w:rFonts w:ascii="微软雅黑" w:hAnsi="微软雅黑" w:eastAsia="微软雅黑"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17"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672" w:type="dxa"/>
            <w:gridSpan w:val="4"/>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sz w:val="24"/>
              </w:rPr>
              <w:t>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417"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672" w:type="dxa"/>
            <w:gridSpan w:val="4"/>
            <w:noWrap w:val="0"/>
            <w:vAlign w:val="center"/>
          </w:tcPr>
          <w:p>
            <w:pPr>
              <w:adjustRightInd w:val="0"/>
              <w:snapToGrid w:val="0"/>
              <w:spacing w:before="39"/>
              <w:ind w:right="105"/>
              <w:rPr>
                <w:rFonts w:hint="eastAsia" w:ascii="仿宋_GB2312" w:hAnsi="仿宋" w:eastAsia="仿宋_GB2312" w:cs="仿宋"/>
                <w:sz w:val="24"/>
              </w:rPr>
            </w:pPr>
            <w:r>
              <w:rPr>
                <w:rFonts w:hint="eastAsia" w:ascii="仿宋_GB2312" w:hAnsi="仿宋" w:eastAsia="仿宋_GB2312" w:cs="仿宋"/>
                <w:spacing w:val="-4"/>
                <w:sz w:val="24"/>
              </w:rPr>
              <w:t>不披露环境信息，或者披露的环境信息不真实、不准确的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17" w:type="dxa"/>
            <w:noWrap w:val="0"/>
            <w:vAlign w:val="center"/>
          </w:tcPr>
          <w:p>
            <w:pPr>
              <w:adjustRightInd w:val="0"/>
              <w:snapToGrid w:val="0"/>
              <w:spacing w:before="91"/>
              <w:ind w:left="194"/>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672" w:type="dxa"/>
            <w:gridSpan w:val="4"/>
            <w:noWrap w:val="0"/>
            <w:vAlign w:val="center"/>
          </w:tcPr>
          <w:p>
            <w:pPr>
              <w:pStyle w:val="8"/>
              <w:shd w:val="clear" w:color="auto" w:fill="FFFFFF"/>
              <w:adjustRightInd w:val="0"/>
              <w:snapToGrid w:val="0"/>
              <w:rPr>
                <w:rFonts w:hint="eastAsia" w:ascii="仿宋_GB2312" w:hAnsi="仿宋" w:eastAsia="仿宋_GB2312" w:cs="仿宋"/>
                <w:b/>
                <w:bCs/>
                <w:spacing w:val="11"/>
              </w:rPr>
            </w:pPr>
            <w:r>
              <w:rPr>
                <w:rFonts w:hint="eastAsia" w:ascii="仿宋_GB2312" w:hAnsi="仿宋" w:eastAsia="仿宋_GB2312" w:cs="仿宋"/>
                <w:spacing w:val="11"/>
              </w:rPr>
              <w:t>1</w:t>
            </w:r>
            <w:r>
              <w:rPr>
                <w:rFonts w:ascii="仿宋_GB2312" w:hAnsi="仿宋" w:eastAsia="仿宋_GB2312" w:cs="仿宋"/>
                <w:spacing w:val="11"/>
              </w:rPr>
              <w:t>.</w:t>
            </w:r>
            <w:r>
              <w:rPr>
                <w:rFonts w:hint="eastAsia" w:ascii="仿宋_GB2312" w:hAnsi="仿宋" w:eastAsia="仿宋_GB2312" w:cs="仿宋"/>
                <w:b/>
                <w:bCs/>
                <w:spacing w:val="11"/>
              </w:rPr>
              <w:t>《企业环境信息依法披露管理办法》</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第四条</w:t>
            </w:r>
            <w:r>
              <w:rPr>
                <w:rFonts w:eastAsia="仿宋_GB2312" w:cs="Calibri"/>
              </w:rPr>
              <w:t xml:space="preserve"> </w:t>
            </w:r>
            <w:r>
              <w:rPr>
                <w:rFonts w:hint="eastAsia" w:ascii="仿宋_GB2312" w:hAnsi="仿宋" w:eastAsia="仿宋_GB2312" w:cs="仿宋"/>
              </w:rPr>
              <w:t>企业是环境信息依法披露的责任主体。</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rPr>
              <w:t>企业应当建立健全环境信息依法披露管理制度，规范工作规程，明确工作职责，建立准确的环境信息管理台账，妥善保存相关原始记录，科学统计归集相关环境信息。</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rPr>
              <w:t>企业披露环境信息所使用的相关数据及表述应当符合环境监测、环境统计等方面的标准和技术规范要求，优先使用符合国家监测规范的污染物监测数据、排污许可证执行报告数据等。</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第五条</w:t>
            </w:r>
            <w:r>
              <w:rPr>
                <w:rFonts w:eastAsia="仿宋_GB2312" w:cs="Calibri"/>
              </w:rPr>
              <w:t xml:space="preserve"> </w:t>
            </w:r>
            <w:r>
              <w:rPr>
                <w:rFonts w:hint="eastAsia" w:ascii="仿宋_GB2312" w:hAnsi="仿宋" w:eastAsia="仿宋_GB2312" w:cs="仿宋"/>
              </w:rPr>
              <w:t>企业应当依法、及时、真实、准确、完整地披露环境信息，披露的环境信息应当简明清晰、通俗易懂，不得有虚假记载、误导性陈述或者重大遗漏。</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第二十八条</w:t>
            </w:r>
            <w:r>
              <w:rPr>
                <w:rFonts w:eastAsia="仿宋_GB2312" w:cs="Calibri"/>
              </w:rPr>
              <w:t xml:space="preserve"> </w:t>
            </w:r>
            <w:r>
              <w:rPr>
                <w:rFonts w:hint="eastAsia" w:ascii="仿宋_GB2312" w:hAnsi="仿宋" w:eastAsia="仿宋_GB2312" w:cs="仿宋"/>
              </w:rPr>
              <w:t>企业违反本办法规定，不披露环境信息，或者披露的环境信息不真实、不准确的，由设区的市级以上生态环境主管部门责令改正，通报批评，并可以处一万元以上十万元以下的罚款</w:t>
            </w:r>
            <w:r>
              <w:rPr>
                <w:rFonts w:hint="eastAsia" w:ascii="仿宋_GB2312" w:hAnsi="仿宋" w:eastAsia="仿宋_GB2312" w:cs="仿宋"/>
                <w:color w:val="000000"/>
                <w:shd w:val="clear" w:color="auto" w:fill="FFFFFF"/>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4123" w:type="dxa"/>
            <w:gridSpan w:val="3"/>
            <w:noWrap w:val="0"/>
            <w:vAlign w:val="center"/>
          </w:tcPr>
          <w:p>
            <w:pPr>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4966" w:type="dxa"/>
            <w:gridSpan w:val="2"/>
            <w:noWrap w:val="0"/>
            <w:vAlign w:val="center"/>
          </w:tcPr>
          <w:p>
            <w:pPr>
              <w:adjustRightInd w:val="0"/>
              <w:snapToGrid w:val="0"/>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17" w:type="dxa"/>
            <w:noWrap w:val="0"/>
            <w:vAlign w:val="center"/>
          </w:tcPr>
          <w:p>
            <w:pPr>
              <w:adjustRightInd w:val="0"/>
              <w:snapToGrid w:val="0"/>
              <w:ind w:left="510"/>
              <w:rPr>
                <w:rFonts w:hint="eastAsia" w:ascii="仿宋_GB2312" w:hAnsi="仿宋" w:eastAsia="仿宋_GB2312" w:cs="仿宋"/>
                <w:b/>
                <w:bCs/>
                <w:sz w:val="28"/>
                <w:szCs w:val="28"/>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adjustRightInd w:val="0"/>
              <w:snapToGrid w:val="0"/>
              <w:ind w:left="483"/>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803" w:type="dxa"/>
            <w:noWrap w:val="0"/>
            <w:vAlign w:val="center"/>
          </w:tcPr>
          <w:p>
            <w:pPr>
              <w:adjustRightInd w:val="0"/>
              <w:snapToGrid w:val="0"/>
              <w:ind w:left="118" w:right="113"/>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adjustRightInd w:val="0"/>
              <w:snapToGrid w:val="0"/>
              <w:ind w:left="118" w:right="113"/>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640" w:type="dxa"/>
            <w:noWrap w:val="0"/>
            <w:vAlign w:val="center"/>
          </w:tcPr>
          <w:p>
            <w:pPr>
              <w:adjustRightInd w:val="0"/>
              <w:snapToGrid w:val="0"/>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326" w:type="dxa"/>
            <w:noWrap w:val="0"/>
            <w:vAlign w:val="center"/>
          </w:tcPr>
          <w:p>
            <w:pPr>
              <w:adjustRightInd w:val="0"/>
              <w:snapToGrid w:val="0"/>
              <w:ind w:firstLine="229" w:firstLineChars="100"/>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417"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对环境影响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640" w:type="dxa"/>
            <w:noWrap w:val="0"/>
            <w:vAlign w:val="center"/>
          </w:tcPr>
          <w:p>
            <w:pPr>
              <w:adjustRightInd w:val="0"/>
              <w:snapToGrid w:val="0"/>
              <w:spacing w:line="300" w:lineRule="exact"/>
              <w:ind w:left="139" w:right="104" w:firstLine="14"/>
              <w:rPr>
                <w:rFonts w:hint="eastAsia" w:ascii="仿宋_GB2312" w:hAnsi="仿宋" w:eastAsia="仿宋_GB2312" w:cs="仿宋"/>
                <w:sz w:val="24"/>
              </w:rPr>
            </w:pPr>
            <w:r>
              <w:rPr>
                <w:rFonts w:hint="eastAsia" w:ascii="仿宋_GB2312" w:hAnsi="仿宋" w:eastAsia="仿宋_GB2312" w:cs="仿宋"/>
                <w:sz w:val="24"/>
              </w:rPr>
              <w:t>披露的环境信息不真实、不准确</w:t>
            </w:r>
          </w:p>
        </w:tc>
        <w:tc>
          <w:tcPr>
            <w:tcW w:w="1326" w:type="dxa"/>
            <w:noWrap w:val="0"/>
            <w:vAlign w:val="center"/>
          </w:tcPr>
          <w:p>
            <w:pPr>
              <w:adjustRightInd w:val="0"/>
              <w:snapToGrid w:val="0"/>
              <w:ind w:left="229"/>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17"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line="300" w:lineRule="exact"/>
              <w:ind w:left="114" w:right="104" w:firstLine="40"/>
              <w:rPr>
                <w:rFonts w:hint="eastAsia" w:ascii="仿宋_GB2312" w:hAnsi="仿宋" w:eastAsia="仿宋_GB2312" w:cs="仿宋"/>
                <w:sz w:val="24"/>
              </w:rPr>
            </w:pPr>
            <w:r>
              <w:rPr>
                <w:rFonts w:hint="eastAsia" w:ascii="仿宋_GB2312" w:hAnsi="仿宋" w:eastAsia="仿宋_GB2312" w:cs="仿宋"/>
                <w:sz w:val="24"/>
              </w:rPr>
              <w:t>不披露环境信息</w:t>
            </w:r>
          </w:p>
        </w:tc>
        <w:tc>
          <w:tcPr>
            <w:tcW w:w="1326" w:type="dxa"/>
            <w:noWrap w:val="0"/>
            <w:vAlign w:val="center"/>
          </w:tcPr>
          <w:p>
            <w:pPr>
              <w:adjustRightInd w:val="0"/>
              <w:snapToGrid w:val="0"/>
              <w:ind w:left="163"/>
              <w:rPr>
                <w:rFonts w:hint="eastAsia" w:ascii="仿宋_GB2312" w:hAnsi="仿宋" w:eastAsia="仿宋_GB2312" w:cs="仿宋"/>
                <w:sz w:val="24"/>
              </w:rPr>
            </w:pPr>
            <w:r>
              <w:rPr>
                <w:rFonts w:hint="eastAsia" w:ascii="仿宋_GB2312" w:hAnsi="仿宋" w:eastAsia="仿宋_GB2312" w:cs="仿宋"/>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7"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违法频次</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spacing w:line="300" w:lineRule="exact"/>
              <w:ind w:left="121"/>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326" w:type="dxa"/>
            <w:noWrap w:val="0"/>
            <w:vAlign w:val="center"/>
          </w:tcPr>
          <w:p>
            <w:pPr>
              <w:adjustRightInd w:val="0"/>
              <w:snapToGrid w:val="0"/>
              <w:ind w:left="466"/>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7"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line="300" w:lineRule="exact"/>
              <w:ind w:left="119"/>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326" w:type="dxa"/>
            <w:noWrap w:val="0"/>
            <w:vAlign w:val="center"/>
          </w:tcPr>
          <w:p>
            <w:pPr>
              <w:adjustRightInd w:val="0"/>
              <w:snapToGrid w:val="0"/>
              <w:ind w:left="409"/>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7"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line="300" w:lineRule="exact"/>
              <w:ind w:left="126"/>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326" w:type="dxa"/>
            <w:noWrap w:val="0"/>
            <w:vAlign w:val="center"/>
          </w:tcPr>
          <w:p>
            <w:pPr>
              <w:adjustRightInd w:val="0"/>
              <w:snapToGrid w:val="0"/>
              <w:ind w:left="409"/>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7"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line="300" w:lineRule="exact"/>
              <w:ind w:left="131"/>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326" w:type="dxa"/>
            <w:noWrap w:val="0"/>
            <w:vAlign w:val="center"/>
          </w:tcPr>
          <w:p>
            <w:pPr>
              <w:adjustRightInd w:val="0"/>
              <w:snapToGrid w:val="0"/>
              <w:ind w:left="403"/>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7"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整改情况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spacing w:line="300" w:lineRule="exact"/>
              <w:ind w:left="113"/>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326" w:type="dxa"/>
            <w:noWrap w:val="0"/>
            <w:vAlign w:val="center"/>
          </w:tcPr>
          <w:p>
            <w:pPr>
              <w:adjustRightInd w:val="0"/>
              <w:snapToGrid w:val="0"/>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417"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line="300" w:lineRule="exact"/>
              <w:ind w:left="121"/>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326" w:type="dxa"/>
            <w:noWrap w:val="0"/>
            <w:vAlign w:val="center"/>
          </w:tcPr>
          <w:p>
            <w:pPr>
              <w:adjustRightInd w:val="0"/>
              <w:snapToGrid w:val="0"/>
              <w:ind w:left="289"/>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7"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line="300" w:lineRule="exact"/>
              <w:ind w:left="125"/>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326" w:type="dxa"/>
            <w:noWrap w:val="0"/>
            <w:vAlign w:val="center"/>
          </w:tcPr>
          <w:p>
            <w:pPr>
              <w:adjustRightInd w:val="0"/>
              <w:snapToGrid w:val="0"/>
              <w:ind w:left="225"/>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417"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配合调查</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取证情况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ind w:left="118"/>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326" w:type="dxa"/>
            <w:noWrap w:val="0"/>
            <w:vAlign w:val="center"/>
          </w:tcPr>
          <w:p>
            <w:pPr>
              <w:adjustRightInd w:val="0"/>
              <w:snapToGrid w:val="0"/>
              <w:ind w:left="229"/>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1417"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24"/>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326" w:type="dxa"/>
            <w:noWrap w:val="0"/>
            <w:vAlign w:val="center"/>
          </w:tcPr>
          <w:p>
            <w:pPr>
              <w:adjustRightInd w:val="0"/>
              <w:snapToGrid w:val="0"/>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7"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对社会影响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或生态破坏</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ind w:firstLine="130" w:firstLineChars="50"/>
              <w:jc w:val="center"/>
              <w:rPr>
                <w:rFonts w:hint="eastAsia" w:ascii="仿宋_GB2312" w:hAnsi="仿宋" w:eastAsia="仿宋_GB2312" w:cs="仿宋"/>
                <w:spacing w:val="7"/>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w:t>
            </w:r>
          </w:p>
          <w:p>
            <w:pPr>
              <w:adjustRightInd w:val="0"/>
              <w:snapToGrid w:val="0"/>
              <w:ind w:firstLine="127" w:firstLineChars="50"/>
              <w:jc w:val="center"/>
              <w:rPr>
                <w:rFonts w:hint="eastAsia" w:ascii="仿宋_GB2312" w:hAnsi="仿宋" w:eastAsia="仿宋_GB2312" w:cs="仿宋"/>
                <w:sz w:val="24"/>
              </w:rPr>
            </w:pPr>
            <w:r>
              <w:rPr>
                <w:rFonts w:hint="eastAsia" w:ascii="仿宋_GB2312" w:hAnsi="仿宋" w:eastAsia="仿宋_GB2312" w:cs="仿宋"/>
                <w:spacing w:val="7"/>
                <w:sz w:val="24"/>
              </w:rPr>
              <w:t>破坏</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326" w:type="dxa"/>
            <w:noWrap w:val="0"/>
            <w:vAlign w:val="center"/>
          </w:tcPr>
          <w:p>
            <w:pPr>
              <w:adjustRightInd w:val="0"/>
              <w:snapToGrid w:val="0"/>
              <w:ind w:left="229"/>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17" w:type="dxa"/>
            <w:vMerge w:val="continue"/>
            <w:tcBorders>
              <w:top w:val="nil"/>
            </w:tcBorders>
            <w:noWrap w:val="0"/>
            <w:vAlign w:val="center"/>
          </w:tcPr>
          <w:p>
            <w:pPr>
              <w:adjustRightInd w:val="0"/>
              <w:snapToGrid w:val="0"/>
              <w:rPr>
                <w:rFonts w:hint="eastAsia" w:ascii="仿宋_GB2312" w:eastAsia="仿宋_GB2312"/>
                <w:sz w:val="24"/>
              </w:rPr>
            </w:pPr>
          </w:p>
        </w:tc>
        <w:tc>
          <w:tcPr>
            <w:tcW w:w="1903" w:type="dxa"/>
            <w:vMerge w:val="continue"/>
            <w:tcBorders>
              <w:top w:val="nil"/>
            </w:tcBorders>
            <w:noWrap w:val="0"/>
            <w:vAlign w:val="center"/>
          </w:tcPr>
          <w:p>
            <w:pPr>
              <w:adjustRightInd w:val="0"/>
              <w:snapToGrid w:val="0"/>
              <w:rPr>
                <w:rFonts w:hint="eastAsia" w:ascii="仿宋_GB2312" w:eastAsia="仿宋_GB2312"/>
                <w:sz w:val="24"/>
              </w:rPr>
            </w:pPr>
          </w:p>
        </w:tc>
        <w:tc>
          <w:tcPr>
            <w:tcW w:w="803" w:type="dxa"/>
            <w:vMerge w:val="continue"/>
            <w:tcBorders>
              <w:top w:val="nil"/>
            </w:tcBorders>
            <w:noWrap w:val="0"/>
            <w:vAlign w:val="center"/>
          </w:tcPr>
          <w:p>
            <w:pPr>
              <w:adjustRightInd w:val="0"/>
              <w:snapToGrid w:val="0"/>
              <w:rPr>
                <w:rFonts w:hint="eastAsia" w:ascii="仿宋_GB2312" w:eastAsia="仿宋_GB2312"/>
                <w:sz w:val="24"/>
              </w:rPr>
            </w:pPr>
          </w:p>
        </w:tc>
        <w:tc>
          <w:tcPr>
            <w:tcW w:w="3640" w:type="dxa"/>
            <w:noWrap w:val="0"/>
            <w:vAlign w:val="center"/>
          </w:tcPr>
          <w:p>
            <w:pPr>
              <w:adjustRightInd w:val="0"/>
              <w:snapToGrid w:val="0"/>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326" w:type="dxa"/>
            <w:noWrap w:val="0"/>
            <w:vAlign w:val="center"/>
          </w:tcPr>
          <w:p>
            <w:pPr>
              <w:adjustRightInd w:val="0"/>
              <w:snapToGrid w:val="0"/>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rPr>
          <w:rFonts w:ascii="宋体" w:hAnsi="宋体" w:cs="宋体"/>
          <w:sz w:val="10"/>
          <w:szCs w:val="10"/>
        </w:rPr>
      </w:pPr>
      <w:r>
        <w:rPr>
          <w:rFonts w:ascii="宋体" w:hAnsi="宋体" w:cs="宋体"/>
          <w:sz w:val="28"/>
          <w:szCs w:val="28"/>
        </w:rPr>
        <w:br w:type="page"/>
      </w:r>
    </w:p>
    <w:tbl>
      <w:tblPr>
        <w:tblStyle w:val="9"/>
        <w:tblW w:w="91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903"/>
        <w:gridCol w:w="803"/>
        <w:gridCol w:w="3640"/>
        <w:gridCol w:w="1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96" w:type="dxa"/>
            <w:gridSpan w:val="5"/>
            <w:noWrap w:val="0"/>
            <w:vAlign w:val="center"/>
          </w:tcPr>
          <w:p>
            <w:pPr>
              <w:widowControl/>
              <w:adjustRightInd w:val="0"/>
              <w:snapToGrid w:val="0"/>
              <w:ind w:left="147"/>
              <w:jc w:val="center"/>
              <w:rPr>
                <w:rFonts w:ascii="微软雅黑" w:hAnsi="微软雅黑" w:eastAsia="微软雅黑"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74" w:type="dxa"/>
            <w:noWrap w:val="0"/>
            <w:vAlign w:val="center"/>
          </w:tcPr>
          <w:p>
            <w:pPr>
              <w:adjustRightInd w:val="0"/>
              <w:snapToGrid w:val="0"/>
              <w:ind w:left="461"/>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722" w:type="dxa"/>
            <w:gridSpan w:val="4"/>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474"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722" w:type="dxa"/>
            <w:gridSpan w:val="4"/>
            <w:noWrap w:val="0"/>
            <w:vAlign w:val="center"/>
          </w:tcPr>
          <w:p>
            <w:pPr>
              <w:adjustRightInd w:val="0"/>
              <w:snapToGrid w:val="0"/>
              <w:ind w:right="105"/>
              <w:rPr>
                <w:rFonts w:hint="eastAsia" w:ascii="仿宋_GB2312" w:hAnsi="仿宋" w:eastAsia="仿宋_GB2312" w:cs="仿宋"/>
                <w:sz w:val="24"/>
              </w:rPr>
            </w:pPr>
            <w:r>
              <w:rPr>
                <w:rFonts w:hint="eastAsia" w:ascii="仿宋_GB2312" w:hAnsi="仿宋" w:eastAsia="仿宋_GB2312" w:cs="仿宋"/>
                <w:spacing w:val="-4"/>
                <w:sz w:val="24"/>
              </w:rPr>
              <w:t>披露环境信息不符合准则要求的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jc w:val="center"/>
        </w:trPr>
        <w:tc>
          <w:tcPr>
            <w:tcW w:w="1474" w:type="dxa"/>
            <w:noWrap w:val="0"/>
            <w:vAlign w:val="center"/>
          </w:tcPr>
          <w:p>
            <w:pPr>
              <w:spacing w:before="91" w:line="219" w:lineRule="auto"/>
              <w:ind w:left="194"/>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722" w:type="dxa"/>
            <w:gridSpan w:val="4"/>
            <w:noWrap w:val="0"/>
            <w:vAlign w:val="top"/>
          </w:tcPr>
          <w:p>
            <w:pPr>
              <w:pStyle w:val="8"/>
              <w:shd w:val="clear" w:color="auto" w:fill="FFFFFF"/>
              <w:adjustRightInd w:val="0"/>
              <w:snapToGrid w:val="0"/>
              <w:rPr>
                <w:rFonts w:hint="eastAsia" w:ascii="仿宋_GB2312" w:hAnsi="仿宋" w:eastAsia="仿宋_GB2312" w:cs="仿宋"/>
                <w:b/>
                <w:bCs/>
              </w:rPr>
            </w:pPr>
            <w:r>
              <w:rPr>
                <w:rFonts w:hint="eastAsia" w:ascii="仿宋_GB2312" w:hAnsi="仿宋" w:eastAsia="仿宋_GB2312" w:cs="仿宋"/>
              </w:rPr>
              <w:t>1</w:t>
            </w:r>
            <w:r>
              <w:rPr>
                <w:rFonts w:ascii="仿宋_GB2312" w:hAnsi="仿宋" w:eastAsia="仿宋_GB2312" w:cs="仿宋"/>
              </w:rPr>
              <w:t>.</w:t>
            </w:r>
            <w:r>
              <w:rPr>
                <w:rFonts w:hint="eastAsia" w:ascii="仿宋_GB2312" w:hAnsi="仿宋" w:eastAsia="仿宋_GB2312" w:cs="仿宋"/>
                <w:b/>
                <w:bCs/>
              </w:rPr>
              <w:t>《企业环境信息依法披露管理办法》</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第十一条</w:t>
            </w:r>
            <w:r>
              <w:rPr>
                <w:rFonts w:eastAsia="仿宋_GB2312" w:cs="Calibri"/>
              </w:rPr>
              <w:t xml:space="preserve"> </w:t>
            </w:r>
            <w:r>
              <w:rPr>
                <w:rFonts w:hint="eastAsia" w:ascii="仿宋_GB2312" w:hAnsi="仿宋" w:eastAsia="仿宋_GB2312" w:cs="仿宋"/>
              </w:rPr>
              <w:t>生态环境部负责制定企业环境信息依法披露格式准则（以下简称准则），并根据生态环境管理需要适时进行调整。</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rPr>
              <w:t>企业应当按照准则编制年度环境信息依法披露报告和临时环境信息依法披露报告，并上传至企业环境信息依法披露系统。</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第二十九条</w:t>
            </w:r>
            <w:r>
              <w:rPr>
                <w:rFonts w:eastAsia="仿宋_GB2312" w:cs="Calibri"/>
              </w:rPr>
              <w:t xml:space="preserve"> </w:t>
            </w:r>
            <w:r>
              <w:rPr>
                <w:rFonts w:hint="eastAsia" w:ascii="仿宋_GB2312" w:hAnsi="仿宋" w:eastAsia="仿宋_GB2312" w:cs="仿宋"/>
              </w:rPr>
              <w:t>企业违反本办法规定，有下列行为之一的，由设区的市级以上生态环境主管部门责令改正，通报批评，并可以处五万元以下的罚款：</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rPr>
              <w:t>（一）披露环境信息不符合准则要求的;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4180" w:type="dxa"/>
            <w:gridSpan w:val="3"/>
            <w:noWrap w:val="0"/>
            <w:vAlign w:val="center"/>
          </w:tcPr>
          <w:p>
            <w:pPr>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5016" w:type="dxa"/>
            <w:gridSpan w:val="2"/>
            <w:noWrap w:val="0"/>
            <w:vAlign w:val="center"/>
          </w:tcPr>
          <w:p>
            <w:pPr>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74" w:type="dxa"/>
            <w:noWrap w:val="0"/>
            <w:vAlign w:val="center"/>
          </w:tcPr>
          <w:p>
            <w:pPr>
              <w:spacing w:before="218" w:line="228" w:lineRule="auto"/>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spacing w:line="225" w:lineRule="auto"/>
              <w:jc w:val="center"/>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803" w:type="dxa"/>
            <w:noWrap w:val="0"/>
            <w:vAlign w:val="center"/>
          </w:tcPr>
          <w:p>
            <w:pPr>
              <w:spacing w:line="238" w:lineRule="auto"/>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spacing w:line="238" w:lineRule="auto"/>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640" w:type="dxa"/>
            <w:noWrap w:val="0"/>
            <w:vAlign w:val="center"/>
          </w:tcPr>
          <w:p>
            <w:pPr>
              <w:spacing w:before="218" w:line="226" w:lineRule="auto"/>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376" w:type="dxa"/>
            <w:noWrap w:val="0"/>
            <w:vAlign w:val="center"/>
          </w:tcPr>
          <w:p>
            <w:pPr>
              <w:spacing w:before="218" w:line="223" w:lineRule="auto"/>
              <w:ind w:left="224"/>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474" w:type="dxa"/>
            <w:vMerge w:val="restart"/>
            <w:tcBorders>
              <w:bottom w:val="nil"/>
            </w:tcBorders>
            <w:noWrap w:val="0"/>
            <w:vAlign w:val="center"/>
          </w:tcPr>
          <w:p>
            <w:pPr>
              <w:adjustRightInd w:val="0"/>
              <w:snapToGrid w:val="0"/>
              <w:jc w:val="center"/>
              <w:rPr>
                <w:rFonts w:ascii="仿宋_GB2312" w:hAnsi="仿宋" w:eastAsia="仿宋_GB2312"/>
                <w:b/>
                <w:bCs/>
                <w:sz w:val="24"/>
              </w:rPr>
            </w:pPr>
            <w:r>
              <w:rPr>
                <w:rFonts w:hint="eastAsia" w:ascii="仿宋_GB2312" w:hAnsi="仿宋" w:eastAsia="仿宋_GB2312"/>
                <w:b/>
                <w:bCs/>
                <w:sz w:val="24"/>
              </w:rPr>
              <w:t>对环境影响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640" w:type="dxa"/>
            <w:noWrap w:val="0"/>
            <w:vAlign w:val="center"/>
          </w:tcPr>
          <w:p>
            <w:pPr>
              <w:adjustRightInd w:val="0"/>
              <w:snapToGrid w:val="0"/>
              <w:spacing w:before="139"/>
              <w:ind w:right="104"/>
              <w:rPr>
                <w:rFonts w:hint="eastAsia" w:ascii="仿宋_GB2312" w:hAnsi="仿宋" w:eastAsia="仿宋_GB2312" w:cs="仿宋"/>
                <w:sz w:val="24"/>
                <w:lang w:eastAsia="zh-Hans"/>
              </w:rPr>
            </w:pPr>
            <w:r>
              <w:rPr>
                <w:rFonts w:hint="eastAsia" w:ascii="仿宋_GB2312" w:hAnsi="仿宋" w:eastAsia="仿宋_GB2312" w:cs="仿宋"/>
                <w:sz w:val="24"/>
                <w:lang w:eastAsia="zh-Hans"/>
              </w:rPr>
              <w:t>披露环境信息</w:t>
            </w:r>
            <w:r>
              <w:rPr>
                <w:rFonts w:hint="eastAsia" w:ascii="仿宋_GB2312" w:hAnsi="仿宋" w:eastAsia="仿宋_GB2312" w:cs="仿宋"/>
                <w:sz w:val="24"/>
              </w:rPr>
              <w:t>数据缺失、失准占比不足20%</w:t>
            </w:r>
          </w:p>
        </w:tc>
        <w:tc>
          <w:tcPr>
            <w:tcW w:w="1376" w:type="dxa"/>
            <w:noWrap w:val="0"/>
            <w:vAlign w:val="center"/>
          </w:tcPr>
          <w:p>
            <w:pPr>
              <w:adjustRightInd w:val="0"/>
              <w:snapToGrid w:val="0"/>
              <w:spacing w:before="295"/>
              <w:ind w:left="229"/>
              <w:jc w:val="center"/>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474"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56"/>
              <w:ind w:right="104"/>
              <w:rPr>
                <w:rFonts w:ascii="仿宋_GB2312" w:hAnsi="仿宋" w:eastAsia="仿宋_GB2312" w:cs="仿宋"/>
                <w:sz w:val="24"/>
              </w:rPr>
            </w:pPr>
            <w:r>
              <w:rPr>
                <w:rFonts w:hint="eastAsia" w:ascii="仿宋_GB2312" w:hAnsi="仿宋" w:eastAsia="仿宋_GB2312" w:cs="仿宋"/>
                <w:sz w:val="24"/>
                <w:lang w:eastAsia="zh-Hans"/>
              </w:rPr>
              <w:t>披露环境信息</w:t>
            </w:r>
            <w:r>
              <w:rPr>
                <w:rFonts w:hint="eastAsia" w:ascii="仿宋_GB2312" w:hAnsi="仿宋" w:eastAsia="仿宋_GB2312" w:cs="仿宋"/>
                <w:sz w:val="24"/>
              </w:rPr>
              <w:t>数据缺失、失准占比20%以上的</w:t>
            </w:r>
          </w:p>
        </w:tc>
        <w:tc>
          <w:tcPr>
            <w:tcW w:w="1376" w:type="dxa"/>
            <w:noWrap w:val="0"/>
            <w:vAlign w:val="center"/>
          </w:tcPr>
          <w:p>
            <w:pPr>
              <w:adjustRightInd w:val="0"/>
              <w:snapToGrid w:val="0"/>
              <w:spacing w:before="312"/>
              <w:ind w:left="163"/>
              <w:jc w:val="center"/>
              <w:rPr>
                <w:rFonts w:hint="eastAsia" w:ascii="仿宋_GB2312" w:hAnsi="仿宋" w:eastAsia="仿宋_GB2312" w:cs="仿宋"/>
                <w:sz w:val="24"/>
              </w:rPr>
            </w:pPr>
            <w:r>
              <w:rPr>
                <w:rFonts w:hint="eastAsia" w:ascii="仿宋_GB2312" w:hAnsi="仿宋" w:eastAsia="仿宋_GB2312" w:cs="仿宋"/>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违法频次</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spacing w:before="106"/>
              <w:ind w:left="121"/>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376" w:type="dxa"/>
            <w:noWrap w:val="0"/>
            <w:vAlign w:val="center"/>
          </w:tcPr>
          <w:p>
            <w:pPr>
              <w:adjustRightInd w:val="0"/>
              <w:snapToGrid w:val="0"/>
              <w:spacing w:before="106"/>
              <w:ind w:left="466"/>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6"/>
              <w:ind w:left="119"/>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376" w:type="dxa"/>
            <w:noWrap w:val="0"/>
            <w:vAlign w:val="center"/>
          </w:tcPr>
          <w:p>
            <w:pPr>
              <w:adjustRightInd w:val="0"/>
              <w:snapToGrid w:val="0"/>
              <w:spacing w:before="106"/>
              <w:ind w:left="409"/>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6"/>
              <w:ind w:left="126"/>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376" w:type="dxa"/>
            <w:noWrap w:val="0"/>
            <w:vAlign w:val="center"/>
          </w:tcPr>
          <w:p>
            <w:pPr>
              <w:adjustRightInd w:val="0"/>
              <w:snapToGrid w:val="0"/>
              <w:spacing w:before="106"/>
              <w:ind w:left="409"/>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5"/>
              <w:ind w:left="131"/>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376" w:type="dxa"/>
            <w:noWrap w:val="0"/>
            <w:vAlign w:val="center"/>
          </w:tcPr>
          <w:p>
            <w:pPr>
              <w:adjustRightInd w:val="0"/>
              <w:snapToGrid w:val="0"/>
              <w:spacing w:before="106"/>
              <w:ind w:left="403"/>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整改情况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spacing w:before="132"/>
              <w:ind w:left="113"/>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376" w:type="dxa"/>
            <w:noWrap w:val="0"/>
            <w:vAlign w:val="center"/>
          </w:tcPr>
          <w:p>
            <w:pPr>
              <w:adjustRightInd w:val="0"/>
              <w:snapToGrid w:val="0"/>
              <w:spacing w:before="132"/>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3"/>
              <w:ind w:left="121"/>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376" w:type="dxa"/>
            <w:noWrap w:val="0"/>
            <w:vAlign w:val="center"/>
          </w:tcPr>
          <w:p>
            <w:pPr>
              <w:adjustRightInd w:val="0"/>
              <w:snapToGrid w:val="0"/>
              <w:spacing w:before="133"/>
              <w:ind w:left="289"/>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2"/>
              <w:ind w:left="125"/>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376" w:type="dxa"/>
            <w:noWrap w:val="0"/>
            <w:vAlign w:val="center"/>
          </w:tcPr>
          <w:p>
            <w:pPr>
              <w:adjustRightInd w:val="0"/>
              <w:snapToGrid w:val="0"/>
              <w:spacing w:before="131"/>
              <w:ind w:left="225"/>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配合调查</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取证情况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spacing w:before="132"/>
              <w:ind w:left="118"/>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376" w:type="dxa"/>
            <w:noWrap w:val="0"/>
            <w:vAlign w:val="center"/>
          </w:tcPr>
          <w:p>
            <w:pPr>
              <w:adjustRightInd w:val="0"/>
              <w:snapToGrid w:val="0"/>
              <w:spacing w:before="132"/>
              <w:ind w:left="229"/>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tcBorders>
            <w:noWrap w:val="0"/>
            <w:vAlign w:val="center"/>
          </w:tcPr>
          <w:p>
            <w:pPr>
              <w:adjustRightInd w:val="0"/>
              <w:snapToGrid w:val="0"/>
              <w:jc w:val="center"/>
              <w:rPr>
                <w:rFonts w:hint="eastAsia" w:ascii="仿宋_GB2312" w:hAnsi="仿宋" w:eastAsia="仿宋_GB2312"/>
                <w:b/>
                <w:bCs/>
                <w:sz w:val="28"/>
                <w:szCs w:val="28"/>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1"/>
              <w:ind w:left="124"/>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376" w:type="dxa"/>
            <w:noWrap w:val="0"/>
            <w:vAlign w:val="center"/>
          </w:tcPr>
          <w:p>
            <w:pPr>
              <w:adjustRightInd w:val="0"/>
              <w:snapToGrid w:val="0"/>
              <w:spacing w:before="131"/>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对社会影响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或生态破坏</w:t>
            </w:r>
          </w:p>
          <w:p>
            <w:pPr>
              <w:adjustRightInd w:val="0"/>
              <w:snapToGrid w:val="0"/>
              <w:jc w:val="center"/>
              <w:rPr>
                <w:rFonts w:hint="eastAsia" w:ascii="仿宋_GB2312" w:hAnsi="仿宋" w:eastAsia="仿宋_GB2312"/>
                <w:b/>
                <w:bCs/>
                <w:sz w:val="28"/>
                <w:szCs w:val="28"/>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spacing w:before="132"/>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376" w:type="dxa"/>
            <w:noWrap w:val="0"/>
            <w:vAlign w:val="center"/>
          </w:tcPr>
          <w:p>
            <w:pPr>
              <w:adjustRightInd w:val="0"/>
              <w:snapToGrid w:val="0"/>
              <w:spacing w:before="132"/>
              <w:ind w:left="229"/>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74"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3"/>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376" w:type="dxa"/>
            <w:noWrap w:val="0"/>
            <w:vAlign w:val="center"/>
          </w:tcPr>
          <w:p>
            <w:pPr>
              <w:adjustRightInd w:val="0"/>
              <w:snapToGrid w:val="0"/>
              <w:spacing w:before="133"/>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rPr>
          <w:rFonts w:ascii="宋体" w:hAnsi="宋体" w:cs="宋体"/>
          <w:sz w:val="28"/>
          <w:szCs w:val="28"/>
        </w:rPr>
      </w:pPr>
    </w:p>
    <w:p>
      <w:pPr>
        <w:rPr>
          <w:rFonts w:ascii="宋体" w:hAnsi="宋体" w:cs="宋体"/>
          <w:sz w:val="28"/>
          <w:szCs w:val="28"/>
        </w:rPr>
      </w:pPr>
    </w:p>
    <w:tbl>
      <w:tblPr>
        <w:tblStyle w:val="9"/>
        <w:tblW w:w="91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1903"/>
        <w:gridCol w:w="803"/>
        <w:gridCol w:w="3640"/>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23" w:type="dxa"/>
            <w:gridSpan w:val="5"/>
            <w:noWrap w:val="0"/>
            <w:vAlign w:val="center"/>
          </w:tcPr>
          <w:p>
            <w:pPr>
              <w:jc w:val="center"/>
              <w:rPr>
                <w:rFonts w:ascii="微软雅黑" w:hAnsi="微软雅黑" w:eastAsia="微软雅黑"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04" w:type="dxa"/>
            <w:noWrap w:val="0"/>
            <w:vAlign w:val="center"/>
          </w:tcPr>
          <w:p>
            <w:pPr>
              <w:adjustRightInd w:val="0"/>
              <w:snapToGrid w:val="0"/>
              <w:ind w:left="461"/>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719" w:type="dxa"/>
            <w:gridSpan w:val="4"/>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404"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719" w:type="dxa"/>
            <w:gridSpan w:val="4"/>
            <w:noWrap w:val="0"/>
            <w:vAlign w:val="center"/>
          </w:tcPr>
          <w:p>
            <w:pPr>
              <w:adjustRightInd w:val="0"/>
              <w:snapToGrid w:val="0"/>
              <w:ind w:right="105"/>
              <w:rPr>
                <w:rFonts w:hint="eastAsia" w:ascii="仿宋_GB2312" w:hAnsi="仿宋" w:eastAsia="仿宋_GB2312" w:cs="仿宋"/>
                <w:sz w:val="24"/>
              </w:rPr>
            </w:pPr>
            <w:r>
              <w:rPr>
                <w:rFonts w:hint="eastAsia" w:ascii="仿宋_GB2312" w:hAnsi="仿宋" w:eastAsia="仿宋_GB2312" w:cs="仿宋"/>
                <w:spacing w:val="-4"/>
                <w:sz w:val="24"/>
              </w:rPr>
              <w:t>披露环境信息超过规定时限的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2" w:hRule="atLeast"/>
          <w:jc w:val="center"/>
        </w:trPr>
        <w:tc>
          <w:tcPr>
            <w:tcW w:w="1404" w:type="dxa"/>
            <w:noWrap w:val="0"/>
            <w:vAlign w:val="center"/>
          </w:tcPr>
          <w:p>
            <w:pPr>
              <w:adjustRightInd w:val="0"/>
              <w:snapToGrid w:val="0"/>
              <w:spacing w:before="91"/>
              <w:jc w:val="center"/>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719" w:type="dxa"/>
            <w:gridSpan w:val="4"/>
            <w:noWrap w:val="0"/>
            <w:vAlign w:val="top"/>
          </w:tcPr>
          <w:p>
            <w:pPr>
              <w:pStyle w:val="8"/>
              <w:shd w:val="clear" w:color="auto" w:fill="FFFFFF"/>
              <w:adjustRightInd w:val="0"/>
              <w:snapToGrid w:val="0"/>
              <w:rPr>
                <w:rFonts w:hint="eastAsia" w:ascii="仿宋_GB2312" w:hAnsi="仿宋" w:eastAsia="仿宋_GB2312" w:cs="仿宋"/>
                <w:b/>
                <w:bCs/>
              </w:rPr>
            </w:pPr>
            <w:r>
              <w:rPr>
                <w:rFonts w:hint="eastAsia" w:ascii="仿宋_GB2312" w:hAnsi="仿宋" w:eastAsia="仿宋_GB2312" w:cs="仿宋"/>
              </w:rPr>
              <w:t>1</w:t>
            </w:r>
            <w:r>
              <w:rPr>
                <w:rFonts w:ascii="仿宋_GB2312" w:hAnsi="仿宋" w:eastAsia="仿宋_GB2312" w:cs="仿宋"/>
              </w:rPr>
              <w:t>.</w:t>
            </w:r>
            <w:r>
              <w:rPr>
                <w:rFonts w:hint="eastAsia" w:ascii="仿宋_GB2312" w:hAnsi="仿宋" w:eastAsia="仿宋_GB2312" w:cs="仿宋"/>
                <w:b/>
                <w:bCs/>
              </w:rPr>
              <w:t>《企业环境信息依法披露管理办法》</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第十七条</w:t>
            </w:r>
            <w:r>
              <w:rPr>
                <w:rFonts w:eastAsia="仿宋_GB2312" w:cs="Calibri"/>
              </w:rPr>
              <w:t xml:space="preserve"> </w:t>
            </w:r>
            <w:r>
              <w:rPr>
                <w:rFonts w:hint="eastAsia" w:ascii="仿宋_GB2312" w:hAnsi="仿宋" w:eastAsia="仿宋_GB2312" w:cs="仿宋"/>
              </w:rPr>
              <w:t>企业应当自收到相关法律文书之日起五个工作日内，以临时环境信息依法披露报告的形式，披露以下环境信息：</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第十九条</w:t>
            </w:r>
            <w:r>
              <w:rPr>
                <w:rFonts w:eastAsia="仿宋_GB2312" w:cs="Calibri"/>
              </w:rPr>
              <w:t xml:space="preserve"> </w:t>
            </w:r>
            <w:r>
              <w:rPr>
                <w:rFonts w:hint="eastAsia" w:ascii="仿宋_GB2312" w:hAnsi="仿宋" w:eastAsia="仿宋_GB2312" w:cs="仿宋"/>
              </w:rPr>
              <w:t>企业应当于每年3月15日前披露上一年度1月1日至12月31日的环境信息。</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第二十条</w:t>
            </w:r>
            <w:r>
              <w:rPr>
                <w:rFonts w:eastAsia="仿宋_GB2312" w:cs="Calibri"/>
              </w:rPr>
              <w:t xml:space="preserve"> </w:t>
            </w:r>
            <w:r>
              <w:rPr>
                <w:rFonts w:hint="eastAsia" w:ascii="仿宋_GB2312" w:hAnsi="仿宋" w:eastAsia="仿宋_GB2312" w:cs="仿宋"/>
              </w:rPr>
              <w:t>企业在企业名单公布前存在本办法第十七条规定的环境信息的，应当于企业名单公布后十个工作日内以临时环境信息依法披露报告的形式披露本年度企业名单公布前的相关信息。</w:t>
            </w:r>
          </w:p>
          <w:p>
            <w:pPr>
              <w:pStyle w:val="8"/>
              <w:shd w:val="clear" w:color="auto" w:fill="FFFFFF"/>
              <w:adjustRightInd w:val="0"/>
              <w:snapToGrid w:val="0"/>
              <w:rPr>
                <w:rFonts w:hint="eastAsia" w:ascii="仿宋_GB2312" w:hAnsi="仿宋" w:eastAsia="仿宋_GB2312" w:cs="仿宋"/>
              </w:rPr>
            </w:pPr>
            <w:r>
              <w:rPr>
                <w:rFonts w:hint="eastAsia" w:ascii="仿宋_GB2312" w:hAnsi="仿宋" w:eastAsia="仿宋_GB2312" w:cs="仿宋"/>
                <w:b/>
                <w:bCs/>
              </w:rPr>
              <w:t>第二十九条</w:t>
            </w:r>
            <w:r>
              <w:rPr>
                <w:rFonts w:eastAsia="仿宋_GB2312" w:cs="Calibri"/>
              </w:rPr>
              <w:t xml:space="preserve"> </w:t>
            </w:r>
            <w:r>
              <w:rPr>
                <w:rFonts w:hint="eastAsia" w:ascii="仿宋_GB2312" w:hAnsi="仿宋" w:eastAsia="仿宋_GB2312" w:cs="仿宋"/>
              </w:rPr>
              <w:t>企业违反本办法规定，有下列行为之一的，由设区的市级以上生态环境主管部门责令改正，通报批评，并可以处五万元以下的罚款：</w:t>
            </w:r>
          </w:p>
          <w:p>
            <w:pPr>
              <w:pStyle w:val="8"/>
              <w:shd w:val="clear" w:color="auto" w:fill="FFFFFF"/>
              <w:adjustRightInd w:val="0"/>
              <w:snapToGrid w:val="0"/>
              <w:rPr>
                <w:rFonts w:hint="eastAsia" w:ascii="仿宋_GB2312" w:hAnsi="仿宋" w:eastAsia="仿宋_GB2312" w:cs="仿宋"/>
                <w:color w:val="000000"/>
                <w:shd w:val="clear" w:color="auto" w:fill="FFFFFF"/>
              </w:rPr>
            </w:pPr>
            <w:r>
              <w:rPr>
                <w:rFonts w:hint="eastAsia" w:ascii="仿宋_GB2312" w:hAnsi="仿宋" w:eastAsia="仿宋_GB2312" w:cs="仿宋"/>
              </w:rPr>
              <w:t>（二）披露环境信息超过规定时限的；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4110" w:type="dxa"/>
            <w:gridSpan w:val="3"/>
            <w:noWrap w:val="0"/>
            <w:vAlign w:val="center"/>
          </w:tcPr>
          <w:p>
            <w:pPr>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5013" w:type="dxa"/>
            <w:gridSpan w:val="2"/>
            <w:noWrap w:val="0"/>
            <w:vAlign w:val="center"/>
          </w:tcPr>
          <w:p>
            <w:pPr>
              <w:adjustRightInd w:val="0"/>
              <w:snapToGrid w:val="0"/>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04" w:type="dxa"/>
            <w:noWrap w:val="0"/>
            <w:vAlign w:val="center"/>
          </w:tcPr>
          <w:p>
            <w:pPr>
              <w:adjustRightInd w:val="0"/>
              <w:snapToGrid w:val="0"/>
              <w:ind w:firstLine="490" w:firstLineChars="20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adjustRightInd w:val="0"/>
              <w:snapToGrid w:val="0"/>
              <w:ind w:firstLine="235" w:firstLineChars="100"/>
              <w:jc w:val="center"/>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803" w:type="dxa"/>
            <w:noWrap w:val="0"/>
            <w:vAlign w:val="center"/>
          </w:tcPr>
          <w:p>
            <w:pPr>
              <w:adjustRightInd w:val="0"/>
              <w:snapToGrid w:val="0"/>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adjustRightInd w:val="0"/>
              <w:snapToGrid w:val="0"/>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640" w:type="dxa"/>
            <w:noWrap w:val="0"/>
            <w:vAlign w:val="center"/>
          </w:tcPr>
          <w:p>
            <w:pPr>
              <w:adjustRightInd w:val="0"/>
              <w:snapToGrid w:val="0"/>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373" w:type="dxa"/>
            <w:noWrap w:val="0"/>
            <w:vAlign w:val="center"/>
          </w:tcPr>
          <w:p>
            <w:pPr>
              <w:adjustRightInd w:val="0"/>
              <w:snapToGrid w:val="0"/>
              <w:ind w:left="224"/>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40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对环境影响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640" w:type="dxa"/>
            <w:noWrap w:val="0"/>
            <w:vAlign w:val="center"/>
          </w:tcPr>
          <w:p>
            <w:pPr>
              <w:adjustRightInd w:val="0"/>
              <w:snapToGrid w:val="0"/>
              <w:ind w:left="139" w:right="104" w:firstLine="14"/>
              <w:rPr>
                <w:rFonts w:hint="eastAsia" w:ascii="仿宋_GB2312" w:hAnsi="仿宋" w:eastAsia="仿宋_GB2312" w:cs="仿宋"/>
                <w:sz w:val="24"/>
              </w:rPr>
            </w:pPr>
            <w:r>
              <w:rPr>
                <w:rFonts w:hint="eastAsia" w:ascii="仿宋_GB2312" w:hAnsi="仿宋" w:eastAsia="仿宋_GB2312" w:cs="仿宋"/>
                <w:sz w:val="24"/>
              </w:rPr>
              <w:t>披露环境信息超过规定时限不足15日的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1404"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14" w:right="104" w:firstLine="40"/>
              <w:rPr>
                <w:rFonts w:hint="eastAsia" w:ascii="仿宋_GB2312" w:hAnsi="仿宋" w:eastAsia="仿宋_GB2312" w:cs="仿宋"/>
                <w:sz w:val="24"/>
              </w:rPr>
            </w:pPr>
            <w:r>
              <w:rPr>
                <w:rFonts w:hint="eastAsia" w:ascii="仿宋_GB2312" w:hAnsi="仿宋" w:eastAsia="仿宋_GB2312" w:cs="仿宋"/>
                <w:sz w:val="24"/>
              </w:rPr>
              <w:t>披露环境信息超过规定时限15日以上的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0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违法频次</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ind w:left="121"/>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04"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19"/>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04"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26"/>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04"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31"/>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0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整改情况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ind w:left="113"/>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04"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21"/>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04"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25"/>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0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配合调查</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取证情况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ind w:left="118"/>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04"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ind w:left="124"/>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04"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对社会影响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或生态破坏</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pacing w:val="7"/>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w:t>
            </w:r>
          </w:p>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7"/>
                <w:sz w:val="24"/>
              </w:rPr>
              <w:t>破坏</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04" w:type="dxa"/>
            <w:vMerge w:val="continue"/>
            <w:tcBorders>
              <w:top w:val="nil"/>
            </w:tcBorders>
            <w:noWrap w:val="0"/>
            <w:vAlign w:val="center"/>
          </w:tcPr>
          <w:p>
            <w:pPr>
              <w:adjustRightInd w:val="0"/>
              <w:snapToGrid w:val="0"/>
              <w:rPr>
                <w:rFonts w:hint="eastAsia" w:ascii="仿宋_GB2312" w:eastAsia="仿宋_GB2312"/>
                <w:sz w:val="24"/>
              </w:rPr>
            </w:pPr>
          </w:p>
        </w:tc>
        <w:tc>
          <w:tcPr>
            <w:tcW w:w="1903" w:type="dxa"/>
            <w:vMerge w:val="continue"/>
            <w:tcBorders>
              <w:top w:val="nil"/>
            </w:tcBorders>
            <w:noWrap w:val="0"/>
            <w:vAlign w:val="center"/>
          </w:tcPr>
          <w:p>
            <w:pPr>
              <w:adjustRightInd w:val="0"/>
              <w:snapToGrid w:val="0"/>
              <w:rPr>
                <w:rFonts w:hint="eastAsia" w:ascii="仿宋_GB2312" w:eastAsia="仿宋_GB2312"/>
                <w:sz w:val="24"/>
              </w:rPr>
            </w:pPr>
          </w:p>
        </w:tc>
        <w:tc>
          <w:tcPr>
            <w:tcW w:w="803" w:type="dxa"/>
            <w:vMerge w:val="continue"/>
            <w:tcBorders>
              <w:top w:val="nil"/>
            </w:tcBorders>
            <w:noWrap w:val="0"/>
            <w:vAlign w:val="center"/>
          </w:tcPr>
          <w:p>
            <w:pPr>
              <w:adjustRightInd w:val="0"/>
              <w:snapToGrid w:val="0"/>
              <w:rPr>
                <w:rFonts w:hint="eastAsia" w:ascii="仿宋_GB2312" w:eastAsia="仿宋_GB2312"/>
                <w:sz w:val="24"/>
              </w:rPr>
            </w:pPr>
          </w:p>
        </w:tc>
        <w:tc>
          <w:tcPr>
            <w:tcW w:w="3640" w:type="dxa"/>
            <w:noWrap w:val="0"/>
            <w:vAlign w:val="center"/>
          </w:tcPr>
          <w:p>
            <w:pPr>
              <w:adjustRightInd w:val="0"/>
              <w:snapToGrid w:val="0"/>
              <w:spacing w:before="133"/>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373"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rPr>
          <w:rFonts w:ascii="宋体" w:hAnsi="宋体" w:cs="宋体"/>
          <w:sz w:val="28"/>
          <w:szCs w:val="28"/>
        </w:rPr>
      </w:pPr>
    </w:p>
    <w:tbl>
      <w:tblPr>
        <w:tblStyle w:val="9"/>
        <w:tblW w:w="91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5"/>
        <w:gridCol w:w="1903"/>
        <w:gridCol w:w="803"/>
        <w:gridCol w:w="3640"/>
        <w:gridCol w:w="1289"/>
        <w:gridCol w:w="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743" w:hRule="atLeast"/>
          <w:jc w:val="center"/>
        </w:trPr>
        <w:tc>
          <w:tcPr>
            <w:tcW w:w="9110" w:type="dxa"/>
            <w:gridSpan w:val="6"/>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0" w:hRule="atLeast"/>
          <w:jc w:val="center"/>
        </w:trPr>
        <w:tc>
          <w:tcPr>
            <w:tcW w:w="1395"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715" w:type="dxa"/>
            <w:gridSpan w:val="5"/>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23" w:hRule="atLeast"/>
          <w:jc w:val="center"/>
        </w:trPr>
        <w:tc>
          <w:tcPr>
            <w:tcW w:w="1395"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715" w:type="dxa"/>
            <w:gridSpan w:val="5"/>
            <w:noWrap w:val="0"/>
            <w:vAlign w:val="center"/>
          </w:tcPr>
          <w:p>
            <w:pPr>
              <w:adjustRightInd w:val="0"/>
              <w:snapToGrid w:val="0"/>
              <w:rPr>
                <w:rFonts w:hint="eastAsia" w:ascii="仿宋_GB2312" w:hAnsi="仿宋" w:eastAsia="仿宋_GB2312" w:cs="仿宋"/>
                <w:sz w:val="24"/>
              </w:rPr>
            </w:pPr>
            <w:r>
              <w:rPr>
                <w:rFonts w:hint="eastAsia" w:ascii="仿宋_GB2312" w:hAnsi="仿宋" w:eastAsia="仿宋_GB2312" w:cs="仿宋"/>
                <w:spacing w:val="-4"/>
                <w:sz w:val="24"/>
              </w:rPr>
              <w:t>未将环境信息上传至企业环境信息依法披露系统的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441" w:hRule="atLeast"/>
          <w:jc w:val="center"/>
        </w:trPr>
        <w:tc>
          <w:tcPr>
            <w:tcW w:w="1395" w:type="dxa"/>
            <w:noWrap w:val="0"/>
            <w:vAlign w:val="center"/>
          </w:tcPr>
          <w:p>
            <w:pPr>
              <w:adjustRightInd w:val="0"/>
              <w:snapToGrid w:val="0"/>
              <w:spacing w:before="91"/>
              <w:ind w:left="194"/>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715" w:type="dxa"/>
            <w:gridSpan w:val="5"/>
            <w:noWrap w:val="0"/>
            <w:vAlign w:val="top"/>
          </w:tcPr>
          <w:p>
            <w:pPr>
              <w:pStyle w:val="8"/>
              <w:shd w:val="clear" w:color="auto" w:fill="FFFFFF"/>
              <w:adjustRightInd w:val="0"/>
              <w:snapToGrid w:val="0"/>
              <w:spacing w:line="360" w:lineRule="exact"/>
              <w:rPr>
                <w:rFonts w:hint="eastAsia" w:ascii="仿宋_GB2312" w:hAnsi="仿宋" w:eastAsia="仿宋_GB2312" w:cs="仿宋"/>
                <w:b/>
                <w:bCs/>
              </w:rPr>
            </w:pPr>
            <w:r>
              <w:rPr>
                <w:rFonts w:hint="eastAsia" w:ascii="仿宋_GB2312" w:hAnsi="仿宋" w:eastAsia="仿宋_GB2312" w:cs="仿宋"/>
              </w:rPr>
              <w:t>1</w:t>
            </w:r>
            <w:r>
              <w:rPr>
                <w:rFonts w:ascii="仿宋_GB2312" w:hAnsi="仿宋" w:eastAsia="仿宋_GB2312" w:cs="仿宋"/>
              </w:rPr>
              <w:t>.</w:t>
            </w:r>
            <w:r>
              <w:rPr>
                <w:rFonts w:hint="eastAsia" w:ascii="仿宋_GB2312" w:hAnsi="仿宋" w:eastAsia="仿宋_GB2312" w:cs="仿宋"/>
                <w:b/>
                <w:bCs/>
              </w:rPr>
              <w:t>《企业环境信息依法披露管理办法》</w:t>
            </w:r>
          </w:p>
          <w:p>
            <w:pPr>
              <w:pStyle w:val="8"/>
              <w:shd w:val="clear" w:color="auto" w:fill="FFFFFF"/>
              <w:adjustRightInd w:val="0"/>
              <w:snapToGrid w:val="0"/>
              <w:spacing w:line="360" w:lineRule="exact"/>
              <w:rPr>
                <w:rFonts w:hint="eastAsia" w:ascii="仿宋_GB2312" w:hAnsi="仿宋" w:eastAsia="仿宋_GB2312" w:cs="仿宋"/>
              </w:rPr>
            </w:pPr>
            <w:r>
              <w:rPr>
                <w:rFonts w:hint="eastAsia" w:ascii="仿宋_GB2312" w:hAnsi="仿宋" w:eastAsia="仿宋_GB2312" w:cs="仿宋"/>
                <w:b/>
                <w:bCs/>
              </w:rPr>
              <w:t>第十一条</w:t>
            </w:r>
            <w:r>
              <w:rPr>
                <w:rFonts w:eastAsia="仿宋_GB2312" w:cs="Calibri"/>
              </w:rPr>
              <w:t xml:space="preserve"> </w:t>
            </w:r>
            <w:r>
              <w:rPr>
                <w:rFonts w:hint="eastAsia" w:ascii="仿宋_GB2312" w:hAnsi="仿宋" w:eastAsia="仿宋_GB2312" w:cs="仿宋"/>
              </w:rPr>
              <w:t>生态环境部负责制定企业环境信息依法披露格式准则（以下简称准则），并根据生态环境管理需要适时进行调整。</w:t>
            </w:r>
          </w:p>
          <w:p>
            <w:pPr>
              <w:pStyle w:val="8"/>
              <w:shd w:val="clear" w:color="auto" w:fill="FFFFFF"/>
              <w:adjustRightInd w:val="0"/>
              <w:snapToGrid w:val="0"/>
              <w:spacing w:line="360" w:lineRule="exact"/>
              <w:rPr>
                <w:rFonts w:hint="eastAsia" w:ascii="仿宋_GB2312" w:hAnsi="仿宋" w:eastAsia="仿宋_GB2312" w:cs="仿宋"/>
              </w:rPr>
            </w:pPr>
            <w:r>
              <w:rPr>
                <w:rFonts w:hint="eastAsia" w:ascii="仿宋_GB2312" w:hAnsi="仿宋" w:eastAsia="仿宋_GB2312" w:cs="仿宋"/>
              </w:rPr>
              <w:t>企业应当按照准则编制年度环境信息依法披露报告和临时环境信息依法披露报告，并上传至企业环境信息依法披露系统。</w:t>
            </w:r>
          </w:p>
          <w:p>
            <w:pPr>
              <w:pStyle w:val="8"/>
              <w:shd w:val="clear" w:color="auto" w:fill="FFFFFF"/>
              <w:adjustRightInd w:val="0"/>
              <w:snapToGrid w:val="0"/>
              <w:spacing w:line="360" w:lineRule="exact"/>
              <w:rPr>
                <w:rFonts w:hint="eastAsia" w:ascii="仿宋_GB2312" w:hAnsi="仿宋" w:eastAsia="仿宋_GB2312" w:cs="仿宋"/>
              </w:rPr>
            </w:pPr>
            <w:r>
              <w:rPr>
                <w:rFonts w:hint="eastAsia" w:ascii="仿宋_GB2312" w:hAnsi="仿宋" w:eastAsia="仿宋_GB2312" w:cs="仿宋"/>
                <w:b/>
                <w:bCs/>
              </w:rPr>
              <w:t>第二十九条</w:t>
            </w:r>
            <w:r>
              <w:rPr>
                <w:rFonts w:eastAsia="仿宋_GB2312" w:cs="Calibri"/>
              </w:rPr>
              <w:t xml:space="preserve"> </w:t>
            </w:r>
            <w:r>
              <w:rPr>
                <w:rFonts w:hint="eastAsia" w:ascii="仿宋_GB2312" w:hAnsi="仿宋" w:eastAsia="仿宋_GB2312" w:cs="仿宋"/>
              </w:rPr>
              <w:t>企业违反本办法规定，有下列行为之一的，由设区的市级以上生态环境主管部门责令改正，通报批评，并可以处五万元以下的罚款：</w:t>
            </w:r>
          </w:p>
          <w:p>
            <w:pPr>
              <w:pStyle w:val="8"/>
              <w:shd w:val="clear" w:color="auto" w:fill="FFFFFF"/>
              <w:adjustRightInd w:val="0"/>
              <w:snapToGrid w:val="0"/>
              <w:spacing w:line="360" w:lineRule="exact"/>
              <w:rPr>
                <w:rFonts w:hint="eastAsia" w:ascii="仿宋_GB2312" w:hAnsi="仿宋" w:eastAsia="仿宋_GB2312" w:cs="仿宋"/>
              </w:rPr>
            </w:pPr>
            <w:r>
              <w:rPr>
                <w:rFonts w:hint="eastAsia" w:ascii="仿宋_GB2312" w:hAnsi="仿宋" w:eastAsia="仿宋_GB2312" w:cs="仿宋"/>
              </w:rPr>
              <w:t>（</w:t>
            </w:r>
            <w:r>
              <w:rPr>
                <w:rFonts w:hint="eastAsia" w:ascii="仿宋_GB2312" w:hAnsi="仿宋" w:eastAsia="仿宋_GB2312" w:cs="仿宋"/>
                <w:lang w:eastAsia="zh-Hans"/>
              </w:rPr>
              <w:t>三</w:t>
            </w:r>
            <w:r>
              <w:rPr>
                <w:rFonts w:hint="eastAsia" w:ascii="仿宋_GB2312" w:hAnsi="仿宋" w:eastAsia="仿宋_GB2312" w:cs="仿宋"/>
              </w:rPr>
              <w:t>）未将环境信息上传至企业环境信息依法披露系统的。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60" w:hRule="atLeast"/>
          <w:jc w:val="center"/>
        </w:trPr>
        <w:tc>
          <w:tcPr>
            <w:tcW w:w="4101" w:type="dxa"/>
            <w:gridSpan w:val="3"/>
            <w:noWrap w:val="0"/>
            <w:vAlign w:val="center"/>
          </w:tcPr>
          <w:p>
            <w:pPr>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5009" w:type="dxa"/>
            <w:gridSpan w:val="3"/>
            <w:noWrap w:val="0"/>
            <w:vAlign w:val="center"/>
          </w:tcPr>
          <w:p>
            <w:pPr>
              <w:adjustRightInd w:val="0"/>
              <w:snapToGrid w:val="0"/>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674" w:hRule="atLeast"/>
          <w:jc w:val="center"/>
        </w:trPr>
        <w:tc>
          <w:tcPr>
            <w:tcW w:w="1395" w:type="dxa"/>
            <w:noWrap w:val="0"/>
            <w:vAlign w:val="center"/>
          </w:tcPr>
          <w:p>
            <w:pPr>
              <w:adjustRightInd w:val="0"/>
              <w:snapToGrid w:val="0"/>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adjustRightInd w:val="0"/>
              <w:snapToGrid w:val="0"/>
              <w:ind w:left="483"/>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803" w:type="dxa"/>
            <w:noWrap w:val="0"/>
            <w:vAlign w:val="center"/>
          </w:tcPr>
          <w:p>
            <w:pPr>
              <w:adjustRightInd w:val="0"/>
              <w:snapToGrid w:val="0"/>
              <w:ind w:left="118" w:right="113"/>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adjustRightInd w:val="0"/>
              <w:snapToGrid w:val="0"/>
              <w:ind w:left="118" w:right="113"/>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640" w:type="dxa"/>
            <w:noWrap w:val="0"/>
            <w:vAlign w:val="center"/>
          </w:tcPr>
          <w:p>
            <w:pPr>
              <w:adjustRightInd w:val="0"/>
              <w:snapToGrid w:val="0"/>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369" w:type="dxa"/>
            <w:gridSpan w:val="2"/>
            <w:noWrap w:val="0"/>
            <w:vAlign w:val="center"/>
          </w:tcPr>
          <w:p>
            <w:pPr>
              <w:adjustRightInd w:val="0"/>
              <w:snapToGrid w:val="0"/>
              <w:ind w:left="224"/>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828"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对环境影响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640" w:type="dxa"/>
            <w:noWrap w:val="0"/>
            <w:vAlign w:val="center"/>
          </w:tcPr>
          <w:p>
            <w:pPr>
              <w:adjustRightInd w:val="0"/>
              <w:snapToGrid w:val="0"/>
              <w:spacing w:before="139"/>
              <w:ind w:right="104"/>
              <w:rPr>
                <w:rFonts w:hint="eastAsia" w:ascii="仿宋_GB2312" w:hAnsi="仿宋" w:eastAsia="仿宋_GB2312" w:cs="仿宋"/>
                <w:sz w:val="24"/>
              </w:rPr>
            </w:pPr>
            <w:r>
              <w:rPr>
                <w:rFonts w:hint="eastAsia" w:ascii="仿宋_GB2312" w:hAnsi="仿宋" w:eastAsia="仿宋_GB2312" w:cs="仿宋"/>
                <w:sz w:val="24"/>
              </w:rPr>
              <w:t>责令改正期限届满，未将环境信息上传至企业环境信息依法披露系统，逾期不足15日的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858"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56"/>
              <w:ind w:right="104"/>
              <w:rPr>
                <w:rFonts w:hint="eastAsia" w:ascii="仿宋_GB2312" w:hAnsi="仿宋" w:eastAsia="仿宋_GB2312" w:cs="仿宋"/>
                <w:sz w:val="24"/>
              </w:rPr>
            </w:pPr>
            <w:r>
              <w:rPr>
                <w:rFonts w:hint="eastAsia" w:ascii="仿宋_GB2312" w:hAnsi="仿宋" w:eastAsia="仿宋_GB2312" w:cs="仿宋"/>
                <w:sz w:val="24"/>
              </w:rPr>
              <w:t>责令改正期限届满，未将环境信息上传至企业环境信息依法披露系统，逾期15日以上的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44"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违法频次</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spacing w:before="106"/>
              <w:ind w:left="121"/>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44" w:hRule="atLeast"/>
          <w:jc w:val="center"/>
        </w:trPr>
        <w:tc>
          <w:tcPr>
            <w:tcW w:w="1395"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6"/>
              <w:ind w:left="119"/>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44" w:hRule="atLeast"/>
          <w:jc w:val="center"/>
        </w:trPr>
        <w:tc>
          <w:tcPr>
            <w:tcW w:w="1395"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6"/>
              <w:ind w:left="126"/>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44"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5"/>
              <w:ind w:left="131"/>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98"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整改情况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spacing w:before="132"/>
              <w:ind w:left="113"/>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98" w:hRule="atLeast"/>
          <w:jc w:val="center"/>
        </w:trPr>
        <w:tc>
          <w:tcPr>
            <w:tcW w:w="1395"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8"/>
                <w:szCs w:val="28"/>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3"/>
              <w:ind w:left="121"/>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98"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8"/>
                <w:szCs w:val="28"/>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2"/>
              <w:ind w:left="125"/>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98"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配合调查</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取证情况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spacing w:before="132"/>
              <w:ind w:left="118"/>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98"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1"/>
              <w:ind w:left="124"/>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98"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对社会影响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或生态破坏</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spacing w:before="132"/>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00" w:hRule="atLeast"/>
          <w:jc w:val="center"/>
        </w:trPr>
        <w:tc>
          <w:tcPr>
            <w:tcW w:w="1395"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3"/>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369"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743" w:hRule="atLeast"/>
          <w:jc w:val="center"/>
        </w:trPr>
        <w:tc>
          <w:tcPr>
            <w:tcW w:w="9030" w:type="dxa"/>
            <w:gridSpan w:val="5"/>
            <w:noWrap w:val="0"/>
            <w:vAlign w:val="center"/>
          </w:tcPr>
          <w:p>
            <w:pPr>
              <w:widowControl/>
              <w:adjustRightInd w:val="0"/>
              <w:snapToGrid w:val="0"/>
              <w:ind w:left="147"/>
              <w:jc w:val="center"/>
              <w:rPr>
                <w:rFonts w:ascii="微软雅黑" w:hAnsi="微软雅黑" w:eastAsia="微软雅黑"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510" w:hRule="atLeast"/>
          <w:jc w:val="center"/>
        </w:trPr>
        <w:tc>
          <w:tcPr>
            <w:tcW w:w="1395"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635" w:type="dxa"/>
            <w:gridSpan w:val="4"/>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591" w:hRule="atLeast"/>
          <w:jc w:val="center"/>
        </w:trPr>
        <w:tc>
          <w:tcPr>
            <w:tcW w:w="1395" w:type="dxa"/>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635" w:type="dxa"/>
            <w:gridSpan w:val="4"/>
            <w:noWrap w:val="0"/>
            <w:vAlign w:val="center"/>
          </w:tcPr>
          <w:p>
            <w:pPr>
              <w:adjustRightInd w:val="0"/>
              <w:snapToGrid w:val="0"/>
              <w:rPr>
                <w:rFonts w:hint="eastAsia" w:ascii="仿宋_GB2312" w:hAnsi="仿宋" w:eastAsia="仿宋_GB2312" w:cs="仿宋"/>
                <w:sz w:val="24"/>
              </w:rPr>
            </w:pPr>
            <w:r>
              <w:rPr>
                <w:rFonts w:hint="eastAsia" w:ascii="仿宋_GB2312" w:hAnsi="仿宋" w:eastAsia="仿宋_GB2312" w:cs="仿宋"/>
                <w:sz w:val="24"/>
              </w:rPr>
              <w:t>重点排放单位虚报、瞒报温室气体排放报告，或者拒绝履行温室气体排放报告义务的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1863" w:hRule="atLeast"/>
          <w:jc w:val="center"/>
        </w:trPr>
        <w:tc>
          <w:tcPr>
            <w:tcW w:w="1395" w:type="dxa"/>
            <w:noWrap w:val="0"/>
            <w:vAlign w:val="center"/>
          </w:tcPr>
          <w:p>
            <w:pPr>
              <w:adjustRightInd w:val="0"/>
              <w:snapToGrid w:val="0"/>
              <w:spacing w:before="91"/>
              <w:jc w:val="center"/>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635" w:type="dxa"/>
            <w:gridSpan w:val="4"/>
            <w:noWrap w:val="0"/>
            <w:vAlign w:val="top"/>
          </w:tcPr>
          <w:p>
            <w:pPr>
              <w:adjustRightInd w:val="0"/>
              <w:snapToGrid w:val="0"/>
              <w:spacing w:before="30"/>
              <w:ind w:left="113" w:right="100" w:firstLine="12"/>
              <w:rPr>
                <w:rFonts w:hint="eastAsia" w:ascii="仿宋_GB2312" w:hAnsi="仿宋" w:eastAsia="仿宋_GB2312" w:cs="仿宋"/>
                <w:b/>
                <w:bCs/>
                <w:sz w:val="24"/>
              </w:rPr>
            </w:pPr>
            <w:r>
              <w:rPr>
                <w:rFonts w:hint="eastAsia" w:ascii="仿宋_GB2312" w:hAnsi="仿宋" w:eastAsia="仿宋_GB2312" w:cs="仿宋"/>
                <w:sz w:val="24"/>
              </w:rPr>
              <w:t>1.</w:t>
            </w:r>
            <w:r>
              <w:rPr>
                <w:rFonts w:hint="eastAsia" w:ascii="仿宋_GB2312" w:hAnsi="仿宋" w:eastAsia="仿宋_GB2312" w:cs="仿宋"/>
                <w:b/>
                <w:bCs/>
                <w:sz w:val="24"/>
              </w:rPr>
              <w:t>《碳排放权交易管理办法（试行）》</w:t>
            </w:r>
          </w:p>
          <w:p>
            <w:pPr>
              <w:adjustRightInd w:val="0"/>
              <w:snapToGrid w:val="0"/>
              <w:spacing w:before="30"/>
              <w:ind w:left="113" w:right="100" w:firstLine="12"/>
              <w:rPr>
                <w:rFonts w:hint="eastAsia" w:ascii="仿宋_GB2312" w:hAnsi="仿宋" w:eastAsia="仿宋_GB2312" w:cs="仿宋"/>
                <w:sz w:val="24"/>
              </w:rPr>
            </w:pPr>
            <w:r>
              <w:rPr>
                <w:rFonts w:hint="eastAsia" w:ascii="仿宋_GB2312" w:hAnsi="仿宋" w:eastAsia="仿宋_GB2312" w:cs="仿宋"/>
                <w:b/>
                <w:bCs/>
                <w:sz w:val="24"/>
              </w:rPr>
              <w:t>第十条</w:t>
            </w:r>
            <w:r>
              <w:rPr>
                <w:rFonts w:hint="eastAsia" w:ascii="仿宋_GB2312" w:hAnsi="仿宋" w:eastAsia="仿宋_GB2312" w:cs="仿宋"/>
                <w:sz w:val="24"/>
              </w:rPr>
              <w:t xml:space="preserve"> 重点排放单位应当控制温室气体排放，报告碳排放数据，清缴碳排放配额，公开交易及相关活动信息，并接受生态环境主管部门的监督管理。</w:t>
            </w:r>
          </w:p>
          <w:p>
            <w:pPr>
              <w:adjustRightInd w:val="0"/>
              <w:snapToGrid w:val="0"/>
              <w:spacing w:before="30"/>
              <w:ind w:left="113" w:right="100" w:firstLine="12"/>
              <w:rPr>
                <w:rFonts w:hint="eastAsia" w:ascii="仿宋_GB2312" w:hAnsi="仿宋" w:eastAsia="仿宋_GB2312" w:cs="仿宋"/>
                <w:sz w:val="24"/>
              </w:rPr>
            </w:pPr>
          </w:p>
          <w:p>
            <w:pPr>
              <w:adjustRightInd w:val="0"/>
              <w:snapToGrid w:val="0"/>
              <w:spacing w:before="30"/>
              <w:ind w:left="113" w:right="100" w:firstLine="12"/>
              <w:rPr>
                <w:rFonts w:hint="eastAsia" w:ascii="仿宋_GB2312" w:hAnsi="仿宋" w:eastAsia="仿宋_GB2312" w:cs="仿宋"/>
                <w:b/>
                <w:bCs/>
                <w:sz w:val="24"/>
              </w:rPr>
            </w:pPr>
            <w:r>
              <w:rPr>
                <w:rFonts w:hint="eastAsia" w:ascii="仿宋_GB2312" w:hAnsi="仿宋" w:eastAsia="仿宋_GB2312" w:cs="仿宋"/>
                <w:sz w:val="24"/>
              </w:rPr>
              <w:t>2.</w:t>
            </w:r>
            <w:r>
              <w:rPr>
                <w:rFonts w:hint="eastAsia" w:ascii="仿宋_GB2312" w:hAnsi="仿宋" w:eastAsia="仿宋_GB2312" w:cs="仿宋"/>
                <w:b/>
                <w:bCs/>
                <w:sz w:val="24"/>
              </w:rPr>
              <w:t>《碳排放权交易管理办法（试行）》</w:t>
            </w:r>
          </w:p>
          <w:p>
            <w:pPr>
              <w:adjustRightInd w:val="0"/>
              <w:snapToGrid w:val="0"/>
              <w:spacing w:before="30"/>
              <w:ind w:left="113" w:right="100" w:firstLine="12"/>
              <w:rPr>
                <w:rFonts w:hint="eastAsia" w:ascii="仿宋_GB2312" w:hAnsi="仿宋" w:eastAsia="仿宋_GB2312" w:cs="仿宋"/>
                <w:sz w:val="24"/>
              </w:rPr>
            </w:pPr>
            <w:r>
              <w:rPr>
                <w:rFonts w:hint="eastAsia" w:ascii="仿宋_GB2312" w:hAnsi="仿宋" w:eastAsia="仿宋_GB2312" w:cs="仿宋"/>
                <w:b/>
                <w:bCs/>
                <w:sz w:val="24"/>
              </w:rPr>
              <w:t>第三十九条</w:t>
            </w:r>
            <w:r>
              <w:rPr>
                <w:rFonts w:hint="eastAsia" w:ascii="仿宋_GB2312" w:hAnsi="仿宋" w:eastAsia="仿宋_GB2312" w:cs="仿宋"/>
                <w:sz w:val="24"/>
              </w:rPr>
              <w:t xml:space="preserve">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19" w:hRule="atLeast"/>
          <w:jc w:val="center"/>
        </w:trPr>
        <w:tc>
          <w:tcPr>
            <w:tcW w:w="4101" w:type="dxa"/>
            <w:gridSpan w:val="3"/>
            <w:noWrap w:val="0"/>
            <w:vAlign w:val="center"/>
          </w:tcPr>
          <w:p>
            <w:pPr>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4929" w:type="dxa"/>
            <w:gridSpan w:val="2"/>
            <w:noWrap w:val="0"/>
            <w:vAlign w:val="center"/>
          </w:tcPr>
          <w:p>
            <w:pPr>
              <w:adjustRightInd w:val="0"/>
              <w:snapToGrid w:val="0"/>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674" w:hRule="atLeast"/>
          <w:jc w:val="center"/>
        </w:trPr>
        <w:tc>
          <w:tcPr>
            <w:tcW w:w="1395" w:type="dxa"/>
            <w:noWrap w:val="0"/>
            <w:vAlign w:val="center"/>
          </w:tcPr>
          <w:p>
            <w:pPr>
              <w:adjustRightInd w:val="0"/>
              <w:snapToGrid w:val="0"/>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adjustRightInd w:val="0"/>
              <w:snapToGrid w:val="0"/>
              <w:jc w:val="center"/>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803" w:type="dxa"/>
            <w:noWrap w:val="0"/>
            <w:vAlign w:val="center"/>
          </w:tcPr>
          <w:p>
            <w:pPr>
              <w:adjustRightInd w:val="0"/>
              <w:snapToGrid w:val="0"/>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adjustRightInd w:val="0"/>
              <w:snapToGrid w:val="0"/>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640" w:type="dxa"/>
            <w:noWrap w:val="0"/>
            <w:vAlign w:val="center"/>
          </w:tcPr>
          <w:p>
            <w:pPr>
              <w:adjustRightInd w:val="0"/>
              <w:snapToGrid w:val="0"/>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289" w:type="dxa"/>
            <w:noWrap w:val="0"/>
            <w:vAlign w:val="center"/>
          </w:tcPr>
          <w:p>
            <w:pPr>
              <w:adjustRightInd w:val="0"/>
              <w:snapToGrid w:val="0"/>
              <w:ind w:left="2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501"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对环境影响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640" w:type="dxa"/>
            <w:noWrap w:val="0"/>
            <w:vAlign w:val="center"/>
          </w:tcPr>
          <w:p>
            <w:pPr>
              <w:adjustRightInd w:val="0"/>
              <w:snapToGrid w:val="0"/>
              <w:spacing w:before="30"/>
              <w:ind w:left="113" w:right="100" w:firstLine="12"/>
              <w:rPr>
                <w:rFonts w:hint="eastAsia" w:ascii="仿宋_GB2312" w:hAnsi="仿宋" w:eastAsia="仿宋_GB2312" w:cs="仿宋"/>
                <w:sz w:val="24"/>
                <w:lang w:eastAsia="zh-Hans"/>
              </w:rPr>
            </w:pPr>
            <w:r>
              <w:rPr>
                <w:rFonts w:hint="eastAsia" w:ascii="仿宋_GB2312" w:hAnsi="仿宋" w:eastAsia="仿宋_GB2312" w:cs="仿宋"/>
                <w:sz w:val="24"/>
              </w:rPr>
              <w:t>虚报温室气体排放报告</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90"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30"/>
              <w:ind w:left="113" w:right="100" w:firstLine="12"/>
              <w:rPr>
                <w:rFonts w:hint="eastAsia" w:ascii="仿宋_GB2312" w:hAnsi="仿宋" w:eastAsia="仿宋_GB2312" w:cs="仿宋"/>
                <w:sz w:val="24"/>
              </w:rPr>
            </w:pPr>
            <w:r>
              <w:rPr>
                <w:rFonts w:hint="eastAsia" w:ascii="仿宋_GB2312" w:hAnsi="仿宋" w:eastAsia="仿宋_GB2312" w:cs="仿宋"/>
                <w:sz w:val="24"/>
              </w:rPr>
              <w:t>瞒报温室气体排放报告，或者拒绝履行温室气体排放报告义务，</w:t>
            </w:r>
            <w:r>
              <w:rPr>
                <w:rFonts w:hint="eastAsia" w:ascii="仿宋_GB2312" w:hAnsi="仿宋" w:eastAsia="仿宋_GB2312" w:cs="仿宋"/>
                <w:sz w:val="24"/>
                <w:lang w:eastAsia="zh-Hans"/>
              </w:rPr>
              <w:t>造成金额损失的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30%—40%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44"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违法频次</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spacing w:before="106"/>
              <w:ind w:left="121"/>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44" w:hRule="atLeast"/>
          <w:jc w:val="center"/>
        </w:trPr>
        <w:tc>
          <w:tcPr>
            <w:tcW w:w="1395"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6"/>
              <w:ind w:left="119"/>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44" w:hRule="atLeast"/>
          <w:jc w:val="center"/>
        </w:trPr>
        <w:tc>
          <w:tcPr>
            <w:tcW w:w="1395"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6"/>
              <w:ind w:left="126"/>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44"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05"/>
              <w:ind w:left="131"/>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98"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整改情况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spacing w:before="132"/>
              <w:ind w:left="113"/>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98" w:hRule="atLeast"/>
          <w:jc w:val="center"/>
        </w:trPr>
        <w:tc>
          <w:tcPr>
            <w:tcW w:w="1395" w:type="dxa"/>
            <w:vMerge w:val="continue"/>
            <w:tcBorders>
              <w:top w:val="nil"/>
              <w:bottom w:val="nil"/>
            </w:tcBorders>
            <w:noWrap w:val="0"/>
            <w:vAlign w:val="center"/>
          </w:tcPr>
          <w:p>
            <w:pPr>
              <w:adjustRightInd w:val="0"/>
              <w:snapToGrid w:val="0"/>
              <w:jc w:val="center"/>
              <w:rPr>
                <w:rFonts w:hint="eastAsia" w:ascii="仿宋_GB2312" w:hAnsi="仿宋" w:eastAsia="仿宋_GB2312"/>
                <w:b/>
                <w:bCs/>
                <w:sz w:val="28"/>
                <w:szCs w:val="28"/>
              </w:rPr>
            </w:pPr>
          </w:p>
        </w:tc>
        <w:tc>
          <w:tcPr>
            <w:tcW w:w="19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3"/>
              <w:ind w:left="121"/>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98"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8"/>
                <w:szCs w:val="28"/>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2"/>
              <w:ind w:left="125"/>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98"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配合调查取证情况</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ascii="仿宋_GB2312" w:hAnsi="仿宋" w:eastAsia="仿宋_GB2312" w:cs="仿宋"/>
                <w:spacing w:val="-3"/>
                <w:position w:val="1"/>
                <w:sz w:val="24"/>
              </w:rPr>
              <w:t>1</w:t>
            </w:r>
            <w:r>
              <w:rPr>
                <w:rFonts w:hint="eastAsia" w:ascii="仿宋_GB2312" w:hAnsi="仿宋" w:eastAsia="仿宋_GB2312" w:cs="仿宋"/>
                <w:spacing w:val="-3"/>
                <w:position w:val="1"/>
                <w:sz w:val="24"/>
              </w:rPr>
              <w:t>0%</w:t>
            </w:r>
          </w:p>
        </w:tc>
        <w:tc>
          <w:tcPr>
            <w:tcW w:w="3640" w:type="dxa"/>
            <w:noWrap w:val="0"/>
            <w:vAlign w:val="center"/>
          </w:tcPr>
          <w:p>
            <w:pPr>
              <w:adjustRightInd w:val="0"/>
              <w:snapToGrid w:val="0"/>
              <w:spacing w:before="132"/>
              <w:ind w:left="118"/>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98" w:hRule="atLeast"/>
          <w:jc w:val="center"/>
        </w:trPr>
        <w:tc>
          <w:tcPr>
            <w:tcW w:w="1395" w:type="dxa"/>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noWrap w:val="0"/>
            <w:vAlign w:val="center"/>
          </w:tcPr>
          <w:p>
            <w:pPr>
              <w:adjustRightInd w:val="0"/>
              <w:snapToGrid w:val="0"/>
              <w:spacing w:before="131"/>
              <w:ind w:left="124"/>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498" w:hRule="atLeast"/>
          <w:jc w:val="center"/>
        </w:trPr>
        <w:tc>
          <w:tcPr>
            <w:tcW w:w="1395" w:type="dxa"/>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对社会影响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或生态破坏</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803" w:type="dxa"/>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noWrap w:val="0"/>
            <w:vAlign w:val="center"/>
          </w:tcPr>
          <w:p>
            <w:pPr>
              <w:adjustRightInd w:val="0"/>
              <w:snapToGrid w:val="0"/>
              <w:spacing w:before="132"/>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0" w:type="dxa"/>
          <w:trHeight w:val="500" w:hRule="atLeast"/>
          <w:jc w:val="center"/>
        </w:trPr>
        <w:tc>
          <w:tcPr>
            <w:tcW w:w="1395" w:type="dxa"/>
            <w:vMerge w:val="continue"/>
            <w:tcBorders>
              <w:top w:val="nil"/>
            </w:tcBorders>
            <w:noWrap w:val="0"/>
            <w:vAlign w:val="center"/>
          </w:tcPr>
          <w:p>
            <w:pPr>
              <w:adjustRightInd w:val="0"/>
              <w:snapToGrid w:val="0"/>
              <w:rPr>
                <w:rFonts w:hint="eastAsia" w:ascii="仿宋_GB2312" w:eastAsia="仿宋_GB2312"/>
                <w:sz w:val="24"/>
              </w:rPr>
            </w:pPr>
          </w:p>
        </w:tc>
        <w:tc>
          <w:tcPr>
            <w:tcW w:w="1903" w:type="dxa"/>
            <w:vMerge w:val="continue"/>
            <w:tcBorders>
              <w:top w:val="nil"/>
            </w:tcBorders>
            <w:noWrap w:val="0"/>
            <w:vAlign w:val="center"/>
          </w:tcPr>
          <w:p>
            <w:pPr>
              <w:adjustRightInd w:val="0"/>
              <w:snapToGrid w:val="0"/>
              <w:rPr>
                <w:rFonts w:hint="eastAsia" w:ascii="仿宋_GB2312" w:eastAsia="仿宋_GB2312"/>
                <w:sz w:val="24"/>
              </w:rPr>
            </w:pPr>
          </w:p>
        </w:tc>
        <w:tc>
          <w:tcPr>
            <w:tcW w:w="803" w:type="dxa"/>
            <w:vMerge w:val="continue"/>
            <w:tcBorders>
              <w:top w:val="nil"/>
            </w:tcBorders>
            <w:noWrap w:val="0"/>
            <w:vAlign w:val="center"/>
          </w:tcPr>
          <w:p>
            <w:pPr>
              <w:adjustRightInd w:val="0"/>
              <w:snapToGrid w:val="0"/>
              <w:rPr>
                <w:rFonts w:hint="eastAsia" w:ascii="仿宋_GB2312" w:eastAsia="仿宋_GB2312"/>
                <w:sz w:val="24"/>
              </w:rPr>
            </w:pPr>
          </w:p>
        </w:tc>
        <w:tc>
          <w:tcPr>
            <w:tcW w:w="3640" w:type="dxa"/>
            <w:noWrap w:val="0"/>
            <w:vAlign w:val="center"/>
          </w:tcPr>
          <w:p>
            <w:pPr>
              <w:adjustRightInd w:val="0"/>
              <w:snapToGrid w:val="0"/>
              <w:spacing w:before="133"/>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289" w:type="dxa"/>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bl>
    <w:p>
      <w:pPr>
        <w:rPr>
          <w:rFonts w:ascii="宋体" w:hAnsi="宋体" w:cs="宋体"/>
          <w:sz w:val="10"/>
          <w:szCs w:val="10"/>
        </w:rPr>
      </w:pPr>
      <w:r>
        <w:rPr>
          <w:rFonts w:ascii="宋体" w:hAnsi="宋体" w:cs="宋体"/>
          <w:sz w:val="28"/>
          <w:szCs w:val="28"/>
        </w:rPr>
        <w:br w:type="page"/>
      </w:r>
    </w:p>
    <w:tbl>
      <w:tblPr>
        <w:tblStyle w:val="9"/>
        <w:tblW w:w="91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38"/>
        <w:gridCol w:w="1768"/>
        <w:gridCol w:w="135"/>
        <w:gridCol w:w="742"/>
        <w:gridCol w:w="61"/>
        <w:gridCol w:w="1395"/>
        <w:gridCol w:w="2162"/>
        <w:gridCol w:w="83"/>
        <w:gridCol w:w="1351"/>
        <w:gridCol w:w="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39" w:type="dxa"/>
            <w:gridSpan w:val="11"/>
            <w:noWrap w:val="0"/>
            <w:vAlign w:val="top"/>
          </w:tcPr>
          <w:p>
            <w:pPr>
              <w:widowControl/>
              <w:adjustRightInd w:val="0"/>
              <w:snapToGrid w:val="0"/>
              <w:ind w:left="147"/>
              <w:jc w:val="center"/>
              <w:rPr>
                <w:rFonts w:ascii="微软雅黑" w:hAnsi="微软雅黑" w:eastAsia="微软雅黑" w:cs="微软雅黑"/>
                <w:spacing w:val="20"/>
                <w:sz w:val="28"/>
                <w:szCs w:val="28"/>
              </w:rPr>
            </w:pPr>
            <w:r>
              <w:rPr>
                <w:rFonts w:ascii="方正小标宋简体" w:hAnsi="方正小标宋简体" w:eastAsia="方正小标宋简体" w:cs="方正小标宋简体"/>
                <w:kern w:val="0"/>
                <w:sz w:val="40"/>
                <w:szCs w:val="40"/>
              </w:rPr>
              <w:t>唐山市生态环境行政处罚裁量规则</w:t>
            </w:r>
            <w:r>
              <w:rPr>
                <w:rFonts w:hint="eastAsia" w:ascii="方正小标宋简体" w:hAnsi="方正小标宋简体" w:eastAsia="方正小标宋简体" w:cs="方正小标宋简体"/>
                <w:kern w:val="0"/>
                <w:sz w:val="40"/>
                <w:szCs w:val="40"/>
              </w:rPr>
              <w:t>（其他类）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10" w:type="dxa"/>
            <w:gridSpan w:val="2"/>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序</w:t>
            </w:r>
            <w:r>
              <w:rPr>
                <w:rFonts w:hint="eastAsia" w:ascii="仿宋_GB2312" w:hAnsi="仿宋" w:eastAsia="仿宋_GB2312" w:cs="仿宋"/>
                <w:b/>
                <w:bCs/>
                <w:spacing w:val="-3"/>
                <w:sz w:val="28"/>
                <w:szCs w:val="28"/>
              </w:rPr>
              <w:t>号</w:t>
            </w:r>
          </w:p>
        </w:tc>
        <w:tc>
          <w:tcPr>
            <w:tcW w:w="7729" w:type="dxa"/>
            <w:gridSpan w:val="9"/>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410" w:type="dxa"/>
            <w:gridSpan w:val="2"/>
            <w:noWrap w:val="0"/>
            <w:vAlign w:val="center"/>
          </w:tcPr>
          <w:p>
            <w:pPr>
              <w:adjustRightInd w:val="0"/>
              <w:snapToGrid w:val="0"/>
              <w:jc w:val="center"/>
              <w:rPr>
                <w:rFonts w:hint="eastAsia" w:ascii="仿宋_GB2312" w:hAnsi="仿宋" w:eastAsia="仿宋_GB2312" w:cs="仿宋"/>
                <w:b/>
                <w:bCs/>
                <w:sz w:val="28"/>
                <w:szCs w:val="28"/>
              </w:rPr>
            </w:pPr>
            <w:r>
              <w:rPr>
                <w:rFonts w:hint="eastAsia" w:ascii="仿宋_GB2312" w:hAnsi="仿宋" w:eastAsia="仿宋_GB2312" w:cs="仿宋"/>
                <w:b/>
                <w:bCs/>
                <w:spacing w:val="-4"/>
                <w:sz w:val="28"/>
                <w:szCs w:val="28"/>
              </w:rPr>
              <w:t>违</w:t>
            </w:r>
            <w:r>
              <w:rPr>
                <w:rFonts w:hint="eastAsia" w:ascii="仿宋_GB2312" w:hAnsi="仿宋" w:eastAsia="仿宋_GB2312" w:cs="仿宋"/>
                <w:b/>
                <w:bCs/>
                <w:spacing w:val="-3"/>
                <w:sz w:val="28"/>
                <w:szCs w:val="28"/>
              </w:rPr>
              <w:t>法</w:t>
            </w:r>
            <w:r>
              <w:rPr>
                <w:rFonts w:hint="eastAsia" w:ascii="仿宋_GB2312" w:hAnsi="仿宋" w:eastAsia="仿宋_GB2312" w:cs="仿宋"/>
                <w:b/>
                <w:bCs/>
                <w:spacing w:val="-2"/>
                <w:sz w:val="28"/>
                <w:szCs w:val="28"/>
              </w:rPr>
              <w:t>行为</w:t>
            </w:r>
          </w:p>
        </w:tc>
        <w:tc>
          <w:tcPr>
            <w:tcW w:w="7729" w:type="dxa"/>
            <w:gridSpan w:val="9"/>
            <w:noWrap w:val="0"/>
            <w:vAlign w:val="center"/>
          </w:tcPr>
          <w:p>
            <w:pPr>
              <w:adjustRightInd w:val="0"/>
              <w:snapToGrid w:val="0"/>
              <w:rPr>
                <w:rFonts w:hint="eastAsia" w:ascii="仿宋_GB2312" w:hAnsi="仿宋" w:eastAsia="仿宋_GB2312" w:cs="仿宋"/>
                <w:sz w:val="24"/>
              </w:rPr>
            </w:pPr>
            <w:r>
              <w:rPr>
                <w:rFonts w:hint="eastAsia" w:ascii="仿宋_GB2312" w:hAnsi="仿宋" w:eastAsia="仿宋_GB2312" w:cs="仿宋"/>
                <w:sz w:val="24"/>
              </w:rPr>
              <w:t>重点排放单位未按时足额清缴碳排放配额的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jc w:val="center"/>
        </w:trPr>
        <w:tc>
          <w:tcPr>
            <w:tcW w:w="1410" w:type="dxa"/>
            <w:gridSpan w:val="2"/>
            <w:noWrap w:val="0"/>
            <w:vAlign w:val="center"/>
          </w:tcPr>
          <w:p>
            <w:pPr>
              <w:adjustRightInd w:val="0"/>
              <w:snapToGrid w:val="0"/>
              <w:spacing w:before="91"/>
              <w:jc w:val="center"/>
              <w:rPr>
                <w:rFonts w:hint="eastAsia" w:ascii="仿宋_GB2312" w:hAnsi="仿宋" w:eastAsia="仿宋_GB2312" w:cs="仿宋"/>
                <w:b/>
                <w:bCs/>
                <w:sz w:val="28"/>
                <w:szCs w:val="28"/>
              </w:rPr>
            </w:pPr>
            <w:r>
              <w:rPr>
                <w:rFonts w:hint="eastAsia" w:ascii="仿宋_GB2312" w:hAnsi="仿宋" w:eastAsia="仿宋_GB2312" w:cs="仿宋"/>
                <w:b/>
                <w:bCs/>
                <w:spacing w:val="-7"/>
                <w:sz w:val="28"/>
                <w:szCs w:val="28"/>
              </w:rPr>
              <w:t>处</w:t>
            </w:r>
            <w:r>
              <w:rPr>
                <w:rFonts w:hint="eastAsia" w:ascii="仿宋_GB2312" w:hAnsi="仿宋" w:eastAsia="仿宋_GB2312" w:cs="仿宋"/>
                <w:b/>
                <w:bCs/>
                <w:spacing w:val="-4"/>
                <w:sz w:val="28"/>
                <w:szCs w:val="28"/>
              </w:rPr>
              <w:t>罚依据</w:t>
            </w:r>
          </w:p>
        </w:tc>
        <w:tc>
          <w:tcPr>
            <w:tcW w:w="7729" w:type="dxa"/>
            <w:gridSpan w:val="9"/>
            <w:noWrap w:val="0"/>
            <w:vAlign w:val="top"/>
          </w:tcPr>
          <w:p>
            <w:pPr>
              <w:adjustRightInd w:val="0"/>
              <w:snapToGrid w:val="0"/>
              <w:ind w:left="125" w:right="100"/>
              <w:rPr>
                <w:rFonts w:hint="eastAsia" w:ascii="仿宋_GB2312" w:hAnsi="仿宋" w:eastAsia="仿宋_GB2312" w:cs="仿宋"/>
                <w:b/>
                <w:bCs/>
                <w:spacing w:val="10"/>
                <w:sz w:val="24"/>
              </w:rPr>
            </w:pPr>
            <w:r>
              <w:rPr>
                <w:rFonts w:hint="eastAsia" w:ascii="仿宋_GB2312" w:hAnsi="仿宋" w:eastAsia="仿宋_GB2312" w:cs="仿宋"/>
                <w:spacing w:val="11"/>
                <w:sz w:val="24"/>
              </w:rPr>
              <w:t>1</w:t>
            </w:r>
            <w:r>
              <w:rPr>
                <w:rFonts w:ascii="仿宋_GB2312" w:hAnsi="仿宋" w:eastAsia="仿宋_GB2312" w:cs="仿宋"/>
                <w:spacing w:val="11"/>
                <w:sz w:val="24"/>
              </w:rPr>
              <w:t>.</w:t>
            </w:r>
            <w:r>
              <w:rPr>
                <w:rFonts w:hint="eastAsia" w:ascii="仿宋_GB2312" w:hAnsi="仿宋" w:eastAsia="仿宋_GB2312" w:cs="仿宋"/>
                <w:b/>
                <w:bCs/>
                <w:spacing w:val="11"/>
                <w:sz w:val="24"/>
              </w:rPr>
              <w:t>《碳排放权交易管理办法（试行）</w:t>
            </w:r>
            <w:r>
              <w:rPr>
                <w:rFonts w:hint="eastAsia" w:ascii="仿宋_GB2312" w:hAnsi="仿宋" w:eastAsia="仿宋_GB2312" w:cs="仿宋"/>
                <w:b/>
                <w:bCs/>
                <w:spacing w:val="10"/>
                <w:sz w:val="24"/>
              </w:rPr>
              <w:t>》</w:t>
            </w:r>
          </w:p>
          <w:p>
            <w:pPr>
              <w:adjustRightInd w:val="0"/>
              <w:snapToGrid w:val="0"/>
              <w:ind w:left="109"/>
              <w:rPr>
                <w:rFonts w:hint="eastAsia" w:ascii="仿宋_GB2312" w:hAnsi="仿宋" w:eastAsia="仿宋_GB2312" w:cs="仿宋"/>
                <w:sz w:val="24"/>
              </w:rPr>
            </w:pPr>
            <w:r>
              <w:rPr>
                <w:rFonts w:hint="eastAsia" w:ascii="仿宋_GB2312" w:hAnsi="仿宋" w:eastAsia="仿宋_GB2312" w:cs="仿宋"/>
                <w:b/>
                <w:bCs/>
                <w:sz w:val="24"/>
              </w:rPr>
              <w:t>第二十八条</w:t>
            </w:r>
            <w:r>
              <w:rPr>
                <w:rFonts w:hint="eastAsia" w:ascii="仿宋_GB2312" w:hAnsi="仿宋" w:eastAsia="仿宋_GB2312" w:cs="仿宋"/>
                <w:sz w:val="24"/>
              </w:rPr>
              <w:t xml:space="preserve"> 重点排放单位应当在生态环境部规定的时限内，向分配配额的省级生态环境主管部门清缴上年度的碳排放配额。清缴量应当大于等于省级生态环境主管部门核查结果确认的该单位上年度温室气体实际排放量。</w:t>
            </w:r>
          </w:p>
          <w:p>
            <w:pPr>
              <w:adjustRightInd w:val="0"/>
              <w:snapToGrid w:val="0"/>
              <w:ind w:left="109"/>
              <w:rPr>
                <w:rFonts w:hint="eastAsia" w:ascii="仿宋_GB2312" w:hAnsi="仿宋" w:eastAsia="仿宋_GB2312" w:cs="仿宋"/>
                <w:sz w:val="24"/>
              </w:rPr>
            </w:pPr>
          </w:p>
          <w:p>
            <w:pPr>
              <w:adjustRightInd w:val="0"/>
              <w:snapToGrid w:val="0"/>
              <w:ind w:left="109"/>
              <w:rPr>
                <w:rFonts w:hint="eastAsia" w:ascii="仿宋_GB2312" w:hAnsi="仿宋" w:eastAsia="仿宋_GB2312" w:cs="仿宋"/>
                <w:b/>
                <w:bCs/>
                <w:sz w:val="24"/>
              </w:rPr>
            </w:pPr>
            <w:r>
              <w:rPr>
                <w:rFonts w:hint="eastAsia" w:ascii="仿宋_GB2312" w:hAnsi="仿宋" w:eastAsia="仿宋_GB2312" w:cs="仿宋"/>
                <w:spacing w:val="11"/>
                <w:sz w:val="24"/>
              </w:rPr>
              <w:t>2</w:t>
            </w:r>
            <w:r>
              <w:rPr>
                <w:rFonts w:ascii="仿宋_GB2312" w:hAnsi="仿宋" w:eastAsia="仿宋_GB2312" w:cs="仿宋"/>
                <w:spacing w:val="11"/>
                <w:sz w:val="24"/>
              </w:rPr>
              <w:t>.</w:t>
            </w:r>
            <w:r>
              <w:rPr>
                <w:rFonts w:hint="eastAsia" w:ascii="仿宋_GB2312" w:hAnsi="仿宋" w:eastAsia="仿宋_GB2312" w:cs="仿宋"/>
                <w:b/>
                <w:bCs/>
                <w:spacing w:val="11"/>
                <w:sz w:val="24"/>
              </w:rPr>
              <w:t>《碳排放权交易管理办法（试行）</w:t>
            </w:r>
            <w:r>
              <w:rPr>
                <w:rFonts w:hint="eastAsia" w:ascii="仿宋_GB2312" w:hAnsi="仿宋" w:eastAsia="仿宋_GB2312" w:cs="仿宋"/>
                <w:b/>
                <w:bCs/>
                <w:spacing w:val="10"/>
                <w:sz w:val="24"/>
              </w:rPr>
              <w:t>》</w:t>
            </w:r>
          </w:p>
          <w:p>
            <w:pPr>
              <w:adjustRightInd w:val="0"/>
              <w:snapToGrid w:val="0"/>
              <w:ind w:left="113" w:right="100" w:firstLine="12"/>
              <w:rPr>
                <w:rFonts w:hint="eastAsia" w:ascii="仿宋_GB2312" w:hAnsi="仿宋" w:eastAsia="仿宋_GB2312" w:cs="仿宋"/>
                <w:sz w:val="24"/>
              </w:rPr>
            </w:pPr>
            <w:r>
              <w:rPr>
                <w:rFonts w:hint="eastAsia" w:ascii="仿宋_GB2312" w:hAnsi="仿宋" w:eastAsia="仿宋_GB2312" w:cs="仿宋"/>
                <w:b/>
                <w:bCs/>
                <w:sz w:val="24"/>
              </w:rPr>
              <w:t>第四十条</w:t>
            </w:r>
            <w:r>
              <w:rPr>
                <w:rFonts w:hint="eastAsia" w:ascii="仿宋_GB2312" w:hAnsi="仿宋" w:eastAsia="仿宋_GB2312" w:cs="仿宋"/>
                <w:sz w:val="24"/>
              </w:rPr>
              <w:t xml:space="preserve">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4116" w:type="dxa"/>
            <w:gridSpan w:val="6"/>
            <w:noWrap w:val="0"/>
            <w:vAlign w:val="center"/>
          </w:tcPr>
          <w:p>
            <w:pPr>
              <w:adjustRightInd w:val="0"/>
              <w:snapToGrid w:val="0"/>
              <w:ind w:left="1488"/>
              <w:rPr>
                <w:rFonts w:hint="eastAsia" w:ascii="仿宋_GB2312" w:hAnsi="仿宋" w:eastAsia="仿宋_GB2312" w:cs="仿宋"/>
                <w:b/>
                <w:bCs/>
                <w:sz w:val="28"/>
                <w:szCs w:val="28"/>
              </w:rPr>
            </w:pPr>
            <w:r>
              <w:rPr>
                <w:rFonts w:hint="eastAsia" w:ascii="仿宋_GB2312" w:hAnsi="仿宋" w:eastAsia="仿宋_GB2312" w:cs="仿宋"/>
                <w:b/>
                <w:bCs/>
                <w:spacing w:val="-2"/>
                <w:sz w:val="28"/>
                <w:szCs w:val="28"/>
              </w:rPr>
              <w:t>裁量要素</w:t>
            </w:r>
          </w:p>
        </w:tc>
        <w:tc>
          <w:tcPr>
            <w:tcW w:w="5023" w:type="dxa"/>
            <w:gridSpan w:val="5"/>
            <w:noWrap w:val="0"/>
            <w:vAlign w:val="center"/>
          </w:tcPr>
          <w:p>
            <w:pPr>
              <w:adjustRightInd w:val="0"/>
              <w:snapToGrid w:val="0"/>
              <w:ind w:left="1891"/>
              <w:rPr>
                <w:rFonts w:hint="eastAsia" w:ascii="仿宋_GB2312" w:hAnsi="仿宋" w:eastAsia="仿宋_GB2312" w:cs="仿宋"/>
                <w:b/>
                <w:bCs/>
                <w:sz w:val="28"/>
                <w:szCs w:val="28"/>
              </w:rPr>
            </w:pPr>
            <w:r>
              <w:rPr>
                <w:rFonts w:hint="eastAsia" w:ascii="仿宋_GB2312" w:hAnsi="仿宋" w:eastAsia="仿宋_GB2312"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10" w:type="dxa"/>
            <w:gridSpan w:val="2"/>
            <w:noWrap w:val="0"/>
            <w:vAlign w:val="center"/>
          </w:tcPr>
          <w:p>
            <w:pPr>
              <w:adjustRightInd w:val="0"/>
              <w:snapToGrid w:val="0"/>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gridSpan w:val="2"/>
            <w:noWrap w:val="0"/>
            <w:vAlign w:val="center"/>
          </w:tcPr>
          <w:p>
            <w:pPr>
              <w:adjustRightInd w:val="0"/>
              <w:snapToGrid w:val="0"/>
              <w:ind w:left="483"/>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803" w:type="dxa"/>
            <w:gridSpan w:val="2"/>
            <w:noWrap w:val="0"/>
            <w:vAlign w:val="center"/>
          </w:tcPr>
          <w:p>
            <w:pPr>
              <w:adjustRightInd w:val="0"/>
              <w:snapToGrid w:val="0"/>
              <w:ind w:left="118" w:right="113"/>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adjustRightInd w:val="0"/>
              <w:snapToGrid w:val="0"/>
              <w:ind w:left="118" w:right="113"/>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640" w:type="dxa"/>
            <w:gridSpan w:val="3"/>
            <w:noWrap w:val="0"/>
            <w:vAlign w:val="center"/>
          </w:tcPr>
          <w:p>
            <w:pPr>
              <w:adjustRightInd w:val="0"/>
              <w:snapToGrid w:val="0"/>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383" w:type="dxa"/>
            <w:gridSpan w:val="2"/>
            <w:noWrap w:val="0"/>
            <w:vAlign w:val="center"/>
          </w:tcPr>
          <w:p>
            <w:pPr>
              <w:adjustRightInd w:val="0"/>
              <w:snapToGrid w:val="0"/>
              <w:ind w:left="224"/>
              <w:jc w:val="center"/>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410" w:type="dxa"/>
            <w:gridSpan w:val="2"/>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对环境影响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8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40%</w:t>
            </w:r>
          </w:p>
        </w:tc>
        <w:tc>
          <w:tcPr>
            <w:tcW w:w="3640" w:type="dxa"/>
            <w:gridSpan w:val="3"/>
            <w:noWrap w:val="0"/>
            <w:vAlign w:val="center"/>
          </w:tcPr>
          <w:p>
            <w:pPr>
              <w:adjustRightInd w:val="0"/>
              <w:snapToGrid w:val="0"/>
              <w:ind w:left="139" w:right="104" w:firstLine="14"/>
              <w:rPr>
                <w:rFonts w:hint="eastAsia" w:ascii="仿宋_GB2312" w:hAnsi="仿宋" w:eastAsia="仿宋_GB2312" w:cs="仿宋"/>
                <w:sz w:val="24"/>
              </w:rPr>
            </w:pPr>
            <w:r>
              <w:rPr>
                <w:rFonts w:hint="eastAsia" w:ascii="仿宋_GB2312" w:hAnsi="仿宋" w:eastAsia="仿宋_GB2312" w:cs="仿宋"/>
                <w:sz w:val="24"/>
              </w:rPr>
              <w:t>足额</w:t>
            </w:r>
            <w:r>
              <w:rPr>
                <w:rFonts w:hint="eastAsia" w:ascii="仿宋_GB2312" w:hAnsi="仿宋" w:eastAsia="仿宋_GB2312" w:cs="仿宋"/>
                <w:sz w:val="24"/>
                <w:lang w:eastAsia="zh-Hans"/>
              </w:rPr>
              <w:t>但未按时</w:t>
            </w:r>
            <w:r>
              <w:rPr>
                <w:rFonts w:hint="eastAsia" w:ascii="仿宋_GB2312" w:hAnsi="仿宋" w:eastAsia="仿宋_GB2312" w:cs="仿宋"/>
                <w:sz w:val="24"/>
              </w:rPr>
              <w:t>清缴碳排放配额的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410" w:type="dxa"/>
            <w:gridSpan w:val="2"/>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gridSpan w:val="3"/>
            <w:tcBorders>
              <w:bottom w:val="single" w:color="auto" w:sz="4" w:space="0"/>
            </w:tcBorders>
            <w:noWrap w:val="0"/>
            <w:vAlign w:val="center"/>
          </w:tcPr>
          <w:p>
            <w:pPr>
              <w:adjustRightInd w:val="0"/>
              <w:snapToGrid w:val="0"/>
              <w:ind w:left="114" w:right="104" w:firstLine="40"/>
              <w:rPr>
                <w:rFonts w:hint="eastAsia" w:ascii="仿宋_GB2312" w:hAnsi="仿宋" w:eastAsia="仿宋_GB2312" w:cs="仿宋"/>
                <w:sz w:val="24"/>
              </w:rPr>
            </w:pPr>
            <w:r>
              <w:rPr>
                <w:rFonts w:hint="eastAsia" w:ascii="仿宋_GB2312" w:hAnsi="仿宋" w:eastAsia="仿宋_GB2312" w:cs="仿宋"/>
                <w:sz w:val="24"/>
              </w:rPr>
              <w:t>未足额清缴碳排放配额的</w:t>
            </w:r>
          </w:p>
        </w:tc>
        <w:tc>
          <w:tcPr>
            <w:tcW w:w="1383" w:type="dxa"/>
            <w:gridSpan w:val="2"/>
            <w:tcBorders>
              <w:bottom w:val="single" w:color="auto" w:sz="4" w:space="0"/>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11%—39%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1410" w:type="dxa"/>
            <w:gridSpan w:val="2"/>
            <w:vMerge w:val="continue"/>
            <w:noWrap w:val="0"/>
            <w:vAlign w:val="center"/>
          </w:tcPr>
          <w:p>
            <w:pPr>
              <w:adjustRightInd w:val="0"/>
              <w:snapToGrid w:val="0"/>
              <w:jc w:val="center"/>
              <w:rPr>
                <w:rFonts w:hint="eastAsia" w:ascii="仿宋_GB2312" w:hAnsi="仿宋" w:eastAsia="仿宋_GB2312"/>
                <w:b/>
                <w:bCs/>
                <w:sz w:val="24"/>
              </w:rPr>
            </w:pPr>
          </w:p>
        </w:tc>
        <w:tc>
          <w:tcPr>
            <w:tcW w:w="1903" w:type="dxa"/>
            <w:gridSpan w:val="2"/>
            <w:vMerge w:val="continue"/>
            <w:noWrap w:val="0"/>
            <w:vAlign w:val="center"/>
          </w:tcPr>
          <w:p>
            <w:pPr>
              <w:adjustRightInd w:val="0"/>
              <w:snapToGrid w:val="0"/>
              <w:jc w:val="center"/>
              <w:rPr>
                <w:rFonts w:hint="eastAsia" w:ascii="仿宋_GB2312" w:eastAsia="仿宋_GB2312"/>
                <w:sz w:val="24"/>
              </w:rPr>
            </w:pPr>
          </w:p>
        </w:tc>
        <w:tc>
          <w:tcPr>
            <w:tcW w:w="803" w:type="dxa"/>
            <w:gridSpan w:val="2"/>
            <w:vMerge w:val="continue"/>
            <w:noWrap w:val="0"/>
            <w:vAlign w:val="center"/>
          </w:tcPr>
          <w:p>
            <w:pPr>
              <w:adjustRightInd w:val="0"/>
              <w:snapToGrid w:val="0"/>
              <w:jc w:val="center"/>
              <w:rPr>
                <w:rFonts w:hint="eastAsia" w:ascii="仿宋_GB2312" w:eastAsia="仿宋_GB2312"/>
                <w:sz w:val="24"/>
              </w:rPr>
            </w:pPr>
          </w:p>
        </w:tc>
        <w:tc>
          <w:tcPr>
            <w:tcW w:w="3640" w:type="dxa"/>
            <w:gridSpan w:val="3"/>
            <w:tcBorders>
              <w:top w:val="single" w:color="auto" w:sz="4" w:space="0"/>
            </w:tcBorders>
            <w:noWrap w:val="0"/>
            <w:vAlign w:val="center"/>
          </w:tcPr>
          <w:p>
            <w:pPr>
              <w:adjustRightInd w:val="0"/>
              <w:snapToGrid w:val="0"/>
              <w:ind w:left="114" w:right="104" w:firstLine="40"/>
              <w:rPr>
                <w:rFonts w:hint="eastAsia" w:ascii="仿宋_GB2312" w:hAnsi="仿宋" w:eastAsia="仿宋_GB2312" w:cs="仿宋"/>
                <w:sz w:val="24"/>
                <w:lang w:eastAsia="zh-Hans"/>
              </w:rPr>
            </w:pPr>
            <w:r>
              <w:rPr>
                <w:rFonts w:hint="eastAsia" w:ascii="仿宋_GB2312" w:hAnsi="仿宋" w:eastAsia="仿宋_GB2312" w:cs="仿宋"/>
                <w:sz w:val="24"/>
                <w:lang w:eastAsia="zh-Hans"/>
              </w:rPr>
              <w:t>未</w:t>
            </w:r>
            <w:r>
              <w:rPr>
                <w:rFonts w:hint="eastAsia" w:ascii="仿宋_GB2312" w:hAnsi="仿宋" w:eastAsia="仿宋_GB2312" w:cs="仿宋"/>
                <w:sz w:val="24"/>
              </w:rPr>
              <w:t>清缴碳排放配额的</w:t>
            </w:r>
          </w:p>
        </w:tc>
        <w:tc>
          <w:tcPr>
            <w:tcW w:w="1383" w:type="dxa"/>
            <w:gridSpan w:val="2"/>
            <w:tcBorders>
              <w:top w:val="single" w:color="auto" w:sz="4" w:space="0"/>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z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0" w:type="dxa"/>
            <w:gridSpan w:val="2"/>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违法频次</w:t>
            </w:r>
          </w:p>
        </w:tc>
        <w:tc>
          <w:tcPr>
            <w:tcW w:w="19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8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gridSpan w:val="3"/>
            <w:noWrap w:val="0"/>
            <w:vAlign w:val="center"/>
          </w:tcPr>
          <w:p>
            <w:pPr>
              <w:adjustRightInd w:val="0"/>
              <w:snapToGrid w:val="0"/>
              <w:ind w:left="121"/>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0" w:type="dxa"/>
            <w:gridSpan w:val="2"/>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gridSpan w:val="2"/>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gridSpan w:val="2"/>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gridSpan w:val="3"/>
            <w:noWrap w:val="0"/>
            <w:vAlign w:val="center"/>
          </w:tcPr>
          <w:p>
            <w:pPr>
              <w:adjustRightInd w:val="0"/>
              <w:snapToGrid w:val="0"/>
              <w:ind w:left="119"/>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0" w:type="dxa"/>
            <w:gridSpan w:val="2"/>
            <w:vMerge w:val="continue"/>
            <w:tcBorders>
              <w:top w:val="nil"/>
              <w:bottom w:val="nil"/>
            </w:tcBorders>
            <w:noWrap w:val="0"/>
            <w:vAlign w:val="center"/>
          </w:tcPr>
          <w:p>
            <w:pPr>
              <w:adjustRightInd w:val="0"/>
              <w:snapToGrid w:val="0"/>
              <w:jc w:val="center"/>
              <w:rPr>
                <w:rFonts w:hint="eastAsia" w:ascii="仿宋_GB2312" w:hAnsi="仿宋" w:eastAsia="仿宋_GB2312"/>
                <w:b/>
                <w:bCs/>
                <w:sz w:val="24"/>
              </w:rPr>
            </w:pPr>
          </w:p>
        </w:tc>
        <w:tc>
          <w:tcPr>
            <w:tcW w:w="1903" w:type="dxa"/>
            <w:gridSpan w:val="2"/>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gridSpan w:val="2"/>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gridSpan w:val="3"/>
            <w:noWrap w:val="0"/>
            <w:vAlign w:val="center"/>
          </w:tcPr>
          <w:p>
            <w:pPr>
              <w:adjustRightInd w:val="0"/>
              <w:snapToGrid w:val="0"/>
              <w:ind w:left="126"/>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0" w:type="dxa"/>
            <w:gridSpan w:val="2"/>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gridSpan w:val="3"/>
            <w:noWrap w:val="0"/>
            <w:vAlign w:val="center"/>
          </w:tcPr>
          <w:p>
            <w:pPr>
              <w:adjustRightInd w:val="0"/>
              <w:snapToGrid w:val="0"/>
              <w:ind w:left="131"/>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0" w:type="dxa"/>
            <w:gridSpan w:val="2"/>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整改情况</w:t>
            </w:r>
          </w:p>
        </w:tc>
        <w:tc>
          <w:tcPr>
            <w:tcW w:w="19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8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gridSpan w:val="3"/>
            <w:noWrap w:val="0"/>
            <w:vAlign w:val="center"/>
          </w:tcPr>
          <w:p>
            <w:pPr>
              <w:adjustRightInd w:val="0"/>
              <w:snapToGrid w:val="0"/>
              <w:ind w:left="113"/>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0" w:type="dxa"/>
            <w:gridSpan w:val="2"/>
            <w:vMerge w:val="continue"/>
            <w:tcBorders>
              <w:top w:val="nil"/>
              <w:bottom w:val="nil"/>
            </w:tcBorders>
            <w:noWrap w:val="0"/>
            <w:vAlign w:val="center"/>
          </w:tcPr>
          <w:p>
            <w:pPr>
              <w:adjustRightInd w:val="0"/>
              <w:snapToGrid w:val="0"/>
              <w:jc w:val="center"/>
              <w:rPr>
                <w:rFonts w:hint="eastAsia" w:ascii="仿宋_GB2312" w:hAnsi="仿宋" w:eastAsia="仿宋_GB2312"/>
                <w:b/>
                <w:bCs/>
                <w:sz w:val="28"/>
                <w:szCs w:val="28"/>
              </w:rPr>
            </w:pPr>
          </w:p>
        </w:tc>
        <w:tc>
          <w:tcPr>
            <w:tcW w:w="1903" w:type="dxa"/>
            <w:gridSpan w:val="2"/>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803" w:type="dxa"/>
            <w:gridSpan w:val="2"/>
            <w:vMerge w:val="continue"/>
            <w:tcBorders>
              <w:top w:val="nil"/>
              <w:bottom w:val="nil"/>
            </w:tcBorders>
            <w:noWrap w:val="0"/>
            <w:vAlign w:val="center"/>
          </w:tcPr>
          <w:p>
            <w:pPr>
              <w:adjustRightInd w:val="0"/>
              <w:snapToGrid w:val="0"/>
              <w:jc w:val="center"/>
              <w:rPr>
                <w:rFonts w:hint="eastAsia" w:ascii="仿宋_GB2312" w:eastAsia="仿宋_GB2312"/>
                <w:sz w:val="24"/>
              </w:rPr>
            </w:pPr>
          </w:p>
        </w:tc>
        <w:tc>
          <w:tcPr>
            <w:tcW w:w="3640" w:type="dxa"/>
            <w:gridSpan w:val="3"/>
            <w:noWrap w:val="0"/>
            <w:vAlign w:val="center"/>
          </w:tcPr>
          <w:p>
            <w:pPr>
              <w:adjustRightInd w:val="0"/>
              <w:snapToGrid w:val="0"/>
              <w:ind w:left="121"/>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0" w:type="dxa"/>
            <w:gridSpan w:val="2"/>
            <w:vMerge w:val="continue"/>
            <w:tcBorders>
              <w:top w:val="nil"/>
            </w:tcBorders>
            <w:noWrap w:val="0"/>
            <w:vAlign w:val="center"/>
          </w:tcPr>
          <w:p>
            <w:pPr>
              <w:adjustRightInd w:val="0"/>
              <w:snapToGrid w:val="0"/>
              <w:jc w:val="center"/>
              <w:rPr>
                <w:rFonts w:hint="eastAsia" w:ascii="仿宋_GB2312" w:hAnsi="仿宋" w:eastAsia="仿宋_GB2312"/>
                <w:b/>
                <w:bCs/>
                <w:sz w:val="28"/>
                <w:szCs w:val="28"/>
              </w:rPr>
            </w:pPr>
          </w:p>
        </w:tc>
        <w:tc>
          <w:tcPr>
            <w:tcW w:w="19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gridSpan w:val="3"/>
            <w:noWrap w:val="0"/>
            <w:vAlign w:val="center"/>
          </w:tcPr>
          <w:p>
            <w:pPr>
              <w:adjustRightInd w:val="0"/>
              <w:snapToGrid w:val="0"/>
              <w:ind w:left="125"/>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0" w:type="dxa"/>
            <w:gridSpan w:val="2"/>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配合调查</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取证情况</w:t>
            </w:r>
          </w:p>
        </w:tc>
        <w:tc>
          <w:tcPr>
            <w:tcW w:w="19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8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c>
          <w:tcPr>
            <w:tcW w:w="3640" w:type="dxa"/>
            <w:gridSpan w:val="3"/>
            <w:noWrap w:val="0"/>
            <w:vAlign w:val="center"/>
          </w:tcPr>
          <w:p>
            <w:pPr>
              <w:adjustRightInd w:val="0"/>
              <w:snapToGrid w:val="0"/>
              <w:ind w:left="118"/>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0" w:type="dxa"/>
            <w:gridSpan w:val="2"/>
            <w:vMerge w:val="continue"/>
            <w:tcBorders>
              <w:top w:val="nil"/>
            </w:tcBorders>
            <w:noWrap w:val="0"/>
            <w:vAlign w:val="center"/>
          </w:tcPr>
          <w:p>
            <w:pPr>
              <w:adjustRightInd w:val="0"/>
              <w:snapToGrid w:val="0"/>
              <w:jc w:val="center"/>
              <w:rPr>
                <w:rFonts w:hint="eastAsia" w:ascii="仿宋_GB2312" w:hAnsi="仿宋" w:eastAsia="仿宋_GB2312"/>
                <w:b/>
                <w:bCs/>
                <w:sz w:val="24"/>
              </w:rPr>
            </w:pPr>
          </w:p>
        </w:tc>
        <w:tc>
          <w:tcPr>
            <w:tcW w:w="19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803" w:type="dxa"/>
            <w:gridSpan w:val="2"/>
            <w:vMerge w:val="continue"/>
            <w:tcBorders>
              <w:top w:val="nil"/>
            </w:tcBorders>
            <w:noWrap w:val="0"/>
            <w:vAlign w:val="center"/>
          </w:tcPr>
          <w:p>
            <w:pPr>
              <w:adjustRightInd w:val="0"/>
              <w:snapToGrid w:val="0"/>
              <w:jc w:val="center"/>
              <w:rPr>
                <w:rFonts w:hint="eastAsia" w:ascii="仿宋_GB2312" w:eastAsia="仿宋_GB2312"/>
                <w:sz w:val="24"/>
              </w:rPr>
            </w:pPr>
          </w:p>
        </w:tc>
        <w:tc>
          <w:tcPr>
            <w:tcW w:w="3640" w:type="dxa"/>
            <w:gridSpan w:val="3"/>
            <w:noWrap w:val="0"/>
            <w:vAlign w:val="center"/>
          </w:tcPr>
          <w:p>
            <w:pPr>
              <w:adjustRightInd w:val="0"/>
              <w:snapToGrid w:val="0"/>
              <w:ind w:left="124"/>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0" w:type="dxa"/>
            <w:gridSpan w:val="2"/>
            <w:vMerge w:val="restart"/>
            <w:tcBorders>
              <w:bottom w:val="nil"/>
            </w:tcBorders>
            <w:noWrap w:val="0"/>
            <w:vAlign w:val="center"/>
          </w:tcPr>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对社会影响</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或生态破坏</w:t>
            </w:r>
          </w:p>
          <w:p>
            <w:pPr>
              <w:adjustRightInd w:val="0"/>
              <w:snapToGrid w:val="0"/>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803" w:type="dxa"/>
            <w:gridSpan w:val="2"/>
            <w:vMerge w:val="restart"/>
            <w:tcBorders>
              <w:bottom w:val="nil"/>
            </w:tcBorders>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c>
          <w:tcPr>
            <w:tcW w:w="3640" w:type="dxa"/>
            <w:gridSpan w:val="3"/>
            <w:noWrap w:val="0"/>
            <w:vAlign w:val="center"/>
          </w:tcPr>
          <w:p>
            <w:pPr>
              <w:adjustRightInd w:val="0"/>
              <w:snapToGrid w:val="0"/>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10" w:type="dxa"/>
            <w:gridSpan w:val="2"/>
            <w:vMerge w:val="continue"/>
            <w:tcBorders>
              <w:top w:val="nil"/>
            </w:tcBorders>
            <w:noWrap w:val="0"/>
            <w:vAlign w:val="center"/>
          </w:tcPr>
          <w:p>
            <w:pPr>
              <w:adjustRightInd w:val="0"/>
              <w:snapToGrid w:val="0"/>
              <w:rPr>
                <w:rFonts w:hint="eastAsia" w:ascii="仿宋_GB2312" w:eastAsia="仿宋_GB2312"/>
                <w:sz w:val="24"/>
              </w:rPr>
            </w:pPr>
          </w:p>
        </w:tc>
        <w:tc>
          <w:tcPr>
            <w:tcW w:w="1903" w:type="dxa"/>
            <w:gridSpan w:val="2"/>
            <w:vMerge w:val="continue"/>
            <w:tcBorders>
              <w:top w:val="nil"/>
            </w:tcBorders>
            <w:noWrap w:val="0"/>
            <w:vAlign w:val="center"/>
          </w:tcPr>
          <w:p>
            <w:pPr>
              <w:adjustRightInd w:val="0"/>
              <w:snapToGrid w:val="0"/>
              <w:rPr>
                <w:rFonts w:hint="eastAsia" w:ascii="仿宋_GB2312" w:eastAsia="仿宋_GB2312"/>
                <w:sz w:val="24"/>
              </w:rPr>
            </w:pPr>
          </w:p>
        </w:tc>
        <w:tc>
          <w:tcPr>
            <w:tcW w:w="803" w:type="dxa"/>
            <w:gridSpan w:val="2"/>
            <w:vMerge w:val="continue"/>
            <w:tcBorders>
              <w:top w:val="nil"/>
            </w:tcBorders>
            <w:noWrap w:val="0"/>
            <w:vAlign w:val="center"/>
          </w:tcPr>
          <w:p>
            <w:pPr>
              <w:adjustRightInd w:val="0"/>
              <w:snapToGrid w:val="0"/>
              <w:rPr>
                <w:rFonts w:hint="eastAsia" w:ascii="仿宋_GB2312" w:eastAsia="仿宋_GB2312"/>
                <w:sz w:val="24"/>
              </w:rPr>
            </w:pPr>
          </w:p>
        </w:tc>
        <w:tc>
          <w:tcPr>
            <w:tcW w:w="3640" w:type="dxa"/>
            <w:gridSpan w:val="3"/>
            <w:noWrap w:val="0"/>
            <w:vAlign w:val="center"/>
          </w:tcPr>
          <w:p>
            <w:pPr>
              <w:adjustRightInd w:val="0"/>
              <w:snapToGrid w:val="0"/>
              <w:spacing w:before="133"/>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383" w:type="dxa"/>
            <w:gridSpan w:val="2"/>
            <w:noWrap w:val="0"/>
            <w:vAlign w:val="center"/>
          </w:tcPr>
          <w:p>
            <w:pPr>
              <w:adjustRightInd w:val="0"/>
              <w:snapToGrid w:val="0"/>
              <w:jc w:val="center"/>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704" w:hRule="atLeast"/>
          <w:jc w:val="center"/>
        </w:trPr>
        <w:tc>
          <w:tcPr>
            <w:tcW w:w="9107" w:type="dxa"/>
            <w:gridSpan w:val="10"/>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widowControl/>
              <w:adjustRightInd w:val="0"/>
              <w:snapToGrid w:val="0"/>
              <w:ind w:left="147"/>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0" w:hRule="atLeast"/>
          <w:jc w:val="center"/>
        </w:trPr>
        <w:tc>
          <w:tcPr>
            <w:tcW w:w="1372"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735" w:type="dxa"/>
            <w:gridSpan w:val="9"/>
            <w:noWrap w:val="0"/>
            <w:vAlign w:val="center"/>
          </w:tcPr>
          <w:p>
            <w:pPr>
              <w:jc w:val="center"/>
              <w:rPr>
                <w:rFonts w:hint="eastAsia" w:ascii="仿宋_GB2312" w:hAnsi="仿宋" w:eastAsia="仿宋_GB2312"/>
                <w:b/>
                <w:sz w:val="24"/>
                <w:shd w:val="clear" w:color="auto" w:fill="FFFFFF"/>
              </w:rPr>
            </w:pPr>
            <w:r>
              <w:rPr>
                <w:rFonts w:ascii="仿宋_GB2312" w:hAnsi="仿宋" w:eastAsia="仿宋_GB2312"/>
                <w:bCs/>
                <w:sz w:val="24"/>
                <w:shd w:val="clear" w:color="auto" w:fill="FFFFFF"/>
              </w:rPr>
              <w:t>20</w:t>
            </w:r>
            <w:r>
              <w:rPr>
                <w:rFonts w:hint="eastAsia" w:ascii="仿宋_GB2312" w:hAnsi="仿宋" w:eastAsia="仿宋_GB2312"/>
                <w:bCs/>
                <w:sz w:val="24"/>
                <w:shd w:val="clear" w:color="auto" w:fill="FFFFFF"/>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730" w:hRule="atLeast"/>
          <w:jc w:val="center"/>
        </w:trPr>
        <w:tc>
          <w:tcPr>
            <w:tcW w:w="1372"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735" w:type="dxa"/>
            <w:gridSpan w:val="9"/>
            <w:noWrap w:val="0"/>
            <w:vAlign w:val="center"/>
          </w:tcPr>
          <w:p>
            <w:pPr>
              <w:adjustRightInd w:val="0"/>
              <w:snapToGrid w:val="0"/>
              <w:rPr>
                <w:rFonts w:hint="eastAsia" w:ascii="仿宋_GB2312" w:hAnsi="仿宋" w:eastAsia="仿宋_GB2312"/>
                <w:color w:val="0F0F0F"/>
                <w:sz w:val="24"/>
                <w:shd w:val="clear" w:color="auto" w:fill="FFFFFF"/>
              </w:rPr>
            </w:pPr>
            <w:r>
              <w:rPr>
                <w:rFonts w:hint="eastAsia" w:ascii="仿宋_GB2312" w:hAnsi="仿宋" w:eastAsia="仿宋_GB2312"/>
                <w:sz w:val="24"/>
                <w:shd w:val="clear" w:color="auto" w:fill="FFFFFF"/>
              </w:rPr>
              <w:t>未按照规定安装、使用大气污染物排放自动监测设备或者未按照规定与生态环境主管部门的监控设备联网，并保证监测设备正常运行的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210" w:hRule="atLeast"/>
          <w:jc w:val="center"/>
        </w:trPr>
        <w:tc>
          <w:tcPr>
            <w:tcW w:w="1372"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735" w:type="dxa"/>
            <w:gridSpan w:val="9"/>
            <w:noWrap w:val="0"/>
            <w:vAlign w:val="center"/>
          </w:tcPr>
          <w:p>
            <w:pP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rPr>
                <w:rFonts w:hint="eastAsia" w:ascii="仿宋_GB2312" w:hAnsi="仿宋" w:eastAsia="仿宋_GB2312"/>
                <w:sz w:val="24"/>
                <w:shd w:val="clear" w:color="auto" w:fill="FFFFFF"/>
              </w:rPr>
            </w:pPr>
            <w:r>
              <w:rPr>
                <w:rFonts w:hint="eastAsia" w:ascii="仿宋_GB2312" w:hAnsi="仿宋_GB2312" w:eastAsia="仿宋_GB2312" w:cs="仿宋_GB2312"/>
                <w:b/>
                <w:bCs/>
                <w:sz w:val="24"/>
                <w:szCs w:val="32"/>
                <w:shd w:val="clear" w:color="auto" w:fill="FFFFFF"/>
              </w:rPr>
              <w:t>第四条</w:t>
            </w:r>
            <w:r>
              <w:rPr>
                <w:rFonts w:ascii="仿宋_GB2312" w:hAnsi="仿宋_GB2312" w:eastAsia="仿宋_GB2312" w:cs="仿宋_GB2312"/>
                <w:b/>
                <w:bCs/>
                <w:sz w:val="24"/>
                <w:szCs w:val="32"/>
                <w:shd w:val="clear" w:color="auto" w:fill="FFFFFF"/>
              </w:rPr>
              <w:t xml:space="preserve"> </w:t>
            </w:r>
            <w:r>
              <w:rPr>
                <w:rFonts w:hint="eastAsia" w:ascii="仿宋_GB2312" w:hAnsi="仿宋" w:eastAsia="仿宋_GB2312"/>
                <w:sz w:val="24"/>
                <w:shd w:val="clear" w:color="auto" w:fill="FFFFFF"/>
              </w:rPr>
              <w:t>列入名录的重点排污单位和市生态环境主管部门确定的其他排污单位，应当安装、使用大气污染物排放自动监测设备，与生态环境主管部门的监控设备联网。</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（一）未按照规定安装、使用大气污染物排放自动监测设备或者未按照规定与生态环境主管部门的监控设备联网，并保证监测设备正常运行的；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69" w:hRule="atLeast"/>
          <w:jc w:val="center"/>
        </w:trPr>
        <w:tc>
          <w:tcPr>
            <w:tcW w:w="4055" w:type="dxa"/>
            <w:gridSpan w:val="5"/>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5052" w:type="dxa"/>
            <w:gridSpan w:val="5"/>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29" w:hRule="atLeast"/>
          <w:jc w:val="center"/>
        </w:trPr>
        <w:tc>
          <w:tcPr>
            <w:tcW w:w="1372" w:type="dxa"/>
            <w:noWrap w:val="0"/>
            <w:vAlign w:val="center"/>
          </w:tcPr>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要素</w:t>
            </w:r>
          </w:p>
        </w:tc>
        <w:tc>
          <w:tcPr>
            <w:tcW w:w="1806" w:type="dxa"/>
            <w:gridSpan w:val="2"/>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具体条件</w:t>
            </w:r>
          </w:p>
        </w:tc>
        <w:tc>
          <w:tcPr>
            <w:tcW w:w="877" w:type="dxa"/>
            <w:gridSpan w:val="2"/>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构成</w:t>
            </w:r>
          </w:p>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比例</w:t>
            </w:r>
          </w:p>
        </w:tc>
        <w:tc>
          <w:tcPr>
            <w:tcW w:w="3618" w:type="dxa"/>
            <w:gridSpan w:val="3"/>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程度</w:t>
            </w:r>
          </w:p>
        </w:tc>
        <w:tc>
          <w:tcPr>
            <w:tcW w:w="1434" w:type="dxa"/>
            <w:gridSpan w:val="2"/>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0" w:hRule="atLeast"/>
          <w:jc w:val="center"/>
        </w:trPr>
        <w:tc>
          <w:tcPr>
            <w:tcW w:w="1372" w:type="dxa"/>
            <w:vMerge w:val="restart"/>
            <w:noWrap w:val="0"/>
            <w:vAlign w:val="center"/>
          </w:tcPr>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对环境影响程度</w:t>
            </w:r>
          </w:p>
        </w:tc>
        <w:tc>
          <w:tcPr>
            <w:tcW w:w="1806" w:type="dxa"/>
            <w:gridSpan w:val="2"/>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违法行为类型</w:t>
            </w:r>
          </w:p>
        </w:tc>
        <w:tc>
          <w:tcPr>
            <w:tcW w:w="877" w:type="dxa"/>
            <w:gridSpan w:val="2"/>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1456" w:type="dxa"/>
            <w:gridSpan w:val="2"/>
            <w:vMerge w:val="restart"/>
            <w:noWrap w:val="0"/>
            <w:vAlign w:val="center"/>
          </w:tcPr>
          <w:p>
            <w:pPr>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未按照规定安装、联网、验收自动监控设备</w:t>
            </w:r>
          </w:p>
        </w:tc>
        <w:tc>
          <w:tcPr>
            <w:tcW w:w="2162"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已安装且联网，但未通过验收</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35" w:hRule="atLeast"/>
          <w:jc w:val="center"/>
        </w:trPr>
        <w:tc>
          <w:tcPr>
            <w:tcW w:w="1372" w:type="dxa"/>
            <w:vMerge w:val="continue"/>
            <w:noWrap w:val="0"/>
            <w:vAlign w:val="center"/>
          </w:tcPr>
          <w:p>
            <w:pPr>
              <w:jc w:val="center"/>
              <w:rPr>
                <w:rFonts w:hint="eastAsia" w:ascii="仿宋_GB2312" w:hAnsi="仿宋_GB2312" w:eastAsia="仿宋_GB2312" w:cs="仿宋_GB2312"/>
                <w:b/>
                <w:bCs/>
                <w:sz w:val="24"/>
                <w:shd w:val="clear" w:color="auto" w:fill="FFFFFF"/>
              </w:rPr>
            </w:pPr>
          </w:p>
        </w:tc>
        <w:tc>
          <w:tcPr>
            <w:tcW w:w="1806"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 w:eastAsia="仿宋_GB2312"/>
                <w:sz w:val="24"/>
                <w:shd w:val="clear" w:color="auto" w:fill="FFFFFF"/>
              </w:rPr>
            </w:pPr>
          </w:p>
        </w:tc>
        <w:tc>
          <w:tcPr>
            <w:tcW w:w="1456" w:type="dxa"/>
            <w:gridSpan w:val="2"/>
            <w:vMerge w:val="continue"/>
            <w:noWrap w:val="0"/>
            <w:vAlign w:val="top"/>
          </w:tcPr>
          <w:p>
            <w:pPr>
              <w:jc w:val="center"/>
              <w:rPr>
                <w:rFonts w:hint="eastAsia" w:ascii="仿宋_GB2312" w:hAnsi="仿宋_GB2312" w:eastAsia="仿宋_GB2312" w:cs="仿宋_GB2312"/>
                <w:sz w:val="24"/>
                <w:shd w:val="clear" w:color="auto" w:fill="FFFFFF"/>
              </w:rPr>
            </w:pPr>
          </w:p>
        </w:tc>
        <w:tc>
          <w:tcPr>
            <w:tcW w:w="2162"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已安装但未联网</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11%</w:t>
            </w:r>
            <w:r>
              <w:rPr>
                <w:rFonts w:hint="eastAsia" w:ascii="仿宋_GB2312" w:hAnsi="仿宋_GB2312" w:eastAsia="仿宋_GB2312" w:cs="仿宋_GB2312"/>
                <w:sz w:val="24"/>
                <w:szCs w:val="32"/>
              </w:rPr>
              <w:t>-</w:t>
            </w: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8" w:hRule="atLeast"/>
          <w:jc w:val="center"/>
        </w:trPr>
        <w:tc>
          <w:tcPr>
            <w:tcW w:w="1372" w:type="dxa"/>
            <w:vMerge w:val="continue"/>
            <w:noWrap w:val="0"/>
            <w:vAlign w:val="center"/>
          </w:tcPr>
          <w:p>
            <w:pPr>
              <w:jc w:val="center"/>
              <w:rPr>
                <w:rFonts w:hint="eastAsia" w:ascii="仿宋_GB2312" w:hAnsi="仿宋_GB2312" w:eastAsia="仿宋_GB2312" w:cs="仿宋_GB2312"/>
                <w:b/>
                <w:bCs/>
                <w:sz w:val="24"/>
                <w:shd w:val="clear" w:color="auto" w:fill="FFFFFF"/>
              </w:rPr>
            </w:pPr>
          </w:p>
        </w:tc>
        <w:tc>
          <w:tcPr>
            <w:tcW w:w="1806"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 w:eastAsia="仿宋_GB2312"/>
                <w:sz w:val="24"/>
                <w:shd w:val="clear" w:color="auto" w:fill="FFFFFF"/>
              </w:rPr>
            </w:pPr>
          </w:p>
        </w:tc>
        <w:tc>
          <w:tcPr>
            <w:tcW w:w="1456" w:type="dxa"/>
            <w:gridSpan w:val="2"/>
            <w:vMerge w:val="continue"/>
            <w:noWrap w:val="0"/>
            <w:vAlign w:val="top"/>
          </w:tcPr>
          <w:p>
            <w:pPr>
              <w:jc w:val="center"/>
              <w:rPr>
                <w:rFonts w:hint="eastAsia" w:ascii="仿宋_GB2312" w:hAnsi="仿宋_GB2312" w:eastAsia="仿宋_GB2312" w:cs="仿宋_GB2312"/>
                <w:sz w:val="24"/>
                <w:shd w:val="clear" w:color="auto" w:fill="FFFFFF"/>
              </w:rPr>
            </w:pPr>
          </w:p>
        </w:tc>
        <w:tc>
          <w:tcPr>
            <w:tcW w:w="2162"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未安装</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21%</w:t>
            </w:r>
            <w:r>
              <w:rPr>
                <w:rFonts w:hint="eastAsia" w:ascii="仿宋_GB2312" w:hAnsi="仿宋_GB2312" w:eastAsia="仿宋_GB2312" w:cs="仿宋_GB2312"/>
                <w:sz w:val="24"/>
                <w:szCs w:val="32"/>
              </w:rPr>
              <w:t>-</w:t>
            </w:r>
            <w:r>
              <w:rPr>
                <w:rFonts w:hint="eastAsia" w:ascii="仿宋_GB2312" w:hAnsi="仿宋_GB2312" w:eastAsia="仿宋_GB2312" w:cs="仿宋_GB2312"/>
                <w:sz w:val="24"/>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18" w:hRule="atLeast"/>
          <w:jc w:val="center"/>
        </w:trPr>
        <w:tc>
          <w:tcPr>
            <w:tcW w:w="1372" w:type="dxa"/>
            <w:vMerge w:val="continue"/>
            <w:noWrap w:val="0"/>
            <w:vAlign w:val="center"/>
          </w:tcPr>
          <w:p>
            <w:pPr>
              <w:jc w:val="center"/>
              <w:rPr>
                <w:rFonts w:hint="eastAsia" w:ascii="仿宋_GB2312" w:hAnsi="仿宋_GB2312" w:eastAsia="仿宋_GB2312" w:cs="仿宋_GB2312"/>
                <w:b/>
                <w:bCs/>
                <w:sz w:val="24"/>
                <w:shd w:val="clear" w:color="auto" w:fill="FFFFFF"/>
              </w:rPr>
            </w:pPr>
          </w:p>
        </w:tc>
        <w:tc>
          <w:tcPr>
            <w:tcW w:w="1806"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 w:eastAsia="仿宋_GB2312"/>
                <w:sz w:val="24"/>
                <w:shd w:val="clear" w:color="auto" w:fill="FFFFFF"/>
              </w:rPr>
            </w:pPr>
          </w:p>
        </w:tc>
        <w:tc>
          <w:tcPr>
            <w:tcW w:w="3618" w:type="dxa"/>
            <w:gridSpan w:val="3"/>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未按照规定使用自动监测设备</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62" w:hRule="atLeast"/>
          <w:jc w:val="center"/>
        </w:trPr>
        <w:tc>
          <w:tcPr>
            <w:tcW w:w="137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违法频次</w:t>
            </w:r>
          </w:p>
        </w:tc>
        <w:tc>
          <w:tcPr>
            <w:tcW w:w="1806"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一年内违法</w:t>
            </w:r>
          </w:p>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次数</w:t>
            </w:r>
          </w:p>
        </w:tc>
        <w:tc>
          <w:tcPr>
            <w:tcW w:w="877" w:type="dxa"/>
            <w:gridSpan w:val="2"/>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c>
          <w:tcPr>
            <w:tcW w:w="3618" w:type="dxa"/>
            <w:gridSpan w:val="3"/>
            <w:noWrap w:val="0"/>
            <w:vAlign w:val="center"/>
          </w:tcPr>
          <w:p>
            <w:pP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首次实施违法行为的</w:t>
            </w:r>
          </w:p>
        </w:tc>
        <w:tc>
          <w:tcPr>
            <w:tcW w:w="1434" w:type="dxa"/>
            <w:gridSpan w:val="2"/>
            <w:noWrap w:val="0"/>
            <w:vAlign w:val="center"/>
          </w:tcPr>
          <w:p>
            <w:pPr>
              <w:jc w:val="cente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0" w:hRule="atLeast"/>
          <w:jc w:val="center"/>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hd w:val="clear" w:color="auto" w:fill="FFFFFF"/>
              </w:rPr>
            </w:pPr>
          </w:p>
        </w:tc>
        <w:tc>
          <w:tcPr>
            <w:tcW w:w="1806"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3618" w:type="dxa"/>
            <w:gridSpan w:val="3"/>
            <w:noWrap w:val="0"/>
            <w:vAlign w:val="center"/>
          </w:tcPr>
          <w:p>
            <w:pP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再次实施违法行为的</w:t>
            </w:r>
          </w:p>
        </w:tc>
        <w:tc>
          <w:tcPr>
            <w:tcW w:w="1434" w:type="dxa"/>
            <w:gridSpan w:val="2"/>
            <w:noWrap w:val="0"/>
            <w:vAlign w:val="center"/>
          </w:tcPr>
          <w:p>
            <w:pPr>
              <w:jc w:val="cente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0" w:hRule="atLeast"/>
          <w:jc w:val="center"/>
        </w:trPr>
        <w:tc>
          <w:tcPr>
            <w:tcW w:w="1372" w:type="dxa"/>
            <w:vMerge w:val="continue"/>
            <w:tcBorders>
              <w:right w:val="single" w:color="auto" w:sz="4" w:space="0"/>
            </w:tcBorders>
            <w:noWrap w:val="0"/>
            <w:vAlign w:val="center"/>
          </w:tcPr>
          <w:p>
            <w:pPr>
              <w:jc w:val="center"/>
              <w:rPr>
                <w:rFonts w:hint="eastAsia" w:ascii="仿宋_GB2312" w:eastAsia="仿宋_GB2312"/>
                <w:sz w:val="24"/>
                <w:shd w:val="clear" w:color="auto" w:fill="FFFFFF"/>
              </w:rPr>
            </w:pPr>
          </w:p>
        </w:tc>
        <w:tc>
          <w:tcPr>
            <w:tcW w:w="1806" w:type="dxa"/>
            <w:gridSpan w:val="2"/>
            <w:vMerge w:val="continue"/>
            <w:tcBorders>
              <w:left w:val="single" w:color="auto" w:sz="4" w:space="0"/>
            </w:tcBorders>
            <w:noWrap w:val="0"/>
            <w:vAlign w:val="center"/>
          </w:tcPr>
          <w:p>
            <w:pPr>
              <w:jc w:val="center"/>
              <w:rPr>
                <w:rFonts w:hint="eastAsia" w:ascii="仿宋_GB2312" w:eastAsia="仿宋_GB2312"/>
                <w:sz w:val="24"/>
                <w:shd w:val="clear" w:color="auto" w:fill="FFFFFF"/>
              </w:rPr>
            </w:pPr>
          </w:p>
        </w:tc>
        <w:tc>
          <w:tcPr>
            <w:tcW w:w="877" w:type="dxa"/>
            <w:gridSpan w:val="2"/>
            <w:vMerge w:val="continue"/>
            <w:noWrap w:val="0"/>
            <w:vAlign w:val="center"/>
          </w:tcPr>
          <w:p>
            <w:pPr>
              <w:jc w:val="center"/>
              <w:rPr>
                <w:rFonts w:hint="eastAsia" w:ascii="仿宋_GB2312" w:eastAsia="仿宋_GB2312"/>
                <w:sz w:val="24"/>
                <w:shd w:val="clear" w:color="auto" w:fill="FFFFFF"/>
              </w:rPr>
            </w:pPr>
          </w:p>
        </w:tc>
        <w:tc>
          <w:tcPr>
            <w:tcW w:w="3618" w:type="dxa"/>
            <w:gridSpan w:val="3"/>
            <w:noWrap w:val="0"/>
            <w:vAlign w:val="center"/>
          </w:tcPr>
          <w:p>
            <w:pP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第三次实施违法行为的</w:t>
            </w:r>
          </w:p>
        </w:tc>
        <w:tc>
          <w:tcPr>
            <w:tcW w:w="1434" w:type="dxa"/>
            <w:gridSpan w:val="2"/>
            <w:noWrap w:val="0"/>
            <w:vAlign w:val="center"/>
          </w:tcPr>
          <w:p>
            <w:pPr>
              <w:jc w:val="cente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0" w:hRule="atLeast"/>
          <w:jc w:val="center"/>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1806"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3618" w:type="dxa"/>
            <w:gridSpan w:val="3"/>
            <w:noWrap w:val="0"/>
            <w:vAlign w:val="center"/>
          </w:tcPr>
          <w:p>
            <w:pP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三次以上实施违法行为的</w:t>
            </w:r>
          </w:p>
        </w:tc>
        <w:tc>
          <w:tcPr>
            <w:tcW w:w="1434" w:type="dxa"/>
            <w:gridSpan w:val="2"/>
            <w:noWrap w:val="0"/>
            <w:vAlign w:val="center"/>
          </w:tcPr>
          <w:p>
            <w:pPr>
              <w:jc w:val="center"/>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1" w:hRule="atLeast"/>
          <w:jc w:val="center"/>
        </w:trPr>
        <w:tc>
          <w:tcPr>
            <w:tcW w:w="137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整改情况</w:t>
            </w:r>
          </w:p>
        </w:tc>
        <w:tc>
          <w:tcPr>
            <w:tcW w:w="1806"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是否完成整改</w:t>
            </w:r>
          </w:p>
        </w:tc>
        <w:tc>
          <w:tcPr>
            <w:tcW w:w="877" w:type="dxa"/>
            <w:gridSpan w:val="2"/>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c>
          <w:tcPr>
            <w:tcW w:w="3618" w:type="dxa"/>
            <w:gridSpan w:val="3"/>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全面整改并停止违法行为的</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2" w:hRule="atLeast"/>
          <w:jc w:val="center"/>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hd w:val="clear" w:color="auto" w:fill="FFFFFF"/>
              </w:rPr>
            </w:pPr>
          </w:p>
        </w:tc>
        <w:tc>
          <w:tcPr>
            <w:tcW w:w="1806"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3618" w:type="dxa"/>
            <w:gridSpan w:val="3"/>
            <w:noWrap w:val="0"/>
            <w:vAlign w:val="center"/>
          </w:tcPr>
          <w:p>
            <w:pPr>
              <w:ind w:right="-275" w:rightChars="-131"/>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正在整改但违法行为未完全消除的</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1" w:hRule="atLeast"/>
          <w:jc w:val="center"/>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hd w:val="clear" w:color="auto" w:fill="FFFFFF"/>
              </w:rPr>
            </w:pPr>
          </w:p>
        </w:tc>
        <w:tc>
          <w:tcPr>
            <w:tcW w:w="1806"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3618" w:type="dxa"/>
            <w:gridSpan w:val="3"/>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复查时未采取整改措施的</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2" w:hRule="atLeast"/>
          <w:jc w:val="center"/>
        </w:trPr>
        <w:tc>
          <w:tcPr>
            <w:tcW w:w="1372"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配合调查</w:t>
            </w:r>
          </w:p>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取证情况</w:t>
            </w:r>
          </w:p>
        </w:tc>
        <w:tc>
          <w:tcPr>
            <w:tcW w:w="1806" w:type="dxa"/>
            <w:gridSpan w:val="2"/>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是否配合执法</w:t>
            </w:r>
          </w:p>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检查</w:t>
            </w:r>
          </w:p>
        </w:tc>
        <w:tc>
          <w:tcPr>
            <w:tcW w:w="877" w:type="dxa"/>
            <w:gridSpan w:val="2"/>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c>
          <w:tcPr>
            <w:tcW w:w="3618" w:type="dxa"/>
            <w:gridSpan w:val="3"/>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不配合检查的</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1" w:hRule="atLeast"/>
          <w:jc w:val="center"/>
        </w:trPr>
        <w:tc>
          <w:tcPr>
            <w:tcW w:w="1372"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hd w:val="clear" w:color="auto" w:fill="FFFFFF"/>
              </w:rPr>
            </w:pPr>
          </w:p>
        </w:tc>
        <w:tc>
          <w:tcPr>
            <w:tcW w:w="1806" w:type="dxa"/>
            <w:gridSpan w:val="2"/>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3618" w:type="dxa"/>
            <w:gridSpan w:val="3"/>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配合检查的</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2" w:hRule="atLeast"/>
          <w:jc w:val="center"/>
        </w:trPr>
        <w:tc>
          <w:tcPr>
            <w:tcW w:w="1372" w:type="dxa"/>
            <w:vMerge w:val="restart"/>
            <w:noWrap w:val="0"/>
            <w:vAlign w:val="center"/>
          </w:tcPr>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对社会影响或生态破坏程度</w:t>
            </w:r>
          </w:p>
        </w:tc>
        <w:tc>
          <w:tcPr>
            <w:tcW w:w="1806" w:type="dxa"/>
            <w:gridSpan w:val="2"/>
            <w:vMerge w:val="restart"/>
            <w:noWrap w:val="0"/>
            <w:vAlign w:val="center"/>
          </w:tcPr>
          <w:p>
            <w:pPr>
              <w:ind w:left="-199" w:leftChars="-95" w:right="-225" w:rightChars="-107"/>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是否造成社会影</w:t>
            </w:r>
          </w:p>
          <w:p>
            <w:pPr>
              <w:ind w:left="-199" w:leftChars="-95" w:right="-225" w:rightChars="-107"/>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响或生态破坏</w:t>
            </w:r>
          </w:p>
        </w:tc>
        <w:tc>
          <w:tcPr>
            <w:tcW w:w="877" w:type="dxa"/>
            <w:gridSpan w:val="2"/>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c>
          <w:tcPr>
            <w:tcW w:w="3618" w:type="dxa"/>
            <w:gridSpan w:val="3"/>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造成社会影响或生态破坏的</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2" w:hRule="atLeast"/>
          <w:jc w:val="center"/>
        </w:trPr>
        <w:tc>
          <w:tcPr>
            <w:tcW w:w="1372" w:type="dxa"/>
            <w:vMerge w:val="continue"/>
            <w:noWrap w:val="0"/>
            <w:vAlign w:val="center"/>
          </w:tcPr>
          <w:p>
            <w:pPr>
              <w:jc w:val="center"/>
              <w:rPr>
                <w:rFonts w:hint="eastAsia" w:ascii="仿宋_GB2312" w:hAnsi="仿宋_GB2312" w:eastAsia="仿宋_GB2312" w:cs="仿宋_GB2312"/>
                <w:b/>
                <w:bCs/>
                <w:sz w:val="24"/>
                <w:szCs w:val="32"/>
                <w:shd w:val="clear" w:color="auto" w:fill="FFFFFF"/>
              </w:rPr>
            </w:pPr>
          </w:p>
        </w:tc>
        <w:tc>
          <w:tcPr>
            <w:tcW w:w="1806" w:type="dxa"/>
            <w:gridSpan w:val="2"/>
            <w:vMerge w:val="continue"/>
            <w:noWrap w:val="0"/>
            <w:vAlign w:val="center"/>
          </w:tcPr>
          <w:p>
            <w:pPr>
              <w:jc w:val="center"/>
              <w:rPr>
                <w:rFonts w:hint="eastAsia" w:ascii="仿宋_GB2312" w:hAnsi="仿宋_GB2312" w:eastAsia="仿宋_GB2312" w:cs="仿宋_GB2312"/>
                <w:sz w:val="24"/>
                <w:shd w:val="clear" w:color="auto" w:fill="FFFFFF"/>
              </w:rPr>
            </w:pPr>
          </w:p>
        </w:tc>
        <w:tc>
          <w:tcPr>
            <w:tcW w:w="877" w:type="dxa"/>
            <w:gridSpan w:val="2"/>
            <w:vMerge w:val="continue"/>
            <w:noWrap w:val="0"/>
            <w:vAlign w:val="center"/>
          </w:tcPr>
          <w:p>
            <w:pPr>
              <w:rPr>
                <w:rFonts w:hint="eastAsia" w:ascii="仿宋_GB2312" w:hAnsi="仿宋_GB2312" w:eastAsia="仿宋_GB2312" w:cs="仿宋_GB2312"/>
                <w:sz w:val="24"/>
                <w:shd w:val="clear" w:color="auto" w:fill="FFFFFF"/>
              </w:rPr>
            </w:pPr>
          </w:p>
        </w:tc>
        <w:tc>
          <w:tcPr>
            <w:tcW w:w="3618" w:type="dxa"/>
            <w:gridSpan w:val="3"/>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未造成社会影响与生态破坏的</w:t>
            </w:r>
          </w:p>
        </w:tc>
        <w:tc>
          <w:tcPr>
            <w:tcW w:w="1434"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bl>
    <w:p>
      <w:pPr>
        <w:rPr>
          <w:sz w:val="10"/>
          <w:szCs w:val="10"/>
        </w:rPr>
      </w:pPr>
      <w:r>
        <w:br w:type="page"/>
      </w:r>
    </w:p>
    <w:tbl>
      <w:tblPr>
        <w:tblStyle w:val="9"/>
        <w:tblW w:w="907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1355"/>
        <w:gridCol w:w="70"/>
        <w:gridCol w:w="1802"/>
        <w:gridCol w:w="877"/>
        <w:gridCol w:w="3830"/>
        <w:gridCol w:w="1111"/>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077" w:type="dxa"/>
            <w:gridSpan w:val="8"/>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widowControl/>
              <w:adjustRightInd w:val="0"/>
              <w:snapToGrid w:val="0"/>
              <w:ind w:left="147"/>
              <w:jc w:val="center"/>
              <w:rPr>
                <w:rFonts w:ascii="宋体" w:hAnsi="宋体"/>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706" w:type="dxa"/>
            <w:gridSpan w:val="6"/>
            <w:noWrap w:val="0"/>
            <w:vAlign w:val="center"/>
          </w:tcPr>
          <w:p>
            <w:pPr>
              <w:jc w:val="center"/>
              <w:rPr>
                <w:rFonts w:ascii="仿宋_GB2312" w:hAnsi="仿宋" w:eastAsia="仿宋_GB2312"/>
                <w:b/>
                <w:sz w:val="24"/>
                <w:shd w:val="clear" w:color="auto" w:fill="FFFFFF"/>
              </w:rPr>
            </w:pPr>
            <w:r>
              <w:rPr>
                <w:rFonts w:ascii="仿宋_GB2312" w:hAnsi="仿宋" w:eastAsia="仿宋_GB2312"/>
                <w:bCs/>
                <w:sz w:val="24"/>
                <w:shd w:val="clear" w:color="auto" w:fill="FFFFFF"/>
              </w:rPr>
              <w:t>2</w:t>
            </w:r>
            <w:r>
              <w:rPr>
                <w:rFonts w:hint="eastAsia" w:ascii="仿宋_GB2312" w:hAnsi="仿宋" w:eastAsia="仿宋_GB2312"/>
                <w:bCs/>
                <w:sz w:val="24"/>
                <w:shd w:val="clear" w:color="auto" w:fill="FFFFFF"/>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71"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706" w:type="dxa"/>
            <w:gridSpan w:val="6"/>
            <w:noWrap w:val="0"/>
            <w:vAlign w:val="center"/>
          </w:tcPr>
          <w:p>
            <w:pPr>
              <w:adjustRightInd w:val="0"/>
              <w:snapToGrid w:val="0"/>
              <w:rPr>
                <w:rFonts w:hint="eastAsia" w:ascii="仿宋_GB2312" w:hAnsi="仿宋" w:eastAsia="仿宋_GB2312"/>
                <w:color w:val="0F0F0F"/>
                <w:sz w:val="24"/>
                <w:shd w:val="clear" w:color="auto" w:fill="FFFFFF"/>
              </w:rPr>
            </w:pPr>
            <w:r>
              <w:rPr>
                <w:rFonts w:hint="eastAsia" w:ascii="仿宋_GB2312" w:hAnsi="仿宋" w:eastAsia="仿宋_GB2312"/>
                <w:sz w:val="24"/>
                <w:shd w:val="clear" w:color="auto" w:fill="FFFFFF"/>
              </w:rPr>
              <w:t>自动监测设备因故障不能正常运行，排污单位未按照规定向生态环境主管部门报告的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371"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706" w:type="dxa"/>
            <w:gridSpan w:val="6"/>
            <w:noWrap w:val="0"/>
            <w:vAlign w:val="center"/>
          </w:tcPr>
          <w:p>
            <w:pPr>
              <w:adjustRightInd w:val="0"/>
              <w:snapToGrid w:val="0"/>
              <w:spacing w:line="340" w:lineRule="exact"/>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spacing w:line="340" w:lineRule="exact"/>
              <w:rPr>
                <w:rFonts w:hint="eastAsia" w:ascii="仿宋_GB2312" w:hAnsi="仿宋" w:eastAsia="仿宋_GB2312"/>
                <w:sz w:val="24"/>
                <w:shd w:val="clear" w:color="auto" w:fill="FFFFFF"/>
              </w:rPr>
            </w:pPr>
            <w:r>
              <w:rPr>
                <w:rFonts w:hint="eastAsia" w:ascii="仿宋_GB2312" w:hAnsi="仿宋_GB2312" w:eastAsia="仿宋_GB2312" w:cs="仿宋_GB2312"/>
                <w:b/>
                <w:bCs/>
                <w:sz w:val="24"/>
                <w:szCs w:val="32"/>
                <w:shd w:val="clear" w:color="auto" w:fill="FFFFFF"/>
              </w:rPr>
              <w:t>第四条</w:t>
            </w:r>
            <w:r>
              <w:rPr>
                <w:rFonts w:ascii="仿宋_GB2312" w:hAnsi="仿宋" w:eastAsia="仿宋_GB2312"/>
                <w:sz w:val="24"/>
                <w:shd w:val="clear" w:color="auto" w:fill="FFFFFF"/>
              </w:rPr>
              <w:t xml:space="preserve"> </w:t>
            </w:r>
            <w:r>
              <w:rPr>
                <w:rFonts w:hint="eastAsia" w:ascii="仿宋_GB2312" w:hAnsi="仿宋" w:eastAsia="仿宋_GB2312"/>
                <w:sz w:val="24"/>
                <w:shd w:val="clear" w:color="auto" w:fill="FFFFFF"/>
              </w:rPr>
              <w:t>列入名录的重点排污单位和市生态环境主管部门确定的其他排污单位，应当安装、使用大气污染物排放自动监测设备，与生态环境主管部门的监控设备联网。</w:t>
            </w:r>
          </w:p>
          <w:p>
            <w:pPr>
              <w:adjustRightInd w:val="0"/>
              <w:snapToGrid w:val="0"/>
              <w:spacing w:line="340" w:lineRule="exact"/>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adjustRightInd w:val="0"/>
              <w:snapToGrid w:val="0"/>
              <w:spacing w:line="340" w:lineRule="exact"/>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（二）自动监测设备因故障不能正常运行，排污单位未按照规定向生态环境主管部门报告的；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120" w:type="dxa"/>
            <w:gridSpan w:val="5"/>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4957" w:type="dxa"/>
            <w:gridSpan w:val="3"/>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71" w:type="dxa"/>
            <w:gridSpan w:val="2"/>
            <w:noWrap w:val="0"/>
            <w:vAlign w:val="center"/>
          </w:tcPr>
          <w:p>
            <w:pPr>
              <w:jc w:val="center"/>
              <w:rPr>
                <w:rFonts w:hint="eastAsia" w:ascii="仿宋_GB2312" w:hAnsi="仿宋_GB2312" w:eastAsia="仿宋_GB2312" w:cs="仿宋_GB2312"/>
                <w:b/>
                <w:bCs/>
                <w:sz w:val="24"/>
                <w:shd w:val="clear" w:color="auto" w:fill="FFFFFF"/>
              </w:rPr>
            </w:pPr>
            <w:r>
              <w:rPr>
                <w:rFonts w:hint="eastAsia" w:ascii="仿宋_GB2312" w:hAnsi="仿宋_GB2312" w:eastAsia="仿宋_GB2312" w:cs="仿宋_GB2312"/>
                <w:b/>
                <w:bCs/>
                <w:sz w:val="24"/>
                <w:shd w:val="clear" w:color="auto" w:fill="FFFFFF"/>
              </w:rPr>
              <w:t>要素</w:t>
            </w:r>
          </w:p>
        </w:tc>
        <w:tc>
          <w:tcPr>
            <w:tcW w:w="1872" w:type="dxa"/>
            <w:gridSpan w:val="2"/>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具体条件</w:t>
            </w:r>
          </w:p>
        </w:tc>
        <w:tc>
          <w:tcPr>
            <w:tcW w:w="877" w:type="dxa"/>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构成</w:t>
            </w:r>
          </w:p>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比例</w:t>
            </w:r>
          </w:p>
        </w:tc>
        <w:tc>
          <w:tcPr>
            <w:tcW w:w="3830" w:type="dxa"/>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程度</w:t>
            </w:r>
          </w:p>
        </w:tc>
        <w:tc>
          <w:tcPr>
            <w:tcW w:w="1127" w:type="dxa"/>
            <w:gridSpan w:val="2"/>
            <w:noWrap w:val="0"/>
            <w:vAlign w:val="center"/>
          </w:tcPr>
          <w:p>
            <w:pPr>
              <w:jc w:val="center"/>
              <w:rPr>
                <w:rFonts w:hint="eastAsia" w:ascii="仿宋_GB2312" w:hAnsi="仿宋_GB2312" w:eastAsia="仿宋_GB2312" w:cs="仿宋_GB2312"/>
                <w:b/>
                <w:bCs/>
                <w:sz w:val="22"/>
                <w:szCs w:val="22"/>
                <w:shd w:val="clear" w:color="auto" w:fill="FFFFFF"/>
              </w:rPr>
            </w:pPr>
            <w:r>
              <w:rPr>
                <w:rFonts w:hint="eastAsia" w:ascii="仿宋_GB2312" w:hAnsi="仿宋_GB2312" w:eastAsia="仿宋_GB2312" w:cs="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对环境影响程度</w:t>
            </w:r>
          </w:p>
        </w:tc>
        <w:tc>
          <w:tcPr>
            <w:tcW w:w="1872" w:type="dxa"/>
            <w:gridSpan w:val="2"/>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违法行为类型</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3830" w:type="dxa"/>
            <w:noWrap w:val="0"/>
            <w:vAlign w:val="center"/>
          </w:tcPr>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超过12小时、24小时以内报告的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超过24小时、36小时以内报告的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21%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超过36小时报告的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31%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eastAsia="仿宋_GB2312" w:cs="仿宋_GB2312"/>
                <w:b/>
                <w:sz w:val="24"/>
                <w:shd w:val="clear" w:color="auto" w:fill="FFFFFF"/>
                <w:lang w:bidi="ar"/>
              </w:rPr>
              <w:t>违法频次</w:t>
            </w:r>
          </w:p>
        </w:tc>
        <w:tc>
          <w:tcPr>
            <w:tcW w:w="1872" w:type="dxa"/>
            <w:gridSpan w:val="2"/>
            <w:vMerge w:val="restart"/>
            <w:noWrap w:val="0"/>
            <w:vAlign w:val="center"/>
          </w:tcPr>
          <w:p>
            <w:pPr>
              <w:jc w:val="center"/>
              <w:rPr>
                <w:rFonts w:hint="eastAsia" w:ascii="仿宋_GB2312" w:eastAsia="仿宋_GB2312" w:cs="仿宋_GB2312"/>
                <w:sz w:val="24"/>
                <w:shd w:val="clear" w:color="auto" w:fill="FFFFFF"/>
                <w:lang w:bidi="ar"/>
              </w:rPr>
            </w:pPr>
            <w:r>
              <w:rPr>
                <w:rFonts w:hint="eastAsia" w:ascii="仿宋_GB2312" w:eastAsia="仿宋_GB2312" w:cs="仿宋_GB2312"/>
                <w:sz w:val="24"/>
                <w:shd w:val="clear" w:color="auto" w:fill="FFFFFF"/>
                <w:lang w:bidi="ar"/>
              </w:rPr>
              <w:t>一年内违法</w:t>
            </w:r>
          </w:p>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次数</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20%</w:t>
            </w: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首次实施违法行为的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再次实施违法行为的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第三次实施违法行为的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三次以上实施违法行为的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eastAsia="仿宋_GB2312" w:cs="仿宋_GB2312"/>
                <w:b/>
                <w:sz w:val="24"/>
                <w:shd w:val="clear" w:color="auto" w:fill="FFFFFF"/>
                <w:lang w:bidi="ar"/>
              </w:rPr>
              <w:t>整改情况</w:t>
            </w:r>
          </w:p>
        </w:tc>
        <w:tc>
          <w:tcPr>
            <w:tcW w:w="1872" w:type="dxa"/>
            <w:gridSpan w:val="2"/>
            <w:vMerge w:val="restart"/>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是否完成整改</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10%</w:t>
            </w: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全面整改并停止违法行为的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ind w:right="-246" w:rightChars="-117"/>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正在整改但违法行为未完全消除的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复查时未采取整改措施的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restart"/>
            <w:noWrap w:val="0"/>
            <w:vAlign w:val="center"/>
          </w:tcPr>
          <w:p>
            <w:pPr>
              <w:jc w:val="center"/>
              <w:rPr>
                <w:rFonts w:hint="eastAsia" w:ascii="仿宋_GB2312" w:eastAsia="仿宋_GB2312" w:cs="仿宋_GB2312"/>
                <w:b/>
                <w:sz w:val="24"/>
                <w:shd w:val="clear" w:color="auto" w:fill="FFFFFF"/>
                <w:lang w:bidi="ar"/>
              </w:rPr>
            </w:pPr>
            <w:r>
              <w:rPr>
                <w:rFonts w:hint="eastAsia" w:ascii="仿宋_GB2312" w:eastAsia="仿宋_GB2312" w:cs="仿宋_GB2312"/>
                <w:b/>
                <w:sz w:val="24"/>
                <w:shd w:val="clear" w:color="auto" w:fill="FFFFFF"/>
                <w:lang w:bidi="ar"/>
              </w:rPr>
              <w:t>配合调查</w:t>
            </w:r>
          </w:p>
          <w:p>
            <w:pPr>
              <w:jc w:val="center"/>
              <w:rPr>
                <w:rFonts w:hint="eastAsia" w:ascii="仿宋_GB2312" w:hAnsi="仿宋" w:eastAsia="仿宋_GB2312"/>
                <w:b/>
                <w:bCs/>
                <w:sz w:val="24"/>
                <w:shd w:val="clear" w:color="auto" w:fill="FFFFFF"/>
              </w:rPr>
            </w:pPr>
            <w:r>
              <w:rPr>
                <w:rFonts w:hint="eastAsia" w:ascii="仿宋_GB2312" w:eastAsia="仿宋_GB2312" w:cs="仿宋_GB2312"/>
                <w:b/>
                <w:sz w:val="24"/>
                <w:shd w:val="clear" w:color="auto" w:fill="FFFFFF"/>
                <w:lang w:bidi="ar"/>
              </w:rPr>
              <w:t>取证情况</w:t>
            </w:r>
          </w:p>
        </w:tc>
        <w:tc>
          <w:tcPr>
            <w:tcW w:w="1872" w:type="dxa"/>
            <w:gridSpan w:val="2"/>
            <w:vMerge w:val="restart"/>
            <w:noWrap w:val="0"/>
            <w:vAlign w:val="center"/>
          </w:tcPr>
          <w:p>
            <w:pPr>
              <w:jc w:val="center"/>
              <w:rPr>
                <w:rFonts w:hint="eastAsia" w:ascii="仿宋_GB2312" w:eastAsia="仿宋_GB2312" w:cs="仿宋_GB2312"/>
                <w:sz w:val="24"/>
                <w:shd w:val="clear" w:color="auto" w:fill="FFFFFF"/>
                <w:lang w:bidi="ar"/>
              </w:rPr>
            </w:pPr>
            <w:r>
              <w:rPr>
                <w:rFonts w:hint="eastAsia" w:ascii="仿宋_GB2312" w:eastAsia="仿宋_GB2312" w:cs="仿宋_GB2312"/>
                <w:sz w:val="24"/>
                <w:shd w:val="clear" w:color="auto" w:fill="FFFFFF"/>
                <w:lang w:bidi="ar"/>
              </w:rPr>
              <w:t>是否配合执法</w:t>
            </w:r>
          </w:p>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检查</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10%</w:t>
            </w: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不配合检查的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continue"/>
            <w:noWrap w:val="0"/>
            <w:vAlign w:val="center"/>
          </w:tcPr>
          <w:p>
            <w:pPr>
              <w:jc w:val="center"/>
              <w:rPr>
                <w:rFonts w:hint="eastAsia" w:ascii="仿宋_GB2312" w:hAnsi="仿宋" w:eastAsia="仿宋_GB2312"/>
                <w:b/>
                <w:bCs/>
                <w:sz w:val="28"/>
                <w:szCs w:val="28"/>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配合检查的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1"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eastAsia="仿宋_GB2312" w:cs="仿宋_GB2312"/>
                <w:b/>
                <w:sz w:val="24"/>
                <w:shd w:val="clear" w:color="auto" w:fill="FFFFFF"/>
                <w:lang w:bidi="ar"/>
              </w:rPr>
              <w:t>对社会影响或生态破坏程度</w:t>
            </w:r>
          </w:p>
        </w:tc>
        <w:tc>
          <w:tcPr>
            <w:tcW w:w="1872" w:type="dxa"/>
            <w:gridSpan w:val="2"/>
            <w:vMerge w:val="restart"/>
            <w:noWrap w:val="0"/>
            <w:vAlign w:val="center"/>
          </w:tcPr>
          <w:p>
            <w:pPr>
              <w:ind w:left="-199" w:leftChars="-95" w:right="-235" w:rightChars="-112"/>
              <w:jc w:val="center"/>
              <w:rPr>
                <w:rFonts w:hint="eastAsia" w:ascii="仿宋_GB2312" w:eastAsia="仿宋_GB2312" w:cs="仿宋_GB2312"/>
                <w:sz w:val="24"/>
                <w:shd w:val="clear" w:color="auto" w:fill="FFFFFF"/>
                <w:lang w:bidi="ar"/>
              </w:rPr>
            </w:pPr>
            <w:r>
              <w:rPr>
                <w:rFonts w:hint="eastAsia" w:ascii="仿宋_GB2312" w:eastAsia="仿宋_GB2312" w:cs="仿宋_GB2312"/>
                <w:sz w:val="24"/>
                <w:shd w:val="clear" w:color="auto" w:fill="FFFFFF"/>
                <w:lang w:bidi="ar"/>
              </w:rPr>
              <w:t>是否造成社会影</w:t>
            </w:r>
          </w:p>
          <w:p>
            <w:pPr>
              <w:ind w:left="-199" w:leftChars="-95" w:right="-235" w:rightChars="-112"/>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响或生态破坏</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20%</w:t>
            </w: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造成社会影响或生态破坏的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1"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未造成社会影响与生态破坏的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eastAsia="仿宋_GB2312" w:cs="仿宋_GB2312"/>
                <w:sz w:val="24"/>
                <w:shd w:val="clear" w:color="auto" w:fill="FFFFFF"/>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94" w:hRule="atLeast"/>
        </w:trPr>
        <w:tc>
          <w:tcPr>
            <w:tcW w:w="9061" w:type="dxa"/>
            <w:gridSpan w:val="7"/>
            <w:noWrap w:val="0"/>
            <w:vAlign w:val="center"/>
          </w:tcPr>
          <w:p>
            <w:pPr>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2"/>
              <w:jc w:val="center"/>
              <w:rPr>
                <w:rFonts w:ascii="宋体" w:hAnsi="宋体"/>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10" w:hRule="atLeast"/>
        </w:trPr>
        <w:tc>
          <w:tcPr>
            <w:tcW w:w="1371"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690" w:type="dxa"/>
            <w:gridSpan w:val="5"/>
            <w:noWrap w:val="0"/>
            <w:vAlign w:val="center"/>
          </w:tcPr>
          <w:p>
            <w:pPr>
              <w:jc w:val="center"/>
              <w:rPr>
                <w:rFonts w:ascii="仿宋_GB2312" w:hAnsi="仿宋" w:eastAsia="仿宋_GB2312"/>
                <w:b/>
                <w:sz w:val="24"/>
                <w:shd w:val="clear" w:color="auto" w:fill="FFFFFF"/>
              </w:rPr>
            </w:pPr>
            <w:r>
              <w:rPr>
                <w:rFonts w:ascii="仿宋_GB2312" w:hAnsi="仿宋" w:eastAsia="仿宋_GB2312"/>
                <w:bCs/>
                <w:sz w:val="24"/>
                <w:shd w:val="clear" w:color="auto" w:fill="FFFFFF"/>
              </w:rPr>
              <w:t>2</w:t>
            </w:r>
            <w:r>
              <w:rPr>
                <w:rFonts w:hint="eastAsia" w:ascii="仿宋_GB2312" w:hAnsi="仿宋" w:eastAsia="仿宋_GB2312"/>
                <w:bCs/>
                <w:sz w:val="24"/>
                <w:shd w:val="clear" w:color="auto" w:fill="FFFFFF"/>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34" w:hRule="atLeast"/>
        </w:trPr>
        <w:tc>
          <w:tcPr>
            <w:tcW w:w="1371"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690" w:type="dxa"/>
            <w:gridSpan w:val="5"/>
            <w:noWrap w:val="0"/>
            <w:vAlign w:val="center"/>
          </w:tcPr>
          <w:p>
            <w:pPr>
              <w:adjustRightInd w:val="0"/>
              <w:snapToGrid w:val="0"/>
              <w:rPr>
                <w:rFonts w:hint="eastAsia" w:ascii="仿宋_GB2312" w:hAnsi="仿宋" w:eastAsia="仿宋_GB2312"/>
                <w:color w:val="0F0F0F"/>
                <w:sz w:val="24"/>
                <w:shd w:val="clear" w:color="auto" w:fill="FFFFFF"/>
              </w:rPr>
            </w:pPr>
            <w:r>
              <w:rPr>
                <w:rFonts w:hint="eastAsia" w:ascii="仿宋_GB2312" w:hAnsi="仿宋" w:eastAsia="仿宋_GB2312"/>
                <w:sz w:val="24"/>
                <w:shd w:val="clear" w:color="auto" w:fill="FFFFFF"/>
              </w:rPr>
              <w:t>自动监测设备因故障不能正常运行，排污单位未按照规定报送人工监测数据的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9" w:hRule="atLeast"/>
        </w:trPr>
        <w:tc>
          <w:tcPr>
            <w:tcW w:w="1371" w:type="dxa"/>
            <w:gridSpan w:val="2"/>
            <w:noWrap w:val="0"/>
            <w:vAlign w:val="center"/>
          </w:tcPr>
          <w:p>
            <w:pPr>
              <w:spacing w:line="280" w:lineRule="exact"/>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690" w:type="dxa"/>
            <w:gridSpan w:val="5"/>
            <w:noWrap w:val="0"/>
            <w:vAlign w:val="top"/>
          </w:tcPr>
          <w:p>
            <w:pPr>
              <w:adjustRightInd w:val="0"/>
              <w:snapToGrid w:val="0"/>
              <w:spacing w:line="280" w:lineRule="exact"/>
              <w:jc w:val="left"/>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spacing w:line="280" w:lineRule="exact"/>
              <w:jc w:val="left"/>
              <w:rPr>
                <w:rFonts w:hint="eastAsia" w:ascii="仿宋_GB2312" w:hAnsi="仿宋" w:eastAsia="仿宋_GB2312"/>
                <w:sz w:val="24"/>
                <w:shd w:val="clear" w:color="auto" w:fill="FFFFFF"/>
              </w:rPr>
            </w:pPr>
            <w:r>
              <w:rPr>
                <w:rFonts w:hint="eastAsia" w:ascii="仿宋_GB2312" w:hAnsi="仿宋_GB2312" w:eastAsia="仿宋_GB2312" w:cs="仿宋_GB2312"/>
                <w:b/>
                <w:bCs/>
                <w:sz w:val="24"/>
                <w:szCs w:val="32"/>
                <w:shd w:val="clear" w:color="auto" w:fill="FFFFFF"/>
              </w:rPr>
              <w:t xml:space="preserve">第四条 </w:t>
            </w:r>
            <w:r>
              <w:rPr>
                <w:rFonts w:hint="eastAsia" w:ascii="仿宋_GB2312" w:hAnsi="仿宋" w:eastAsia="仿宋_GB2312"/>
                <w:sz w:val="24"/>
                <w:shd w:val="clear" w:color="auto" w:fill="FFFFFF"/>
              </w:rPr>
              <w:t>列入名录的重点排污单位和市生态环境主管部门确定的其他排污单位，应当安装、使用大气污染物排放自动监测设备，与生态环境主管部门的监控设备联网。</w:t>
            </w:r>
          </w:p>
          <w:p>
            <w:pPr>
              <w:adjustRightInd w:val="0"/>
              <w:snapToGrid w:val="0"/>
              <w:spacing w:line="280" w:lineRule="exact"/>
              <w:jc w:val="left"/>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adjustRightInd w:val="0"/>
              <w:snapToGrid w:val="0"/>
              <w:spacing w:line="280" w:lineRule="exact"/>
              <w:jc w:val="left"/>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（三）自动监测设备因故障不能正常运行，排污单位未按照规定报送人工监测数据的；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8" w:hRule="atLeast"/>
        </w:trPr>
        <w:tc>
          <w:tcPr>
            <w:tcW w:w="4120" w:type="dxa"/>
            <w:gridSpan w:val="5"/>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4941"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6" w:hRule="atLeast"/>
        </w:trPr>
        <w:tc>
          <w:tcPr>
            <w:tcW w:w="1371" w:type="dxa"/>
            <w:gridSpan w:val="2"/>
            <w:noWrap w:val="0"/>
            <w:vAlign w:val="center"/>
          </w:tcPr>
          <w:p>
            <w:pPr>
              <w:spacing w:line="280" w:lineRule="exact"/>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要素</w:t>
            </w:r>
          </w:p>
        </w:tc>
        <w:tc>
          <w:tcPr>
            <w:tcW w:w="1872" w:type="dxa"/>
            <w:gridSpan w:val="2"/>
            <w:noWrap w:val="0"/>
            <w:vAlign w:val="center"/>
          </w:tcPr>
          <w:p>
            <w:pPr>
              <w:spacing w:line="280" w:lineRule="exact"/>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具体条件</w:t>
            </w:r>
          </w:p>
        </w:tc>
        <w:tc>
          <w:tcPr>
            <w:tcW w:w="877" w:type="dxa"/>
            <w:noWrap w:val="0"/>
            <w:vAlign w:val="center"/>
          </w:tcPr>
          <w:p>
            <w:pPr>
              <w:spacing w:line="280" w:lineRule="exact"/>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构成</w:t>
            </w:r>
          </w:p>
          <w:p>
            <w:pPr>
              <w:spacing w:line="280" w:lineRule="exact"/>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比例</w:t>
            </w:r>
          </w:p>
        </w:tc>
        <w:tc>
          <w:tcPr>
            <w:tcW w:w="3830" w:type="dxa"/>
            <w:noWrap w:val="0"/>
            <w:vAlign w:val="center"/>
          </w:tcPr>
          <w:p>
            <w:pPr>
              <w:spacing w:line="280" w:lineRule="exact"/>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程度</w:t>
            </w:r>
          </w:p>
        </w:tc>
        <w:tc>
          <w:tcPr>
            <w:tcW w:w="1111" w:type="dxa"/>
            <w:noWrap w:val="0"/>
            <w:vAlign w:val="center"/>
          </w:tcPr>
          <w:p>
            <w:pPr>
              <w:spacing w:line="280" w:lineRule="exact"/>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57" w:hRule="atLeast"/>
        </w:trPr>
        <w:tc>
          <w:tcPr>
            <w:tcW w:w="1371" w:type="dxa"/>
            <w:gridSpan w:val="2"/>
            <w:vMerge w:val="restart"/>
            <w:noWrap w:val="0"/>
            <w:vAlign w:val="center"/>
          </w:tcPr>
          <w:p>
            <w:pPr>
              <w:spacing w:line="280" w:lineRule="exact"/>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对环境影响程度</w:t>
            </w:r>
          </w:p>
        </w:tc>
        <w:tc>
          <w:tcPr>
            <w:tcW w:w="1872" w:type="dxa"/>
            <w:gridSpan w:val="2"/>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违法行为类型</w:t>
            </w:r>
          </w:p>
        </w:tc>
        <w:tc>
          <w:tcPr>
            <w:tcW w:w="877" w:type="dxa"/>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3830" w:type="dxa"/>
            <w:noWrap w:val="0"/>
            <w:vAlign w:val="center"/>
          </w:tcPr>
          <w:p>
            <w:pPr>
              <w:spacing w:line="280" w:lineRule="exact"/>
              <w:ind w:right="204" w:rightChars="97"/>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人工监测数据报送率80%以上，不足100%</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4"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ind w:right="204" w:rightChars="97"/>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人工监测数据报送率50%以上，不足80%</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21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97"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人工监测数据报送率不足50%</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5" w:hRule="atLeast"/>
        </w:trPr>
        <w:tc>
          <w:tcPr>
            <w:tcW w:w="1371" w:type="dxa"/>
            <w:gridSpan w:val="2"/>
            <w:vMerge w:val="restart"/>
            <w:noWrap w:val="0"/>
            <w:vAlign w:val="center"/>
          </w:tcPr>
          <w:p>
            <w:pPr>
              <w:spacing w:line="280" w:lineRule="exact"/>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违法频次</w:t>
            </w:r>
          </w:p>
        </w:tc>
        <w:tc>
          <w:tcPr>
            <w:tcW w:w="1872" w:type="dxa"/>
            <w:gridSpan w:val="2"/>
            <w:vMerge w:val="restart"/>
            <w:noWrap w:val="0"/>
            <w:vAlign w:val="center"/>
          </w:tcPr>
          <w:p>
            <w:pPr>
              <w:spacing w:line="280" w:lineRule="exact"/>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一年内违法</w:t>
            </w:r>
          </w:p>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次数</w:t>
            </w:r>
          </w:p>
        </w:tc>
        <w:tc>
          <w:tcPr>
            <w:tcW w:w="877" w:type="dxa"/>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首次实施违法行为的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5"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再次实施违法行为的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5"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第三次实施违法行为的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5"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三次以上实施违法行为的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0" w:hRule="atLeast"/>
        </w:trPr>
        <w:tc>
          <w:tcPr>
            <w:tcW w:w="1371" w:type="dxa"/>
            <w:gridSpan w:val="2"/>
            <w:vMerge w:val="restart"/>
            <w:noWrap w:val="0"/>
            <w:vAlign w:val="center"/>
          </w:tcPr>
          <w:p>
            <w:pPr>
              <w:spacing w:line="280" w:lineRule="exact"/>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整改情况</w:t>
            </w:r>
          </w:p>
        </w:tc>
        <w:tc>
          <w:tcPr>
            <w:tcW w:w="1872" w:type="dxa"/>
            <w:gridSpan w:val="2"/>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是否完成整改</w:t>
            </w:r>
          </w:p>
        </w:tc>
        <w:tc>
          <w:tcPr>
            <w:tcW w:w="877" w:type="dxa"/>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全面整改并停止违法行为的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1"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ind w:right="-214" w:rightChars="-102"/>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正在整改但违法行为未完全消除的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1"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复查时未采取整改措施的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1" w:hRule="atLeast"/>
        </w:trPr>
        <w:tc>
          <w:tcPr>
            <w:tcW w:w="1371" w:type="dxa"/>
            <w:gridSpan w:val="2"/>
            <w:vMerge w:val="restart"/>
            <w:noWrap w:val="0"/>
            <w:vAlign w:val="center"/>
          </w:tcPr>
          <w:p>
            <w:pPr>
              <w:spacing w:line="280" w:lineRule="exact"/>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配合调查</w:t>
            </w:r>
          </w:p>
          <w:p>
            <w:pPr>
              <w:spacing w:line="280" w:lineRule="exact"/>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取证情况</w:t>
            </w:r>
          </w:p>
        </w:tc>
        <w:tc>
          <w:tcPr>
            <w:tcW w:w="1872" w:type="dxa"/>
            <w:gridSpan w:val="2"/>
            <w:vMerge w:val="restart"/>
            <w:noWrap w:val="0"/>
            <w:vAlign w:val="center"/>
          </w:tcPr>
          <w:p>
            <w:pPr>
              <w:spacing w:line="280" w:lineRule="exact"/>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是否配合执法</w:t>
            </w:r>
          </w:p>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检查</w:t>
            </w:r>
          </w:p>
        </w:tc>
        <w:tc>
          <w:tcPr>
            <w:tcW w:w="877" w:type="dxa"/>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不配合检查的</w:t>
            </w:r>
          </w:p>
        </w:tc>
        <w:tc>
          <w:tcPr>
            <w:tcW w:w="1111" w:type="dxa"/>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1"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3830" w:type="dxa"/>
            <w:noWrap w:val="0"/>
            <w:vAlign w:val="center"/>
          </w:tcPr>
          <w:p>
            <w:pPr>
              <w:spacing w:line="280" w:lineRule="exact"/>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配合检查的</w:t>
            </w:r>
          </w:p>
        </w:tc>
        <w:tc>
          <w:tcPr>
            <w:tcW w:w="1111" w:type="dxa"/>
            <w:noWrap w:val="0"/>
            <w:vAlign w:val="center"/>
          </w:tcPr>
          <w:p>
            <w:pPr>
              <w:spacing w:line="280" w:lineRule="exact"/>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1" w:hRule="atLeast"/>
        </w:trPr>
        <w:tc>
          <w:tcPr>
            <w:tcW w:w="1371" w:type="dxa"/>
            <w:gridSpan w:val="2"/>
            <w:vMerge w:val="restart"/>
            <w:noWrap w:val="0"/>
            <w:vAlign w:val="center"/>
          </w:tcPr>
          <w:p>
            <w:pPr>
              <w:spacing w:line="280" w:lineRule="exact"/>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对社会影响或生态破坏程度</w:t>
            </w:r>
          </w:p>
        </w:tc>
        <w:tc>
          <w:tcPr>
            <w:tcW w:w="1872" w:type="dxa"/>
            <w:gridSpan w:val="2"/>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是否造成社会影响或生态破坏</w:t>
            </w:r>
          </w:p>
        </w:tc>
        <w:tc>
          <w:tcPr>
            <w:tcW w:w="877" w:type="dxa"/>
            <w:vMerge w:val="restart"/>
            <w:noWrap w:val="0"/>
            <w:vAlign w:val="center"/>
          </w:tcPr>
          <w:p>
            <w:pPr>
              <w:spacing w:line="280" w:lineRule="exact"/>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3830" w:type="dxa"/>
            <w:noWrap w:val="0"/>
            <w:vAlign w:val="center"/>
          </w:tcPr>
          <w:p>
            <w:pPr>
              <w:spacing w:line="280" w:lineRule="exac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造成社会影响或生态破坏的</w:t>
            </w:r>
          </w:p>
        </w:tc>
        <w:tc>
          <w:tcPr>
            <w:tcW w:w="1111" w:type="dxa"/>
            <w:noWrap w:val="0"/>
            <w:vAlign w:val="center"/>
          </w:tcPr>
          <w:p>
            <w:pPr>
              <w:spacing w:line="280" w:lineRule="exact"/>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61" w:hRule="atLeast"/>
        </w:trPr>
        <w:tc>
          <w:tcPr>
            <w:tcW w:w="1371" w:type="dxa"/>
            <w:gridSpan w:val="2"/>
            <w:vMerge w:val="continue"/>
            <w:noWrap w:val="0"/>
            <w:vAlign w:val="center"/>
          </w:tcPr>
          <w:p>
            <w:pPr>
              <w:spacing w:line="280" w:lineRule="exact"/>
              <w:jc w:val="center"/>
              <w:rPr>
                <w:rFonts w:hint="eastAsia" w:ascii="仿宋_GB2312" w:hAnsi="仿宋" w:eastAsia="仿宋_GB2312"/>
                <w:b/>
                <w:bCs/>
                <w:sz w:val="24"/>
                <w:shd w:val="clear" w:color="auto" w:fill="FFFFFF"/>
              </w:rPr>
            </w:pPr>
          </w:p>
        </w:tc>
        <w:tc>
          <w:tcPr>
            <w:tcW w:w="1872" w:type="dxa"/>
            <w:gridSpan w:val="2"/>
            <w:vMerge w:val="continue"/>
            <w:noWrap w:val="0"/>
            <w:vAlign w:val="center"/>
          </w:tcPr>
          <w:p>
            <w:pPr>
              <w:spacing w:line="280" w:lineRule="exact"/>
              <w:jc w:val="center"/>
              <w:rPr>
                <w:rFonts w:hint="eastAsia" w:ascii="仿宋_GB2312" w:hAnsi="仿宋" w:eastAsia="仿宋_GB2312"/>
                <w:sz w:val="24"/>
                <w:shd w:val="clear" w:color="auto" w:fill="FFFFFF"/>
              </w:rPr>
            </w:pPr>
          </w:p>
        </w:tc>
        <w:tc>
          <w:tcPr>
            <w:tcW w:w="877" w:type="dxa"/>
            <w:vMerge w:val="continue"/>
            <w:noWrap w:val="0"/>
            <w:vAlign w:val="center"/>
          </w:tcPr>
          <w:p>
            <w:pPr>
              <w:spacing w:line="280" w:lineRule="exact"/>
              <w:rPr>
                <w:rFonts w:hint="eastAsia" w:ascii="仿宋_GB2312" w:hAnsi="仿宋" w:eastAsia="仿宋_GB2312"/>
                <w:sz w:val="24"/>
                <w:shd w:val="clear" w:color="auto" w:fill="FFFFFF"/>
              </w:rPr>
            </w:pPr>
          </w:p>
        </w:tc>
        <w:tc>
          <w:tcPr>
            <w:tcW w:w="3830" w:type="dxa"/>
            <w:noWrap w:val="0"/>
            <w:vAlign w:val="center"/>
          </w:tcPr>
          <w:p>
            <w:pPr>
              <w:spacing w:line="280" w:lineRule="exac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未造成社会影响与生态破坏的</w:t>
            </w:r>
          </w:p>
        </w:tc>
        <w:tc>
          <w:tcPr>
            <w:tcW w:w="1111" w:type="dxa"/>
            <w:noWrap w:val="0"/>
            <w:vAlign w:val="center"/>
          </w:tcPr>
          <w:p>
            <w:pPr>
              <w:spacing w:line="280" w:lineRule="exact"/>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10" w:hRule="atLeast"/>
        </w:trPr>
        <w:tc>
          <w:tcPr>
            <w:tcW w:w="9061" w:type="dxa"/>
            <w:gridSpan w:val="7"/>
            <w:noWrap w:val="0"/>
            <w:vAlign w:val="center"/>
          </w:tcPr>
          <w:p>
            <w:pPr>
              <w:jc w:val="left"/>
              <w:rPr>
                <w:rFonts w:hint="eastAsia" w:ascii="仿宋_GB2312" w:hAnsi="仿宋_GB2312" w:eastAsia="仿宋_GB2312" w:cs="仿宋_GB2312"/>
                <w:sz w:val="24"/>
                <w:shd w:val="clear" w:color="auto" w:fill="FFFFFF"/>
              </w:rPr>
            </w:pPr>
            <w:r>
              <w:rPr>
                <w:rFonts w:hint="eastAsia" w:ascii="宋体" w:hAnsi="宋体" w:cs="宋体"/>
                <w:b/>
                <w:bCs/>
                <w:szCs w:val="21"/>
                <w:shd w:val="clear" w:color="auto" w:fill="FFFFFF"/>
              </w:rPr>
              <w:t>注：</w:t>
            </w:r>
            <w:r>
              <w:rPr>
                <w:rFonts w:hint="eastAsia" w:ascii="宋体" w:hAnsi="宋体" w:cs="宋体"/>
                <w:szCs w:val="21"/>
                <w:shd w:val="clear" w:color="auto" w:fill="FFFFFF"/>
              </w:rPr>
              <w:t>人工监测数据报送率是指实际报送频次/《HJ 75-2017 固定污染源烟气（SO</w:t>
            </w:r>
            <w:r>
              <w:rPr>
                <w:rFonts w:hint="eastAsia" w:ascii="宋体" w:hAnsi="宋体" w:cs="宋体"/>
                <w:szCs w:val="21"/>
                <w:shd w:val="clear" w:color="auto" w:fill="FFFFFF"/>
                <w:vertAlign w:val="subscript"/>
              </w:rPr>
              <w:t>2</w:t>
            </w:r>
            <w:r>
              <w:rPr>
                <w:rFonts w:hint="eastAsia" w:ascii="宋体" w:hAnsi="宋体" w:cs="宋体"/>
                <w:szCs w:val="21"/>
                <w:shd w:val="clear" w:color="auto" w:fill="FFFFFF"/>
              </w:rPr>
              <w:t>、NO</w:t>
            </w:r>
            <w:r>
              <w:rPr>
                <w:rFonts w:hint="eastAsia" w:ascii="宋体" w:hAnsi="宋体" w:cs="宋体"/>
                <w:szCs w:val="21"/>
                <w:shd w:val="clear" w:color="auto" w:fill="FFFFFF"/>
                <w:vertAlign w:val="subscript"/>
              </w:rPr>
              <w:t>X</w:t>
            </w:r>
            <w:r>
              <w:rPr>
                <w:rFonts w:hint="eastAsia" w:ascii="宋体" w:hAnsi="宋体" w:cs="宋体"/>
                <w:szCs w:val="21"/>
                <w:shd w:val="clear" w:color="auto" w:fill="FFFFFF"/>
              </w:rPr>
              <w:t>、颗粒物）排放连续监测技术规范》要求的报送频次。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734" w:hRule="atLeast"/>
        </w:trPr>
        <w:tc>
          <w:tcPr>
            <w:tcW w:w="9061" w:type="dxa"/>
            <w:gridSpan w:val="7"/>
            <w:noWrap w:val="0"/>
            <w:vAlign w:val="center"/>
          </w:tcPr>
          <w:p>
            <w:pPr>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2"/>
              <w:jc w:val="center"/>
              <w:rPr>
                <w:rFonts w:ascii="宋体" w:hAnsi="宋体"/>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10" w:hRule="atLeast"/>
        </w:trPr>
        <w:tc>
          <w:tcPr>
            <w:tcW w:w="1425"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636" w:type="dxa"/>
            <w:gridSpan w:val="5"/>
            <w:noWrap w:val="0"/>
            <w:vAlign w:val="center"/>
          </w:tcPr>
          <w:p>
            <w:pPr>
              <w:jc w:val="center"/>
              <w:rPr>
                <w:rFonts w:hint="eastAsia" w:ascii="仿宋_GB2312" w:hAnsi="仿宋" w:eastAsia="仿宋_GB2312"/>
                <w:b/>
                <w:sz w:val="24"/>
                <w:shd w:val="clear" w:color="auto" w:fill="FFFFFF"/>
              </w:rPr>
            </w:pPr>
            <w:r>
              <w:rPr>
                <w:rFonts w:ascii="仿宋_GB2312" w:hAnsi="仿宋" w:eastAsia="仿宋_GB2312"/>
                <w:bCs/>
                <w:sz w:val="24"/>
                <w:shd w:val="clear" w:color="auto" w:fill="FFFFFF"/>
              </w:rPr>
              <w:t>21</w:t>
            </w:r>
            <w:r>
              <w:rPr>
                <w:rFonts w:hint="eastAsia" w:ascii="仿宋_GB2312" w:hAnsi="仿宋" w:eastAsia="仿宋_GB2312"/>
                <w:bCs/>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775" w:hRule="atLeast"/>
        </w:trPr>
        <w:tc>
          <w:tcPr>
            <w:tcW w:w="1425"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636" w:type="dxa"/>
            <w:gridSpan w:val="5"/>
            <w:noWrap w:val="0"/>
            <w:vAlign w:val="center"/>
          </w:tcPr>
          <w:p>
            <w:pPr>
              <w:adjustRightInd w:val="0"/>
              <w:snapToGrid w:val="0"/>
              <w:rPr>
                <w:rFonts w:hint="eastAsia" w:ascii="仿宋_GB2312" w:hAnsi="仿宋" w:eastAsia="仿宋_GB2312"/>
                <w:color w:val="0F0F0F"/>
                <w:sz w:val="24"/>
                <w:shd w:val="clear" w:color="auto" w:fill="FFFFFF"/>
              </w:rPr>
            </w:pPr>
            <w:r>
              <w:rPr>
                <w:rFonts w:hint="eastAsia" w:ascii="仿宋_GB2312" w:hAnsi="仿宋" w:eastAsia="仿宋_GB2312"/>
                <w:sz w:val="24"/>
                <w:shd w:val="clear" w:color="auto" w:fill="FFFFFF"/>
              </w:rPr>
              <w:t>侵占、破坏、损毁或者擅自移动、改变、拆除、闲置大气污染物排放自动监测设备的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3" w:hRule="atLeast"/>
        </w:trPr>
        <w:tc>
          <w:tcPr>
            <w:tcW w:w="1425"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636" w:type="dxa"/>
            <w:gridSpan w:val="5"/>
            <w:noWrap w:val="0"/>
            <w:vAlign w:val="center"/>
          </w:tcPr>
          <w:p>
            <w:pPr>
              <w:adjustRightInd w:val="0"/>
              <w:snapToGrid w:val="0"/>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rPr>
                <w:rFonts w:hint="eastAsia" w:ascii="仿宋_GB2312" w:hAnsi="仿宋" w:eastAsia="仿宋_GB2312"/>
                <w:sz w:val="24"/>
                <w:shd w:val="clear" w:color="auto" w:fill="FFFFFF"/>
              </w:rPr>
            </w:pPr>
            <w:r>
              <w:rPr>
                <w:rFonts w:hint="eastAsia" w:ascii="仿宋_GB2312" w:hAnsi="仿宋_GB2312" w:eastAsia="仿宋_GB2312" w:cs="仿宋_GB2312"/>
                <w:b/>
                <w:bCs/>
                <w:sz w:val="24"/>
                <w:szCs w:val="32"/>
                <w:shd w:val="clear" w:color="auto" w:fill="FFFFFF"/>
              </w:rPr>
              <w:t>第四条</w:t>
            </w:r>
            <w:r>
              <w:rPr>
                <w:rFonts w:hint="eastAsia" w:ascii="仿宋_GB2312" w:hAnsi="仿宋" w:eastAsia="仿宋_GB2312"/>
                <w:sz w:val="24"/>
                <w:shd w:val="clear" w:color="auto" w:fill="FFFFFF"/>
              </w:rPr>
              <w:t xml:space="preserve"> 列入名录的重点排污单位和市生态环境主管部门确定的其他排污单位，应当安装、使用大气污染物排放自动监测设备，与生态环境主管部门的监控设备联网。</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（四）侵占、破坏、损毁或者擅自移动、改变、拆除、闲置大气污染物排放自动监测设备的；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69" w:hRule="atLeast"/>
        </w:trPr>
        <w:tc>
          <w:tcPr>
            <w:tcW w:w="4104" w:type="dxa"/>
            <w:gridSpan w:val="4"/>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4957" w:type="dxa"/>
            <w:gridSpan w:val="3"/>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trPr>
        <w:tc>
          <w:tcPr>
            <w:tcW w:w="1425" w:type="dxa"/>
            <w:gridSpan w:val="2"/>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要素</w:t>
            </w:r>
          </w:p>
        </w:tc>
        <w:tc>
          <w:tcPr>
            <w:tcW w:w="1802"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具体条件</w:t>
            </w:r>
          </w:p>
        </w:tc>
        <w:tc>
          <w:tcPr>
            <w:tcW w:w="877"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构成</w:t>
            </w:r>
          </w:p>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比例</w:t>
            </w:r>
          </w:p>
        </w:tc>
        <w:tc>
          <w:tcPr>
            <w:tcW w:w="3830"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程度</w:t>
            </w:r>
          </w:p>
        </w:tc>
        <w:tc>
          <w:tcPr>
            <w:tcW w:w="1127" w:type="dxa"/>
            <w:gridSpan w:val="2"/>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对环境影响程度</w:t>
            </w:r>
          </w:p>
        </w:tc>
        <w:tc>
          <w:tcPr>
            <w:tcW w:w="180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违法行为类型</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383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不影响自动检测设备正常使用的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ind w:right="-214" w:rightChars="-102"/>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导致自动检测设备不能正常使用的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21%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违法频次</w:t>
            </w:r>
          </w:p>
        </w:tc>
        <w:tc>
          <w:tcPr>
            <w:tcW w:w="1802"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一年内违法</w:t>
            </w:r>
          </w:p>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次数</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首次实施违法行为的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再次实施违法行为的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第三次实施违法行为的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三次以上实施违法行为的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整改情况</w:t>
            </w:r>
          </w:p>
        </w:tc>
        <w:tc>
          <w:tcPr>
            <w:tcW w:w="180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是否完成整改</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全面整改并停止违法行为的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ind w:right="-214" w:rightChars="-102"/>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正在整改但违法行为未完全消除的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复查时未采取整改措施的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restart"/>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配合调查</w:t>
            </w:r>
          </w:p>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取证情况</w:t>
            </w:r>
          </w:p>
        </w:tc>
        <w:tc>
          <w:tcPr>
            <w:tcW w:w="1802"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是否配合执法</w:t>
            </w:r>
          </w:p>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检查</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不配合检查的</w:t>
            </w:r>
          </w:p>
        </w:tc>
        <w:tc>
          <w:tcPr>
            <w:tcW w:w="1127" w:type="dxa"/>
            <w:gridSpan w:val="2"/>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jc w:val="cente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配合检查的</w:t>
            </w:r>
          </w:p>
        </w:tc>
        <w:tc>
          <w:tcPr>
            <w:tcW w:w="1127"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对社会影响或生态破坏程度</w:t>
            </w:r>
          </w:p>
        </w:tc>
        <w:tc>
          <w:tcPr>
            <w:tcW w:w="1802"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是否造成社会影响或生态</w:t>
            </w:r>
          </w:p>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破坏</w:t>
            </w:r>
          </w:p>
        </w:tc>
        <w:tc>
          <w:tcPr>
            <w:tcW w:w="87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383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造成社会影响或生态破坏的</w:t>
            </w:r>
          </w:p>
        </w:tc>
        <w:tc>
          <w:tcPr>
            <w:tcW w:w="1127"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85" w:hRule="atLeast"/>
        </w:trPr>
        <w:tc>
          <w:tcPr>
            <w:tcW w:w="1425" w:type="dxa"/>
            <w:gridSpan w:val="2"/>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877" w:type="dxa"/>
            <w:vMerge w:val="continue"/>
            <w:noWrap w:val="0"/>
            <w:vAlign w:val="center"/>
          </w:tcPr>
          <w:p>
            <w:pPr>
              <w:rPr>
                <w:rFonts w:hint="eastAsia" w:ascii="仿宋_GB2312" w:hAnsi="仿宋" w:eastAsia="仿宋_GB2312"/>
                <w:sz w:val="24"/>
                <w:shd w:val="clear" w:color="auto" w:fill="FFFFFF"/>
              </w:rPr>
            </w:pPr>
          </w:p>
        </w:tc>
        <w:tc>
          <w:tcPr>
            <w:tcW w:w="383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未造成社会影响与生态破坏的</w:t>
            </w:r>
          </w:p>
        </w:tc>
        <w:tc>
          <w:tcPr>
            <w:tcW w:w="1127" w:type="dxa"/>
            <w:gridSpan w:val="2"/>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bl>
    <w:p>
      <w:pPr>
        <w:rPr>
          <w:sz w:val="10"/>
          <w:szCs w:val="10"/>
        </w:rPr>
      </w:pPr>
      <w:r>
        <w:br w:type="page"/>
      </w:r>
    </w:p>
    <w:tbl>
      <w:tblPr>
        <w:tblStyle w:val="9"/>
        <w:tblpPr w:leftFromText="180" w:rightFromText="180" w:vertAnchor="text" w:horzAnchor="page" w:tblpX="1519" w:tblpY="-51"/>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802"/>
        <w:gridCol w:w="745"/>
        <w:gridCol w:w="375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34" w:hRule="atLeast"/>
        </w:trPr>
        <w:tc>
          <w:tcPr>
            <w:tcW w:w="9045" w:type="dxa"/>
            <w:gridSpan w:val="5"/>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2"/>
              <w:jc w:val="center"/>
              <w:rPr>
                <w:rFonts w:ascii="宋体" w:hAnsi="宋体"/>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620" w:type="dxa"/>
            <w:gridSpan w:val="4"/>
            <w:noWrap w:val="0"/>
            <w:vAlign w:val="center"/>
          </w:tcPr>
          <w:p>
            <w:pPr>
              <w:jc w:val="center"/>
              <w:rPr>
                <w:rFonts w:hint="eastAsia" w:ascii="仿宋_GB2312" w:hAnsi="仿宋" w:eastAsia="仿宋_GB2312"/>
                <w:b/>
                <w:sz w:val="24"/>
                <w:shd w:val="clear" w:color="auto" w:fill="FFFFFF"/>
              </w:rPr>
            </w:pPr>
            <w:r>
              <w:rPr>
                <w:rFonts w:ascii="仿宋_GB2312" w:hAnsi="仿宋" w:eastAsia="仿宋_GB2312"/>
                <w:bCs/>
                <w:sz w:val="24"/>
                <w:shd w:val="clear" w:color="auto" w:fill="FFFFFF"/>
              </w:rPr>
              <w:t>21</w:t>
            </w:r>
            <w:r>
              <w:rPr>
                <w:rFonts w:hint="eastAsia" w:ascii="仿宋_GB2312" w:hAnsi="仿宋" w:eastAsia="仿宋_GB2312"/>
                <w:bCs/>
                <w:sz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02"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620" w:type="dxa"/>
            <w:gridSpan w:val="4"/>
            <w:noWrap w:val="0"/>
            <w:vAlign w:val="center"/>
          </w:tcPr>
          <w:p>
            <w:pPr>
              <w:rPr>
                <w:rFonts w:hint="eastAsia" w:ascii="仿宋_GB2312" w:hAnsi="仿宋" w:eastAsia="仿宋_GB2312"/>
                <w:color w:val="0F0F0F"/>
                <w:sz w:val="24"/>
                <w:shd w:val="clear" w:color="auto" w:fill="FFFFFF"/>
              </w:rPr>
            </w:pPr>
            <w:r>
              <w:rPr>
                <w:rFonts w:hint="eastAsia" w:ascii="仿宋_GB2312" w:hAnsi="仿宋" w:eastAsia="仿宋_GB2312"/>
                <w:sz w:val="24"/>
                <w:shd w:val="clear" w:color="auto" w:fill="FFFFFF"/>
              </w:rPr>
              <w:t>篡改、伪造大气污染物自动监测数据的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18"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620" w:type="dxa"/>
            <w:gridSpan w:val="4"/>
            <w:noWrap w:val="0"/>
            <w:vAlign w:val="center"/>
          </w:tcPr>
          <w:p>
            <w:pPr>
              <w:adjustRightInd w:val="0"/>
              <w:snapToGrid w:val="0"/>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rPr>
                <w:rFonts w:hint="eastAsia" w:ascii="仿宋_GB2312" w:hAnsi="仿宋" w:eastAsia="仿宋_GB2312"/>
                <w:sz w:val="24"/>
                <w:shd w:val="clear" w:color="auto" w:fill="FFFFFF"/>
              </w:rPr>
            </w:pPr>
            <w:r>
              <w:rPr>
                <w:rFonts w:hint="eastAsia" w:ascii="仿宋_GB2312" w:hAnsi="仿宋_GB2312" w:eastAsia="仿宋_GB2312" w:cs="仿宋_GB2312"/>
                <w:b/>
                <w:bCs/>
                <w:sz w:val="24"/>
                <w:szCs w:val="32"/>
                <w:shd w:val="clear" w:color="auto" w:fill="FFFFFF"/>
              </w:rPr>
              <w:t xml:space="preserve">第四条 </w:t>
            </w:r>
            <w:r>
              <w:rPr>
                <w:rFonts w:hint="eastAsia" w:ascii="仿宋_GB2312" w:hAnsi="仿宋" w:eastAsia="仿宋_GB2312"/>
                <w:sz w:val="24"/>
                <w:shd w:val="clear" w:color="auto" w:fill="FFFFFF"/>
              </w:rPr>
              <w:t>列入名录的重点排污单位和市生态环境主管部门确定的其他排污单位，应当安装、使用大气污染物排放自动监测设备，与生态环境主管部门的监控设备联网。</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(五)篡改、伪造大气污染物自动监测数据的；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5" w:hRule="atLeast"/>
        </w:trPr>
        <w:tc>
          <w:tcPr>
            <w:tcW w:w="3972" w:type="dxa"/>
            <w:gridSpan w:val="3"/>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5073"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4" w:hRule="atLeast"/>
        </w:trPr>
        <w:tc>
          <w:tcPr>
            <w:tcW w:w="1425" w:type="dxa"/>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要素</w:t>
            </w:r>
          </w:p>
        </w:tc>
        <w:tc>
          <w:tcPr>
            <w:tcW w:w="1802"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具体条件</w:t>
            </w:r>
          </w:p>
        </w:tc>
        <w:tc>
          <w:tcPr>
            <w:tcW w:w="745"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构成</w:t>
            </w:r>
          </w:p>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比例</w:t>
            </w:r>
          </w:p>
        </w:tc>
        <w:tc>
          <w:tcPr>
            <w:tcW w:w="3750" w:type="dxa"/>
            <w:noWrap w:val="0"/>
            <w:vAlign w:val="center"/>
          </w:tcPr>
          <w:p>
            <w:pPr>
              <w:ind w:firstLine="22" w:firstLineChars="10"/>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程度</w:t>
            </w:r>
          </w:p>
        </w:tc>
        <w:tc>
          <w:tcPr>
            <w:tcW w:w="1323"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68" w:hRule="atLeast"/>
        </w:trPr>
        <w:tc>
          <w:tcPr>
            <w:tcW w:w="1425" w:type="dxa"/>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对环境影响程度</w:t>
            </w:r>
          </w:p>
        </w:tc>
        <w:tc>
          <w:tcPr>
            <w:tcW w:w="1802" w:type="dxa"/>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违法行为类型</w:t>
            </w:r>
          </w:p>
        </w:tc>
        <w:tc>
          <w:tcPr>
            <w:tcW w:w="745" w:type="dxa"/>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3750" w:type="dxa"/>
            <w:noWrap w:val="0"/>
            <w:vAlign w:val="center"/>
          </w:tcPr>
          <w:p>
            <w:pPr>
              <w:ind w:right="-15" w:rightChars="-7"/>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篡改、伪造大气污染物自动监测</w:t>
            </w:r>
          </w:p>
          <w:p>
            <w:pPr>
              <w:rPr>
                <w:rFonts w:hint="eastAsia" w:ascii="仿宋_GB2312" w:hAnsi="仿宋_GB2312" w:eastAsia="仿宋_GB2312" w:cs="仿宋_GB2312"/>
                <w:color w:val="FF0000"/>
                <w:sz w:val="24"/>
                <w:szCs w:val="32"/>
                <w:shd w:val="clear" w:color="auto" w:fill="FFFFFF"/>
              </w:rPr>
            </w:pPr>
            <w:r>
              <w:rPr>
                <w:rFonts w:hint="eastAsia" w:ascii="仿宋_GB2312" w:hAnsi="仿宋" w:eastAsia="仿宋_GB2312"/>
                <w:sz w:val="24"/>
                <w:shd w:val="clear" w:color="auto" w:fill="FFFFFF"/>
              </w:rPr>
              <w:t>数据</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9" w:hRule="atLeast"/>
        </w:trPr>
        <w:tc>
          <w:tcPr>
            <w:tcW w:w="1425"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违法频次</w:t>
            </w:r>
          </w:p>
        </w:tc>
        <w:tc>
          <w:tcPr>
            <w:tcW w:w="180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一年内违法</w:t>
            </w:r>
          </w:p>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次数</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20%</w:t>
            </w: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首次实施违法行为的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9"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ind w:firstLine="480" w:firstLineChars="200"/>
              <w:jc w:val="center"/>
              <w:rPr>
                <w:rFonts w:hint="eastAsia" w:ascii="仿宋_GB2312" w:hAnsi="仿宋" w:eastAsia="仿宋_GB2312"/>
                <w:sz w:val="24"/>
                <w:shd w:val="clear" w:color="auto" w:fill="FFFFFF"/>
              </w:rPr>
            </w:pPr>
          </w:p>
        </w:tc>
        <w:tc>
          <w:tcPr>
            <w:tcW w:w="745" w:type="dxa"/>
            <w:vMerge w:val="continue"/>
            <w:noWrap w:val="0"/>
            <w:vAlign w:val="center"/>
          </w:tcPr>
          <w:p>
            <w:pPr>
              <w:ind w:firstLine="240" w:firstLineChars="100"/>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再次实施违法行为的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9"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ind w:firstLine="480" w:firstLineChars="200"/>
              <w:jc w:val="center"/>
              <w:rPr>
                <w:rFonts w:hint="eastAsia" w:ascii="仿宋_GB2312" w:hAnsi="仿宋" w:eastAsia="仿宋_GB2312"/>
                <w:sz w:val="24"/>
                <w:shd w:val="clear" w:color="auto" w:fill="FFFFFF"/>
              </w:rPr>
            </w:pPr>
          </w:p>
        </w:tc>
        <w:tc>
          <w:tcPr>
            <w:tcW w:w="745" w:type="dxa"/>
            <w:vMerge w:val="continue"/>
            <w:noWrap w:val="0"/>
            <w:vAlign w:val="center"/>
          </w:tcPr>
          <w:p>
            <w:pPr>
              <w:ind w:firstLine="240" w:firstLineChars="100"/>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第三次实施违法行为的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9"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三次以上实施违法行为的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04" w:hRule="atLeast"/>
        </w:trPr>
        <w:tc>
          <w:tcPr>
            <w:tcW w:w="1425"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整改情况</w:t>
            </w:r>
          </w:p>
        </w:tc>
        <w:tc>
          <w:tcPr>
            <w:tcW w:w="180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是否完成整改</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10%</w:t>
            </w: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全面整改并停止违法行为的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04"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ind w:right="-214" w:rightChars="-102"/>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正在整改但违法行为未完全消除的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04"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复查时未采取整改措施的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05" w:hRule="atLeast"/>
        </w:trPr>
        <w:tc>
          <w:tcPr>
            <w:tcW w:w="1425" w:type="dxa"/>
            <w:vMerge w:val="restart"/>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配合调查</w:t>
            </w:r>
          </w:p>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取证情况</w:t>
            </w:r>
          </w:p>
        </w:tc>
        <w:tc>
          <w:tcPr>
            <w:tcW w:w="1802" w:type="dxa"/>
            <w:vMerge w:val="restart"/>
            <w:noWrap w:val="0"/>
            <w:vAlign w:val="center"/>
          </w:tcPr>
          <w:p>
            <w:pPr>
              <w:jc w:val="center"/>
              <w:rPr>
                <w:rFonts w:hint="eastAsia" w:ascii="仿宋_GB2312" w:hAnsi="仿宋_GB2312" w:eastAsia="仿宋_GB2312" w:cs="仿宋_GB2312"/>
                <w:sz w:val="24"/>
                <w:szCs w:val="32"/>
                <w:shd w:val="clear" w:color="auto" w:fill="FFFFFF"/>
              </w:rPr>
            </w:pPr>
            <w:r>
              <w:rPr>
                <w:rFonts w:hint="eastAsia" w:ascii="仿宋_GB2312" w:hAnsi="仿宋_GB2312" w:eastAsia="仿宋_GB2312" w:cs="仿宋_GB2312"/>
                <w:sz w:val="24"/>
                <w:szCs w:val="32"/>
                <w:shd w:val="clear" w:color="auto" w:fill="FFFFFF"/>
              </w:rPr>
              <w:t>是否配合执法</w:t>
            </w:r>
          </w:p>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检查</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10%</w:t>
            </w: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不配合检查的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45"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配合检查的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5" w:hRule="atLeast"/>
        </w:trPr>
        <w:tc>
          <w:tcPr>
            <w:tcW w:w="1425"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对社会影响或生态破坏程度</w:t>
            </w:r>
          </w:p>
        </w:tc>
        <w:tc>
          <w:tcPr>
            <w:tcW w:w="1802" w:type="dxa"/>
            <w:vMerge w:val="restart"/>
            <w:noWrap w:val="0"/>
            <w:vAlign w:val="center"/>
          </w:tcPr>
          <w:p>
            <w:pPr>
              <w:jc w:val="center"/>
              <w:rPr>
                <w:rFonts w:hint="eastAsia" w:ascii="仿宋_GB2312" w:hAnsi="仿宋_GB2312" w:eastAsia="仿宋_GB2312" w:cs="仿宋_GB2312"/>
                <w:sz w:val="24"/>
                <w:szCs w:val="32"/>
                <w:shd w:val="clear" w:color="auto" w:fill="FFFFFF"/>
              </w:rPr>
            </w:pPr>
            <w:r>
              <w:rPr>
                <w:rFonts w:hint="eastAsia" w:ascii="仿宋_GB2312" w:hAnsi="仿宋_GB2312" w:eastAsia="仿宋_GB2312" w:cs="仿宋_GB2312"/>
                <w:sz w:val="24"/>
                <w:szCs w:val="32"/>
                <w:shd w:val="clear" w:color="auto" w:fill="FFFFFF"/>
              </w:rPr>
              <w:t>是否造成社会影响或生态</w:t>
            </w:r>
          </w:p>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破坏</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20%</w:t>
            </w: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造成社会影响或生态破坏的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75"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2"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zCs w:val="32"/>
                <w:shd w:val="clear" w:color="auto" w:fill="FFFFFF"/>
              </w:rPr>
              <w:t>未造成社会影响与生态破坏的</w:t>
            </w:r>
          </w:p>
        </w:tc>
        <w:tc>
          <w:tcPr>
            <w:tcW w:w="1323"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bl>
    <w:p>
      <w:r>
        <w:br w:type="page"/>
      </w:r>
    </w:p>
    <w:tbl>
      <w:tblPr>
        <w:tblStyle w:val="9"/>
        <w:tblpPr w:leftFromText="180" w:rightFromText="180" w:vertAnchor="text" w:horzAnchor="page" w:tblpX="1508" w:tblpY="-100"/>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817"/>
        <w:gridCol w:w="745"/>
        <w:gridCol w:w="375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24" w:hRule="atLeast"/>
        </w:trPr>
        <w:tc>
          <w:tcPr>
            <w:tcW w:w="9075" w:type="dxa"/>
            <w:gridSpan w:val="5"/>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2"/>
              <w:jc w:val="center"/>
              <w:rPr>
                <w:rFonts w:ascii="宋体" w:hAnsi="宋体"/>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650" w:type="dxa"/>
            <w:gridSpan w:val="4"/>
            <w:noWrap w:val="0"/>
            <w:vAlign w:val="center"/>
          </w:tcPr>
          <w:p>
            <w:pPr>
              <w:jc w:val="center"/>
              <w:rPr>
                <w:rFonts w:hint="eastAsia" w:ascii="仿宋_GB2312" w:hAnsi="仿宋" w:eastAsia="仿宋_GB2312"/>
                <w:b/>
                <w:sz w:val="24"/>
                <w:shd w:val="clear" w:color="auto" w:fill="FFFFFF"/>
              </w:rPr>
            </w:pPr>
            <w:r>
              <w:rPr>
                <w:rFonts w:ascii="仿宋_GB2312" w:hAnsi="仿宋" w:eastAsia="仿宋_GB2312"/>
                <w:bCs/>
                <w:sz w:val="24"/>
                <w:shd w:val="clear" w:color="auto" w:fill="FFFFFF"/>
              </w:rPr>
              <w:t>21</w:t>
            </w:r>
            <w:r>
              <w:rPr>
                <w:rFonts w:hint="eastAsia" w:ascii="仿宋_GB2312" w:hAnsi="仿宋" w:eastAsia="仿宋_GB2312"/>
                <w:bCs/>
                <w:sz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35"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650" w:type="dxa"/>
            <w:gridSpan w:val="4"/>
            <w:noWrap w:val="0"/>
            <w:vAlign w:val="center"/>
          </w:tcPr>
          <w:p>
            <w:pPr>
              <w:adjustRightInd w:val="0"/>
              <w:snapToGrid w:val="0"/>
              <w:rPr>
                <w:rFonts w:hint="eastAsia" w:ascii="仿宋_GB2312" w:hAnsi="仿宋" w:eastAsia="仿宋_GB2312"/>
                <w:color w:val="0F0F0F"/>
                <w:sz w:val="24"/>
                <w:shd w:val="clear" w:color="auto" w:fill="FFFFFF"/>
              </w:rPr>
            </w:pPr>
            <w:r>
              <w:rPr>
                <w:rFonts w:hint="eastAsia" w:ascii="仿宋_GB2312" w:hAnsi="仿宋" w:eastAsia="仿宋_GB2312"/>
                <w:sz w:val="24"/>
                <w:shd w:val="clear" w:color="auto" w:fill="FFFFFF"/>
              </w:rPr>
              <w:t>未按照规定对所排放的工业废气和有毒有害大气污染物进行监测并保存原始监测记录的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200"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650" w:type="dxa"/>
            <w:gridSpan w:val="4"/>
            <w:noWrap w:val="0"/>
            <w:vAlign w:val="center"/>
          </w:tcPr>
          <w:p>
            <w:pPr>
              <w:adjustRightInd w:val="0"/>
              <w:snapToGrid w:val="0"/>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rPr>
                <w:rFonts w:hint="eastAsia" w:ascii="仿宋_GB2312" w:hAnsi="仿宋" w:eastAsia="仿宋_GB2312"/>
                <w:sz w:val="24"/>
                <w:shd w:val="clear" w:color="auto" w:fill="FFFFFF"/>
              </w:rPr>
            </w:pPr>
            <w:r>
              <w:rPr>
                <w:rFonts w:hint="eastAsia" w:ascii="仿宋_GB2312" w:hAnsi="仿宋_GB2312" w:eastAsia="仿宋_GB2312" w:cs="仿宋_GB2312"/>
                <w:b/>
                <w:bCs/>
                <w:sz w:val="24"/>
                <w:szCs w:val="32"/>
                <w:shd w:val="clear" w:color="auto" w:fill="FFFFFF"/>
              </w:rPr>
              <w:t>第四条</w:t>
            </w:r>
            <w:r>
              <w:rPr>
                <w:rFonts w:hint="eastAsia" w:ascii="仿宋_GB2312" w:hAnsi="仿宋" w:eastAsia="仿宋_GB2312"/>
                <w:sz w:val="24"/>
                <w:shd w:val="clear" w:color="auto" w:fill="FFFFFF"/>
              </w:rPr>
              <w:t xml:space="preserve"> 列入名录的重点排污单位和市生态环境主管部门确定的其他排污单位，应当安装、使用大气污染物排放自动监测设备，与生态环境主管部门的监控设备联网。</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adjustRightInd w:val="0"/>
              <w:snapToGrid w:val="0"/>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（五）未按照规定对所排放的工业废气和有毒有害大气污染物进行监测并保存原始监测记录的。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9" w:hRule="atLeast"/>
        </w:trPr>
        <w:tc>
          <w:tcPr>
            <w:tcW w:w="3987" w:type="dxa"/>
            <w:gridSpan w:val="3"/>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5088" w:type="dxa"/>
            <w:gridSpan w:val="2"/>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trPr>
        <w:tc>
          <w:tcPr>
            <w:tcW w:w="1425" w:type="dxa"/>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要素</w:t>
            </w:r>
          </w:p>
        </w:tc>
        <w:tc>
          <w:tcPr>
            <w:tcW w:w="1817"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具体条件</w:t>
            </w:r>
          </w:p>
        </w:tc>
        <w:tc>
          <w:tcPr>
            <w:tcW w:w="745"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构成</w:t>
            </w:r>
          </w:p>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比例</w:t>
            </w:r>
          </w:p>
        </w:tc>
        <w:tc>
          <w:tcPr>
            <w:tcW w:w="3750"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程度</w:t>
            </w:r>
          </w:p>
        </w:tc>
        <w:tc>
          <w:tcPr>
            <w:tcW w:w="1338"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425"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对环境影响程度</w:t>
            </w:r>
          </w:p>
        </w:tc>
        <w:tc>
          <w:tcPr>
            <w:tcW w:w="181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违法行为类型</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已经开展自行监测但未按规定保存原始监测记录的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22"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17"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未按照规定开展自行监测的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违法频次</w:t>
            </w:r>
          </w:p>
        </w:tc>
        <w:tc>
          <w:tcPr>
            <w:tcW w:w="1817" w:type="dxa"/>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一年内违法次数</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首次实施违法行为的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1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再次实施违法行为的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continue"/>
            <w:tcBorders>
              <w:right w:val="single" w:color="auto" w:sz="4" w:space="0"/>
            </w:tcBorders>
            <w:noWrap w:val="0"/>
            <w:vAlign w:val="center"/>
          </w:tcPr>
          <w:p>
            <w:pPr>
              <w:jc w:val="center"/>
              <w:rPr>
                <w:rFonts w:hint="eastAsia" w:ascii="仿宋_GB2312" w:eastAsia="仿宋_GB2312"/>
                <w:shd w:val="clear" w:color="auto" w:fill="FFFFFF"/>
              </w:rPr>
            </w:pPr>
          </w:p>
        </w:tc>
        <w:tc>
          <w:tcPr>
            <w:tcW w:w="1817" w:type="dxa"/>
            <w:vMerge w:val="continue"/>
            <w:tcBorders>
              <w:left w:val="single" w:color="auto" w:sz="4" w:space="0"/>
            </w:tcBorders>
            <w:noWrap w:val="0"/>
            <w:vAlign w:val="center"/>
          </w:tcPr>
          <w:p>
            <w:pPr>
              <w:jc w:val="center"/>
              <w:rPr>
                <w:rFonts w:hint="eastAsia" w:ascii="仿宋_GB2312" w:eastAsia="仿宋_GB2312"/>
                <w:sz w:val="24"/>
                <w:shd w:val="clear" w:color="auto" w:fill="FFFFFF"/>
              </w:rPr>
            </w:pPr>
          </w:p>
        </w:tc>
        <w:tc>
          <w:tcPr>
            <w:tcW w:w="745" w:type="dxa"/>
            <w:vMerge w:val="continue"/>
            <w:noWrap w:val="0"/>
            <w:vAlign w:val="center"/>
          </w:tcPr>
          <w:p>
            <w:pPr>
              <w:jc w:val="center"/>
              <w:rPr>
                <w:rFonts w:hint="eastAsia" w:ascii="仿宋_GB2312" w:eastAsia="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第三次实施违法行为的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sz w:val="24"/>
                <w:szCs w:val="32"/>
                <w:shd w:val="clear" w:color="auto" w:fill="FFFFFF"/>
              </w:rPr>
            </w:pPr>
          </w:p>
        </w:tc>
        <w:tc>
          <w:tcPr>
            <w:tcW w:w="181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三次以上实施违法行为的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整改情况</w:t>
            </w:r>
          </w:p>
        </w:tc>
        <w:tc>
          <w:tcPr>
            <w:tcW w:w="1817" w:type="dxa"/>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是否完成整改</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全面整改并停止违法行为的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1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ind w:right="-214" w:rightChars="-102"/>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正在整改但违法行为未完全消除的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1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复查时未采取整改措施的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配合调查</w:t>
            </w:r>
          </w:p>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取证情况</w:t>
            </w:r>
          </w:p>
        </w:tc>
        <w:tc>
          <w:tcPr>
            <w:tcW w:w="1817" w:type="dxa"/>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是否配合执法</w:t>
            </w:r>
          </w:p>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检查</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不配合检查的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1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配合检查的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restart"/>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对社会影响或生态破坏程度</w:t>
            </w:r>
          </w:p>
        </w:tc>
        <w:tc>
          <w:tcPr>
            <w:tcW w:w="1817"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是否造成社会影响或生态破坏</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造成社会影响或生态破坏的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76" w:hRule="atLeast"/>
        </w:trPr>
        <w:tc>
          <w:tcPr>
            <w:tcW w:w="1425" w:type="dxa"/>
            <w:vMerge w:val="continue"/>
            <w:noWrap w:val="0"/>
            <w:vAlign w:val="center"/>
          </w:tcPr>
          <w:p>
            <w:pPr>
              <w:jc w:val="center"/>
              <w:rPr>
                <w:rFonts w:hint="eastAsia" w:ascii="仿宋_GB2312" w:hAnsi="仿宋_GB2312" w:eastAsia="仿宋_GB2312" w:cs="仿宋_GB2312"/>
                <w:b/>
                <w:bCs/>
                <w:sz w:val="24"/>
                <w:szCs w:val="32"/>
                <w:shd w:val="clear" w:color="auto" w:fill="FFFFFF"/>
              </w:rPr>
            </w:pPr>
          </w:p>
        </w:tc>
        <w:tc>
          <w:tcPr>
            <w:tcW w:w="1817"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未造成社会影响与生态破坏的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bl>
    <w:p>
      <w:bookmarkStart w:id="0" w:name="_Hlk48638794"/>
      <w:r>
        <w:br w:type="page"/>
      </w:r>
    </w:p>
    <w:tbl>
      <w:tblPr>
        <w:tblStyle w:val="9"/>
        <w:tblpPr w:leftFromText="180" w:rightFromText="180" w:vertAnchor="text" w:horzAnchor="page" w:tblpX="1524" w:tblpY="-110"/>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807"/>
        <w:gridCol w:w="745"/>
        <w:gridCol w:w="375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4" w:hRule="atLeast"/>
        </w:trPr>
        <w:tc>
          <w:tcPr>
            <w:tcW w:w="9075" w:type="dxa"/>
            <w:gridSpan w:val="5"/>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2"/>
              <w:jc w:val="center"/>
              <w:rPr>
                <w:rFonts w:ascii="宋体" w:hAnsi="宋体"/>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650" w:type="dxa"/>
            <w:gridSpan w:val="4"/>
            <w:noWrap w:val="0"/>
            <w:vAlign w:val="center"/>
          </w:tcPr>
          <w:p>
            <w:pPr>
              <w:jc w:val="center"/>
              <w:rPr>
                <w:rFonts w:hint="eastAsia" w:ascii="仿宋" w:hAnsi="仿宋" w:eastAsia="仿宋"/>
                <w:sz w:val="24"/>
                <w:shd w:val="clear" w:color="auto" w:fill="FFFFFF"/>
              </w:rPr>
            </w:pPr>
            <w:r>
              <w:rPr>
                <w:rFonts w:ascii="仿宋" w:hAnsi="仿宋" w:eastAsia="仿宋"/>
                <w:sz w:val="24"/>
                <w:shd w:val="clear" w:color="auto" w:fill="FFFFFF"/>
              </w:rPr>
              <w:t>21</w:t>
            </w:r>
            <w:r>
              <w:rPr>
                <w:rFonts w:hint="eastAsia" w:ascii="仿宋" w:hAnsi="仿宋" w:eastAsia="仿宋"/>
                <w:sz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2"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650" w:type="dxa"/>
            <w:gridSpan w:val="4"/>
            <w:noWrap w:val="0"/>
            <w:vAlign w:val="center"/>
          </w:tcPr>
          <w:p>
            <w:pPr>
              <w:rPr>
                <w:rFonts w:hint="eastAsia" w:ascii="仿宋_GB2312" w:hAnsi="仿宋" w:eastAsia="仿宋_GB2312"/>
                <w:sz w:val="24"/>
                <w:shd w:val="clear" w:color="auto" w:fill="FFFFFF"/>
              </w:rPr>
            </w:pPr>
            <w:r>
              <w:rPr>
                <w:rFonts w:hint="eastAsia" w:ascii="仿宋_GB2312" w:hAnsi="仿宋" w:eastAsia="仿宋_GB2312" w:cs="宋体"/>
                <w:color w:val="0F0F0F"/>
                <w:kern w:val="0"/>
                <w:sz w:val="24"/>
                <w:shd w:val="clear" w:color="auto" w:fill="FFFFFF"/>
              </w:rPr>
              <w:t>未按照国家规定设置监测点位或者采样监测平台的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550" w:hRule="atLeast"/>
        </w:trPr>
        <w:tc>
          <w:tcPr>
            <w:tcW w:w="1425"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650" w:type="dxa"/>
            <w:gridSpan w:val="4"/>
            <w:noWrap w:val="0"/>
            <w:vAlign w:val="center"/>
          </w:tcPr>
          <w:p>
            <w:pPr>
              <w:adjustRightInd w:val="0"/>
              <w:snapToGrid w:val="0"/>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rPr>
                <w:rFonts w:ascii="仿宋_GB2312" w:hAnsi="仿宋" w:eastAsia="仿宋_GB2312" w:cs="宋体"/>
                <w:color w:val="0F0F0F"/>
                <w:kern w:val="0"/>
                <w:sz w:val="24"/>
                <w:shd w:val="clear" w:color="auto" w:fill="FFFFFF"/>
              </w:rPr>
            </w:pPr>
            <w:r>
              <w:rPr>
                <w:rFonts w:hint="eastAsia" w:ascii="仿宋_GB2312" w:hAnsi="仿宋_GB2312" w:eastAsia="仿宋_GB2312" w:cs="仿宋_GB2312"/>
                <w:b/>
                <w:bCs/>
                <w:sz w:val="24"/>
                <w:szCs w:val="32"/>
                <w:shd w:val="clear" w:color="auto" w:fill="FFFFFF"/>
              </w:rPr>
              <w:t xml:space="preserve">第五条 </w:t>
            </w:r>
            <w:r>
              <w:rPr>
                <w:rFonts w:hint="eastAsia" w:ascii="仿宋_GB2312" w:hAnsi="仿宋" w:eastAsia="仿宋_GB2312" w:cs="宋体"/>
                <w:color w:val="0F0F0F"/>
                <w:kern w:val="0"/>
                <w:sz w:val="24"/>
                <w:shd w:val="clear" w:color="auto" w:fill="FFFFFF"/>
              </w:rPr>
              <w:t>企业事业单位和其他生产经营者向大气排放污染物的，应当按照有关规定设置监测点位和采样监测平台并保持正常使用，接受生态环境主管部门或者其他监督管理部门的监督性监测。</w:t>
            </w:r>
          </w:p>
          <w:p>
            <w:pPr>
              <w:adjustRightInd w:val="0"/>
              <w:snapToGrid w:val="0"/>
              <w:rPr>
                <w:rFonts w:hint="eastAsia" w:ascii="仿宋_GB2312" w:hAnsi="仿宋" w:eastAsia="仿宋_GB2312" w:cs="宋体"/>
                <w:color w:val="0F0F0F"/>
                <w:kern w:val="0"/>
                <w:sz w:val="24"/>
                <w:shd w:val="clear" w:color="auto" w:fill="FFFFFF"/>
              </w:rPr>
            </w:pPr>
            <w:r>
              <w:rPr>
                <w:rFonts w:hint="eastAsia" w:ascii="仿宋_GB2312" w:hAnsi="仿宋" w:eastAsia="仿宋_GB2312" w:cs="宋体"/>
                <w:color w:val="0F0F0F"/>
                <w:kern w:val="0"/>
                <w:sz w:val="24"/>
                <w:shd w:val="clear" w:color="auto" w:fill="FFFFFF"/>
              </w:rPr>
              <w:t>违反本规定，未按照国家规定设置监测点位或者采样监测平台的，由生态环境主管部门或者其他监督管理部门责令限期改正；逾期不改正的，处一万元以上二万元以下罚款；情节较重的，处二万元以上五万元以下罚款；情节严重的，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9" w:hRule="atLeast"/>
        </w:trPr>
        <w:tc>
          <w:tcPr>
            <w:tcW w:w="3977" w:type="dxa"/>
            <w:gridSpan w:val="3"/>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5098"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64" w:hRule="atLeast"/>
        </w:trPr>
        <w:tc>
          <w:tcPr>
            <w:tcW w:w="1425" w:type="dxa"/>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要素</w:t>
            </w:r>
          </w:p>
        </w:tc>
        <w:tc>
          <w:tcPr>
            <w:tcW w:w="1807"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具体条件</w:t>
            </w:r>
          </w:p>
        </w:tc>
        <w:tc>
          <w:tcPr>
            <w:tcW w:w="745"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构成</w:t>
            </w:r>
          </w:p>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比例</w:t>
            </w:r>
          </w:p>
        </w:tc>
        <w:tc>
          <w:tcPr>
            <w:tcW w:w="3750"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程度</w:t>
            </w:r>
          </w:p>
        </w:tc>
        <w:tc>
          <w:tcPr>
            <w:tcW w:w="1348"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对环境影响程度</w:t>
            </w:r>
          </w:p>
        </w:tc>
        <w:tc>
          <w:tcPr>
            <w:tcW w:w="1807"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违法行为类型</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3750" w:type="dxa"/>
            <w:noWrap w:val="0"/>
            <w:vAlign w:val="center"/>
          </w:tcPr>
          <w:p>
            <w:pPr>
              <w:rPr>
                <w:rFonts w:hint="eastAsia" w:ascii="仿宋_GB2312" w:hAnsi="仿宋" w:eastAsia="仿宋_GB2312" w:cs="宋体"/>
                <w:color w:val="0F0F0F"/>
                <w:kern w:val="0"/>
                <w:sz w:val="24"/>
                <w:shd w:val="clear" w:color="auto" w:fill="FFFFFF"/>
              </w:rPr>
            </w:pPr>
            <w:r>
              <w:rPr>
                <w:rFonts w:hint="eastAsia" w:ascii="仿宋_GB2312" w:hAnsi="仿宋" w:eastAsia="仿宋_GB2312" w:cs="宋体"/>
                <w:color w:val="0F0F0F"/>
                <w:kern w:val="0"/>
                <w:sz w:val="24"/>
                <w:shd w:val="clear" w:color="auto" w:fill="FFFFFF"/>
              </w:rPr>
              <w:t>未按照规定设置监测点位和采样监测平台</w:t>
            </w:r>
          </w:p>
        </w:tc>
        <w:tc>
          <w:tcPr>
            <w:tcW w:w="1348" w:type="dxa"/>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noWrap w:val="0"/>
            <w:vAlign w:val="center"/>
          </w:tcPr>
          <w:p>
            <w:pPr>
              <w:jc w:val="center"/>
              <w:rPr>
                <w:rFonts w:hint="eastAsia" w:ascii="仿宋_GB2312" w:hAnsi="仿宋" w:eastAsia="仿宋_GB2312"/>
                <w:b/>
                <w:bCs/>
                <w:sz w:val="24"/>
                <w:shd w:val="clear" w:color="auto" w:fill="FFFFFF"/>
              </w:rPr>
            </w:pPr>
          </w:p>
        </w:tc>
        <w:tc>
          <w:tcPr>
            <w:tcW w:w="1807"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cs="宋体"/>
                <w:color w:val="0F0F0F"/>
                <w:kern w:val="0"/>
                <w:sz w:val="24"/>
                <w:shd w:val="clear" w:color="auto" w:fill="FFFFFF"/>
              </w:rPr>
            </w:pPr>
            <w:r>
              <w:rPr>
                <w:rFonts w:hint="eastAsia" w:ascii="仿宋_GB2312" w:hAnsi="仿宋" w:eastAsia="仿宋_GB2312" w:cs="宋体"/>
                <w:color w:val="0F0F0F"/>
                <w:kern w:val="0"/>
                <w:sz w:val="24"/>
                <w:shd w:val="clear" w:color="auto" w:fill="FFFFFF"/>
              </w:rPr>
              <w:t>未设置监测点位和采样监测平台</w:t>
            </w:r>
          </w:p>
        </w:tc>
        <w:tc>
          <w:tcPr>
            <w:tcW w:w="1348" w:type="dxa"/>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21—40%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违法频次</w:t>
            </w:r>
          </w:p>
        </w:tc>
        <w:tc>
          <w:tcPr>
            <w:tcW w:w="1807" w:type="dxa"/>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一年内违法</w:t>
            </w:r>
          </w:p>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次数</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首次实施违法行为的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0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再次实施违法行为的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tcBorders>
              <w:right w:val="single" w:color="auto" w:sz="4" w:space="0"/>
            </w:tcBorders>
            <w:noWrap w:val="0"/>
            <w:vAlign w:val="center"/>
          </w:tcPr>
          <w:p>
            <w:pPr>
              <w:jc w:val="center"/>
              <w:rPr>
                <w:rFonts w:hint="eastAsia" w:ascii="仿宋_GB2312" w:eastAsia="仿宋_GB2312"/>
                <w:shd w:val="clear" w:color="auto" w:fill="FFFFFF"/>
              </w:rPr>
            </w:pPr>
          </w:p>
        </w:tc>
        <w:tc>
          <w:tcPr>
            <w:tcW w:w="1807" w:type="dxa"/>
            <w:vMerge w:val="continue"/>
            <w:tcBorders>
              <w:left w:val="single" w:color="auto" w:sz="4" w:space="0"/>
            </w:tcBorders>
            <w:noWrap w:val="0"/>
            <w:vAlign w:val="center"/>
          </w:tcPr>
          <w:p>
            <w:pPr>
              <w:jc w:val="center"/>
              <w:rPr>
                <w:rFonts w:hint="eastAsia" w:ascii="仿宋_GB2312" w:eastAsia="仿宋_GB2312"/>
                <w:sz w:val="24"/>
                <w:shd w:val="clear" w:color="auto" w:fill="FFFFFF"/>
              </w:rPr>
            </w:pPr>
          </w:p>
        </w:tc>
        <w:tc>
          <w:tcPr>
            <w:tcW w:w="745" w:type="dxa"/>
            <w:vMerge w:val="continue"/>
            <w:noWrap w:val="0"/>
            <w:vAlign w:val="center"/>
          </w:tcPr>
          <w:p>
            <w:pPr>
              <w:jc w:val="center"/>
              <w:rPr>
                <w:rFonts w:hint="eastAsia" w:ascii="仿宋_GB2312" w:eastAsia="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第三次实施违法行为的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sz w:val="24"/>
                <w:szCs w:val="32"/>
                <w:shd w:val="clear" w:color="auto" w:fill="FFFFFF"/>
              </w:rPr>
            </w:pPr>
          </w:p>
        </w:tc>
        <w:tc>
          <w:tcPr>
            <w:tcW w:w="180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三次以上实施违法行为的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整改情况</w:t>
            </w:r>
          </w:p>
        </w:tc>
        <w:tc>
          <w:tcPr>
            <w:tcW w:w="1807" w:type="dxa"/>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是否完成整改</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全面整改并停止违法行为的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0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ind w:right="-214" w:rightChars="-102"/>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正在整改但违法行为未完全消除的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0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复查时未采取整改措施的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配合调查</w:t>
            </w:r>
          </w:p>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取证情况</w:t>
            </w:r>
          </w:p>
        </w:tc>
        <w:tc>
          <w:tcPr>
            <w:tcW w:w="1807" w:type="dxa"/>
            <w:vMerge w:val="restart"/>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是否配合执法</w:t>
            </w:r>
          </w:p>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检查</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不配合检查的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shd w:val="clear" w:color="auto" w:fill="FFFFFF"/>
              </w:rPr>
            </w:pPr>
          </w:p>
        </w:tc>
        <w:tc>
          <w:tcPr>
            <w:tcW w:w="1807" w:type="dxa"/>
            <w:vMerge w:val="continue"/>
            <w:tcBorders>
              <w:left w:val="single" w:color="auto" w:sz="4" w:space="0"/>
            </w:tcBorders>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配合检查的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restart"/>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对社会影响或生态破坏程度</w:t>
            </w:r>
          </w:p>
        </w:tc>
        <w:tc>
          <w:tcPr>
            <w:tcW w:w="1807"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是否造成社会影响或生态破坏</w:t>
            </w:r>
          </w:p>
        </w:tc>
        <w:tc>
          <w:tcPr>
            <w:tcW w:w="745"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造成社会影响或生态破坏的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99" w:hRule="atLeast"/>
        </w:trPr>
        <w:tc>
          <w:tcPr>
            <w:tcW w:w="1425" w:type="dxa"/>
            <w:vMerge w:val="continue"/>
            <w:noWrap w:val="0"/>
            <w:vAlign w:val="center"/>
          </w:tcPr>
          <w:p>
            <w:pPr>
              <w:jc w:val="center"/>
              <w:rPr>
                <w:rFonts w:hint="eastAsia" w:ascii="仿宋_GB2312" w:hAnsi="仿宋_GB2312" w:eastAsia="仿宋_GB2312" w:cs="仿宋_GB2312"/>
                <w:b/>
                <w:bCs/>
                <w:sz w:val="24"/>
                <w:szCs w:val="32"/>
                <w:shd w:val="clear" w:color="auto" w:fill="FFFFFF"/>
              </w:rPr>
            </w:pPr>
          </w:p>
        </w:tc>
        <w:tc>
          <w:tcPr>
            <w:tcW w:w="1807"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745" w:type="dxa"/>
            <w:vMerge w:val="continue"/>
            <w:noWrap w:val="0"/>
            <w:vAlign w:val="center"/>
          </w:tcPr>
          <w:p>
            <w:pPr>
              <w:rPr>
                <w:rFonts w:hint="eastAsia" w:ascii="仿宋_GB2312" w:hAnsi="仿宋_GB2312" w:eastAsia="仿宋_GB2312" w:cs="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未造成社会影响与生态破坏的</w:t>
            </w:r>
          </w:p>
        </w:tc>
        <w:tc>
          <w:tcPr>
            <w:tcW w:w="134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bl>
    <w:p>
      <w:pPr>
        <w:rPr>
          <w:sz w:val="10"/>
          <w:szCs w:val="10"/>
        </w:rPr>
      </w:pPr>
      <w:bookmarkStart w:id="1" w:name="_Hlk48639343"/>
      <w:r>
        <w:br w:type="page"/>
      </w:r>
    </w:p>
    <w:tbl>
      <w:tblPr>
        <w:tblStyle w:val="9"/>
        <w:tblW w:w="90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29"/>
        <w:gridCol w:w="745"/>
        <w:gridCol w:w="375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4" w:hRule="atLeast"/>
        </w:trPr>
        <w:tc>
          <w:tcPr>
            <w:tcW w:w="9066" w:type="dxa"/>
            <w:gridSpan w:val="5"/>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2"/>
              <w:jc w:val="center"/>
              <w:rPr>
                <w:rFonts w:hint="eastAsia" w:ascii="仿宋_GB2312" w:hAnsi="宋体" w:eastAsia="仿宋_GB2312"/>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0" w:hRule="atLeast"/>
        </w:trPr>
        <w:tc>
          <w:tcPr>
            <w:tcW w:w="1404"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662" w:type="dxa"/>
            <w:gridSpan w:val="4"/>
            <w:noWrap w:val="0"/>
            <w:vAlign w:val="center"/>
          </w:tcPr>
          <w:p>
            <w:pPr>
              <w:jc w:val="center"/>
              <w:rPr>
                <w:rFonts w:hint="eastAsia" w:ascii="仿宋_GB2312" w:hAnsi="仿宋" w:eastAsia="仿宋_GB2312"/>
                <w:b/>
                <w:sz w:val="24"/>
                <w:shd w:val="clear" w:color="auto" w:fill="FFFFFF"/>
              </w:rPr>
            </w:pPr>
            <w:r>
              <w:rPr>
                <w:rFonts w:ascii="仿宋_GB2312" w:hAnsi="仿宋" w:eastAsia="仿宋_GB2312"/>
                <w:bCs/>
                <w:sz w:val="24"/>
                <w:shd w:val="clear" w:color="auto" w:fill="FFFFFF"/>
              </w:rPr>
              <w:t>21</w:t>
            </w:r>
            <w:r>
              <w:rPr>
                <w:rFonts w:hint="eastAsia" w:ascii="仿宋_GB2312" w:hAnsi="仿宋" w:eastAsia="仿宋_GB2312"/>
                <w:bCs/>
                <w:sz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15" w:hRule="atLeast"/>
        </w:trPr>
        <w:tc>
          <w:tcPr>
            <w:tcW w:w="1404"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662" w:type="dxa"/>
            <w:gridSpan w:val="4"/>
            <w:noWrap w:val="0"/>
            <w:vAlign w:val="center"/>
          </w:tcPr>
          <w:p>
            <w:pPr>
              <w:adjustRightInd w:val="0"/>
              <w:snapToGrid w:val="0"/>
              <w:rPr>
                <w:rFonts w:ascii="仿宋_GB2312" w:hAnsi="仿宋" w:eastAsia="仿宋_GB2312"/>
                <w:szCs w:val="21"/>
                <w:shd w:val="clear" w:color="auto" w:fill="FFFFFF"/>
              </w:rPr>
            </w:pPr>
            <w:r>
              <w:rPr>
                <w:rFonts w:hint="eastAsia" w:ascii="仿宋_GB2312" w:hAnsi="仿宋" w:eastAsia="仿宋_GB2312" w:cs="宋体"/>
                <w:color w:val="0F0F0F"/>
                <w:kern w:val="0"/>
                <w:sz w:val="24"/>
                <w:shd w:val="clear" w:color="auto" w:fill="FFFFFF"/>
              </w:rPr>
              <w:t>未采取集中收集处理措施，或者未采取密闭、围挡、遮盖、清扫、洒水等措施，控制、减少粉尘和气态污染物排放的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52" w:hRule="atLeast"/>
        </w:trPr>
        <w:tc>
          <w:tcPr>
            <w:tcW w:w="1404"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662" w:type="dxa"/>
            <w:gridSpan w:val="4"/>
            <w:noWrap w:val="0"/>
            <w:vAlign w:val="center"/>
          </w:tcPr>
          <w:p>
            <w:pPr>
              <w:adjustRightInd w:val="0"/>
              <w:snapToGrid w:val="0"/>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rPr>
                <w:rFonts w:hint="eastAsia" w:ascii="仿宋_GB2312" w:hAnsi="仿宋" w:eastAsia="仿宋_GB2312" w:cs="宋体"/>
                <w:color w:val="0F0F0F"/>
                <w:kern w:val="0"/>
                <w:sz w:val="24"/>
                <w:shd w:val="clear" w:color="auto" w:fill="FFFFFF"/>
              </w:rPr>
            </w:pPr>
            <w:r>
              <w:rPr>
                <w:rFonts w:hint="eastAsia" w:ascii="仿宋_GB2312" w:hAnsi="仿宋_GB2312" w:eastAsia="仿宋_GB2312" w:cs="仿宋_GB2312"/>
                <w:b/>
                <w:bCs/>
                <w:sz w:val="24"/>
                <w:szCs w:val="32"/>
                <w:shd w:val="clear" w:color="auto" w:fill="FFFFFF"/>
              </w:rPr>
              <w:t>第六条</w:t>
            </w:r>
            <w:r>
              <w:rPr>
                <w:rFonts w:hint="eastAsia" w:ascii="仿宋_GB2312" w:hAnsi="仿宋" w:eastAsia="仿宋_GB2312" w:cs="宋体"/>
                <w:color w:val="0F0F0F"/>
                <w:kern w:val="0"/>
                <w:sz w:val="24"/>
                <w:shd w:val="clear" w:color="auto" w:fill="FFFFFF"/>
              </w:rPr>
              <w:t xml:space="preserve"> 工业生产企业应当加强精细化管理，采取集中收集处理措施，严格控制粉尘和气态污染物的排放，未采取集中收集处理措施，或者未采取密闭、围挡、遮盖、清扫、洒水等措施，控制、减少粉尘和气态污染物排放的，由生态环境主管部门或者其他监督管理部门责令改正，处二万元以上五万元以下罚款；情节较重的，处五万元以上十万元以下罚款；情节严重的，处十万元以上二十万元以下的罚款；拒不改正的，依法作出处罚决定的行政机关可以自责令改正之日的次日起，按照原处罚数额按日连续处罚，并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9" w:hRule="atLeast"/>
        </w:trPr>
        <w:tc>
          <w:tcPr>
            <w:tcW w:w="3978" w:type="dxa"/>
            <w:gridSpan w:val="3"/>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5088" w:type="dxa"/>
            <w:gridSpan w:val="2"/>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79" w:hRule="atLeast"/>
        </w:trPr>
        <w:tc>
          <w:tcPr>
            <w:tcW w:w="1404" w:type="dxa"/>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要素</w:t>
            </w:r>
          </w:p>
        </w:tc>
        <w:tc>
          <w:tcPr>
            <w:tcW w:w="1829"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具体条件</w:t>
            </w:r>
          </w:p>
        </w:tc>
        <w:tc>
          <w:tcPr>
            <w:tcW w:w="745"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构成</w:t>
            </w:r>
          </w:p>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比例</w:t>
            </w:r>
          </w:p>
        </w:tc>
        <w:tc>
          <w:tcPr>
            <w:tcW w:w="3750"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程度</w:t>
            </w:r>
          </w:p>
        </w:tc>
        <w:tc>
          <w:tcPr>
            <w:tcW w:w="1338"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21" w:hRule="atLeast"/>
        </w:trPr>
        <w:tc>
          <w:tcPr>
            <w:tcW w:w="1404"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对环境影响程度</w:t>
            </w:r>
          </w:p>
        </w:tc>
        <w:tc>
          <w:tcPr>
            <w:tcW w:w="1829"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违法行为类型</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40%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应密闭未密闭，未能有效控制、减少污染物排放的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8"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应采取集中收集处理未采取的，未能有效控制、减少污染物排放的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8"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应密闭未密闭且应采取集中收集处理未采取的，未能有效控制、减少污染物排放的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6" w:hRule="atLeast"/>
        </w:trPr>
        <w:tc>
          <w:tcPr>
            <w:tcW w:w="1404"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违法频次</w:t>
            </w:r>
          </w:p>
        </w:tc>
        <w:tc>
          <w:tcPr>
            <w:tcW w:w="1829"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一年内违法</w:t>
            </w:r>
          </w:p>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次数</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首次实施违法行为的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8"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再次实施违法行为的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44"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第三次实施违法行为的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68"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三次以上实施违法行为的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7" w:hRule="atLeast"/>
        </w:trPr>
        <w:tc>
          <w:tcPr>
            <w:tcW w:w="1404"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整改情况</w:t>
            </w:r>
          </w:p>
        </w:tc>
        <w:tc>
          <w:tcPr>
            <w:tcW w:w="1829"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是否完成整改</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全面整改并停止违法行为的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7"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ind w:right="-214" w:rightChars="-102"/>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正在整改但违法行为未完全消除的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7"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复查时未采取整改措施的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461" w:hRule="atLeast"/>
        </w:trPr>
        <w:tc>
          <w:tcPr>
            <w:tcW w:w="1404" w:type="dxa"/>
            <w:vMerge w:val="restart"/>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配合调查</w:t>
            </w:r>
          </w:p>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取证情况</w:t>
            </w:r>
          </w:p>
        </w:tc>
        <w:tc>
          <w:tcPr>
            <w:tcW w:w="1829"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是否配合执法</w:t>
            </w:r>
          </w:p>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检查</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不配合检查的</w:t>
            </w:r>
          </w:p>
        </w:tc>
        <w:tc>
          <w:tcPr>
            <w:tcW w:w="1338"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461"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配合检查的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1" w:hRule="atLeast"/>
        </w:trPr>
        <w:tc>
          <w:tcPr>
            <w:tcW w:w="1404"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对社会影响或生态破坏程度</w:t>
            </w:r>
          </w:p>
        </w:tc>
        <w:tc>
          <w:tcPr>
            <w:tcW w:w="1829"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是否造成社会影响或生态破坏</w:t>
            </w:r>
          </w:p>
        </w:tc>
        <w:tc>
          <w:tcPr>
            <w:tcW w:w="745"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造成社会影响或生态破坏的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1" w:hRule="atLeast"/>
        </w:trPr>
        <w:tc>
          <w:tcPr>
            <w:tcW w:w="1404" w:type="dxa"/>
            <w:vMerge w:val="continue"/>
            <w:noWrap w:val="0"/>
            <w:vAlign w:val="center"/>
          </w:tcPr>
          <w:p>
            <w:pPr>
              <w:jc w:val="center"/>
              <w:rPr>
                <w:rFonts w:hint="eastAsia" w:ascii="仿宋_GB2312" w:hAnsi="仿宋" w:eastAsia="仿宋_GB2312"/>
                <w:b/>
                <w:bCs/>
                <w:sz w:val="24"/>
                <w:shd w:val="clear" w:color="auto" w:fill="FFFFFF"/>
              </w:rPr>
            </w:pPr>
          </w:p>
        </w:tc>
        <w:tc>
          <w:tcPr>
            <w:tcW w:w="1829" w:type="dxa"/>
            <w:vMerge w:val="continue"/>
            <w:noWrap w:val="0"/>
            <w:vAlign w:val="center"/>
          </w:tcPr>
          <w:p>
            <w:pPr>
              <w:jc w:val="center"/>
              <w:rPr>
                <w:rFonts w:hint="eastAsia" w:ascii="仿宋_GB2312" w:hAnsi="仿宋" w:eastAsia="仿宋_GB2312"/>
                <w:sz w:val="24"/>
                <w:shd w:val="clear" w:color="auto" w:fill="FFFFFF"/>
              </w:rPr>
            </w:pPr>
          </w:p>
        </w:tc>
        <w:tc>
          <w:tcPr>
            <w:tcW w:w="745" w:type="dxa"/>
            <w:vMerge w:val="continue"/>
            <w:noWrap w:val="0"/>
            <w:vAlign w:val="center"/>
          </w:tcPr>
          <w:p>
            <w:pPr>
              <w:jc w:val="center"/>
              <w:rPr>
                <w:rFonts w:hint="eastAsia" w:ascii="仿宋_GB2312" w:hAnsi="仿宋" w:eastAsia="仿宋_GB2312"/>
                <w:sz w:val="24"/>
                <w:shd w:val="clear" w:color="auto" w:fill="FFFFFF"/>
              </w:rPr>
            </w:pPr>
          </w:p>
        </w:tc>
        <w:tc>
          <w:tcPr>
            <w:tcW w:w="3750"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未造成社会影响与生态破坏的</w:t>
            </w:r>
          </w:p>
        </w:tc>
        <w:tc>
          <w:tcPr>
            <w:tcW w:w="1338"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bookmarkEnd w:id="1"/>
    </w:tbl>
    <w:p>
      <w:pPr>
        <w:rPr>
          <w:vanish/>
        </w:rPr>
      </w:pPr>
    </w:p>
    <w:tbl>
      <w:tblPr>
        <w:tblStyle w:val="9"/>
        <w:tblpPr w:leftFromText="180" w:rightFromText="180" w:vertAnchor="text" w:horzAnchor="page" w:tblpX="1617" w:tblpY="313"/>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369"/>
        <w:gridCol w:w="792"/>
        <w:gridCol w:w="4165"/>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960" w:type="dxa"/>
            <w:gridSpan w:val="5"/>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jc w:val="center"/>
              <w:rPr>
                <w:rFonts w:ascii="宋体" w:hAnsi="宋体"/>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0"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序号</w:t>
            </w:r>
          </w:p>
        </w:tc>
        <w:tc>
          <w:tcPr>
            <w:tcW w:w="7470" w:type="dxa"/>
            <w:gridSpan w:val="4"/>
            <w:noWrap w:val="0"/>
            <w:vAlign w:val="center"/>
          </w:tcPr>
          <w:p>
            <w:pPr>
              <w:jc w:val="center"/>
              <w:rPr>
                <w:rFonts w:hint="eastAsia" w:ascii="仿宋_GB2312" w:hAnsi="仿宋" w:eastAsia="仿宋_GB2312"/>
                <w:b/>
                <w:sz w:val="24"/>
                <w:shd w:val="clear" w:color="auto" w:fill="FFFFFF"/>
              </w:rPr>
            </w:pPr>
            <w:r>
              <w:rPr>
                <w:rFonts w:ascii="仿宋_GB2312" w:hAnsi="仿宋" w:eastAsia="仿宋_GB2312"/>
                <w:bCs/>
                <w:sz w:val="24"/>
                <w:shd w:val="clear" w:color="auto" w:fill="FFFFFF"/>
              </w:rPr>
              <w:t>21</w:t>
            </w:r>
            <w:r>
              <w:rPr>
                <w:rFonts w:hint="eastAsia" w:ascii="仿宋_GB2312" w:hAnsi="仿宋" w:eastAsia="仿宋_GB2312"/>
                <w:bCs/>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90" w:type="dxa"/>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违法行为</w:t>
            </w:r>
          </w:p>
        </w:tc>
        <w:tc>
          <w:tcPr>
            <w:tcW w:w="7470" w:type="dxa"/>
            <w:gridSpan w:val="4"/>
            <w:noWrap w:val="0"/>
            <w:vAlign w:val="center"/>
          </w:tcPr>
          <w:p>
            <w:pPr>
              <w:rPr>
                <w:rFonts w:hint="eastAsia" w:ascii="仿宋_GB2312" w:hAnsi="仿宋" w:eastAsia="仿宋_GB2312"/>
                <w:szCs w:val="21"/>
                <w:shd w:val="clear" w:color="auto" w:fill="FFFFFF"/>
              </w:rPr>
            </w:pPr>
            <w:r>
              <w:rPr>
                <w:rFonts w:hint="eastAsia" w:ascii="仿宋_GB2312" w:hAnsi="仿宋" w:eastAsia="仿宋_GB2312" w:cs="宋体"/>
                <w:color w:val="0F0F0F"/>
                <w:kern w:val="0"/>
                <w:sz w:val="24"/>
                <w:shd w:val="clear" w:color="auto" w:fill="FFFFFF"/>
              </w:rPr>
              <w:t>在用机动车排放污染物超过规定排放标准的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90" w:type="dxa"/>
            <w:noWrap w:val="0"/>
            <w:vAlign w:val="center"/>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处罚依据</w:t>
            </w:r>
          </w:p>
        </w:tc>
        <w:tc>
          <w:tcPr>
            <w:tcW w:w="7470" w:type="dxa"/>
            <w:gridSpan w:val="4"/>
            <w:noWrap w:val="0"/>
            <w:vAlign w:val="top"/>
          </w:tcPr>
          <w:p>
            <w:pPr>
              <w:adjustRightInd w:val="0"/>
              <w:snapToGrid w:val="0"/>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sz w:val="24"/>
                <w:szCs w:val="32"/>
                <w:shd w:val="clear" w:color="auto" w:fill="FFFFFF"/>
              </w:rPr>
              <w:t>1</w:t>
            </w:r>
            <w:r>
              <w:rPr>
                <w:rFonts w:ascii="仿宋_GB2312" w:hAnsi="仿宋_GB2312" w:eastAsia="仿宋_GB2312" w:cs="仿宋_GB2312"/>
                <w:sz w:val="24"/>
                <w:szCs w:val="32"/>
                <w:shd w:val="clear" w:color="auto" w:fill="FFFFFF"/>
              </w:rPr>
              <w:t>.</w:t>
            </w:r>
            <w:r>
              <w:rPr>
                <w:rFonts w:hint="eastAsia" w:ascii="仿宋_GB2312" w:hAnsi="仿宋_GB2312" w:eastAsia="仿宋_GB2312" w:cs="仿宋_GB2312"/>
                <w:b/>
                <w:bCs/>
                <w:sz w:val="24"/>
                <w:szCs w:val="32"/>
                <w:shd w:val="clear" w:color="auto" w:fill="FFFFFF"/>
              </w:rPr>
              <w:t>《唐山市大气污染防治若干规定》</w:t>
            </w:r>
          </w:p>
          <w:p>
            <w:pPr>
              <w:adjustRightInd w:val="0"/>
              <w:snapToGrid w:val="0"/>
              <w:rPr>
                <w:rFonts w:hint="eastAsia" w:ascii="仿宋_GB2312" w:hAnsi="仿宋" w:eastAsia="仿宋_GB2312" w:cs="宋体"/>
                <w:color w:val="0F0F0F"/>
                <w:kern w:val="0"/>
                <w:sz w:val="24"/>
                <w:shd w:val="clear" w:color="auto" w:fill="FFFFFF"/>
              </w:rPr>
            </w:pPr>
            <w:r>
              <w:rPr>
                <w:rFonts w:hint="eastAsia" w:ascii="仿宋_GB2312" w:hAnsi="仿宋_GB2312" w:eastAsia="仿宋_GB2312" w:cs="仿宋_GB2312"/>
                <w:b/>
                <w:bCs/>
                <w:sz w:val="24"/>
                <w:szCs w:val="32"/>
                <w:shd w:val="clear" w:color="auto" w:fill="FFFFFF"/>
              </w:rPr>
              <w:t>第八条</w:t>
            </w:r>
            <w:r>
              <w:rPr>
                <w:rFonts w:hint="eastAsia" w:ascii="仿宋_GB2312" w:hAnsi="仿宋" w:eastAsia="仿宋_GB2312" w:cs="宋体"/>
                <w:color w:val="0F0F0F"/>
                <w:kern w:val="0"/>
                <w:sz w:val="24"/>
                <w:shd w:val="clear" w:color="auto" w:fill="FFFFFF"/>
              </w:rPr>
              <w:t xml:space="preserve"> 机动车所有者或者使用者应当保持排放污染控制装置正常使用，不得拆除、闲置或者擅自更改。</w:t>
            </w:r>
          </w:p>
          <w:p>
            <w:pPr>
              <w:adjustRightInd w:val="0"/>
              <w:snapToGrid w:val="0"/>
              <w:rPr>
                <w:rFonts w:hint="eastAsia" w:ascii="仿宋_GB2312" w:hAnsi="仿宋" w:eastAsia="仿宋_GB2312" w:cs="宋体"/>
                <w:color w:val="0F0F0F"/>
                <w:kern w:val="0"/>
                <w:sz w:val="24"/>
                <w:shd w:val="clear" w:color="auto" w:fill="FFFFFF"/>
              </w:rPr>
            </w:pPr>
            <w:r>
              <w:rPr>
                <w:rFonts w:hint="eastAsia" w:ascii="仿宋_GB2312" w:hAnsi="仿宋" w:eastAsia="仿宋_GB2312" w:cs="宋体"/>
                <w:color w:val="0F0F0F"/>
                <w:kern w:val="0"/>
                <w:sz w:val="24"/>
                <w:shd w:val="clear" w:color="auto" w:fill="FFFFFF"/>
              </w:rPr>
              <w:t>机动车所有者或者使用者在车载排放诊断系统报警后，应当及时对机动车进行维修，确保车辆达到排放标准。</w:t>
            </w:r>
          </w:p>
          <w:p>
            <w:pPr>
              <w:adjustRightInd w:val="0"/>
              <w:snapToGrid w:val="0"/>
              <w:rPr>
                <w:rFonts w:hint="eastAsia" w:ascii="仿宋_GB2312" w:hAnsi="仿宋" w:eastAsia="仿宋_GB2312" w:cs="宋体"/>
                <w:color w:val="0F0F0F"/>
                <w:kern w:val="0"/>
                <w:sz w:val="24"/>
                <w:shd w:val="clear" w:color="auto" w:fill="FFFFFF"/>
              </w:rPr>
            </w:pPr>
            <w:r>
              <w:rPr>
                <w:rFonts w:hint="eastAsia" w:ascii="仿宋_GB2312" w:hAnsi="仿宋" w:eastAsia="仿宋_GB2312" w:cs="宋体"/>
                <w:color w:val="0F0F0F"/>
                <w:kern w:val="0"/>
                <w:sz w:val="24"/>
                <w:shd w:val="clear" w:color="auto" w:fill="FFFFFF"/>
              </w:rPr>
              <w:t>在用机动车应当符合国家机动车排放标准，并定期进行排放污染检测。生态环境主管部门可以在机动车集中停放地，对机动车污染物排放状况进行检查和抽测。</w:t>
            </w:r>
          </w:p>
          <w:p>
            <w:pPr>
              <w:adjustRightInd w:val="0"/>
              <w:snapToGrid w:val="0"/>
              <w:rPr>
                <w:rFonts w:hint="eastAsia" w:ascii="仿宋_GB2312" w:hAnsi="仿宋" w:eastAsia="仿宋_GB2312" w:cs="宋体"/>
                <w:color w:val="0F0F0F"/>
                <w:kern w:val="0"/>
                <w:sz w:val="24"/>
                <w:shd w:val="clear" w:color="auto" w:fill="FFFFFF"/>
              </w:rPr>
            </w:pPr>
            <w:r>
              <w:rPr>
                <w:rFonts w:hint="eastAsia" w:ascii="仿宋_GB2312" w:hAnsi="仿宋" w:eastAsia="仿宋_GB2312" w:cs="宋体"/>
                <w:color w:val="0F0F0F"/>
                <w:kern w:val="0"/>
                <w:sz w:val="24"/>
                <w:shd w:val="clear" w:color="auto" w:fill="FFFFFF"/>
              </w:rPr>
              <w:t>违反第一款规定，由生态环境主管部门责令改正，处五千元罚款；违反第二款规定，机动车所有者或者使用者在车载排放诊断系统报警后，未对机动车进行维修，车辆行驶超过二百公里的，由生态环境主管部门责令改正，处三百元罚款；违反第三款规定，在用机动车排放污染物超过规定排放标准的，由生态环境主管部门责令改正，处三百元以上一千元以下罚款；情节较重的，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51" w:type="dxa"/>
            <w:gridSpan w:val="3"/>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裁量要素</w:t>
            </w:r>
          </w:p>
        </w:tc>
        <w:tc>
          <w:tcPr>
            <w:tcW w:w="5309" w:type="dxa"/>
            <w:gridSpan w:val="2"/>
            <w:noWrap w:val="0"/>
            <w:vAlign w:val="top"/>
          </w:tcPr>
          <w:p>
            <w:pPr>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90" w:type="dxa"/>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要素</w:t>
            </w:r>
          </w:p>
        </w:tc>
        <w:tc>
          <w:tcPr>
            <w:tcW w:w="1369"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具体条件</w:t>
            </w:r>
          </w:p>
        </w:tc>
        <w:tc>
          <w:tcPr>
            <w:tcW w:w="792"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构成</w:t>
            </w:r>
          </w:p>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比例</w:t>
            </w:r>
          </w:p>
        </w:tc>
        <w:tc>
          <w:tcPr>
            <w:tcW w:w="4165"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程度</w:t>
            </w:r>
          </w:p>
        </w:tc>
        <w:tc>
          <w:tcPr>
            <w:tcW w:w="1144" w:type="dxa"/>
            <w:noWrap w:val="0"/>
            <w:vAlign w:val="center"/>
          </w:tcPr>
          <w:p>
            <w:pPr>
              <w:jc w:val="center"/>
              <w:rPr>
                <w:rFonts w:hint="eastAsia" w:ascii="仿宋_GB2312" w:hAnsi="仿宋" w:eastAsia="仿宋_GB2312"/>
                <w:b/>
                <w:bCs/>
                <w:sz w:val="22"/>
                <w:szCs w:val="22"/>
                <w:shd w:val="clear" w:color="auto" w:fill="FFFFFF"/>
              </w:rPr>
            </w:pPr>
            <w:r>
              <w:rPr>
                <w:rFonts w:hint="eastAsia" w:ascii="仿宋_GB2312" w:hAnsi="仿宋" w:eastAsia="仿宋_GB2312"/>
                <w:b/>
                <w:bCs/>
                <w:sz w:val="22"/>
                <w:szCs w:val="22"/>
                <w:shd w:val="clear" w:color="auto" w:fill="FFFFFF"/>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90"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 w:eastAsia="仿宋_GB2312"/>
                <w:b/>
                <w:bCs/>
                <w:sz w:val="24"/>
                <w:shd w:val="clear" w:color="auto" w:fill="FFFFFF"/>
              </w:rPr>
              <w:t>对环境影响程度</w:t>
            </w:r>
          </w:p>
        </w:tc>
        <w:tc>
          <w:tcPr>
            <w:tcW w:w="1369"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违法行为类型</w:t>
            </w:r>
          </w:p>
        </w:tc>
        <w:tc>
          <w:tcPr>
            <w:tcW w:w="79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光吸收系数（m</w:t>
            </w:r>
            <w:r>
              <w:rPr>
                <w:rFonts w:hint="eastAsia" w:ascii="仿宋_GB2312" w:hAnsi="仿宋" w:eastAsia="仿宋_GB2312"/>
                <w:sz w:val="24"/>
                <w:shd w:val="clear" w:color="auto" w:fill="FFFFFF"/>
                <w:vertAlign w:val="superscript"/>
              </w:rPr>
              <w:t>-1</w:t>
            </w:r>
            <w:r>
              <w:rPr>
                <w:rFonts w:hint="eastAsia" w:ascii="仿宋_GB2312" w:hAnsi="仿宋" w:eastAsia="仿宋_GB2312"/>
                <w:sz w:val="24"/>
                <w:shd w:val="clear" w:color="auto" w:fill="FFFFFF"/>
              </w:rPr>
              <w:t>）超标不足</w:t>
            </w:r>
            <w:r>
              <w:rPr>
                <w:rFonts w:hint="eastAsia" w:ascii="仿宋_GB2312" w:hAnsi="仿宋_GB2312" w:eastAsia="仿宋_GB2312" w:cs="仿宋_GB2312"/>
                <w:sz w:val="24"/>
                <w:shd w:val="clear" w:color="auto" w:fill="FFFFFF"/>
              </w:rPr>
              <w:t>1倍的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光吸收系数（m</w:t>
            </w:r>
            <w:r>
              <w:rPr>
                <w:rFonts w:hint="eastAsia" w:ascii="仿宋_GB2312" w:hAnsi="仿宋" w:eastAsia="仿宋_GB2312"/>
                <w:sz w:val="24"/>
                <w:shd w:val="clear" w:color="auto" w:fill="FFFFFF"/>
                <w:vertAlign w:val="superscript"/>
              </w:rPr>
              <w:t>-1</w:t>
            </w:r>
            <w:r>
              <w:rPr>
                <w:rFonts w:hint="eastAsia" w:ascii="仿宋_GB2312" w:hAnsi="仿宋" w:eastAsia="仿宋_GB2312"/>
                <w:sz w:val="24"/>
                <w:shd w:val="clear" w:color="auto" w:fill="FFFFFF"/>
              </w:rPr>
              <w:t>）</w:t>
            </w:r>
            <w:r>
              <w:rPr>
                <w:rFonts w:hint="eastAsia" w:ascii="仿宋_GB2312" w:hAnsi="仿宋_GB2312" w:eastAsia="仿宋_GB2312" w:cs="仿宋_GB2312"/>
                <w:sz w:val="24"/>
                <w:shd w:val="clear" w:color="auto" w:fill="FFFFFF"/>
              </w:rPr>
              <w:t>超标1倍以上3倍以下的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11%</w:t>
            </w:r>
            <w:r>
              <w:rPr>
                <w:rFonts w:hint="eastAsia" w:ascii="仿宋_GB2312" w:hAnsi="仿宋_GB2312" w:eastAsia="仿宋_GB2312" w:cs="仿宋_GB2312"/>
                <w:sz w:val="24"/>
                <w:szCs w:val="32"/>
              </w:rPr>
              <w:t>-</w:t>
            </w:r>
            <w:r>
              <w:rPr>
                <w:rFonts w:hint="eastAsia" w:ascii="仿宋_GB2312" w:hAnsi="仿宋" w:eastAsia="仿宋_GB2312"/>
                <w:sz w:val="24"/>
                <w:shd w:val="clear" w:color="auto" w:fill="FFFFFF"/>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光吸收系数（m</w:t>
            </w:r>
            <w:r>
              <w:rPr>
                <w:rFonts w:hint="eastAsia" w:ascii="仿宋_GB2312" w:hAnsi="仿宋" w:eastAsia="仿宋_GB2312"/>
                <w:sz w:val="24"/>
                <w:shd w:val="clear" w:color="auto" w:fill="FFFFFF"/>
                <w:vertAlign w:val="superscript"/>
              </w:rPr>
              <w:t>-1</w:t>
            </w:r>
            <w:r>
              <w:rPr>
                <w:rFonts w:hint="eastAsia" w:ascii="仿宋_GB2312" w:hAnsi="仿宋" w:eastAsia="仿宋_GB2312"/>
                <w:sz w:val="24"/>
                <w:shd w:val="clear" w:color="auto" w:fill="FFFFFF"/>
              </w:rPr>
              <w:t>）</w:t>
            </w:r>
            <w:r>
              <w:rPr>
                <w:rFonts w:hint="eastAsia" w:ascii="仿宋_GB2312" w:hAnsi="仿宋_GB2312" w:eastAsia="仿宋_GB2312" w:cs="仿宋_GB2312"/>
                <w:sz w:val="24"/>
                <w:shd w:val="clear" w:color="auto" w:fill="FFFFFF"/>
              </w:rPr>
              <w:t>超标3倍以上的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 w:eastAsia="仿宋_GB2312"/>
                <w:sz w:val="24"/>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90"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违法频次</w:t>
            </w:r>
          </w:p>
        </w:tc>
        <w:tc>
          <w:tcPr>
            <w:tcW w:w="1369"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一年内违法次数</w:t>
            </w:r>
          </w:p>
        </w:tc>
        <w:tc>
          <w:tcPr>
            <w:tcW w:w="79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首次实施违法行为的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再次实施违法行为的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第三次实施违法行为的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三次以上实施违法行为的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90"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整改情况</w:t>
            </w:r>
          </w:p>
        </w:tc>
        <w:tc>
          <w:tcPr>
            <w:tcW w:w="1369"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是否完成整改</w:t>
            </w:r>
          </w:p>
        </w:tc>
        <w:tc>
          <w:tcPr>
            <w:tcW w:w="79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全面整改并停止违法行为的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正在整改但违法行为未完全消除的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复查时未采取整改措施的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90" w:type="dxa"/>
            <w:vMerge w:val="restart"/>
            <w:noWrap w:val="0"/>
            <w:vAlign w:val="center"/>
          </w:tcPr>
          <w:p>
            <w:pPr>
              <w:jc w:val="center"/>
              <w:rPr>
                <w:rFonts w:hint="eastAsia" w:ascii="仿宋_GB2312" w:hAnsi="仿宋_GB2312" w:eastAsia="仿宋_GB2312" w:cs="仿宋_GB2312"/>
                <w:b/>
                <w:bCs/>
                <w:sz w:val="24"/>
                <w:szCs w:val="32"/>
                <w:shd w:val="clear" w:color="auto" w:fill="FFFFFF"/>
              </w:rPr>
            </w:pPr>
            <w:r>
              <w:rPr>
                <w:rFonts w:hint="eastAsia" w:ascii="仿宋_GB2312" w:hAnsi="仿宋_GB2312" w:eastAsia="仿宋_GB2312" w:cs="仿宋_GB2312"/>
                <w:b/>
                <w:bCs/>
                <w:sz w:val="24"/>
                <w:szCs w:val="32"/>
                <w:shd w:val="clear" w:color="auto" w:fill="FFFFFF"/>
              </w:rPr>
              <w:t>配合调查</w:t>
            </w:r>
          </w:p>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取证情况</w:t>
            </w:r>
          </w:p>
        </w:tc>
        <w:tc>
          <w:tcPr>
            <w:tcW w:w="1369"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是否配合执法检查</w:t>
            </w:r>
          </w:p>
        </w:tc>
        <w:tc>
          <w:tcPr>
            <w:tcW w:w="79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10%</w:t>
            </w: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不配合检查的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90" w:type="dxa"/>
            <w:vMerge w:val="continue"/>
            <w:noWrap w:val="0"/>
            <w:vAlign w:val="center"/>
          </w:tcPr>
          <w:p>
            <w:pPr>
              <w:jc w:val="center"/>
              <w:rPr>
                <w:rFonts w:hint="eastAsia" w:ascii="仿宋_GB2312" w:hAnsi="仿宋" w:eastAsia="仿宋_GB2312"/>
                <w:b/>
                <w:bCs/>
                <w:sz w:val="24"/>
                <w:shd w:val="clear" w:color="auto" w:fill="FFFFFF"/>
              </w:rPr>
            </w:pPr>
          </w:p>
        </w:tc>
        <w:tc>
          <w:tcPr>
            <w:tcW w:w="1369" w:type="dxa"/>
            <w:vMerge w:val="continue"/>
            <w:noWrap w:val="0"/>
            <w:vAlign w:val="center"/>
          </w:tcPr>
          <w:p>
            <w:pPr>
              <w:jc w:val="center"/>
              <w:rPr>
                <w:rFonts w:hint="eastAsia" w:ascii="仿宋_GB2312" w:hAnsi="仿宋" w:eastAsia="仿宋_GB2312"/>
                <w:sz w:val="24"/>
                <w:shd w:val="clear" w:color="auto" w:fill="FFFFFF"/>
              </w:rPr>
            </w:pPr>
          </w:p>
        </w:tc>
        <w:tc>
          <w:tcPr>
            <w:tcW w:w="792" w:type="dxa"/>
            <w:vMerge w:val="continue"/>
            <w:noWrap w:val="0"/>
            <w:vAlign w:val="center"/>
          </w:tcPr>
          <w:p>
            <w:pPr>
              <w:jc w:val="center"/>
              <w:rPr>
                <w:rFonts w:hint="eastAsia" w:ascii="仿宋_GB2312" w:hAnsi="仿宋" w:eastAsia="仿宋_GB2312"/>
                <w:sz w:val="24"/>
                <w:shd w:val="clear" w:color="auto" w:fill="FFFFFF"/>
              </w:rPr>
            </w:pP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配合检查的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90" w:type="dxa"/>
            <w:vMerge w:val="restart"/>
            <w:noWrap w:val="0"/>
            <w:vAlign w:val="center"/>
          </w:tcPr>
          <w:p>
            <w:pPr>
              <w:jc w:val="center"/>
              <w:rPr>
                <w:rFonts w:hint="eastAsia" w:ascii="仿宋_GB2312" w:hAnsi="仿宋" w:eastAsia="仿宋_GB2312"/>
                <w:b/>
                <w:bCs/>
                <w:sz w:val="24"/>
                <w:shd w:val="clear" w:color="auto" w:fill="FFFFFF"/>
              </w:rPr>
            </w:pPr>
            <w:r>
              <w:rPr>
                <w:rFonts w:hint="eastAsia" w:ascii="仿宋_GB2312" w:hAnsi="仿宋_GB2312" w:eastAsia="仿宋_GB2312" w:cs="仿宋_GB2312"/>
                <w:b/>
                <w:bCs/>
                <w:sz w:val="24"/>
                <w:szCs w:val="32"/>
                <w:shd w:val="clear" w:color="auto" w:fill="FFFFFF"/>
              </w:rPr>
              <w:t>对社会影响或生态破坏程度</w:t>
            </w:r>
          </w:p>
        </w:tc>
        <w:tc>
          <w:tcPr>
            <w:tcW w:w="1369" w:type="dxa"/>
            <w:vMerge w:val="restart"/>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是否造成社会影响或生态破坏</w:t>
            </w:r>
          </w:p>
        </w:tc>
        <w:tc>
          <w:tcPr>
            <w:tcW w:w="792" w:type="dxa"/>
            <w:vMerge w:val="restart"/>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20%</w:t>
            </w:r>
          </w:p>
        </w:tc>
        <w:tc>
          <w:tcPr>
            <w:tcW w:w="4165" w:type="dxa"/>
            <w:noWrap w:val="0"/>
            <w:vAlign w:val="center"/>
          </w:tcPr>
          <w:p>
            <w:pP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造成社会影响或生态破坏的</w:t>
            </w:r>
          </w:p>
        </w:tc>
        <w:tc>
          <w:tcPr>
            <w:tcW w:w="1144" w:type="dxa"/>
            <w:noWrap w:val="0"/>
            <w:vAlign w:val="center"/>
          </w:tcPr>
          <w:p>
            <w:pPr>
              <w:jc w:val="center"/>
              <w:rPr>
                <w:rFonts w:hint="eastAsia" w:ascii="仿宋_GB2312" w:hAnsi="仿宋" w:eastAsia="仿宋_GB2312"/>
                <w:sz w:val="24"/>
                <w:shd w:val="clear" w:color="auto" w:fill="FFFFFF"/>
              </w:rPr>
            </w:pPr>
            <w:r>
              <w:rPr>
                <w:rFonts w:hint="eastAsia" w:ascii="仿宋_GB2312" w:hAnsi="仿宋_GB2312" w:eastAsia="仿宋_GB2312" w:cs="仿宋_GB2312"/>
                <w:sz w:val="24"/>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90" w:type="dxa"/>
            <w:vMerge w:val="continue"/>
            <w:noWrap w:val="0"/>
            <w:vAlign w:val="center"/>
          </w:tcPr>
          <w:p>
            <w:pPr>
              <w:jc w:val="center"/>
              <w:rPr>
                <w:rFonts w:hint="eastAsia" w:ascii="仿宋_GB2312" w:hAnsi="仿宋_GB2312" w:eastAsia="仿宋_GB2312" w:cs="仿宋_GB2312"/>
                <w:b/>
                <w:bCs/>
                <w:sz w:val="24"/>
                <w:szCs w:val="32"/>
                <w:shd w:val="clear" w:color="auto" w:fill="FFFFFF"/>
              </w:rPr>
            </w:pPr>
          </w:p>
        </w:tc>
        <w:tc>
          <w:tcPr>
            <w:tcW w:w="1369"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792" w:type="dxa"/>
            <w:vMerge w:val="continue"/>
            <w:noWrap w:val="0"/>
            <w:vAlign w:val="center"/>
          </w:tcPr>
          <w:p>
            <w:pPr>
              <w:jc w:val="center"/>
              <w:rPr>
                <w:rFonts w:hint="eastAsia" w:ascii="仿宋_GB2312" w:hAnsi="仿宋_GB2312" w:eastAsia="仿宋_GB2312" w:cs="仿宋_GB2312"/>
                <w:sz w:val="24"/>
                <w:shd w:val="clear" w:color="auto" w:fill="FFFFFF"/>
              </w:rPr>
            </w:pPr>
          </w:p>
        </w:tc>
        <w:tc>
          <w:tcPr>
            <w:tcW w:w="4165" w:type="dxa"/>
            <w:noWrap w:val="0"/>
            <w:vAlign w:val="center"/>
          </w:tcPr>
          <w:p>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未造成社会影响与生态破坏的</w:t>
            </w:r>
          </w:p>
        </w:tc>
        <w:tc>
          <w:tcPr>
            <w:tcW w:w="1144" w:type="dxa"/>
            <w:noWrap w:val="0"/>
            <w:vAlign w:val="center"/>
          </w:tcPr>
          <w:p>
            <w:pPr>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0%</w:t>
            </w:r>
          </w:p>
        </w:tc>
      </w:tr>
    </w:tbl>
    <w:p>
      <w:pPr>
        <w:rPr>
          <w:vanish/>
        </w:rPr>
      </w:pPr>
    </w:p>
    <w:tbl>
      <w:tblPr>
        <w:tblStyle w:val="9"/>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436"/>
        <w:gridCol w:w="1831"/>
        <w:gridCol w:w="753"/>
        <w:gridCol w:w="3709"/>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34" w:hRule="atLeast"/>
          <w:jc w:val="center"/>
        </w:trPr>
        <w:tc>
          <w:tcPr>
            <w:tcW w:w="9069" w:type="dxa"/>
            <w:gridSpan w:val="5"/>
            <w:shd w:val="clear" w:color="auto" w:fill="FFFFFF"/>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32" w:firstLineChars="8"/>
              <w:jc w:val="center"/>
              <w:rPr>
                <w:rFonts w:ascii="宋体" w:hAnsi="宋体"/>
                <w:color w:val="FFFFFF"/>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10" w:hRule="atLeast"/>
          <w:jc w:val="center"/>
        </w:trPr>
        <w:tc>
          <w:tcPr>
            <w:tcW w:w="1436"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序号</w:t>
            </w:r>
          </w:p>
        </w:tc>
        <w:tc>
          <w:tcPr>
            <w:tcW w:w="7633" w:type="dxa"/>
            <w:gridSpan w:val="4"/>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ascii="仿宋_GB2312" w:hAnsi="仿宋_GB2312" w:eastAsia="仿宋_GB2312" w:cs="仿宋_GB2312"/>
                <w:color w:val="000000"/>
                <w:sz w:val="28"/>
                <w:szCs w:val="28"/>
                <w:shd w:val="clear" w:color="auto" w:fill="FFFFFF"/>
              </w:rPr>
              <w:t>21</w:t>
            </w:r>
            <w:r>
              <w:rPr>
                <w:rFonts w:hint="eastAsia" w:ascii="仿宋_GB2312" w:hAnsi="仿宋_GB2312" w:eastAsia="仿宋_GB2312" w:cs="仿宋_GB2312"/>
                <w:color w:val="000000"/>
                <w:sz w:val="28"/>
                <w:szCs w:val="28"/>
                <w:shd w:val="clear" w:color="auto" w:fill="FFFFFF"/>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821" w:hRule="atLeast"/>
          <w:jc w:val="center"/>
        </w:trPr>
        <w:tc>
          <w:tcPr>
            <w:tcW w:w="1436"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违法行为</w:t>
            </w:r>
          </w:p>
        </w:tc>
        <w:tc>
          <w:tcPr>
            <w:tcW w:w="7633" w:type="dxa"/>
            <w:gridSpan w:val="4"/>
            <w:shd w:val="clear" w:color="auto" w:fill="FFFFFF"/>
            <w:noWrap w:val="0"/>
            <w:vAlign w:val="center"/>
          </w:tcPr>
          <w:p>
            <w:pPr>
              <w:adjustRightInd w:val="0"/>
              <w:snapToGrid w:val="0"/>
              <w:rPr>
                <w:rFonts w:hint="eastAsia" w:ascii="仿宋_GB2312" w:hAnsi="仿宋" w:eastAsia="仿宋_GB2312"/>
                <w:color w:val="000000"/>
                <w:szCs w:val="21"/>
                <w:shd w:val="clear" w:color="auto" w:fill="FFFFFF"/>
              </w:rPr>
            </w:pPr>
            <w:r>
              <w:rPr>
                <w:rFonts w:hint="eastAsia" w:ascii="仿宋_GB2312" w:hAnsi="仿宋" w:eastAsia="仿宋_GB2312" w:cs="宋体"/>
                <w:color w:val="000000"/>
                <w:kern w:val="0"/>
                <w:sz w:val="24"/>
                <w:shd w:val="clear" w:color="auto" w:fill="FFFFFF"/>
              </w:rPr>
              <w:t>具备条件的在用重型柴油车、燃气车未按照规定安装远程排放管理车载终端或者未按照规定与生态环境主管部门联网并保证车载终端正常运行的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23" w:hRule="atLeast"/>
          <w:jc w:val="center"/>
        </w:trPr>
        <w:tc>
          <w:tcPr>
            <w:tcW w:w="1436"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处罚依据</w:t>
            </w:r>
          </w:p>
        </w:tc>
        <w:tc>
          <w:tcPr>
            <w:tcW w:w="7633" w:type="dxa"/>
            <w:gridSpan w:val="4"/>
            <w:shd w:val="clear" w:color="auto" w:fill="FFFFFF"/>
            <w:noWrap w:val="0"/>
            <w:vAlign w:val="center"/>
          </w:tcPr>
          <w:p>
            <w:pPr>
              <w:adjustRightInd w:val="0"/>
              <w:snapToGrid w:val="0"/>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zCs w:val="32"/>
                <w:shd w:val="clear" w:color="auto" w:fill="FFFFFF"/>
              </w:rPr>
              <w:t>1</w:t>
            </w:r>
            <w:r>
              <w:rPr>
                <w:rFonts w:ascii="仿宋_GB2312" w:hAnsi="仿宋_GB2312" w:eastAsia="仿宋_GB2312" w:cs="仿宋_GB2312"/>
                <w:color w:val="000000"/>
                <w:sz w:val="24"/>
                <w:szCs w:val="32"/>
                <w:shd w:val="clear" w:color="auto" w:fill="FFFFFF"/>
              </w:rPr>
              <w:t>.</w:t>
            </w:r>
            <w:r>
              <w:rPr>
                <w:rFonts w:hint="eastAsia" w:ascii="仿宋_GB2312" w:hAnsi="仿宋_GB2312" w:eastAsia="仿宋_GB2312" w:cs="仿宋_GB2312"/>
                <w:b/>
                <w:bCs/>
                <w:color w:val="000000"/>
                <w:sz w:val="24"/>
                <w:szCs w:val="32"/>
                <w:shd w:val="clear" w:color="auto" w:fill="FFFFFF"/>
              </w:rPr>
              <w:t>《唐山市大气污染防治若干规定》</w:t>
            </w:r>
          </w:p>
          <w:p>
            <w:pPr>
              <w:adjustRightInd w:val="0"/>
              <w:snapToGrid w:val="0"/>
              <w:rPr>
                <w:rFonts w:hint="eastAsia" w:ascii="仿宋_GB2312" w:hAnsi="仿宋" w:eastAsia="仿宋_GB2312" w:cs="宋体"/>
                <w:color w:val="000000"/>
                <w:kern w:val="0"/>
                <w:sz w:val="24"/>
                <w:shd w:val="clear" w:color="auto" w:fill="FFFFFF"/>
              </w:rPr>
            </w:pPr>
            <w:r>
              <w:rPr>
                <w:rFonts w:hint="eastAsia" w:ascii="仿宋_GB2312" w:hAnsi="仿宋_GB2312" w:eastAsia="仿宋_GB2312" w:cs="仿宋_GB2312"/>
                <w:b/>
                <w:kern w:val="0"/>
                <w:sz w:val="24"/>
              </w:rPr>
              <w:t xml:space="preserve">第十条 第二款 </w:t>
            </w:r>
            <w:r>
              <w:rPr>
                <w:rFonts w:hint="eastAsia" w:ascii="仿宋_GB2312" w:hAnsi="仿宋_GB2312" w:eastAsia="仿宋_GB2312" w:cs="仿宋_GB2312"/>
                <w:kern w:val="0"/>
                <w:sz w:val="24"/>
              </w:rPr>
              <w:t>具备条件的在用重型柴油车</w:t>
            </w:r>
            <w:r>
              <w:rPr>
                <w:rFonts w:hint="eastAsia" w:ascii="仿宋_GB2312" w:hAnsi="仿宋_GB2312" w:eastAsia="仿宋_GB2312" w:cs="仿宋_GB2312"/>
                <w:sz w:val="24"/>
              </w:rPr>
              <w:t>、重型燃气车</w:t>
            </w:r>
            <w:r>
              <w:rPr>
                <w:rFonts w:hint="eastAsia" w:ascii="仿宋_GB2312" w:hAnsi="仿宋_GB2312" w:eastAsia="仿宋_GB2312" w:cs="仿宋_GB2312"/>
                <w:kern w:val="0"/>
                <w:sz w:val="24"/>
              </w:rPr>
              <w:t>应当按照规定安装</w:t>
            </w:r>
            <w:r>
              <w:rPr>
                <w:rFonts w:hint="eastAsia" w:ascii="仿宋_GB2312" w:hAnsi="仿宋_GB2312" w:eastAsia="仿宋_GB2312" w:cs="仿宋_GB2312"/>
                <w:sz w:val="24"/>
              </w:rPr>
              <w:t>远程排放管理车载终端</w:t>
            </w:r>
            <w:r>
              <w:rPr>
                <w:rFonts w:hint="eastAsia" w:ascii="仿宋_GB2312" w:hAnsi="仿宋_GB2312" w:eastAsia="仿宋_GB2312" w:cs="仿宋_GB2312"/>
                <w:kern w:val="0"/>
                <w:sz w:val="24"/>
              </w:rPr>
              <w:t>并与生态环境主管部门联网。未按照规定安装</w:t>
            </w:r>
            <w:r>
              <w:rPr>
                <w:rFonts w:hint="eastAsia" w:ascii="仿宋_GB2312" w:hAnsi="仿宋_GB2312" w:eastAsia="仿宋_GB2312" w:cs="仿宋_GB2312"/>
                <w:sz w:val="24"/>
              </w:rPr>
              <w:t>远程排放管理车载终端的，由生态环境主管部门责令改正，处每辆车五千元的罚款；</w:t>
            </w:r>
            <w:r>
              <w:rPr>
                <w:rFonts w:hint="eastAsia" w:ascii="仿宋_GB2312" w:hAnsi="仿宋_GB2312" w:eastAsia="仿宋_GB2312" w:cs="仿宋_GB2312"/>
                <w:kern w:val="0"/>
                <w:sz w:val="24"/>
              </w:rPr>
              <w:t>未按照规定与生态环境主管部门联网并保证</w:t>
            </w:r>
            <w:r>
              <w:rPr>
                <w:rFonts w:hint="eastAsia" w:ascii="仿宋_GB2312" w:hAnsi="仿宋_GB2312" w:eastAsia="仿宋_GB2312" w:cs="仿宋_GB2312"/>
                <w:sz w:val="24"/>
              </w:rPr>
              <w:t>车载终端</w:t>
            </w:r>
            <w:r>
              <w:rPr>
                <w:rFonts w:hint="eastAsia" w:ascii="仿宋_GB2312" w:hAnsi="仿宋_GB2312" w:eastAsia="仿宋_GB2312" w:cs="仿宋_GB2312"/>
                <w:kern w:val="0"/>
                <w:sz w:val="24"/>
              </w:rPr>
              <w:t>正常运行的，由生态环境主管部门责令改正，对车辆所有者或者使用者处五百元以上二千元以下罚款。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9" w:hRule="atLeast"/>
          <w:jc w:val="center"/>
        </w:trPr>
        <w:tc>
          <w:tcPr>
            <w:tcW w:w="4020" w:type="dxa"/>
            <w:gridSpan w:val="3"/>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裁量要素</w:t>
            </w:r>
          </w:p>
        </w:tc>
        <w:tc>
          <w:tcPr>
            <w:tcW w:w="5049" w:type="dxa"/>
            <w:gridSpan w:val="2"/>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69" w:hRule="atLeast"/>
          <w:jc w:val="center"/>
        </w:trPr>
        <w:tc>
          <w:tcPr>
            <w:tcW w:w="1436" w:type="dxa"/>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要素</w:t>
            </w:r>
          </w:p>
        </w:tc>
        <w:tc>
          <w:tcPr>
            <w:tcW w:w="1831"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具体条件</w:t>
            </w:r>
          </w:p>
        </w:tc>
        <w:tc>
          <w:tcPr>
            <w:tcW w:w="753"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构成</w:t>
            </w:r>
          </w:p>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比例</w:t>
            </w:r>
          </w:p>
        </w:tc>
        <w:tc>
          <w:tcPr>
            <w:tcW w:w="3709" w:type="dxa"/>
            <w:shd w:val="clear" w:color="auto" w:fill="FFFFFF"/>
            <w:noWrap w:val="0"/>
            <w:vAlign w:val="center"/>
          </w:tcPr>
          <w:p>
            <w:pPr>
              <w:ind w:left="0" w:leftChars="-13" w:hanging="27" w:hangingChars="12"/>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程度</w:t>
            </w:r>
          </w:p>
        </w:tc>
        <w:tc>
          <w:tcPr>
            <w:tcW w:w="1340"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436"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对环境影响程度</w:t>
            </w:r>
          </w:p>
        </w:tc>
        <w:tc>
          <w:tcPr>
            <w:tcW w:w="1831"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违法行为类型</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40%</w:t>
            </w:r>
          </w:p>
        </w:tc>
        <w:tc>
          <w:tcPr>
            <w:tcW w:w="3709" w:type="dxa"/>
            <w:shd w:val="clear" w:color="auto" w:fill="FFFFFF"/>
            <w:noWrap w:val="0"/>
            <w:vAlign w:val="center"/>
          </w:tcPr>
          <w:p>
            <w:pP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已安装并与生态环境主管部门联网，但不能正常运行</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1436"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831"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shd w:val="clear" w:color="auto" w:fill="FFFFFF"/>
            <w:noWrap w:val="0"/>
            <w:vAlign w:val="center"/>
          </w:tcPr>
          <w:p>
            <w:pP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已安装远程排放管理车载终端，但未联网</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36"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违法频次</w:t>
            </w:r>
          </w:p>
        </w:tc>
        <w:tc>
          <w:tcPr>
            <w:tcW w:w="1831"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一年内违法</w:t>
            </w:r>
          </w:p>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次数</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首次实施违法行为的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39" w:hRule="atLeast"/>
          <w:jc w:val="center"/>
        </w:trPr>
        <w:tc>
          <w:tcPr>
            <w:tcW w:w="1436"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831"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再次实施违法行为的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39" w:hRule="atLeast"/>
          <w:jc w:val="center"/>
        </w:trPr>
        <w:tc>
          <w:tcPr>
            <w:tcW w:w="1436"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831"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第三次实施违法行为的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39" w:hRule="atLeast"/>
          <w:jc w:val="center"/>
        </w:trPr>
        <w:tc>
          <w:tcPr>
            <w:tcW w:w="1436"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831"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三次以上实施违法行为的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3" w:hRule="atLeast"/>
          <w:jc w:val="center"/>
        </w:trPr>
        <w:tc>
          <w:tcPr>
            <w:tcW w:w="1436"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整改情况</w:t>
            </w:r>
          </w:p>
        </w:tc>
        <w:tc>
          <w:tcPr>
            <w:tcW w:w="1831"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是否完成整改</w:t>
            </w:r>
          </w:p>
        </w:tc>
        <w:tc>
          <w:tcPr>
            <w:tcW w:w="75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全面整改并停止违法行为的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3" w:hRule="atLeast"/>
          <w:jc w:val="center"/>
        </w:trPr>
        <w:tc>
          <w:tcPr>
            <w:tcW w:w="1436"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831"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shd w:val="clear" w:color="auto" w:fill="FFFFFF"/>
            <w:noWrap w:val="0"/>
            <w:vAlign w:val="center"/>
          </w:tcPr>
          <w:p>
            <w:pPr>
              <w:ind w:right="-258" w:rightChars="-123"/>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正在整改但违法行为未完全消除的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3" w:hRule="atLeast"/>
          <w:jc w:val="center"/>
        </w:trPr>
        <w:tc>
          <w:tcPr>
            <w:tcW w:w="1436"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831"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复查时未采取整改措施的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436"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配合调查</w:t>
            </w:r>
          </w:p>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取证情况</w:t>
            </w:r>
          </w:p>
        </w:tc>
        <w:tc>
          <w:tcPr>
            <w:tcW w:w="1831"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是否配合执法</w:t>
            </w:r>
          </w:p>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检查</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不配合检查的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3" w:hRule="atLeast"/>
          <w:jc w:val="center"/>
        </w:trPr>
        <w:tc>
          <w:tcPr>
            <w:tcW w:w="1436"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831"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配合检查的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436"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对社会影响或生态破坏程度</w:t>
            </w:r>
          </w:p>
        </w:tc>
        <w:tc>
          <w:tcPr>
            <w:tcW w:w="1831"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是否造成社会影响或生态破坏</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造成社会影响或生态破坏的</w:t>
            </w:r>
          </w:p>
        </w:tc>
        <w:tc>
          <w:tcPr>
            <w:tcW w:w="1340"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3" w:hRule="atLeast"/>
          <w:jc w:val="center"/>
        </w:trPr>
        <w:tc>
          <w:tcPr>
            <w:tcW w:w="1436" w:type="dxa"/>
            <w:vMerge w:val="continue"/>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p>
        </w:tc>
        <w:tc>
          <w:tcPr>
            <w:tcW w:w="1831"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未造成社会影响与生态破坏的</w:t>
            </w:r>
          </w:p>
        </w:tc>
        <w:tc>
          <w:tcPr>
            <w:tcW w:w="1340"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bl>
    <w:p>
      <w:r>
        <w:br w:type="page"/>
      </w:r>
    </w:p>
    <w:tbl>
      <w:tblPr>
        <w:tblStyle w:val="9"/>
        <w:tblpPr w:leftFromText="180" w:rightFromText="180" w:vertAnchor="text" w:horzAnchor="page" w:tblpX="1535" w:tblpY="-144"/>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361"/>
        <w:gridCol w:w="1932"/>
        <w:gridCol w:w="753"/>
        <w:gridCol w:w="783"/>
        <w:gridCol w:w="2926"/>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24" w:hRule="atLeast"/>
        </w:trPr>
        <w:tc>
          <w:tcPr>
            <w:tcW w:w="9080" w:type="dxa"/>
            <w:gridSpan w:val="6"/>
            <w:shd w:val="clear" w:color="auto" w:fill="FFFFFF"/>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32" w:firstLineChars="8"/>
              <w:jc w:val="center"/>
              <w:rPr>
                <w:rFonts w:ascii="宋体" w:hAnsi="宋体"/>
                <w:color w:val="000000"/>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36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序号</w:t>
            </w:r>
          </w:p>
        </w:tc>
        <w:tc>
          <w:tcPr>
            <w:tcW w:w="7719" w:type="dxa"/>
            <w:gridSpan w:val="5"/>
            <w:shd w:val="clear" w:color="auto" w:fill="FFFFFF"/>
            <w:noWrap w:val="0"/>
            <w:vAlign w:val="center"/>
          </w:tcPr>
          <w:p>
            <w:pPr>
              <w:jc w:val="center"/>
              <w:rPr>
                <w:rFonts w:hint="eastAsia" w:ascii="仿宋" w:hAnsi="仿宋" w:eastAsia="仿宋"/>
                <w:color w:val="000000"/>
                <w:sz w:val="24"/>
                <w:shd w:val="clear" w:color="auto" w:fill="FFFFFF"/>
              </w:rPr>
            </w:pPr>
            <w:r>
              <w:rPr>
                <w:rFonts w:ascii="仿宋" w:hAnsi="仿宋" w:eastAsia="仿宋"/>
                <w:color w:val="000000"/>
                <w:sz w:val="24"/>
                <w:shd w:val="clear" w:color="auto" w:fill="FFFFFF"/>
              </w:rPr>
              <w:t>21</w:t>
            </w:r>
            <w:r>
              <w:rPr>
                <w:rFonts w:hint="eastAsia" w:ascii="仿宋" w:hAnsi="仿宋" w:eastAsia="仿宋"/>
                <w:color w:val="000000"/>
                <w:sz w:val="24"/>
                <w:shd w:val="clear" w:color="auto" w:fill="FFFFFF"/>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136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违法行为</w:t>
            </w:r>
          </w:p>
        </w:tc>
        <w:tc>
          <w:tcPr>
            <w:tcW w:w="7719" w:type="dxa"/>
            <w:gridSpan w:val="5"/>
            <w:shd w:val="clear" w:color="auto" w:fill="FFFFFF"/>
            <w:noWrap w:val="0"/>
            <w:vAlign w:val="center"/>
          </w:tcPr>
          <w:p>
            <w:pPr>
              <w:adjustRightInd w:val="0"/>
              <w:snapToGrid w:val="0"/>
              <w:rPr>
                <w:rFonts w:hint="eastAsia" w:ascii="仿宋_GB2312" w:hAnsi="仿宋" w:eastAsia="仿宋_GB2312"/>
                <w:color w:val="000000"/>
                <w:szCs w:val="21"/>
                <w:shd w:val="clear" w:color="auto" w:fill="FFFFFF"/>
              </w:rPr>
            </w:pPr>
            <w:r>
              <w:rPr>
                <w:rFonts w:hint="eastAsia" w:ascii="仿宋_GB2312" w:hAnsi="仿宋" w:eastAsia="仿宋_GB2312"/>
                <w:color w:val="000000"/>
                <w:sz w:val="24"/>
                <w:shd w:val="clear" w:color="auto" w:fill="FFFFFF"/>
              </w:rPr>
              <w:t>露天焚烧沥青、油毡、橡胶、塑料、皮革、垃圾以及其他产生有毒有害烟尘和恶臭气体的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249" w:hRule="atLeast"/>
        </w:trPr>
        <w:tc>
          <w:tcPr>
            <w:tcW w:w="136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处罚依据</w:t>
            </w:r>
          </w:p>
        </w:tc>
        <w:tc>
          <w:tcPr>
            <w:tcW w:w="7719" w:type="dxa"/>
            <w:gridSpan w:val="5"/>
            <w:shd w:val="clear" w:color="auto" w:fill="FFFFFF"/>
            <w:noWrap w:val="0"/>
            <w:vAlign w:val="center"/>
          </w:tcPr>
          <w:p>
            <w:pPr>
              <w:adjustRightInd w:val="0"/>
              <w:snapToGrid w:val="0"/>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color w:val="000000"/>
                <w:sz w:val="24"/>
                <w:szCs w:val="32"/>
                <w:shd w:val="clear" w:color="auto" w:fill="FFFFFF"/>
              </w:rPr>
              <w:t>1</w:t>
            </w:r>
            <w:r>
              <w:rPr>
                <w:rFonts w:ascii="仿宋_GB2312" w:hAnsi="仿宋_GB2312" w:eastAsia="仿宋_GB2312" w:cs="仿宋_GB2312"/>
                <w:color w:val="000000"/>
                <w:sz w:val="24"/>
                <w:szCs w:val="32"/>
                <w:shd w:val="clear" w:color="auto" w:fill="FFFFFF"/>
              </w:rPr>
              <w:t>.</w:t>
            </w:r>
            <w:r>
              <w:rPr>
                <w:rFonts w:hint="eastAsia" w:ascii="仿宋_GB2312" w:hAnsi="仿宋_GB2312" w:eastAsia="仿宋_GB2312" w:cs="仿宋_GB2312"/>
                <w:b/>
                <w:bCs/>
                <w:color w:val="000000"/>
                <w:sz w:val="24"/>
                <w:szCs w:val="32"/>
                <w:shd w:val="clear" w:color="auto" w:fill="FFFFFF"/>
              </w:rPr>
              <w:t>《唐山市大气污染防治若干规定》</w:t>
            </w:r>
          </w:p>
          <w:p>
            <w:pPr>
              <w:adjustRightInd w:val="0"/>
              <w:snapToGrid w:val="0"/>
              <w:rPr>
                <w:rFonts w:hint="eastAsia" w:ascii="仿宋_GB2312" w:hAnsi="仿宋" w:eastAsia="仿宋_GB2312"/>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 xml:space="preserve">第十二条 </w:t>
            </w:r>
            <w:r>
              <w:rPr>
                <w:rFonts w:hint="eastAsia" w:ascii="仿宋_GB2312" w:hAnsi="仿宋" w:eastAsia="仿宋_GB2312" w:cs="宋体"/>
                <w:color w:val="000000"/>
                <w:kern w:val="0"/>
                <w:sz w:val="24"/>
                <w:shd w:val="clear" w:color="auto" w:fill="FFFFFF"/>
              </w:rPr>
              <w:t>在城市规划区内或者人口集中地区和其他依法需要特殊保护的区域内，露天焚烧沥青、油毡、橡胶、塑料、皮革、垃圾以及其他产生有毒有害烟尘和恶臭气体的，由县级人民政府确定的监督管理部门或者乡镇人民政府责令改正，对单位处一万元以上三万元以下罚款；情节严重的，处三万元以上十万元以下罚款；对个人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4046" w:type="dxa"/>
            <w:gridSpan w:val="3"/>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裁量要素</w:t>
            </w:r>
          </w:p>
        </w:tc>
        <w:tc>
          <w:tcPr>
            <w:tcW w:w="5034" w:type="dxa"/>
            <w:gridSpan w:val="3"/>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361" w:type="dxa"/>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要素</w:t>
            </w:r>
          </w:p>
        </w:tc>
        <w:tc>
          <w:tcPr>
            <w:tcW w:w="1932"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具体条件</w:t>
            </w:r>
          </w:p>
        </w:tc>
        <w:tc>
          <w:tcPr>
            <w:tcW w:w="753"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构成</w:t>
            </w:r>
          </w:p>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比例</w:t>
            </w:r>
          </w:p>
        </w:tc>
        <w:tc>
          <w:tcPr>
            <w:tcW w:w="3709" w:type="dxa"/>
            <w:gridSpan w:val="2"/>
            <w:shd w:val="clear" w:color="auto" w:fill="FFFFFF"/>
            <w:noWrap w:val="0"/>
            <w:vAlign w:val="center"/>
          </w:tcPr>
          <w:p>
            <w:pPr>
              <w:ind w:firstLine="1104" w:firstLineChars="500"/>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程度</w:t>
            </w:r>
          </w:p>
        </w:tc>
        <w:tc>
          <w:tcPr>
            <w:tcW w:w="1325"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44"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对环境影响程度</w:t>
            </w:r>
          </w:p>
        </w:tc>
        <w:tc>
          <w:tcPr>
            <w:tcW w:w="1932" w:type="dxa"/>
            <w:vMerge w:val="restart"/>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违法行为类型</w:t>
            </w:r>
          </w:p>
        </w:tc>
        <w:tc>
          <w:tcPr>
            <w:tcW w:w="753" w:type="dxa"/>
            <w:vMerge w:val="restart"/>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_GB2312" w:eastAsia="仿宋_GB2312" w:cs="仿宋_GB2312"/>
                <w:color w:val="000000"/>
                <w:sz w:val="24"/>
                <w:shd w:val="clear" w:color="auto" w:fill="FFFFFF"/>
              </w:rPr>
              <w:t>40%</w:t>
            </w:r>
          </w:p>
        </w:tc>
        <w:tc>
          <w:tcPr>
            <w:tcW w:w="783" w:type="dxa"/>
            <w:vMerge w:val="restart"/>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单位</w:t>
            </w:r>
          </w:p>
        </w:tc>
        <w:tc>
          <w:tcPr>
            <w:tcW w:w="2926" w:type="dxa"/>
            <w:shd w:val="clear" w:color="auto" w:fill="FFFFFF"/>
            <w:noWrap w:val="0"/>
            <w:vAlign w:val="center"/>
          </w:tcPr>
          <w:p>
            <w:pP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过火面积5平米以下</w:t>
            </w:r>
          </w:p>
        </w:tc>
        <w:tc>
          <w:tcPr>
            <w:tcW w:w="1325" w:type="dxa"/>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cs="宋体"/>
                <w:color w:val="000000"/>
                <w:kern w:val="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p>
        </w:tc>
        <w:tc>
          <w:tcPr>
            <w:tcW w:w="783" w:type="dxa"/>
            <w:vMerge w:val="continue"/>
            <w:shd w:val="clear" w:color="auto" w:fill="FFFFFF"/>
            <w:noWrap w:val="0"/>
            <w:vAlign w:val="center"/>
          </w:tcPr>
          <w:p>
            <w:pPr>
              <w:rPr>
                <w:rFonts w:hint="eastAsia" w:ascii="仿宋_GB2312" w:hAnsi="仿宋" w:eastAsia="仿宋_GB2312" w:cs="宋体"/>
                <w:color w:val="000000"/>
                <w:kern w:val="0"/>
                <w:sz w:val="24"/>
                <w:shd w:val="clear" w:color="auto" w:fill="FFFFFF"/>
              </w:rPr>
            </w:pPr>
          </w:p>
        </w:tc>
        <w:tc>
          <w:tcPr>
            <w:tcW w:w="2926" w:type="dxa"/>
            <w:shd w:val="clear" w:color="auto" w:fill="FFFFFF"/>
            <w:noWrap w:val="0"/>
            <w:vAlign w:val="center"/>
          </w:tcPr>
          <w:p>
            <w:pP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过火面积5平方米以上</w:t>
            </w:r>
          </w:p>
        </w:tc>
        <w:tc>
          <w:tcPr>
            <w:tcW w:w="1325" w:type="dxa"/>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21%</w:t>
            </w:r>
            <w:r>
              <w:rPr>
                <w:rFonts w:hint="eastAsia" w:ascii="仿宋_GB2312" w:hAnsi="仿宋_GB2312" w:eastAsia="仿宋_GB2312" w:cs="仿宋_GB2312"/>
                <w:sz w:val="24"/>
                <w:szCs w:val="32"/>
              </w:rPr>
              <w:t>-</w:t>
            </w:r>
            <w:r>
              <w:rPr>
                <w:rFonts w:hint="eastAsia" w:ascii="仿宋_GB2312" w:hAnsi="仿宋" w:eastAsia="仿宋_GB2312" w:cs="宋体"/>
                <w:color w:val="000000"/>
                <w:kern w:val="0"/>
                <w:sz w:val="24"/>
                <w:shd w:val="clear" w:color="auto" w:fill="FFFFFF"/>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p>
        </w:tc>
        <w:tc>
          <w:tcPr>
            <w:tcW w:w="783" w:type="dxa"/>
            <w:vMerge w:val="restart"/>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个人</w:t>
            </w:r>
          </w:p>
        </w:tc>
        <w:tc>
          <w:tcPr>
            <w:tcW w:w="2926" w:type="dxa"/>
            <w:shd w:val="clear" w:color="auto" w:fill="FFFFFF"/>
            <w:noWrap w:val="0"/>
            <w:vAlign w:val="center"/>
          </w:tcPr>
          <w:p>
            <w:pP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过火面积5平米以下</w:t>
            </w:r>
          </w:p>
        </w:tc>
        <w:tc>
          <w:tcPr>
            <w:tcW w:w="1325" w:type="dxa"/>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cs="宋体"/>
                <w:color w:val="000000"/>
                <w:kern w:val="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p>
        </w:tc>
        <w:tc>
          <w:tcPr>
            <w:tcW w:w="783" w:type="dxa"/>
            <w:vMerge w:val="continue"/>
            <w:shd w:val="clear" w:color="auto" w:fill="FFFFFF"/>
            <w:noWrap w:val="0"/>
            <w:vAlign w:val="center"/>
          </w:tcPr>
          <w:p>
            <w:pPr>
              <w:rPr>
                <w:rFonts w:hint="eastAsia" w:ascii="仿宋_GB2312" w:hAnsi="仿宋" w:eastAsia="仿宋_GB2312" w:cs="宋体"/>
                <w:color w:val="000000"/>
                <w:kern w:val="0"/>
                <w:sz w:val="24"/>
                <w:shd w:val="clear" w:color="auto" w:fill="FFFFFF"/>
              </w:rPr>
            </w:pPr>
          </w:p>
        </w:tc>
        <w:tc>
          <w:tcPr>
            <w:tcW w:w="2926" w:type="dxa"/>
            <w:shd w:val="clear" w:color="auto" w:fill="FFFFFF"/>
            <w:noWrap w:val="0"/>
            <w:vAlign w:val="center"/>
          </w:tcPr>
          <w:p>
            <w:pP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过火面积5平方米以上</w:t>
            </w:r>
          </w:p>
        </w:tc>
        <w:tc>
          <w:tcPr>
            <w:tcW w:w="1325" w:type="dxa"/>
            <w:shd w:val="clear" w:color="auto" w:fill="FFFFFF"/>
            <w:noWrap w:val="0"/>
            <w:vAlign w:val="center"/>
          </w:tcPr>
          <w:p>
            <w:pPr>
              <w:jc w:val="cente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违法频次</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一年内违法</w:t>
            </w:r>
          </w:p>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次数</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首次实施违法行为的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再次实施违法行为的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第三次实施违法行为的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三次以上实施违法行为的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1"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整改情况</w:t>
            </w:r>
          </w:p>
        </w:tc>
        <w:tc>
          <w:tcPr>
            <w:tcW w:w="1932"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是否完成整改</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全面整改并停止违法行为的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ind w:right="-239" w:rightChars="-114"/>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正在整改但违法行为未完全消除的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1"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复查时未采取整改措施的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1361"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配合调查</w:t>
            </w:r>
          </w:p>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取证情况</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是否配合执法</w:t>
            </w:r>
          </w:p>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检查</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不配合检查的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配合检查的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1"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对社会影响或生态破坏程度</w:t>
            </w:r>
          </w:p>
        </w:tc>
        <w:tc>
          <w:tcPr>
            <w:tcW w:w="1932"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是否造成社会影响或生态破坏</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造成社会影响或生态破坏的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1"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未造成社会影响与生态破坏的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bl>
    <w:p>
      <w:r>
        <w:br w:type="page"/>
      </w:r>
    </w:p>
    <w:tbl>
      <w:tblPr>
        <w:tblStyle w:val="9"/>
        <w:tblpPr w:leftFromText="180" w:rightFromText="180" w:vertAnchor="text" w:horzAnchor="page" w:tblpX="1535" w:tblpY="-112"/>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361"/>
        <w:gridCol w:w="1932"/>
        <w:gridCol w:w="753"/>
        <w:gridCol w:w="783"/>
        <w:gridCol w:w="2926"/>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84" w:hRule="atLeast"/>
        </w:trPr>
        <w:tc>
          <w:tcPr>
            <w:tcW w:w="9080" w:type="dxa"/>
            <w:gridSpan w:val="6"/>
            <w:shd w:val="clear" w:color="auto" w:fill="FFFFFF"/>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ind w:firstLine="32" w:firstLineChars="8"/>
              <w:jc w:val="center"/>
              <w:rPr>
                <w:rFonts w:ascii="宋体" w:hAnsi="宋体"/>
                <w:color w:val="000000"/>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36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序号</w:t>
            </w:r>
          </w:p>
        </w:tc>
        <w:tc>
          <w:tcPr>
            <w:tcW w:w="7719" w:type="dxa"/>
            <w:gridSpan w:val="5"/>
            <w:shd w:val="clear" w:color="auto" w:fill="FFFFFF"/>
            <w:noWrap w:val="0"/>
            <w:vAlign w:val="center"/>
          </w:tcPr>
          <w:p>
            <w:pPr>
              <w:jc w:val="center"/>
              <w:rPr>
                <w:rFonts w:ascii="仿宋_GB2312" w:hAnsi="仿宋" w:eastAsia="仿宋_GB2312"/>
                <w:b/>
                <w:color w:val="000000"/>
                <w:sz w:val="24"/>
                <w:shd w:val="clear" w:color="auto" w:fill="FFFFFF"/>
              </w:rPr>
            </w:pPr>
            <w:r>
              <w:rPr>
                <w:rFonts w:ascii="仿宋_GB2312" w:hAnsi="仿宋" w:eastAsia="仿宋_GB2312"/>
                <w:bCs/>
                <w:color w:val="000000"/>
                <w:sz w:val="24"/>
                <w:shd w:val="clear" w:color="auto" w:fill="FFFFFF"/>
              </w:rPr>
              <w:t>2</w:t>
            </w:r>
            <w:r>
              <w:rPr>
                <w:rFonts w:hint="eastAsia" w:ascii="仿宋_GB2312" w:hAnsi="仿宋" w:eastAsia="仿宋_GB2312"/>
                <w:bCs/>
                <w:color w:val="000000"/>
                <w:sz w:val="24"/>
                <w:shd w:val="clear" w:color="auto" w:fill="FFFFFF"/>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69" w:hRule="atLeast"/>
        </w:trPr>
        <w:tc>
          <w:tcPr>
            <w:tcW w:w="136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违法行为</w:t>
            </w:r>
          </w:p>
        </w:tc>
        <w:tc>
          <w:tcPr>
            <w:tcW w:w="7719" w:type="dxa"/>
            <w:gridSpan w:val="5"/>
            <w:shd w:val="clear" w:color="auto" w:fill="FFFFFF"/>
            <w:noWrap w:val="0"/>
            <w:vAlign w:val="center"/>
          </w:tcPr>
          <w:p>
            <w:pPr>
              <w:rPr>
                <w:rFonts w:hint="eastAsia" w:ascii="仿宋_GB2312" w:hAnsi="仿宋" w:eastAsia="仿宋_GB2312"/>
                <w:color w:val="000000"/>
                <w:szCs w:val="21"/>
                <w:shd w:val="clear" w:color="auto" w:fill="FFFFFF"/>
              </w:rPr>
            </w:pPr>
            <w:r>
              <w:rPr>
                <w:rFonts w:hint="eastAsia" w:ascii="仿宋_GB2312" w:hAnsi="仿宋" w:eastAsia="仿宋_GB2312"/>
                <w:color w:val="000000"/>
                <w:sz w:val="24"/>
                <w:shd w:val="clear" w:color="auto" w:fill="FFFFFF"/>
              </w:rPr>
              <w:t>露天焚烧秸秆、落叶、枯草等产生烟尘污染物质的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42" w:hRule="atLeast"/>
        </w:trPr>
        <w:tc>
          <w:tcPr>
            <w:tcW w:w="136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处罚依据</w:t>
            </w:r>
          </w:p>
        </w:tc>
        <w:tc>
          <w:tcPr>
            <w:tcW w:w="7719" w:type="dxa"/>
            <w:gridSpan w:val="5"/>
            <w:shd w:val="clear" w:color="auto" w:fill="FFFFFF"/>
            <w:noWrap w:val="0"/>
            <w:vAlign w:val="center"/>
          </w:tcPr>
          <w:p>
            <w:pPr>
              <w:adjustRightInd w:val="0"/>
              <w:snapToGrid w:val="0"/>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color w:val="000000"/>
                <w:sz w:val="24"/>
                <w:szCs w:val="32"/>
                <w:shd w:val="clear" w:color="auto" w:fill="FFFFFF"/>
              </w:rPr>
              <w:t>1</w:t>
            </w:r>
            <w:r>
              <w:rPr>
                <w:rFonts w:ascii="仿宋_GB2312" w:hAnsi="仿宋_GB2312" w:eastAsia="仿宋_GB2312" w:cs="仿宋_GB2312"/>
                <w:color w:val="000000"/>
                <w:sz w:val="24"/>
                <w:szCs w:val="32"/>
                <w:shd w:val="clear" w:color="auto" w:fill="FFFFFF"/>
              </w:rPr>
              <w:t>.</w:t>
            </w:r>
            <w:r>
              <w:rPr>
                <w:rFonts w:hint="eastAsia" w:ascii="仿宋_GB2312" w:hAnsi="仿宋_GB2312" w:eastAsia="仿宋_GB2312" w:cs="仿宋_GB2312"/>
                <w:b/>
                <w:bCs/>
                <w:color w:val="000000"/>
                <w:sz w:val="24"/>
                <w:szCs w:val="32"/>
                <w:shd w:val="clear" w:color="auto" w:fill="FFFFFF"/>
              </w:rPr>
              <w:t>《唐山市大气污染防治若干规定》</w:t>
            </w:r>
          </w:p>
          <w:p>
            <w:pPr>
              <w:numPr>
                <w:ilvl w:val="0"/>
                <w:numId w:val="9"/>
              </w:numPr>
              <w:adjustRightInd w:val="0"/>
              <w:snapToGrid w:val="0"/>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本市行政区域内鼓励秸秆肥料化、饲料化、能源化、基料化、原料化利用，全面禁止露天焚烧秸秆，加快建立秸秆收集储运体系。露天焚烧秸秆、落叶、枯草等产生烟尘污染物质的，由县级人民政府确定的监督管理部门或者乡镇人民政府责令改正，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4046" w:type="dxa"/>
            <w:gridSpan w:val="3"/>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裁量要素</w:t>
            </w:r>
          </w:p>
        </w:tc>
        <w:tc>
          <w:tcPr>
            <w:tcW w:w="5034" w:type="dxa"/>
            <w:gridSpan w:val="3"/>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59" w:hRule="atLeast"/>
        </w:trPr>
        <w:tc>
          <w:tcPr>
            <w:tcW w:w="1361" w:type="dxa"/>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要素</w:t>
            </w:r>
          </w:p>
        </w:tc>
        <w:tc>
          <w:tcPr>
            <w:tcW w:w="1932"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具体条件</w:t>
            </w:r>
          </w:p>
        </w:tc>
        <w:tc>
          <w:tcPr>
            <w:tcW w:w="753"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构成</w:t>
            </w:r>
          </w:p>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比例</w:t>
            </w:r>
          </w:p>
        </w:tc>
        <w:tc>
          <w:tcPr>
            <w:tcW w:w="3709" w:type="dxa"/>
            <w:gridSpan w:val="2"/>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程度</w:t>
            </w:r>
          </w:p>
        </w:tc>
        <w:tc>
          <w:tcPr>
            <w:tcW w:w="1325"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16"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对环境影响程度</w:t>
            </w:r>
          </w:p>
        </w:tc>
        <w:tc>
          <w:tcPr>
            <w:tcW w:w="1932"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违法行为类型</w:t>
            </w:r>
          </w:p>
        </w:tc>
        <w:tc>
          <w:tcPr>
            <w:tcW w:w="75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40%</w:t>
            </w:r>
          </w:p>
        </w:tc>
        <w:tc>
          <w:tcPr>
            <w:tcW w:w="78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单位</w:t>
            </w:r>
          </w:p>
        </w:tc>
        <w:tc>
          <w:tcPr>
            <w:tcW w:w="2926" w:type="dxa"/>
            <w:shd w:val="clear" w:color="auto" w:fill="FFFFFF"/>
            <w:noWrap w:val="0"/>
            <w:vAlign w:val="center"/>
          </w:tcPr>
          <w:p>
            <w:pPr>
              <w:jc w:val="lef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过火面积5平米以下</w:t>
            </w:r>
          </w:p>
        </w:tc>
        <w:tc>
          <w:tcPr>
            <w:tcW w:w="1325" w:type="dxa"/>
            <w:shd w:val="clear" w:color="auto" w:fill="FFFFFF"/>
            <w:noWrap w:val="0"/>
            <w:vAlign w:val="center"/>
          </w:tcPr>
          <w:p>
            <w:pPr>
              <w:ind w:left="-199" w:leftChars="-95" w:right="-227" w:rightChars="-108"/>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8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2926" w:type="dxa"/>
            <w:shd w:val="clear" w:color="auto" w:fill="FFFFFF"/>
            <w:noWrap w:val="0"/>
            <w:vAlign w:val="center"/>
          </w:tcPr>
          <w:p>
            <w:pPr>
              <w:jc w:val="lef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过火面积5平方米以上</w:t>
            </w:r>
          </w:p>
        </w:tc>
        <w:tc>
          <w:tcPr>
            <w:tcW w:w="1325" w:type="dxa"/>
            <w:shd w:val="clear" w:color="auto" w:fill="FFFFFF"/>
            <w:noWrap w:val="0"/>
            <w:vAlign w:val="center"/>
          </w:tcPr>
          <w:p>
            <w:pPr>
              <w:ind w:left="-199" w:leftChars="-95" w:right="-227" w:rightChars="-108"/>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16"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8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个人</w:t>
            </w:r>
          </w:p>
        </w:tc>
        <w:tc>
          <w:tcPr>
            <w:tcW w:w="2926" w:type="dxa"/>
            <w:shd w:val="clear" w:color="auto" w:fill="FFFFFF"/>
            <w:noWrap w:val="0"/>
            <w:vAlign w:val="center"/>
          </w:tcPr>
          <w:p>
            <w:pPr>
              <w:jc w:val="lef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过火面积5平米以下</w:t>
            </w:r>
          </w:p>
        </w:tc>
        <w:tc>
          <w:tcPr>
            <w:tcW w:w="1325" w:type="dxa"/>
            <w:shd w:val="clear" w:color="auto" w:fill="FFFFFF"/>
            <w:noWrap w:val="0"/>
            <w:vAlign w:val="center"/>
          </w:tcPr>
          <w:p>
            <w:pPr>
              <w:ind w:left="-199" w:leftChars="-95" w:right="-227" w:rightChars="-108"/>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8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2926" w:type="dxa"/>
            <w:shd w:val="clear" w:color="auto" w:fill="FFFFFF"/>
            <w:noWrap w:val="0"/>
            <w:vAlign w:val="center"/>
          </w:tcPr>
          <w:p>
            <w:pPr>
              <w:jc w:val="lef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过火面积5平方米以上</w:t>
            </w:r>
          </w:p>
        </w:tc>
        <w:tc>
          <w:tcPr>
            <w:tcW w:w="1325" w:type="dxa"/>
            <w:shd w:val="clear" w:color="auto" w:fill="FFFFFF"/>
            <w:noWrap w:val="0"/>
            <w:vAlign w:val="center"/>
          </w:tcPr>
          <w:p>
            <w:pPr>
              <w:ind w:left="-199" w:leftChars="-95" w:right="-227" w:rightChars="-108"/>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违法频次</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一年内违法</w:t>
            </w:r>
          </w:p>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次数</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首次实施违法行为的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再次实施违法行为的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67"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第三次实施违法行为的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三次以上实施违法行为的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30"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整改情况</w:t>
            </w:r>
          </w:p>
        </w:tc>
        <w:tc>
          <w:tcPr>
            <w:tcW w:w="1932"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是否完成整改</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全面整改并停止违法行为的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ind w:right="-239" w:rightChars="-114"/>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正在整改但违法行为未完全消除的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复查时未采取整改措施的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58" w:hRule="atLeast"/>
        </w:trPr>
        <w:tc>
          <w:tcPr>
            <w:tcW w:w="1361"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配合调查</w:t>
            </w:r>
          </w:p>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取证情况</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是否配合执法</w:t>
            </w:r>
          </w:p>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检查</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不配合检查的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40" w:hRule="atLeast"/>
        </w:trPr>
        <w:tc>
          <w:tcPr>
            <w:tcW w:w="1361" w:type="dxa"/>
            <w:vMerge w:val="continue"/>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配合检查的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48" w:hRule="atLeast"/>
        </w:trPr>
        <w:tc>
          <w:tcPr>
            <w:tcW w:w="136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对社会影响或生态破坏程度</w:t>
            </w:r>
          </w:p>
        </w:tc>
        <w:tc>
          <w:tcPr>
            <w:tcW w:w="1932"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是否造成社会影响或生态破坏</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造成社会影响或生态破坏的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36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709" w:type="dxa"/>
            <w:gridSpan w:val="2"/>
            <w:shd w:val="clear" w:color="auto" w:fill="FFFFFF"/>
            <w:noWrap w:val="0"/>
            <w:vAlign w:val="center"/>
          </w:tcPr>
          <w:p>
            <w:pPr>
              <w:jc w:val="left"/>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未造成社会影响与生态破坏的</w:t>
            </w:r>
          </w:p>
        </w:tc>
        <w:tc>
          <w:tcPr>
            <w:tcW w:w="132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bl>
    <w:p>
      <w:r>
        <w:br w:type="page"/>
      </w:r>
    </w:p>
    <w:tbl>
      <w:tblPr>
        <w:tblStyle w:val="9"/>
        <w:tblpPr w:leftFromText="180" w:rightFromText="180" w:vertAnchor="text" w:horzAnchor="page" w:tblpXSpec="center" w:tblpY="-165"/>
        <w:tblOverlap w:val="never"/>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372"/>
        <w:gridCol w:w="1932"/>
        <w:gridCol w:w="753"/>
        <w:gridCol w:w="3709"/>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9" w:hRule="atLeast"/>
          <w:jc w:val="center"/>
        </w:trPr>
        <w:tc>
          <w:tcPr>
            <w:tcW w:w="9075" w:type="dxa"/>
            <w:gridSpan w:val="5"/>
            <w:shd w:val="clear" w:color="auto" w:fill="FFFFFF"/>
            <w:noWrap w:val="0"/>
            <w:vAlign w:val="center"/>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jc w:val="center"/>
              <w:rPr>
                <w:rFonts w:ascii="宋体" w:hAnsi="宋体"/>
                <w:color w:val="000000"/>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10" w:hRule="atLeast"/>
          <w:jc w:val="center"/>
        </w:trPr>
        <w:tc>
          <w:tcPr>
            <w:tcW w:w="1372" w:type="dxa"/>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序号</w:t>
            </w:r>
          </w:p>
        </w:tc>
        <w:tc>
          <w:tcPr>
            <w:tcW w:w="7703" w:type="dxa"/>
            <w:gridSpan w:val="4"/>
            <w:shd w:val="clear" w:color="auto" w:fill="FFFFFF"/>
            <w:noWrap w:val="0"/>
            <w:vAlign w:val="center"/>
          </w:tcPr>
          <w:p>
            <w:pPr>
              <w:jc w:val="center"/>
              <w:rPr>
                <w:rFonts w:ascii="仿宋_GB2312" w:hAnsi="仿宋" w:eastAsia="仿宋_GB2312"/>
                <w:b/>
                <w:color w:val="000000"/>
                <w:sz w:val="24"/>
                <w:shd w:val="clear" w:color="auto" w:fill="FFFFFF"/>
              </w:rPr>
            </w:pPr>
            <w:r>
              <w:rPr>
                <w:rFonts w:ascii="仿宋_GB2312" w:hAnsi="仿宋" w:eastAsia="仿宋_GB2312"/>
                <w:bCs/>
                <w:color w:val="000000"/>
                <w:sz w:val="24"/>
                <w:shd w:val="clear" w:color="auto" w:fill="FFFFFF"/>
              </w:rPr>
              <w:t>2</w:t>
            </w:r>
            <w:r>
              <w:rPr>
                <w:rFonts w:hint="eastAsia" w:ascii="仿宋_GB2312" w:hAnsi="仿宋" w:eastAsia="仿宋_GB2312"/>
                <w:bCs/>
                <w:color w:val="000000"/>
                <w:sz w:val="24"/>
                <w:shd w:val="clear" w:color="auto" w:fill="FFFFFF"/>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372"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违法行为</w:t>
            </w:r>
          </w:p>
        </w:tc>
        <w:tc>
          <w:tcPr>
            <w:tcW w:w="7703" w:type="dxa"/>
            <w:gridSpan w:val="4"/>
            <w:shd w:val="clear" w:color="auto" w:fill="FFFFFF"/>
            <w:noWrap w:val="0"/>
            <w:vAlign w:val="center"/>
          </w:tcPr>
          <w:p>
            <w:pPr>
              <w:adjustRightInd w:val="0"/>
              <w:snapToGrid w:val="0"/>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企业事业单位和个人拒不执行市、县级人民政府责令停产或者限产、停止工地土石方作业和建筑拆除施工等应急措施的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5" w:hRule="atLeast"/>
          <w:jc w:val="center"/>
        </w:trPr>
        <w:tc>
          <w:tcPr>
            <w:tcW w:w="1372"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处罚依据</w:t>
            </w:r>
          </w:p>
        </w:tc>
        <w:tc>
          <w:tcPr>
            <w:tcW w:w="7703" w:type="dxa"/>
            <w:gridSpan w:val="4"/>
            <w:shd w:val="clear" w:color="auto" w:fill="FFFFFF"/>
            <w:noWrap w:val="0"/>
            <w:vAlign w:val="center"/>
          </w:tcPr>
          <w:p>
            <w:pPr>
              <w:adjustRightInd w:val="0"/>
              <w:snapToGrid w:val="0"/>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color w:val="000000"/>
                <w:sz w:val="24"/>
                <w:szCs w:val="32"/>
                <w:shd w:val="clear" w:color="auto" w:fill="FFFFFF"/>
              </w:rPr>
              <w:t>1</w:t>
            </w:r>
            <w:r>
              <w:rPr>
                <w:rFonts w:ascii="仿宋_GB2312" w:hAnsi="仿宋_GB2312" w:eastAsia="仿宋_GB2312" w:cs="仿宋_GB2312"/>
                <w:color w:val="000000"/>
                <w:sz w:val="24"/>
                <w:szCs w:val="32"/>
                <w:shd w:val="clear" w:color="auto" w:fill="FFFFFF"/>
              </w:rPr>
              <w:t>.</w:t>
            </w:r>
            <w:r>
              <w:rPr>
                <w:rFonts w:hint="eastAsia" w:ascii="仿宋_GB2312" w:hAnsi="仿宋_GB2312" w:eastAsia="仿宋_GB2312" w:cs="仿宋_GB2312"/>
                <w:b/>
                <w:bCs/>
                <w:color w:val="000000"/>
                <w:sz w:val="24"/>
                <w:szCs w:val="32"/>
                <w:shd w:val="clear" w:color="auto" w:fill="FFFFFF"/>
              </w:rPr>
              <w:t>《唐山市大气污染防治若干规定》</w:t>
            </w:r>
          </w:p>
          <w:p>
            <w:pPr>
              <w:adjustRightInd w:val="0"/>
              <w:snapToGrid w:val="0"/>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第十五条 第二款</w:t>
            </w:r>
            <w:r>
              <w:rPr>
                <w:rFonts w:hint="eastAsia" w:ascii="仿宋_GB2312" w:hAnsi="仿宋" w:eastAsia="仿宋_GB2312"/>
                <w:color w:val="000000"/>
                <w:sz w:val="24"/>
                <w:shd w:val="clear" w:color="auto" w:fill="FFFFFF"/>
              </w:rPr>
              <w:t xml:space="preserve"> </w:t>
            </w:r>
            <w:r>
              <w:rPr>
                <w:rFonts w:hint="eastAsia" w:ascii="仿宋_GB2312" w:hAnsi="仿宋_GB2312" w:eastAsia="仿宋_GB2312" w:cs="仿宋_GB2312"/>
                <w:sz w:val="24"/>
              </w:rPr>
              <w:t>大气污染物排放重点企业不执行市、县级人民政府重污染天气应急减排措施的，由生态环境主管部门责令改正；拒不改正的，处十万元以上五十万元以下的罚款</w:t>
            </w:r>
            <w:r>
              <w:rPr>
                <w:rFonts w:hint="eastAsia" w:ascii="仿宋_GB2312" w:hAnsi="仿宋_GB2312" w:eastAsia="仿宋_GB2312" w:cs="仿宋_GB2312"/>
                <w:color w:val="000000"/>
                <w:sz w:val="24"/>
              </w:rPr>
              <w:t>。</w:t>
            </w:r>
          </w:p>
          <w:p>
            <w:pPr>
              <w:adjustRightInd w:val="0"/>
              <w:snapToGrid w:val="0"/>
              <w:rPr>
                <w:rFonts w:hint="eastAsia" w:ascii="仿宋_GB2312" w:hAnsi="仿宋" w:eastAsia="仿宋_GB2312"/>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 xml:space="preserve">第十五条 第三款 </w:t>
            </w:r>
            <w:r>
              <w:rPr>
                <w:rFonts w:hint="eastAsia" w:ascii="仿宋_GB2312" w:hAnsi="仿宋_GB2312" w:eastAsia="仿宋_GB2312" w:cs="仿宋_GB2312"/>
                <w:sz w:val="24"/>
              </w:rPr>
              <w:t>企业事业单位和个人拒不执行市、县级人民政府责令停止工地土石方作业和建筑拆除施工等应急措施的，由县级人民政府有关监督管理部门按照各自职责，处一万元以上三万元以下罚款；情节较重的，处三万元以上五万元以下罚款；情节严重的，处五万元以上十万元以下罚款；拒不执行机动车停驶规定和禁止燃放烟花爆竹等应急措施的，由公安机关依据有关法律、法规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87" w:hRule="atLeast"/>
          <w:jc w:val="center"/>
        </w:trPr>
        <w:tc>
          <w:tcPr>
            <w:tcW w:w="4057" w:type="dxa"/>
            <w:gridSpan w:val="3"/>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裁量要素</w:t>
            </w:r>
          </w:p>
        </w:tc>
        <w:tc>
          <w:tcPr>
            <w:tcW w:w="5018" w:type="dxa"/>
            <w:gridSpan w:val="2"/>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04" w:hRule="atLeast"/>
          <w:jc w:val="center"/>
        </w:trPr>
        <w:tc>
          <w:tcPr>
            <w:tcW w:w="1372" w:type="dxa"/>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要素</w:t>
            </w:r>
          </w:p>
        </w:tc>
        <w:tc>
          <w:tcPr>
            <w:tcW w:w="1932"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具体条件</w:t>
            </w:r>
          </w:p>
        </w:tc>
        <w:tc>
          <w:tcPr>
            <w:tcW w:w="753"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构成</w:t>
            </w:r>
          </w:p>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比例</w:t>
            </w:r>
          </w:p>
        </w:tc>
        <w:tc>
          <w:tcPr>
            <w:tcW w:w="3709" w:type="dxa"/>
            <w:shd w:val="clear" w:color="auto" w:fill="FFFFFF"/>
            <w:noWrap w:val="0"/>
            <w:vAlign w:val="center"/>
          </w:tcPr>
          <w:p>
            <w:pPr>
              <w:ind w:left="0" w:leftChars="-13" w:hanging="27" w:hangingChars="12"/>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程度</w:t>
            </w:r>
          </w:p>
        </w:tc>
        <w:tc>
          <w:tcPr>
            <w:tcW w:w="1309"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372" w:type="dxa"/>
            <w:vMerge w:val="restart"/>
            <w:shd w:val="clear" w:color="auto" w:fill="FFFFFF"/>
            <w:noWrap w:val="0"/>
            <w:vAlign w:val="center"/>
          </w:tcPr>
          <w:p>
            <w:pPr>
              <w:jc w:val="center"/>
              <w:rPr>
                <w:rFonts w:hint="eastAsia" w:ascii="仿宋_GB2312" w:hAnsi="仿宋_GB2312" w:eastAsia="仿宋_GB2312" w:cs="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对环境影响程度</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违法行为类型</w:t>
            </w:r>
          </w:p>
        </w:tc>
        <w:tc>
          <w:tcPr>
            <w:tcW w:w="75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40%</w:t>
            </w: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未按规定执行减排措施不足2小时的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未按规定执行减排措施2小时以上，不足12小时的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26"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未按规定执行减排措施12小时以上，不足24小时的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26"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未按规定执行减排措施24小时以上的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00" w:hRule="atLeast"/>
          <w:jc w:val="center"/>
        </w:trPr>
        <w:tc>
          <w:tcPr>
            <w:tcW w:w="1372"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违法频次</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一年内违法</w:t>
            </w:r>
          </w:p>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次数</w:t>
            </w:r>
          </w:p>
        </w:tc>
        <w:tc>
          <w:tcPr>
            <w:tcW w:w="75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首次实施违法行为的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1372" w:type="dxa"/>
            <w:vMerge w:val="continue"/>
            <w:shd w:val="clear" w:color="auto" w:fill="FFFFFF"/>
            <w:noWrap w:val="0"/>
            <w:vAlign w:val="center"/>
          </w:tcPr>
          <w:p>
            <w:pPr>
              <w:jc w:val="center"/>
              <w:rPr>
                <w:rFonts w:hint="eastAsia" w:ascii="仿宋_GB2312" w:eastAsia="仿宋_GB2312"/>
                <w:color w:val="000000"/>
                <w:shd w:val="clear" w:color="auto" w:fill="FFFFFF"/>
              </w:rPr>
            </w:pPr>
          </w:p>
        </w:tc>
        <w:tc>
          <w:tcPr>
            <w:tcW w:w="1932" w:type="dxa"/>
            <w:vMerge w:val="continue"/>
            <w:shd w:val="clear" w:color="auto" w:fill="FFFFFF"/>
            <w:noWrap w:val="0"/>
            <w:vAlign w:val="center"/>
          </w:tcPr>
          <w:p>
            <w:pPr>
              <w:jc w:val="center"/>
              <w:rPr>
                <w:rFonts w:hint="eastAsia" w:ascii="仿宋_GB2312"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eastAsia="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再次实施违法行为的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第三次实施违法行为的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68"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三次以上实施违法行为的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372"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整改情况</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是否完成整改</w:t>
            </w:r>
          </w:p>
        </w:tc>
        <w:tc>
          <w:tcPr>
            <w:tcW w:w="75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经责令改正但拒不改正的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配合改正并停止违法行为的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1" w:hRule="atLeast"/>
          <w:jc w:val="center"/>
        </w:trPr>
        <w:tc>
          <w:tcPr>
            <w:tcW w:w="1372"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配合调查</w:t>
            </w:r>
          </w:p>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取证情况</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是否配合执法</w:t>
            </w:r>
          </w:p>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检查</w:t>
            </w:r>
          </w:p>
        </w:tc>
        <w:tc>
          <w:tcPr>
            <w:tcW w:w="75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不配合检查的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配合检查的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8" w:hRule="atLeast"/>
          <w:jc w:val="center"/>
        </w:trPr>
        <w:tc>
          <w:tcPr>
            <w:tcW w:w="1372"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对社会影响或生态破坏程度</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是否造成社会影响或生态破坏</w:t>
            </w:r>
          </w:p>
        </w:tc>
        <w:tc>
          <w:tcPr>
            <w:tcW w:w="753"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709" w:type="dxa"/>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造成社会影响或生态破坏的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8" w:hRule="atLeast"/>
          <w:jc w:val="center"/>
        </w:trPr>
        <w:tc>
          <w:tcPr>
            <w:tcW w:w="1372" w:type="dxa"/>
            <w:vMerge w:val="continue"/>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zCs w:val="32"/>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zCs w:val="32"/>
                <w:shd w:val="clear" w:color="auto" w:fill="FFFFFF"/>
              </w:rPr>
            </w:pPr>
          </w:p>
        </w:tc>
        <w:tc>
          <w:tcPr>
            <w:tcW w:w="3709" w:type="dxa"/>
            <w:shd w:val="clear" w:color="auto" w:fill="FFFFFF"/>
            <w:noWrap w:val="0"/>
            <w:vAlign w:val="center"/>
          </w:tcPr>
          <w:p>
            <w:pPr>
              <w:rPr>
                <w:rFonts w:hint="eastAsia" w:ascii="仿宋_GB2312" w:hAnsi="仿宋_GB2312" w:eastAsia="仿宋_GB2312" w:cs="仿宋_GB2312"/>
                <w:color w:val="000000"/>
                <w:sz w:val="24"/>
                <w:szCs w:val="32"/>
                <w:shd w:val="clear" w:color="auto" w:fill="FFFFFF"/>
              </w:rPr>
            </w:pPr>
            <w:r>
              <w:rPr>
                <w:rFonts w:hint="eastAsia" w:ascii="仿宋_GB2312" w:hAnsi="仿宋_GB2312" w:eastAsia="仿宋_GB2312" w:cs="仿宋_GB2312"/>
                <w:color w:val="000000"/>
                <w:sz w:val="24"/>
                <w:szCs w:val="32"/>
                <w:shd w:val="clear" w:color="auto" w:fill="FFFFFF"/>
              </w:rPr>
              <w:t>未造成社会影响与生态破坏的</w:t>
            </w:r>
          </w:p>
        </w:tc>
        <w:tc>
          <w:tcPr>
            <w:tcW w:w="1309" w:type="dxa"/>
            <w:shd w:val="clear" w:color="auto" w:fill="FFFFFF"/>
            <w:noWrap w:val="0"/>
            <w:vAlign w:val="center"/>
          </w:tcPr>
          <w:p>
            <w:pPr>
              <w:jc w:val="center"/>
              <w:rPr>
                <w:rFonts w:hint="eastAsia" w:ascii="仿宋_GB2312" w:hAnsi="仿宋_GB2312" w:eastAsia="仿宋_GB2312" w:cs="仿宋_GB2312"/>
                <w:color w:val="000000"/>
                <w:sz w:val="24"/>
                <w:szCs w:val="32"/>
                <w:shd w:val="clear" w:color="auto" w:fill="FFFFFF"/>
              </w:rPr>
            </w:pPr>
            <w:r>
              <w:rPr>
                <w:rFonts w:hint="eastAsia" w:ascii="仿宋_GB2312" w:hAnsi="仿宋_GB2312" w:eastAsia="仿宋_GB2312" w:cs="仿宋_GB2312"/>
                <w:color w:val="000000"/>
                <w:sz w:val="24"/>
                <w:szCs w:val="32"/>
                <w:shd w:val="clear" w:color="auto" w:fill="FFFFFF"/>
              </w:rPr>
              <w:t>0%</w:t>
            </w:r>
          </w:p>
        </w:tc>
      </w:tr>
    </w:tbl>
    <w:p>
      <w:r>
        <w:br w:type="page"/>
      </w:r>
    </w:p>
    <w:tbl>
      <w:tblPr>
        <w:tblStyle w:val="9"/>
        <w:tblpPr w:leftFromText="180" w:rightFromText="180" w:vertAnchor="text" w:horzAnchor="page" w:tblpX="1524" w:tblpY="-154"/>
        <w:tblOverlap w:val="never"/>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351"/>
        <w:gridCol w:w="1932"/>
        <w:gridCol w:w="753"/>
        <w:gridCol w:w="783"/>
        <w:gridCol w:w="3081"/>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79" w:hRule="atLeast"/>
        </w:trPr>
        <w:tc>
          <w:tcPr>
            <w:tcW w:w="9085" w:type="dxa"/>
            <w:gridSpan w:val="6"/>
            <w:shd w:val="clear" w:color="auto" w:fill="FFFFFF"/>
            <w:noWrap w:val="0"/>
            <w:vAlign w:val="top"/>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唐山市生态环境行政处罚裁量规则</w:t>
            </w:r>
          </w:p>
          <w:p>
            <w:pPr>
              <w:jc w:val="center"/>
              <w:rPr>
                <w:rFonts w:ascii="宋体" w:hAnsi="宋体"/>
                <w:color w:val="000000"/>
                <w:sz w:val="32"/>
                <w:szCs w:val="32"/>
                <w:shd w:val="clear" w:color="auto" w:fill="FFFFFF"/>
              </w:rPr>
            </w:pPr>
            <w:r>
              <w:rPr>
                <w:rFonts w:hint="eastAsia" w:ascii="方正小标宋简体" w:hAnsi="方正小标宋简体" w:eastAsia="方正小标宋简体" w:cs="方正小标宋简体"/>
                <w:kern w:val="0"/>
                <w:sz w:val="40"/>
                <w:szCs w:val="40"/>
              </w:rPr>
              <w:t>（唐山市大气污染防治若干规定）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10" w:hRule="atLeast"/>
        </w:trPr>
        <w:tc>
          <w:tcPr>
            <w:tcW w:w="135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序号</w:t>
            </w:r>
          </w:p>
        </w:tc>
        <w:tc>
          <w:tcPr>
            <w:tcW w:w="7734" w:type="dxa"/>
            <w:gridSpan w:val="5"/>
            <w:shd w:val="clear" w:color="auto" w:fill="FFFFFF"/>
            <w:noWrap w:val="0"/>
            <w:vAlign w:val="center"/>
          </w:tcPr>
          <w:p>
            <w:pPr>
              <w:jc w:val="center"/>
              <w:rPr>
                <w:rFonts w:ascii="仿宋_GB2312" w:hAnsi="仿宋" w:eastAsia="仿宋_GB2312"/>
                <w:b/>
                <w:color w:val="000000"/>
                <w:sz w:val="24"/>
                <w:shd w:val="clear" w:color="auto" w:fill="FFFFFF"/>
              </w:rPr>
            </w:pPr>
            <w:r>
              <w:rPr>
                <w:rFonts w:ascii="仿宋_GB2312" w:hAnsi="仿宋" w:eastAsia="仿宋_GB2312"/>
                <w:bCs/>
                <w:color w:val="000000"/>
                <w:sz w:val="24"/>
                <w:shd w:val="clear" w:color="auto" w:fill="FFFFFF"/>
              </w:rPr>
              <w:t>2</w:t>
            </w:r>
            <w:r>
              <w:rPr>
                <w:rFonts w:hint="eastAsia" w:ascii="仿宋_GB2312" w:hAnsi="仿宋" w:eastAsia="仿宋_GB2312"/>
                <w:bCs/>
                <w:color w:val="00000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37" w:hRule="atLeast"/>
        </w:trPr>
        <w:tc>
          <w:tcPr>
            <w:tcW w:w="1351" w:type="dxa"/>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违法行为</w:t>
            </w:r>
          </w:p>
        </w:tc>
        <w:tc>
          <w:tcPr>
            <w:tcW w:w="7734" w:type="dxa"/>
            <w:gridSpan w:val="5"/>
            <w:shd w:val="clear" w:color="auto" w:fill="FFFFFF"/>
            <w:noWrap w:val="0"/>
            <w:vAlign w:val="center"/>
          </w:tcPr>
          <w:p>
            <w:pPr>
              <w:rPr>
                <w:rFonts w:hint="eastAsia" w:ascii="仿宋_GB2312" w:hAnsi="仿宋" w:eastAsia="仿宋_GB2312" w:cs="宋体"/>
                <w:color w:val="000000"/>
                <w:kern w:val="0"/>
                <w:sz w:val="24"/>
                <w:shd w:val="clear" w:color="auto" w:fill="FFFFFF"/>
              </w:rPr>
            </w:pPr>
            <w:r>
              <w:rPr>
                <w:rFonts w:hint="eastAsia" w:ascii="仿宋_GB2312" w:hAnsi="仿宋" w:eastAsia="仿宋_GB2312" w:cs="宋体"/>
                <w:color w:val="000000"/>
                <w:kern w:val="0"/>
                <w:sz w:val="24"/>
                <w:shd w:val="clear" w:color="auto" w:fill="FFFFFF"/>
              </w:rPr>
              <w:t>排污单位拒不执行市、县级人民政府停产、限产等管控措施的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9" w:hRule="atLeast"/>
        </w:trPr>
        <w:tc>
          <w:tcPr>
            <w:tcW w:w="1351" w:type="dxa"/>
            <w:shd w:val="clear" w:color="auto" w:fill="FFFFFF"/>
            <w:noWrap w:val="0"/>
            <w:vAlign w:val="center"/>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处罚依据</w:t>
            </w:r>
          </w:p>
        </w:tc>
        <w:tc>
          <w:tcPr>
            <w:tcW w:w="7734" w:type="dxa"/>
            <w:gridSpan w:val="5"/>
            <w:shd w:val="clear" w:color="auto" w:fill="FFFFFF"/>
            <w:noWrap w:val="0"/>
            <w:vAlign w:val="center"/>
          </w:tcPr>
          <w:p>
            <w:pPr>
              <w:adjustRightInd w:val="0"/>
              <w:snapToGrid w:val="0"/>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color w:val="000000"/>
                <w:sz w:val="24"/>
                <w:szCs w:val="32"/>
                <w:shd w:val="clear" w:color="auto" w:fill="FFFFFF"/>
              </w:rPr>
              <w:t>1</w:t>
            </w:r>
            <w:r>
              <w:rPr>
                <w:rFonts w:ascii="仿宋_GB2312" w:hAnsi="仿宋_GB2312" w:eastAsia="仿宋_GB2312" w:cs="仿宋_GB2312"/>
                <w:color w:val="000000"/>
                <w:sz w:val="24"/>
                <w:szCs w:val="32"/>
                <w:shd w:val="clear" w:color="auto" w:fill="FFFFFF"/>
              </w:rPr>
              <w:t>.</w:t>
            </w:r>
            <w:r>
              <w:rPr>
                <w:rFonts w:hint="eastAsia" w:ascii="仿宋_GB2312" w:hAnsi="仿宋_GB2312" w:eastAsia="仿宋_GB2312" w:cs="仿宋_GB2312"/>
                <w:b/>
                <w:bCs/>
                <w:color w:val="000000"/>
                <w:sz w:val="24"/>
                <w:szCs w:val="32"/>
                <w:shd w:val="clear" w:color="auto" w:fill="FFFFFF"/>
              </w:rPr>
              <w:t>《唐山市大气污染防治若干规定》</w:t>
            </w:r>
          </w:p>
          <w:p>
            <w:pPr>
              <w:adjustRightInd w:val="0"/>
              <w:snapToGrid w:val="0"/>
              <w:rPr>
                <w:rFonts w:hint="eastAsia" w:ascii="仿宋_GB2312" w:hAnsi="仿宋" w:eastAsia="仿宋_GB2312" w:cs="宋体"/>
                <w:color w:val="000000"/>
                <w:kern w:val="0"/>
                <w:sz w:val="24"/>
                <w:shd w:val="clear" w:color="auto" w:fill="FFFFFF"/>
              </w:rPr>
            </w:pPr>
            <w:r>
              <w:rPr>
                <w:rFonts w:hint="eastAsia" w:ascii="仿宋_GB2312" w:hAnsi="仿宋_GB2312" w:eastAsia="仿宋_GB2312" w:cs="仿宋_GB2312"/>
                <w:b/>
                <w:bCs/>
                <w:color w:val="000000"/>
                <w:sz w:val="24"/>
                <w:szCs w:val="32"/>
                <w:shd w:val="clear" w:color="auto" w:fill="FFFFFF"/>
              </w:rPr>
              <w:t>第十六条</w:t>
            </w:r>
            <w:r>
              <w:rPr>
                <w:rFonts w:hint="eastAsia" w:ascii="仿宋_GB2312" w:hAnsi="仿宋" w:eastAsia="仿宋_GB2312" w:cs="宋体"/>
                <w:color w:val="000000"/>
                <w:kern w:val="0"/>
                <w:sz w:val="24"/>
                <w:shd w:val="clear" w:color="auto" w:fill="FFFFFF"/>
              </w:rPr>
              <w:t xml:space="preserve"> 本市实行大气环境质量管控制度。市生态环境主管部门根据本市大气环境质量改善目标，会同相关部门制定按照绩效分级的差别化管控方案，报市人民政府批准后组织实施。各县（市、区）人民政府应当制定本级管控方案，组织生态环境、工业和信息化、住房和城乡建设、公安、交通运输等部门按照各自职责督促工业企业和相关单位落实管控措施。</w:t>
            </w:r>
          </w:p>
          <w:p>
            <w:pPr>
              <w:adjustRightInd w:val="0"/>
              <w:snapToGrid w:val="0"/>
              <w:rPr>
                <w:rFonts w:hint="eastAsia" w:ascii="仿宋_GB2312" w:hAnsi="仿宋" w:eastAsia="仿宋_GB2312"/>
                <w:color w:val="000000"/>
                <w:sz w:val="24"/>
                <w:shd w:val="clear" w:color="auto" w:fill="FFFFFF"/>
              </w:rPr>
            </w:pPr>
            <w:r>
              <w:rPr>
                <w:rFonts w:hint="eastAsia" w:ascii="仿宋_GB2312" w:hAnsi="仿宋" w:eastAsia="仿宋_GB2312" w:cs="宋体"/>
                <w:color w:val="000000"/>
                <w:kern w:val="0"/>
                <w:sz w:val="24"/>
                <w:shd w:val="clear" w:color="auto" w:fill="FFFFFF"/>
              </w:rPr>
              <w:t>排污单位拒不执行市、县级人民政府停产、限产等管控措施的，由县级以上人民政府确定的监督管理部门按照各自职责予以查处，责令改正、停止排污或者限制生产、停产整治，并处十万元以上三十万元以下罚款；情节较重的，并处三十万元以上一百万元以下罚款；受到罚款处罚，拒不改正的，可以自责令改正之日的次日起，按照原处罚数额按日连续处罚；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9" w:hRule="atLeast"/>
        </w:trPr>
        <w:tc>
          <w:tcPr>
            <w:tcW w:w="4036" w:type="dxa"/>
            <w:gridSpan w:val="3"/>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裁量要素</w:t>
            </w:r>
          </w:p>
        </w:tc>
        <w:tc>
          <w:tcPr>
            <w:tcW w:w="5049" w:type="dxa"/>
            <w:gridSpan w:val="3"/>
            <w:shd w:val="clear" w:color="auto" w:fill="FFFFFF"/>
            <w:noWrap w:val="0"/>
            <w:vAlign w:val="top"/>
          </w:tcPr>
          <w:p>
            <w:pPr>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0" w:hRule="atLeast"/>
        </w:trPr>
        <w:tc>
          <w:tcPr>
            <w:tcW w:w="1351" w:type="dxa"/>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要素</w:t>
            </w:r>
          </w:p>
        </w:tc>
        <w:tc>
          <w:tcPr>
            <w:tcW w:w="1932"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具体条件</w:t>
            </w:r>
          </w:p>
        </w:tc>
        <w:tc>
          <w:tcPr>
            <w:tcW w:w="753"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构成</w:t>
            </w:r>
          </w:p>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比例</w:t>
            </w:r>
          </w:p>
        </w:tc>
        <w:tc>
          <w:tcPr>
            <w:tcW w:w="3864" w:type="dxa"/>
            <w:gridSpan w:val="2"/>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程度</w:t>
            </w:r>
          </w:p>
        </w:tc>
        <w:tc>
          <w:tcPr>
            <w:tcW w:w="1185" w:type="dxa"/>
            <w:shd w:val="clear" w:color="auto" w:fill="FFFFFF"/>
            <w:noWrap w:val="0"/>
            <w:vAlign w:val="center"/>
          </w:tcPr>
          <w:p>
            <w:pPr>
              <w:jc w:val="center"/>
              <w:rPr>
                <w:rFonts w:hint="eastAsia" w:ascii="仿宋_GB2312" w:hAnsi="仿宋" w:eastAsia="仿宋_GB2312"/>
                <w:b/>
                <w:bCs/>
                <w:color w:val="000000"/>
                <w:sz w:val="22"/>
                <w:szCs w:val="22"/>
                <w:shd w:val="clear" w:color="auto" w:fill="FFFFFF"/>
              </w:rPr>
            </w:pPr>
            <w:r>
              <w:rPr>
                <w:rFonts w:hint="eastAsia" w:ascii="仿宋_GB2312" w:hAnsi="仿宋" w:eastAsia="仿宋_GB2312"/>
                <w:b/>
                <w:bCs/>
                <w:color w:val="000000"/>
                <w:sz w:val="22"/>
                <w:szCs w:val="22"/>
                <w:shd w:val="clear" w:color="auto" w:fill="FFFFFF"/>
              </w:rPr>
              <w:t>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12" w:hRule="atLeast"/>
        </w:trPr>
        <w:tc>
          <w:tcPr>
            <w:tcW w:w="135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 w:eastAsia="仿宋_GB2312"/>
                <w:b/>
                <w:bCs/>
                <w:color w:val="000000"/>
                <w:sz w:val="24"/>
                <w:shd w:val="clear" w:color="auto" w:fill="FFFFFF"/>
              </w:rPr>
              <w:t>对环境影响程度</w:t>
            </w:r>
          </w:p>
        </w:tc>
        <w:tc>
          <w:tcPr>
            <w:tcW w:w="1932"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违法行为类型</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40%</w:t>
            </w:r>
          </w:p>
        </w:tc>
        <w:tc>
          <w:tcPr>
            <w:tcW w:w="78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停产</w:t>
            </w:r>
          </w:p>
        </w:tc>
        <w:tc>
          <w:tcPr>
            <w:tcW w:w="3081"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达到应停产比例50%以上的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7"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ind w:firstLine="240" w:firstLineChars="100"/>
              <w:jc w:val="center"/>
              <w:rPr>
                <w:rFonts w:hint="eastAsia" w:ascii="仿宋_GB2312" w:hAnsi="仿宋" w:eastAsia="仿宋_GB2312"/>
                <w:color w:val="000000"/>
                <w:sz w:val="24"/>
                <w:shd w:val="clear" w:color="auto" w:fill="FFFFFF"/>
              </w:rPr>
            </w:pPr>
          </w:p>
        </w:tc>
        <w:tc>
          <w:tcPr>
            <w:tcW w:w="78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081"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未达到应停产比例50%的或不执行加严管控措施的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16%</w:t>
            </w:r>
            <w:r>
              <w:rPr>
                <w:rFonts w:hint="eastAsia" w:ascii="仿宋_GB2312" w:hAnsi="仿宋_GB2312" w:eastAsia="仿宋_GB2312" w:cs="仿宋_GB2312"/>
                <w:sz w:val="24"/>
                <w:szCs w:val="32"/>
              </w:rPr>
              <w:t>-</w:t>
            </w:r>
            <w:r>
              <w:rPr>
                <w:rFonts w:hint="eastAsia" w:ascii="仿宋_GB2312" w:hAnsi="仿宋" w:eastAsia="仿宋_GB2312"/>
                <w:color w:val="000000"/>
                <w:sz w:val="24"/>
                <w:shd w:val="clear" w:color="auto" w:fill="FFFFFF"/>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55"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8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限产</w:t>
            </w:r>
          </w:p>
        </w:tc>
        <w:tc>
          <w:tcPr>
            <w:tcW w:w="3081"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达到应限产比例50%以上的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1%</w:t>
            </w:r>
            <w:r>
              <w:rPr>
                <w:rFonts w:hint="eastAsia" w:ascii="仿宋_GB2312" w:hAnsi="仿宋_GB2312" w:eastAsia="仿宋_GB2312" w:cs="仿宋_GB2312"/>
                <w:sz w:val="24"/>
                <w:szCs w:val="32"/>
              </w:rPr>
              <w:t>-</w:t>
            </w:r>
            <w:r>
              <w:rPr>
                <w:rFonts w:hint="eastAsia" w:ascii="仿宋_GB2312" w:hAnsi="仿宋" w:eastAsia="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4"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8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081" w:type="dxa"/>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未达到应限产比例50%的或不执行加严管控措施的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 w:eastAsia="仿宋_GB2312"/>
                <w:color w:val="000000"/>
                <w:sz w:val="24"/>
                <w:shd w:val="clear" w:color="auto" w:fill="FFFFFF"/>
              </w:rPr>
              <w:t>16%</w:t>
            </w:r>
            <w:r>
              <w:rPr>
                <w:rFonts w:hint="eastAsia" w:ascii="仿宋_GB2312" w:hAnsi="仿宋_GB2312" w:eastAsia="仿宋_GB2312" w:cs="仿宋_GB2312"/>
                <w:sz w:val="24"/>
                <w:szCs w:val="32"/>
              </w:rPr>
              <w:t>-</w:t>
            </w:r>
            <w:r>
              <w:rPr>
                <w:rFonts w:hint="eastAsia" w:ascii="仿宋_GB2312" w:hAnsi="仿宋" w:eastAsia="仿宋_GB2312"/>
                <w:color w:val="000000"/>
                <w:sz w:val="24"/>
                <w:shd w:val="clear" w:color="auto" w:fill="FFFFFF"/>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7" w:hRule="atLeast"/>
        </w:trPr>
        <w:tc>
          <w:tcPr>
            <w:tcW w:w="135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违法频次</w:t>
            </w:r>
          </w:p>
        </w:tc>
        <w:tc>
          <w:tcPr>
            <w:tcW w:w="1932" w:type="dxa"/>
            <w:vMerge w:val="restart"/>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一年内违法</w:t>
            </w:r>
          </w:p>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次数</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首次实施违法行为的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7"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再次实施违法行为的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7"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第三次实施违法行为的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7"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864" w:type="dxa"/>
            <w:gridSpan w:val="2"/>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三次以上实施违法行为的</w:t>
            </w:r>
          </w:p>
        </w:tc>
        <w:tc>
          <w:tcPr>
            <w:tcW w:w="1185"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1" w:hRule="atLeast"/>
        </w:trPr>
        <w:tc>
          <w:tcPr>
            <w:tcW w:w="135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整改情况</w:t>
            </w:r>
          </w:p>
        </w:tc>
        <w:tc>
          <w:tcPr>
            <w:tcW w:w="1932"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是否完成整改</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经责令改正但拒不改正的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1"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配合改正并停止违法行为的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1" w:hRule="atLeast"/>
        </w:trPr>
        <w:tc>
          <w:tcPr>
            <w:tcW w:w="1351" w:type="dxa"/>
            <w:vMerge w:val="restart"/>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r>
              <w:rPr>
                <w:rFonts w:hint="eastAsia" w:ascii="仿宋_GB2312" w:hAnsi="仿宋_GB2312" w:eastAsia="仿宋_GB2312" w:cs="仿宋_GB2312"/>
                <w:b/>
                <w:bCs/>
                <w:color w:val="000000"/>
                <w:sz w:val="24"/>
                <w:szCs w:val="32"/>
                <w:shd w:val="clear" w:color="auto" w:fill="FFFFFF"/>
              </w:rPr>
              <w:t>配合调查</w:t>
            </w:r>
          </w:p>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取证情况</w:t>
            </w:r>
          </w:p>
        </w:tc>
        <w:tc>
          <w:tcPr>
            <w:tcW w:w="1932" w:type="dxa"/>
            <w:vMerge w:val="restart"/>
            <w:shd w:val="clear" w:color="auto" w:fill="FFFFFF"/>
            <w:noWrap w:val="0"/>
            <w:vAlign w:val="center"/>
          </w:tcPr>
          <w:p>
            <w:pPr>
              <w:ind w:left="-149" w:leftChars="-71" w:right="-107" w:rightChars="-51"/>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是否配合执法</w:t>
            </w:r>
          </w:p>
          <w:p>
            <w:pPr>
              <w:ind w:left="-149" w:leftChars="-71" w:right="-107" w:rightChars="-51"/>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检查</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10%</w:t>
            </w: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不配合检查的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1" w:hRule="atLeast"/>
        </w:trPr>
        <w:tc>
          <w:tcPr>
            <w:tcW w:w="1351" w:type="dxa"/>
            <w:vMerge w:val="continue"/>
            <w:shd w:val="clear" w:color="auto" w:fill="FFFFFF"/>
            <w:noWrap w:val="0"/>
            <w:vAlign w:val="center"/>
          </w:tcPr>
          <w:p>
            <w:pPr>
              <w:jc w:val="center"/>
              <w:rPr>
                <w:rFonts w:hint="eastAsia" w:ascii="仿宋_GB2312" w:hAnsi="仿宋" w:eastAsia="仿宋_GB2312"/>
                <w:b/>
                <w:bCs/>
                <w:color w:val="000000"/>
                <w:sz w:val="24"/>
                <w:shd w:val="clear" w:color="auto" w:fill="FFFFFF"/>
              </w:rPr>
            </w:pPr>
          </w:p>
        </w:tc>
        <w:tc>
          <w:tcPr>
            <w:tcW w:w="1932"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 w:eastAsia="仿宋_GB2312"/>
                <w:color w:val="000000"/>
                <w:sz w:val="24"/>
                <w:shd w:val="clear" w:color="auto" w:fill="FFFFFF"/>
              </w:rPr>
            </w:pP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配合检查的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73" w:hRule="atLeast"/>
        </w:trPr>
        <w:tc>
          <w:tcPr>
            <w:tcW w:w="1351" w:type="dxa"/>
            <w:vMerge w:val="restart"/>
            <w:shd w:val="clear" w:color="auto" w:fill="FFFFFF"/>
            <w:noWrap w:val="0"/>
            <w:vAlign w:val="center"/>
          </w:tcPr>
          <w:p>
            <w:pPr>
              <w:jc w:val="center"/>
              <w:rPr>
                <w:rFonts w:hint="eastAsia" w:ascii="仿宋_GB2312" w:hAnsi="仿宋" w:eastAsia="仿宋_GB2312"/>
                <w:b/>
                <w:bCs/>
                <w:color w:val="000000"/>
                <w:sz w:val="24"/>
                <w:shd w:val="clear" w:color="auto" w:fill="FFFFFF"/>
              </w:rPr>
            </w:pPr>
            <w:r>
              <w:rPr>
                <w:rFonts w:hint="eastAsia" w:ascii="仿宋_GB2312" w:hAnsi="仿宋_GB2312" w:eastAsia="仿宋_GB2312" w:cs="仿宋_GB2312"/>
                <w:b/>
                <w:bCs/>
                <w:color w:val="000000"/>
                <w:sz w:val="24"/>
                <w:szCs w:val="32"/>
                <w:shd w:val="clear" w:color="auto" w:fill="FFFFFF"/>
              </w:rPr>
              <w:t>对社会影响或生态破坏程度</w:t>
            </w:r>
          </w:p>
        </w:tc>
        <w:tc>
          <w:tcPr>
            <w:tcW w:w="1932" w:type="dxa"/>
            <w:vMerge w:val="restart"/>
            <w:shd w:val="clear" w:color="auto" w:fill="FFFFFF"/>
            <w:noWrap w:val="0"/>
            <w:vAlign w:val="center"/>
          </w:tcPr>
          <w:p>
            <w:pPr>
              <w:ind w:left="-199" w:leftChars="-95" w:right="-265" w:rightChars="-126"/>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是否造成社会影</w:t>
            </w:r>
          </w:p>
          <w:p>
            <w:pPr>
              <w:ind w:left="-199" w:leftChars="-95" w:right="-265" w:rightChars="-126"/>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响或生态破坏</w:t>
            </w:r>
          </w:p>
        </w:tc>
        <w:tc>
          <w:tcPr>
            <w:tcW w:w="753" w:type="dxa"/>
            <w:vMerge w:val="restart"/>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20%</w:t>
            </w:r>
          </w:p>
        </w:tc>
        <w:tc>
          <w:tcPr>
            <w:tcW w:w="3864" w:type="dxa"/>
            <w:gridSpan w:val="2"/>
            <w:shd w:val="clear" w:color="auto" w:fill="FFFFFF"/>
            <w:noWrap w:val="0"/>
            <w:vAlign w:val="center"/>
          </w:tcPr>
          <w:p>
            <w:pP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造成社会影响或生态破坏的</w:t>
            </w:r>
          </w:p>
        </w:tc>
        <w:tc>
          <w:tcPr>
            <w:tcW w:w="1185" w:type="dxa"/>
            <w:shd w:val="clear" w:color="auto" w:fill="FFFFFF"/>
            <w:noWrap w:val="0"/>
            <w:vAlign w:val="center"/>
          </w:tcPr>
          <w:p>
            <w:pPr>
              <w:jc w:val="center"/>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hd w:val="clear" w:color="auto" w:fill="FFFFFF"/>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73" w:hRule="atLeast"/>
        </w:trPr>
        <w:tc>
          <w:tcPr>
            <w:tcW w:w="1351" w:type="dxa"/>
            <w:vMerge w:val="continue"/>
            <w:shd w:val="clear" w:color="auto" w:fill="FFFFFF"/>
            <w:noWrap w:val="0"/>
            <w:vAlign w:val="center"/>
          </w:tcPr>
          <w:p>
            <w:pPr>
              <w:jc w:val="center"/>
              <w:rPr>
                <w:rFonts w:hint="eastAsia" w:ascii="仿宋_GB2312" w:hAnsi="仿宋_GB2312" w:eastAsia="仿宋_GB2312" w:cs="仿宋_GB2312"/>
                <w:b/>
                <w:bCs/>
                <w:color w:val="000000"/>
                <w:sz w:val="24"/>
                <w:szCs w:val="32"/>
                <w:shd w:val="clear" w:color="auto" w:fill="FFFFFF"/>
              </w:rPr>
            </w:pPr>
          </w:p>
        </w:tc>
        <w:tc>
          <w:tcPr>
            <w:tcW w:w="1932"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753" w:type="dxa"/>
            <w:vMerge w:val="continue"/>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p>
        </w:tc>
        <w:tc>
          <w:tcPr>
            <w:tcW w:w="3864" w:type="dxa"/>
            <w:gridSpan w:val="2"/>
            <w:shd w:val="clear" w:color="auto" w:fill="FFFFFF"/>
            <w:noWrap w:val="0"/>
            <w:vAlign w:val="center"/>
          </w:tcPr>
          <w:p>
            <w:pP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未造成社会影响与生态破坏的</w:t>
            </w:r>
          </w:p>
        </w:tc>
        <w:tc>
          <w:tcPr>
            <w:tcW w:w="1185" w:type="dxa"/>
            <w:shd w:val="clear" w:color="auto" w:fill="FFFFFF"/>
            <w:noWrap w:val="0"/>
            <w:vAlign w:val="center"/>
          </w:tcPr>
          <w:p>
            <w:pPr>
              <w:jc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0%</w:t>
            </w:r>
          </w:p>
        </w:tc>
      </w:tr>
    </w:tbl>
    <w:p>
      <w:pPr>
        <w:rPr>
          <w:rFonts w:ascii="宋体" w:hAnsi="宋体" w:cs="宋体"/>
          <w:sz w:val="28"/>
          <w:szCs w:val="28"/>
        </w:rPr>
      </w:pPr>
    </w:p>
    <w:tbl>
      <w:tblPr>
        <w:tblStyle w:val="9"/>
        <w:tblW w:w="91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903"/>
        <w:gridCol w:w="708"/>
        <w:gridCol w:w="3822"/>
        <w:gridCol w:w="23"/>
        <w:gridCol w:w="1192"/>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37" w:type="dxa"/>
            <w:gridSpan w:val="7"/>
            <w:noWrap w:val="0"/>
            <w:vAlign w:val="top"/>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p>
          <w:p>
            <w:pPr>
              <w:widowControl/>
              <w:adjustRightInd w:val="0"/>
              <w:snapToGrid w:val="0"/>
              <w:ind w:left="147"/>
              <w:jc w:val="center"/>
              <w:rPr>
                <w:rFonts w:hint="eastAsia" w:ascii="微软雅黑" w:hAnsi="微软雅黑" w:eastAsia="方正小标宋简体" w:cs="微软雅黑"/>
                <w:spacing w:val="20"/>
                <w:sz w:val="28"/>
                <w:szCs w:val="28"/>
              </w:rPr>
            </w:pPr>
            <w:r>
              <w:rPr>
                <w:rFonts w:hint="eastAsia" w:ascii="方正小标宋简体" w:hAnsi="方正小标宋简体" w:eastAsia="方正小标宋简体" w:cs="方正小标宋简体"/>
                <w:kern w:val="0"/>
                <w:sz w:val="40"/>
                <w:szCs w:val="40"/>
              </w:rPr>
              <w:t>（</w:t>
            </w:r>
            <w:r>
              <w:rPr>
                <w:rFonts w:ascii="方正小标宋简体" w:hAnsi="方正小标宋简体" w:eastAsia="方正小标宋简体" w:cs="方正小标宋简体"/>
                <w:kern w:val="0"/>
                <w:sz w:val="40"/>
                <w:szCs w:val="40"/>
              </w:rPr>
              <w:t>唐山市</w:t>
            </w:r>
            <w:r>
              <w:rPr>
                <w:rFonts w:hint="eastAsia" w:ascii="方正小标宋简体" w:hAnsi="方正小标宋简体" w:eastAsia="方正小标宋简体" w:cs="方正小标宋简体"/>
                <w:kern w:val="0"/>
                <w:sz w:val="40"/>
                <w:szCs w:val="40"/>
              </w:rPr>
              <w:t>集中式饮用水水源地保护管理条例）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74" w:type="dxa"/>
            <w:noWrap w:val="0"/>
            <w:vAlign w:val="center"/>
          </w:tcPr>
          <w:p>
            <w:pPr>
              <w:adjustRightInd w:val="0"/>
              <w:snapToGrid w:val="0"/>
              <w:spacing w:line="280" w:lineRule="exact"/>
              <w:jc w:val="center"/>
              <w:rPr>
                <w:rFonts w:ascii="仿宋" w:hAnsi="仿宋" w:eastAsia="仿宋" w:cs="仿宋"/>
                <w:b/>
                <w:bCs/>
                <w:sz w:val="28"/>
                <w:szCs w:val="28"/>
              </w:rPr>
            </w:pPr>
            <w:r>
              <w:rPr>
                <w:rFonts w:ascii="仿宋" w:hAnsi="仿宋" w:eastAsia="仿宋" w:cs="仿宋"/>
                <w:b/>
                <w:bCs/>
                <w:spacing w:val="-7"/>
                <w:sz w:val="28"/>
                <w:szCs w:val="28"/>
              </w:rPr>
              <w:t>序号</w:t>
            </w:r>
          </w:p>
        </w:tc>
        <w:tc>
          <w:tcPr>
            <w:tcW w:w="7663" w:type="dxa"/>
            <w:gridSpan w:val="6"/>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2</w:t>
            </w:r>
            <w:r>
              <w:rPr>
                <w:rFonts w:hint="eastAsia" w:ascii="仿宋" w:hAnsi="仿宋" w:eastAsia="仿宋" w:cs="仿宋"/>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474" w:type="dxa"/>
            <w:noWrap w:val="0"/>
            <w:vAlign w:val="center"/>
          </w:tcPr>
          <w:p>
            <w:pPr>
              <w:adjustRightInd w:val="0"/>
              <w:snapToGrid w:val="0"/>
              <w:spacing w:line="280" w:lineRule="exact"/>
              <w:jc w:val="center"/>
              <w:rPr>
                <w:rFonts w:ascii="仿宋" w:hAnsi="仿宋" w:eastAsia="仿宋" w:cs="仿宋"/>
                <w:b/>
                <w:bCs/>
                <w:spacing w:val="-7"/>
                <w:sz w:val="28"/>
                <w:szCs w:val="28"/>
              </w:rPr>
            </w:pPr>
            <w:r>
              <w:rPr>
                <w:rFonts w:ascii="仿宋" w:hAnsi="仿宋" w:eastAsia="仿宋" w:cs="仿宋"/>
                <w:b/>
                <w:bCs/>
                <w:spacing w:val="-7"/>
                <w:sz w:val="28"/>
                <w:szCs w:val="28"/>
              </w:rPr>
              <w:t>违法行为</w:t>
            </w:r>
          </w:p>
        </w:tc>
        <w:tc>
          <w:tcPr>
            <w:tcW w:w="7663" w:type="dxa"/>
            <w:gridSpan w:val="6"/>
            <w:noWrap w:val="0"/>
            <w:vAlign w:val="center"/>
          </w:tcPr>
          <w:p>
            <w:pPr>
              <w:adjustRightInd w:val="0"/>
              <w:snapToGrid w:val="0"/>
              <w:spacing w:line="280" w:lineRule="exact"/>
              <w:ind w:right="105"/>
              <w:rPr>
                <w:rFonts w:ascii="仿宋" w:hAnsi="仿宋" w:eastAsia="仿宋" w:cs="仿宋"/>
                <w:sz w:val="24"/>
              </w:rPr>
            </w:pPr>
            <w:r>
              <w:rPr>
                <w:rFonts w:hint="eastAsia" w:ascii="仿宋_GB2312" w:hAnsi="仿宋_GB2312" w:eastAsia="仿宋_GB2312" w:cs="仿宋_GB2312"/>
                <w:sz w:val="24"/>
              </w:rPr>
              <w:t>破坏、擅自改变、移动保护区护栏围挡等隔离设施、地理界标和警示标志的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7" w:hRule="atLeast"/>
          <w:jc w:val="center"/>
        </w:trPr>
        <w:tc>
          <w:tcPr>
            <w:tcW w:w="1474" w:type="dxa"/>
            <w:noWrap w:val="0"/>
            <w:vAlign w:val="center"/>
          </w:tcPr>
          <w:p>
            <w:pPr>
              <w:adjustRightInd w:val="0"/>
              <w:snapToGrid w:val="0"/>
              <w:spacing w:line="280" w:lineRule="exact"/>
              <w:jc w:val="center"/>
              <w:rPr>
                <w:rFonts w:ascii="仿宋" w:hAnsi="仿宋" w:eastAsia="仿宋" w:cs="仿宋"/>
                <w:b/>
                <w:bCs/>
                <w:sz w:val="28"/>
                <w:szCs w:val="28"/>
              </w:rPr>
            </w:pPr>
            <w:r>
              <w:rPr>
                <w:rFonts w:ascii="仿宋" w:hAnsi="仿宋" w:eastAsia="仿宋" w:cs="仿宋"/>
                <w:b/>
                <w:bCs/>
                <w:spacing w:val="-7"/>
                <w:sz w:val="28"/>
                <w:szCs w:val="28"/>
              </w:rPr>
              <w:t>处</w:t>
            </w:r>
            <w:r>
              <w:rPr>
                <w:rFonts w:ascii="仿宋" w:hAnsi="仿宋" w:eastAsia="仿宋" w:cs="仿宋"/>
                <w:b/>
                <w:bCs/>
                <w:spacing w:val="-4"/>
                <w:sz w:val="28"/>
                <w:szCs w:val="28"/>
              </w:rPr>
              <w:t>罚依据</w:t>
            </w:r>
          </w:p>
        </w:tc>
        <w:tc>
          <w:tcPr>
            <w:tcW w:w="7663" w:type="dxa"/>
            <w:gridSpan w:val="6"/>
            <w:noWrap w:val="0"/>
            <w:vAlign w:val="top"/>
          </w:tcPr>
          <w:p>
            <w:pPr>
              <w:adjustRightInd w:val="0"/>
              <w:snapToGrid w:val="0"/>
              <w:spacing w:line="280" w:lineRule="exact"/>
              <w:ind w:left="113" w:right="100" w:firstLine="12"/>
              <w:rPr>
                <w:rFonts w:hint="eastAsia" w:ascii="仿宋_GB2312" w:hAnsi="仿宋_GB2312" w:eastAsia="仿宋_GB2312" w:cs="仿宋_GB2312"/>
                <w:spacing w:val="10"/>
                <w:sz w:val="24"/>
              </w:rPr>
            </w:pPr>
            <w:r>
              <w:rPr>
                <w:rFonts w:hint="eastAsia" w:ascii="仿宋_GB2312" w:hAnsi="仿宋_GB2312" w:eastAsia="仿宋_GB2312" w:cs="仿宋_GB2312"/>
                <w:spacing w:val="11"/>
                <w:sz w:val="24"/>
              </w:rPr>
              <w:t>1.</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唐山市集中式饮用水水源地保护管理条例》</w:t>
            </w:r>
          </w:p>
          <w:p>
            <w:pPr>
              <w:adjustRightInd w:val="0"/>
              <w:snapToGrid w:val="0"/>
              <w:spacing w:line="280" w:lineRule="exact"/>
              <w:ind w:left="113" w:right="100" w:firstLine="12"/>
              <w:rPr>
                <w:rFonts w:hint="eastAsia" w:ascii="仿宋_GB2312" w:hAnsi="仿宋_GB2312" w:eastAsia="仿宋_GB2312" w:cs="仿宋_GB2312"/>
                <w:sz w:val="24"/>
              </w:rPr>
            </w:pPr>
            <w:r>
              <w:rPr>
                <w:rFonts w:hint="eastAsia" w:ascii="仿宋_GB2312" w:hAnsi="仿宋_GB2312" w:eastAsia="仿宋_GB2312" w:cs="仿宋_GB2312"/>
                <w:b/>
                <w:bCs/>
                <w:sz w:val="24"/>
              </w:rPr>
              <w:t xml:space="preserve">第九条 第二款 </w:t>
            </w:r>
            <w:r>
              <w:rPr>
                <w:rFonts w:hint="eastAsia" w:ascii="仿宋_GB2312" w:hAnsi="仿宋_GB2312" w:eastAsia="仿宋_GB2312" w:cs="仿宋_GB2312"/>
                <w:sz w:val="24"/>
              </w:rPr>
              <w:t>禁止任何单位和个人破坏、擅自改变、移动前款规定的隔离防护设施、地理界标和警示标志。</w:t>
            </w:r>
          </w:p>
          <w:p>
            <w:pPr>
              <w:adjustRightInd w:val="0"/>
              <w:snapToGrid w:val="0"/>
              <w:spacing w:line="280" w:lineRule="exact"/>
              <w:ind w:left="113" w:right="100" w:firstLine="12"/>
              <w:rPr>
                <w:rFonts w:hint="eastAsia" w:ascii="仿宋_GB2312" w:hAnsi="仿宋_GB2312" w:eastAsia="仿宋_GB2312" w:cs="仿宋_GB2312"/>
                <w:sz w:val="24"/>
              </w:rPr>
            </w:pPr>
          </w:p>
          <w:p>
            <w:pPr>
              <w:adjustRightInd w:val="0"/>
              <w:snapToGrid w:val="0"/>
              <w:spacing w:line="280" w:lineRule="exact"/>
              <w:ind w:left="109"/>
              <w:rPr>
                <w:rFonts w:hint="eastAsia" w:ascii="仿宋_GB2312" w:hAnsi="仿宋_GB2312" w:eastAsia="仿宋_GB2312" w:cs="仿宋_GB2312"/>
                <w:b/>
                <w:bCs/>
                <w:sz w:val="24"/>
              </w:rPr>
            </w:pPr>
            <w:r>
              <w:rPr>
                <w:rFonts w:hint="eastAsia" w:ascii="仿宋_GB2312" w:hAnsi="仿宋_GB2312" w:eastAsia="仿宋_GB2312" w:cs="仿宋_GB2312"/>
                <w:spacing w:val="11"/>
                <w:sz w:val="24"/>
              </w:rPr>
              <w:t>2.</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唐山市集中式饮用水水源地保护管理条例》</w:t>
            </w:r>
          </w:p>
          <w:p>
            <w:pPr>
              <w:adjustRightInd w:val="0"/>
              <w:snapToGrid w:val="0"/>
              <w:spacing w:line="280" w:lineRule="exact"/>
              <w:ind w:left="113" w:right="100" w:firstLine="12"/>
              <w:rPr>
                <w:rFonts w:ascii="仿宋" w:hAnsi="仿宋" w:eastAsia="仿宋" w:cs="仿宋"/>
                <w:sz w:val="24"/>
              </w:rPr>
            </w:pPr>
            <w:r>
              <w:rPr>
                <w:rFonts w:hint="eastAsia" w:ascii="仿宋_GB2312" w:hAnsi="仿宋_GB2312" w:eastAsia="仿宋_GB2312" w:cs="仿宋_GB2312"/>
                <w:b/>
                <w:bCs/>
                <w:sz w:val="24"/>
              </w:rPr>
              <w:t>第三十一条</w:t>
            </w:r>
            <w:r>
              <w:rPr>
                <w:rFonts w:hint="eastAsia" w:ascii="仿宋_GB2312" w:hAnsi="仿宋_GB2312" w:eastAsia="仿宋_GB2312" w:cs="仿宋_GB2312"/>
                <w:sz w:val="24"/>
              </w:rPr>
              <w:t xml:space="preserve"> 违反本条例第九条第二款规定，破坏、擅自改变、移动保护区护栏围挡等隔离设施、地理界标和警示标志的，由相关主管部门或者乡镇人民政府、街道办事处按照各自职责责令停止违法行为，恢复原状，可以处三千元以上五千元以下的罚款；情节较重的，处五千元以上一万元以下的罚款；情节严重的，处一万元以上三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4085" w:type="dxa"/>
            <w:gridSpan w:val="3"/>
            <w:noWrap w:val="0"/>
            <w:vAlign w:val="center"/>
          </w:tcPr>
          <w:p>
            <w:pPr>
              <w:adjustRightInd w:val="0"/>
              <w:snapToGrid w:val="0"/>
              <w:ind w:left="1488"/>
              <w:rPr>
                <w:rFonts w:ascii="仿宋" w:hAnsi="仿宋" w:eastAsia="仿宋" w:cs="仿宋"/>
                <w:b/>
                <w:bCs/>
                <w:sz w:val="28"/>
                <w:szCs w:val="28"/>
              </w:rPr>
            </w:pPr>
            <w:r>
              <w:rPr>
                <w:rFonts w:ascii="仿宋" w:hAnsi="仿宋" w:eastAsia="仿宋" w:cs="仿宋"/>
                <w:b/>
                <w:bCs/>
                <w:spacing w:val="-2"/>
                <w:sz w:val="28"/>
                <w:szCs w:val="28"/>
              </w:rPr>
              <w:t>裁量要素</w:t>
            </w:r>
          </w:p>
        </w:tc>
        <w:tc>
          <w:tcPr>
            <w:tcW w:w="5052" w:type="dxa"/>
            <w:gridSpan w:val="4"/>
            <w:noWrap w:val="0"/>
            <w:vAlign w:val="center"/>
          </w:tcPr>
          <w:p>
            <w:pPr>
              <w:adjustRightInd w:val="0"/>
              <w:snapToGrid w:val="0"/>
              <w:ind w:left="1891"/>
              <w:rPr>
                <w:rFonts w:ascii="仿宋" w:hAnsi="仿宋" w:eastAsia="仿宋" w:cs="仿宋"/>
                <w:b/>
                <w:bCs/>
                <w:sz w:val="28"/>
                <w:szCs w:val="28"/>
              </w:rPr>
            </w:pPr>
            <w:r>
              <w:rPr>
                <w:rFonts w:ascii="仿宋" w:hAnsi="仿宋" w:eastAsia="仿宋"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74" w:type="dxa"/>
            <w:noWrap w:val="0"/>
            <w:vAlign w:val="center"/>
          </w:tcPr>
          <w:p>
            <w:pPr>
              <w:adjustRightInd w:val="0"/>
              <w:snapToGrid w:val="0"/>
              <w:spacing w:line="280" w:lineRule="exact"/>
              <w:ind w:left="510"/>
              <w:rPr>
                <w:rFonts w:hint="eastAsia" w:ascii="仿宋_GB2312" w:hAnsi="仿宋" w:eastAsia="仿宋_GB2312" w:cs="仿宋"/>
                <w:b/>
                <w:bCs/>
                <w:sz w:val="24"/>
              </w:rPr>
            </w:pPr>
            <w:r>
              <w:rPr>
                <w:rFonts w:hint="eastAsia" w:ascii="仿宋_GB2312" w:hAnsi="仿宋" w:eastAsia="仿宋_GB2312" w:cs="仿宋"/>
                <w:b/>
                <w:bCs/>
                <w:spacing w:val="2"/>
                <w:sz w:val="24"/>
              </w:rPr>
              <w:t>要</w:t>
            </w:r>
            <w:r>
              <w:rPr>
                <w:rFonts w:hint="eastAsia" w:ascii="仿宋_GB2312" w:hAnsi="仿宋" w:eastAsia="仿宋_GB2312" w:cs="仿宋"/>
                <w:b/>
                <w:bCs/>
                <w:spacing w:val="1"/>
                <w:sz w:val="24"/>
              </w:rPr>
              <w:t>素</w:t>
            </w:r>
          </w:p>
        </w:tc>
        <w:tc>
          <w:tcPr>
            <w:tcW w:w="1903" w:type="dxa"/>
            <w:noWrap w:val="0"/>
            <w:vAlign w:val="center"/>
          </w:tcPr>
          <w:p>
            <w:pPr>
              <w:adjustRightInd w:val="0"/>
              <w:snapToGrid w:val="0"/>
              <w:spacing w:line="280" w:lineRule="exact"/>
              <w:jc w:val="center"/>
              <w:rPr>
                <w:rFonts w:hint="eastAsia" w:ascii="仿宋_GB2312" w:hAnsi="仿宋" w:eastAsia="仿宋_GB2312" w:cs="仿宋"/>
                <w:b/>
                <w:bCs/>
                <w:sz w:val="22"/>
                <w:szCs w:val="22"/>
              </w:rPr>
            </w:pPr>
            <w:r>
              <w:rPr>
                <w:rFonts w:hint="eastAsia" w:ascii="仿宋_GB2312" w:hAnsi="仿宋" w:eastAsia="仿宋_GB2312" w:cs="仿宋"/>
                <w:b/>
                <w:bCs/>
                <w:spacing w:val="7"/>
                <w:sz w:val="22"/>
                <w:szCs w:val="22"/>
              </w:rPr>
              <w:t>具</w:t>
            </w:r>
            <w:r>
              <w:rPr>
                <w:rFonts w:hint="eastAsia" w:ascii="仿宋_GB2312" w:hAnsi="仿宋" w:eastAsia="仿宋_GB2312" w:cs="仿宋"/>
                <w:b/>
                <w:bCs/>
                <w:spacing w:val="6"/>
                <w:sz w:val="22"/>
                <w:szCs w:val="22"/>
              </w:rPr>
              <w:t>体条件</w:t>
            </w:r>
          </w:p>
        </w:tc>
        <w:tc>
          <w:tcPr>
            <w:tcW w:w="708" w:type="dxa"/>
            <w:noWrap w:val="0"/>
            <w:vAlign w:val="center"/>
          </w:tcPr>
          <w:p>
            <w:pPr>
              <w:adjustRightInd w:val="0"/>
              <w:snapToGrid w:val="0"/>
              <w:spacing w:line="280" w:lineRule="exact"/>
              <w:jc w:val="center"/>
              <w:rPr>
                <w:rFonts w:hint="eastAsia" w:ascii="仿宋_GB2312" w:hAnsi="仿宋" w:eastAsia="仿宋_GB2312" w:cs="仿宋"/>
                <w:b/>
                <w:bCs/>
                <w:spacing w:val="-14"/>
                <w:sz w:val="22"/>
                <w:szCs w:val="22"/>
              </w:rPr>
            </w:pPr>
            <w:r>
              <w:rPr>
                <w:rFonts w:hint="eastAsia" w:ascii="仿宋_GB2312" w:hAnsi="仿宋" w:eastAsia="仿宋_GB2312" w:cs="仿宋"/>
                <w:b/>
                <w:bCs/>
                <w:spacing w:val="-14"/>
                <w:sz w:val="22"/>
                <w:szCs w:val="22"/>
              </w:rPr>
              <w:t>构成</w:t>
            </w:r>
          </w:p>
          <w:p>
            <w:pPr>
              <w:adjustRightInd w:val="0"/>
              <w:snapToGrid w:val="0"/>
              <w:spacing w:line="280" w:lineRule="exact"/>
              <w:jc w:val="center"/>
              <w:rPr>
                <w:rFonts w:hint="eastAsia" w:ascii="仿宋_GB2312" w:hAnsi="仿宋" w:eastAsia="仿宋_GB2312" w:cs="仿宋"/>
                <w:b/>
                <w:bCs/>
                <w:sz w:val="22"/>
                <w:szCs w:val="22"/>
              </w:rPr>
            </w:pPr>
            <w:r>
              <w:rPr>
                <w:rFonts w:hint="eastAsia" w:ascii="仿宋_GB2312" w:hAnsi="仿宋" w:eastAsia="仿宋_GB2312" w:cs="仿宋"/>
                <w:b/>
                <w:bCs/>
                <w:spacing w:val="-14"/>
                <w:sz w:val="22"/>
                <w:szCs w:val="22"/>
              </w:rPr>
              <w:t>比</w:t>
            </w:r>
            <w:r>
              <w:rPr>
                <w:rFonts w:hint="eastAsia" w:ascii="仿宋_GB2312" w:hAnsi="仿宋" w:eastAsia="仿宋_GB2312" w:cs="仿宋"/>
                <w:b/>
                <w:bCs/>
                <w:spacing w:val="-12"/>
                <w:sz w:val="22"/>
                <w:szCs w:val="22"/>
              </w:rPr>
              <w:t>例</w:t>
            </w:r>
          </w:p>
        </w:tc>
        <w:tc>
          <w:tcPr>
            <w:tcW w:w="3845" w:type="dxa"/>
            <w:gridSpan w:val="2"/>
            <w:noWrap w:val="0"/>
            <w:vAlign w:val="center"/>
          </w:tcPr>
          <w:p>
            <w:pPr>
              <w:adjustRightInd w:val="0"/>
              <w:snapToGrid w:val="0"/>
              <w:spacing w:line="280" w:lineRule="exact"/>
              <w:ind w:left="16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程</w:t>
            </w:r>
            <w:r>
              <w:rPr>
                <w:rFonts w:hint="eastAsia" w:ascii="仿宋_GB2312" w:hAnsi="仿宋" w:eastAsia="仿宋_GB2312" w:cs="仿宋"/>
                <w:b/>
                <w:bCs/>
                <w:spacing w:val="3"/>
                <w:sz w:val="22"/>
                <w:szCs w:val="22"/>
              </w:rPr>
              <w:t>度</w:t>
            </w:r>
          </w:p>
        </w:tc>
        <w:tc>
          <w:tcPr>
            <w:tcW w:w="1207" w:type="dxa"/>
            <w:gridSpan w:val="2"/>
            <w:noWrap w:val="0"/>
            <w:vAlign w:val="center"/>
          </w:tcPr>
          <w:p>
            <w:pPr>
              <w:adjustRightInd w:val="0"/>
              <w:snapToGrid w:val="0"/>
              <w:spacing w:line="280" w:lineRule="exact"/>
              <w:ind w:left="224"/>
              <w:rPr>
                <w:rFonts w:hint="eastAsia" w:ascii="仿宋_GB2312" w:hAnsi="仿宋" w:eastAsia="仿宋_GB2312" w:cs="仿宋"/>
                <w:b/>
                <w:bCs/>
                <w:sz w:val="22"/>
                <w:szCs w:val="22"/>
              </w:rPr>
            </w:pPr>
            <w:r>
              <w:rPr>
                <w:rFonts w:hint="eastAsia" w:ascii="仿宋_GB2312" w:hAnsi="仿宋" w:eastAsia="仿宋_GB2312" w:cs="仿宋"/>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474"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对环境影响</w:t>
            </w:r>
          </w:p>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z w:val="24"/>
              </w:rPr>
            </w:pPr>
            <w:r>
              <w:rPr>
                <w:rFonts w:hint="eastAsia" w:ascii="仿宋_GB2312" w:hAnsi="仿宋" w:eastAsia="仿宋_GB2312" w:cs="仿宋"/>
                <w:spacing w:val="8"/>
                <w:sz w:val="24"/>
              </w:rPr>
              <w:t>违法行为类</w:t>
            </w:r>
            <w:r>
              <w:rPr>
                <w:rFonts w:hint="eastAsia" w:ascii="仿宋_GB2312" w:hAnsi="仿宋" w:eastAsia="仿宋_GB2312" w:cs="仿宋"/>
                <w:spacing w:val="7"/>
                <w:sz w:val="24"/>
              </w:rPr>
              <w:t>型</w:t>
            </w:r>
          </w:p>
        </w:tc>
        <w:tc>
          <w:tcPr>
            <w:tcW w:w="708" w:type="dxa"/>
            <w:vMerge w:val="restart"/>
            <w:tcBorders>
              <w:bottom w:val="nil"/>
            </w:tcBorders>
            <w:noWrap w:val="0"/>
            <w:vAlign w:val="center"/>
          </w:tcPr>
          <w:p>
            <w:pPr>
              <w:jc w:val="center"/>
              <w:rPr>
                <w:rFonts w:hint="eastAsia" w:ascii="仿宋_GB2312" w:hAnsi="仿宋" w:eastAsia="仿宋_GB2312" w:cs="仿宋"/>
                <w:sz w:val="24"/>
              </w:rPr>
            </w:pPr>
            <w:r>
              <w:rPr>
                <w:rFonts w:hint="eastAsia" w:ascii="仿宋_GB2312" w:hAnsi="仿宋_GB2312" w:eastAsia="仿宋_GB2312" w:cs="仿宋_GB2312"/>
                <w:color w:val="000000"/>
                <w:sz w:val="24"/>
                <w:shd w:val="clear" w:color="auto" w:fill="FFFFFF"/>
              </w:rPr>
              <w:t>40%</w:t>
            </w:r>
          </w:p>
        </w:tc>
        <w:tc>
          <w:tcPr>
            <w:tcW w:w="3845" w:type="dxa"/>
            <w:gridSpan w:val="2"/>
            <w:noWrap w:val="0"/>
            <w:vAlign w:val="center"/>
          </w:tcPr>
          <w:p>
            <w:pPr>
              <w:adjustRightInd w:val="0"/>
              <w:snapToGrid w:val="0"/>
              <w:spacing w:line="280" w:lineRule="exact"/>
              <w:ind w:right="104"/>
              <w:rPr>
                <w:rFonts w:hint="eastAsia" w:ascii="仿宋_GB2312" w:hAnsi="仿宋" w:eastAsia="仿宋_GB2312" w:cs="仿宋"/>
                <w:sz w:val="24"/>
                <w:lang w:eastAsia="zh-Hans"/>
              </w:rPr>
            </w:pPr>
            <w:r>
              <w:rPr>
                <w:rFonts w:hint="eastAsia" w:ascii="仿宋_GB2312" w:hAnsi="仿宋" w:eastAsia="仿宋_GB2312" w:cs="仿宋"/>
                <w:sz w:val="24"/>
              </w:rPr>
              <w:t>破坏、擅自改变、移动保护区护栏围挡等隔离设施、地理界标和警示标志的，</w:t>
            </w:r>
            <w:r>
              <w:rPr>
                <w:rFonts w:hint="eastAsia" w:ascii="仿宋_GB2312" w:hAnsi="仿宋" w:eastAsia="仿宋_GB2312" w:cs="仿宋"/>
                <w:sz w:val="24"/>
                <w:lang w:eastAsia="zh-Hans"/>
              </w:rPr>
              <w:t>对隔离、标识、警示作用发挥影响较小的</w:t>
            </w:r>
          </w:p>
        </w:tc>
        <w:tc>
          <w:tcPr>
            <w:tcW w:w="1207" w:type="dxa"/>
            <w:gridSpan w:val="2"/>
            <w:noWrap w:val="0"/>
            <w:vAlign w:val="center"/>
          </w:tcPr>
          <w:p>
            <w:pPr>
              <w:adjustRightInd w:val="0"/>
              <w:snapToGrid w:val="0"/>
              <w:spacing w:line="280" w:lineRule="exact"/>
              <w:ind w:firstLine="240" w:firstLineChars="100"/>
              <w:rPr>
                <w:rFonts w:hint="eastAsia" w:ascii="仿宋_GB2312" w:hAnsi="仿宋" w:eastAsia="仿宋_GB2312" w:cs="仿宋"/>
                <w:sz w:val="24"/>
              </w:rPr>
            </w:pPr>
            <w:r>
              <w:rPr>
                <w:rFonts w:hint="eastAsia" w:ascii="仿宋_GB2312" w:hAnsi="仿宋" w:eastAsia="仿宋_GB2312" w:cs="仿宋"/>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1474"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3845" w:type="dxa"/>
            <w:gridSpan w:val="2"/>
            <w:noWrap w:val="0"/>
            <w:vAlign w:val="center"/>
          </w:tcPr>
          <w:p>
            <w:pPr>
              <w:adjustRightInd w:val="0"/>
              <w:snapToGrid w:val="0"/>
              <w:spacing w:line="280" w:lineRule="exact"/>
              <w:ind w:right="104"/>
              <w:rPr>
                <w:rFonts w:hint="eastAsia" w:ascii="仿宋_GB2312" w:hAnsi="仿宋" w:eastAsia="仿宋_GB2312" w:cs="仿宋"/>
                <w:sz w:val="24"/>
              </w:rPr>
            </w:pPr>
            <w:r>
              <w:rPr>
                <w:rFonts w:hint="eastAsia" w:ascii="仿宋_GB2312" w:hAnsi="仿宋" w:eastAsia="仿宋_GB2312" w:cs="仿宋"/>
                <w:sz w:val="24"/>
              </w:rPr>
              <w:t>破坏、擅自改变、移动保护区护栏围挡等隔离设施、地理界标和警示标志的，</w:t>
            </w:r>
            <w:r>
              <w:rPr>
                <w:rFonts w:hint="eastAsia" w:ascii="仿宋_GB2312" w:hAnsi="仿宋" w:eastAsia="仿宋_GB2312" w:cs="仿宋"/>
                <w:sz w:val="24"/>
                <w:lang w:eastAsia="zh-Hans"/>
              </w:rPr>
              <w:t>对隔离、标识、警示作用发挥影响较大的</w:t>
            </w:r>
          </w:p>
        </w:tc>
        <w:tc>
          <w:tcPr>
            <w:tcW w:w="1207" w:type="dxa"/>
            <w:gridSpan w:val="2"/>
            <w:noWrap w:val="0"/>
            <w:vAlign w:val="center"/>
          </w:tcPr>
          <w:p>
            <w:pPr>
              <w:adjustRightInd w:val="0"/>
              <w:snapToGrid w:val="0"/>
              <w:spacing w:line="280" w:lineRule="exact"/>
              <w:ind w:firstLine="240" w:firstLineChars="100"/>
              <w:rPr>
                <w:rFonts w:hint="eastAsia" w:ascii="仿宋_GB2312" w:hAnsi="仿宋" w:eastAsia="仿宋_GB2312" w:cs="仿宋"/>
                <w:sz w:val="24"/>
              </w:rPr>
            </w:pPr>
            <w:r>
              <w:rPr>
                <w:rFonts w:hint="eastAsia" w:ascii="仿宋_GB2312" w:hAnsi="仿宋" w:eastAsia="仿宋_GB2312" w:cs="仿宋"/>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违法频次</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z w:val="24"/>
              </w:rPr>
            </w:pPr>
            <w:r>
              <w:rPr>
                <w:rFonts w:hint="eastAsia" w:ascii="仿宋_GB2312" w:hAnsi="仿宋" w:eastAsia="仿宋_GB2312" w:cs="仿宋"/>
                <w:spacing w:val="5"/>
                <w:sz w:val="24"/>
              </w:rPr>
              <w:t>一年内违法</w:t>
            </w:r>
            <w:r>
              <w:rPr>
                <w:rFonts w:hint="eastAsia" w:ascii="仿宋_GB2312" w:hAnsi="仿宋" w:eastAsia="仿宋_GB2312" w:cs="仿宋"/>
                <w:spacing w:val="2"/>
                <w:sz w:val="24"/>
              </w:rPr>
              <w:t>次</w:t>
            </w:r>
            <w:r>
              <w:rPr>
                <w:rFonts w:hint="eastAsia" w:ascii="仿宋_GB2312" w:hAnsi="仿宋" w:eastAsia="仿宋_GB2312" w:cs="仿宋"/>
                <w:spacing w:val="1"/>
                <w:sz w:val="24"/>
              </w:rPr>
              <w:t>数</w:t>
            </w:r>
          </w:p>
        </w:tc>
        <w:tc>
          <w:tcPr>
            <w:tcW w:w="708" w:type="dxa"/>
            <w:vMerge w:val="restart"/>
            <w:tcBorders>
              <w:bottom w:val="nil"/>
            </w:tcBorders>
            <w:noWrap w:val="0"/>
            <w:vAlign w:val="center"/>
          </w:tcPr>
          <w:p>
            <w:pPr>
              <w:jc w:val="center"/>
              <w:rPr>
                <w:rFonts w:hint="eastAsia" w:ascii="仿宋_GB2312" w:hAnsi="仿宋" w:eastAsia="仿宋_GB2312" w:cs="仿宋"/>
                <w:sz w:val="24"/>
              </w:rPr>
            </w:pPr>
            <w:r>
              <w:rPr>
                <w:rFonts w:hint="eastAsia" w:ascii="仿宋_GB2312" w:hAnsi="仿宋_GB2312" w:eastAsia="仿宋_GB2312" w:cs="仿宋_GB2312"/>
                <w:color w:val="000000"/>
                <w:sz w:val="24"/>
                <w:shd w:val="clear" w:color="auto" w:fill="FFFFFF"/>
              </w:rPr>
              <w:t>20%</w:t>
            </w:r>
          </w:p>
        </w:tc>
        <w:tc>
          <w:tcPr>
            <w:tcW w:w="3845" w:type="dxa"/>
            <w:gridSpan w:val="2"/>
            <w:noWrap w:val="0"/>
            <w:vAlign w:val="center"/>
          </w:tcPr>
          <w:p>
            <w:pPr>
              <w:adjustRightInd w:val="0"/>
              <w:snapToGrid w:val="0"/>
              <w:spacing w:line="280" w:lineRule="exact"/>
              <w:ind w:left="121"/>
              <w:rPr>
                <w:rFonts w:hint="eastAsia" w:ascii="仿宋_GB2312" w:hAnsi="仿宋" w:eastAsia="仿宋_GB2312" w:cs="仿宋"/>
                <w:sz w:val="24"/>
              </w:rPr>
            </w:pPr>
            <w:r>
              <w:rPr>
                <w:rFonts w:hint="eastAsia" w:ascii="仿宋_GB2312" w:hAnsi="仿宋" w:eastAsia="仿宋_GB2312" w:cs="仿宋"/>
                <w:spacing w:val="9"/>
                <w:sz w:val="24"/>
              </w:rPr>
              <w:t>首</w:t>
            </w:r>
            <w:r>
              <w:rPr>
                <w:rFonts w:hint="eastAsia" w:ascii="仿宋_GB2312" w:hAnsi="仿宋" w:eastAsia="仿宋_GB2312" w:cs="仿宋"/>
                <w:spacing w:val="8"/>
                <w:sz w:val="24"/>
              </w:rPr>
              <w:t>次实施违法行为的</w:t>
            </w:r>
          </w:p>
        </w:tc>
        <w:tc>
          <w:tcPr>
            <w:tcW w:w="1207" w:type="dxa"/>
            <w:gridSpan w:val="2"/>
            <w:noWrap w:val="0"/>
            <w:vAlign w:val="center"/>
          </w:tcPr>
          <w:p>
            <w:pPr>
              <w:adjustRightInd w:val="0"/>
              <w:snapToGrid w:val="0"/>
              <w:spacing w:line="280" w:lineRule="exact"/>
              <w:ind w:left="466"/>
              <w:rPr>
                <w:rFonts w:hint="eastAsia" w:ascii="仿宋_GB2312" w:hAnsi="仿宋" w:eastAsia="仿宋_GB2312" w:cs="仿宋"/>
                <w:sz w:val="24"/>
              </w:rPr>
            </w:pPr>
            <w:r>
              <w:rPr>
                <w:rFonts w:hint="eastAsia" w:ascii="仿宋_GB2312" w:hAnsi="仿宋" w:eastAsia="仿宋_GB2312" w:cs="仿宋"/>
                <w:spacing w:val="-7"/>
                <w:position w:val="1"/>
                <w:sz w:val="24"/>
              </w:rPr>
              <w:t>5</w:t>
            </w:r>
            <w:r>
              <w:rPr>
                <w:rFonts w:hint="eastAsia" w:ascii="仿宋_GB2312" w:hAnsi="仿宋" w:eastAsia="仿宋_GB2312" w:cs="仿宋"/>
                <w:spacing w:val="-5"/>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bottom w:val="nil"/>
            </w:tcBorders>
            <w:noWrap w:val="0"/>
            <w:vAlign w:val="center"/>
          </w:tcPr>
          <w:p>
            <w:pPr>
              <w:adjustRightInd w:val="0"/>
              <w:snapToGrid w:val="0"/>
              <w:spacing w:line="280" w:lineRule="exact"/>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spacing w:line="280" w:lineRule="exact"/>
              <w:jc w:val="center"/>
              <w:rPr>
                <w:rFonts w:hint="eastAsia" w:ascii="仿宋_GB2312" w:eastAsia="仿宋_GB2312"/>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eastAsia="仿宋_GB2312"/>
                <w:sz w:val="24"/>
              </w:rPr>
            </w:pPr>
          </w:p>
        </w:tc>
        <w:tc>
          <w:tcPr>
            <w:tcW w:w="3845" w:type="dxa"/>
            <w:gridSpan w:val="2"/>
            <w:noWrap w:val="0"/>
            <w:vAlign w:val="center"/>
          </w:tcPr>
          <w:p>
            <w:pPr>
              <w:adjustRightInd w:val="0"/>
              <w:snapToGrid w:val="0"/>
              <w:spacing w:line="280" w:lineRule="exact"/>
              <w:ind w:left="119"/>
              <w:rPr>
                <w:rFonts w:hint="eastAsia" w:ascii="仿宋_GB2312" w:hAnsi="仿宋" w:eastAsia="仿宋_GB2312" w:cs="仿宋"/>
                <w:sz w:val="24"/>
              </w:rPr>
            </w:pPr>
            <w:r>
              <w:rPr>
                <w:rFonts w:hint="eastAsia" w:ascii="仿宋_GB2312" w:hAnsi="仿宋" w:eastAsia="仿宋_GB2312" w:cs="仿宋"/>
                <w:spacing w:val="10"/>
                <w:sz w:val="24"/>
              </w:rPr>
              <w:t>再</w:t>
            </w:r>
            <w:r>
              <w:rPr>
                <w:rFonts w:hint="eastAsia" w:ascii="仿宋_GB2312" w:hAnsi="仿宋" w:eastAsia="仿宋_GB2312" w:cs="仿宋"/>
                <w:spacing w:val="8"/>
                <w:sz w:val="24"/>
              </w:rPr>
              <w:t>次实施违法行为的</w:t>
            </w:r>
          </w:p>
        </w:tc>
        <w:tc>
          <w:tcPr>
            <w:tcW w:w="1207" w:type="dxa"/>
            <w:gridSpan w:val="2"/>
            <w:noWrap w:val="0"/>
            <w:vAlign w:val="center"/>
          </w:tcPr>
          <w:p>
            <w:pPr>
              <w:adjustRightInd w:val="0"/>
              <w:snapToGrid w:val="0"/>
              <w:spacing w:line="280" w:lineRule="exact"/>
              <w:ind w:left="409"/>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bottom w:val="nil"/>
            </w:tcBorders>
            <w:noWrap w:val="0"/>
            <w:vAlign w:val="center"/>
          </w:tcPr>
          <w:p>
            <w:pPr>
              <w:adjustRightInd w:val="0"/>
              <w:snapToGrid w:val="0"/>
              <w:spacing w:line="280" w:lineRule="exact"/>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spacing w:line="280" w:lineRule="exact"/>
              <w:jc w:val="center"/>
              <w:rPr>
                <w:rFonts w:hint="eastAsia" w:ascii="仿宋_GB2312" w:eastAsia="仿宋_GB2312"/>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eastAsia="仿宋_GB2312"/>
                <w:sz w:val="24"/>
              </w:rPr>
            </w:pPr>
          </w:p>
        </w:tc>
        <w:tc>
          <w:tcPr>
            <w:tcW w:w="3845" w:type="dxa"/>
            <w:gridSpan w:val="2"/>
            <w:noWrap w:val="0"/>
            <w:vAlign w:val="center"/>
          </w:tcPr>
          <w:p>
            <w:pPr>
              <w:adjustRightInd w:val="0"/>
              <w:snapToGrid w:val="0"/>
              <w:spacing w:line="280" w:lineRule="exact"/>
              <w:ind w:left="126"/>
              <w:rPr>
                <w:rFonts w:hint="eastAsia" w:ascii="仿宋_GB2312" w:hAnsi="仿宋" w:eastAsia="仿宋_GB2312" w:cs="仿宋"/>
                <w:sz w:val="24"/>
              </w:rPr>
            </w:pPr>
            <w:r>
              <w:rPr>
                <w:rFonts w:hint="eastAsia" w:ascii="仿宋_GB2312" w:hAnsi="仿宋" w:eastAsia="仿宋_GB2312" w:cs="仿宋"/>
                <w:spacing w:val="8"/>
                <w:sz w:val="24"/>
              </w:rPr>
              <w:t>第三次实施违法行为</w:t>
            </w:r>
            <w:r>
              <w:rPr>
                <w:rFonts w:hint="eastAsia" w:ascii="仿宋_GB2312" w:hAnsi="仿宋" w:eastAsia="仿宋_GB2312" w:cs="仿宋"/>
                <w:spacing w:val="6"/>
                <w:sz w:val="24"/>
              </w:rPr>
              <w:t>的</w:t>
            </w:r>
          </w:p>
        </w:tc>
        <w:tc>
          <w:tcPr>
            <w:tcW w:w="1207" w:type="dxa"/>
            <w:gridSpan w:val="2"/>
            <w:noWrap w:val="0"/>
            <w:vAlign w:val="center"/>
          </w:tcPr>
          <w:p>
            <w:pPr>
              <w:adjustRightInd w:val="0"/>
              <w:snapToGrid w:val="0"/>
              <w:spacing w:line="280" w:lineRule="exact"/>
              <w:ind w:left="409"/>
              <w:rPr>
                <w:rFonts w:hint="eastAsia" w:ascii="仿宋_GB2312" w:hAnsi="仿宋" w:eastAsia="仿宋_GB2312" w:cs="仿宋"/>
                <w:sz w:val="24"/>
              </w:rPr>
            </w:pPr>
            <w:r>
              <w:rPr>
                <w:rFonts w:hint="eastAsia" w:ascii="仿宋_GB2312" w:hAnsi="仿宋" w:eastAsia="仿宋_GB2312" w:cs="仿宋"/>
                <w:spacing w:val="-4"/>
                <w:position w:val="1"/>
                <w:sz w:val="24"/>
              </w:rPr>
              <w:t>1</w:t>
            </w:r>
            <w:r>
              <w:rPr>
                <w:rFonts w:hint="eastAsia" w:ascii="仿宋_GB2312" w:hAnsi="仿宋" w:eastAsia="仿宋_GB2312" w:cs="仿宋"/>
                <w:spacing w:val="-3"/>
                <w:position w:val="1"/>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4"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3845" w:type="dxa"/>
            <w:gridSpan w:val="2"/>
            <w:noWrap w:val="0"/>
            <w:vAlign w:val="center"/>
          </w:tcPr>
          <w:p>
            <w:pPr>
              <w:adjustRightInd w:val="0"/>
              <w:snapToGrid w:val="0"/>
              <w:spacing w:line="280" w:lineRule="exact"/>
              <w:ind w:left="131"/>
              <w:rPr>
                <w:rFonts w:hint="eastAsia" w:ascii="仿宋_GB2312" w:hAnsi="仿宋" w:eastAsia="仿宋_GB2312" w:cs="仿宋"/>
                <w:sz w:val="24"/>
              </w:rPr>
            </w:pPr>
            <w:r>
              <w:rPr>
                <w:rFonts w:hint="eastAsia" w:ascii="仿宋_GB2312" w:hAnsi="仿宋" w:eastAsia="仿宋_GB2312" w:cs="仿宋"/>
                <w:spacing w:val="12"/>
                <w:sz w:val="24"/>
              </w:rPr>
              <w:t>三</w:t>
            </w:r>
            <w:r>
              <w:rPr>
                <w:rFonts w:hint="eastAsia" w:ascii="仿宋_GB2312" w:hAnsi="仿宋" w:eastAsia="仿宋_GB2312" w:cs="仿宋"/>
                <w:spacing w:val="7"/>
                <w:sz w:val="24"/>
              </w:rPr>
              <w:t>次以上实施违法行为的</w:t>
            </w:r>
          </w:p>
        </w:tc>
        <w:tc>
          <w:tcPr>
            <w:tcW w:w="1207" w:type="dxa"/>
            <w:gridSpan w:val="2"/>
            <w:noWrap w:val="0"/>
            <w:vAlign w:val="center"/>
          </w:tcPr>
          <w:p>
            <w:pPr>
              <w:adjustRightInd w:val="0"/>
              <w:snapToGrid w:val="0"/>
              <w:spacing w:line="280" w:lineRule="exact"/>
              <w:ind w:left="403"/>
              <w:rPr>
                <w:rFonts w:hint="eastAsia" w:ascii="仿宋_GB2312" w:hAnsi="仿宋" w:eastAsia="仿宋_GB2312" w:cs="仿宋"/>
                <w:sz w:val="24"/>
              </w:rPr>
            </w:pPr>
            <w:r>
              <w:rPr>
                <w:rFonts w:hint="eastAsia" w:ascii="仿宋_GB2312" w:hAnsi="仿宋" w:eastAsia="仿宋_GB2312" w:cs="仿宋"/>
                <w:spacing w:val="-2"/>
                <w:position w:val="1"/>
                <w:sz w:val="24"/>
              </w:rPr>
              <w:t>2</w:t>
            </w:r>
            <w:r>
              <w:rPr>
                <w:rFonts w:hint="eastAsia" w:ascii="仿宋_GB2312" w:hAnsi="仿宋" w:eastAsia="仿宋_GB2312" w:cs="仿宋"/>
                <w:spacing w:val="-1"/>
                <w:position w:val="1"/>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整改情况</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z w:val="24"/>
              </w:rPr>
            </w:pPr>
            <w:r>
              <w:rPr>
                <w:rFonts w:hint="eastAsia" w:ascii="仿宋_GB2312" w:hAnsi="仿宋" w:eastAsia="仿宋_GB2312" w:cs="仿宋"/>
                <w:spacing w:val="9"/>
                <w:sz w:val="24"/>
              </w:rPr>
              <w:t>是否完成整改</w:t>
            </w:r>
          </w:p>
        </w:tc>
        <w:tc>
          <w:tcPr>
            <w:tcW w:w="708" w:type="dxa"/>
            <w:vMerge w:val="restart"/>
            <w:tcBorders>
              <w:bottom w:val="nil"/>
            </w:tcBorders>
            <w:noWrap w:val="0"/>
            <w:vAlign w:val="center"/>
          </w:tcPr>
          <w:p>
            <w:pPr>
              <w:jc w:val="center"/>
              <w:rPr>
                <w:rFonts w:hint="eastAsia" w:ascii="仿宋_GB2312" w:hAnsi="仿宋" w:eastAsia="仿宋_GB2312" w:cs="仿宋"/>
                <w:sz w:val="24"/>
              </w:rPr>
            </w:pPr>
            <w:r>
              <w:rPr>
                <w:rFonts w:hint="eastAsia" w:ascii="仿宋_GB2312" w:hAnsi="仿宋_GB2312" w:eastAsia="仿宋_GB2312" w:cs="仿宋_GB2312"/>
                <w:color w:val="000000"/>
                <w:sz w:val="24"/>
                <w:shd w:val="clear" w:color="auto" w:fill="FFFFFF"/>
              </w:rPr>
              <w:t>10%</w:t>
            </w:r>
          </w:p>
        </w:tc>
        <w:tc>
          <w:tcPr>
            <w:tcW w:w="3845" w:type="dxa"/>
            <w:gridSpan w:val="2"/>
            <w:noWrap w:val="0"/>
            <w:vAlign w:val="center"/>
          </w:tcPr>
          <w:p>
            <w:pPr>
              <w:adjustRightInd w:val="0"/>
              <w:snapToGrid w:val="0"/>
              <w:spacing w:line="280" w:lineRule="exact"/>
              <w:ind w:left="113"/>
              <w:rPr>
                <w:rFonts w:hint="eastAsia" w:ascii="仿宋_GB2312" w:hAnsi="仿宋" w:eastAsia="仿宋_GB2312" w:cs="仿宋"/>
                <w:sz w:val="24"/>
              </w:rPr>
            </w:pPr>
            <w:r>
              <w:rPr>
                <w:rFonts w:hint="eastAsia" w:ascii="仿宋_GB2312" w:hAnsi="仿宋" w:eastAsia="仿宋_GB2312" w:cs="仿宋"/>
                <w:spacing w:val="12"/>
                <w:sz w:val="24"/>
              </w:rPr>
              <w:t>全</w:t>
            </w:r>
            <w:r>
              <w:rPr>
                <w:rFonts w:hint="eastAsia" w:ascii="仿宋_GB2312" w:hAnsi="仿宋" w:eastAsia="仿宋_GB2312" w:cs="仿宋"/>
                <w:spacing w:val="9"/>
                <w:sz w:val="24"/>
              </w:rPr>
              <w:t>面整改并停止违法行为的</w:t>
            </w:r>
          </w:p>
        </w:tc>
        <w:tc>
          <w:tcPr>
            <w:tcW w:w="1207" w:type="dxa"/>
            <w:gridSpan w:val="2"/>
            <w:noWrap w:val="0"/>
            <w:vAlign w:val="center"/>
          </w:tcPr>
          <w:p>
            <w:pPr>
              <w:adjustRightInd w:val="0"/>
              <w:snapToGrid w:val="0"/>
              <w:spacing w:line="280" w:lineRule="exact"/>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bottom w:val="nil"/>
            </w:tcBorders>
            <w:noWrap w:val="0"/>
            <w:vAlign w:val="center"/>
          </w:tcPr>
          <w:p>
            <w:pPr>
              <w:adjustRightInd w:val="0"/>
              <w:snapToGrid w:val="0"/>
              <w:spacing w:line="280" w:lineRule="exact"/>
              <w:jc w:val="center"/>
              <w:rPr>
                <w:rFonts w:hint="eastAsia" w:ascii="仿宋_GB2312" w:hAnsi="仿宋" w:eastAsia="仿宋_GB2312"/>
                <w:b/>
                <w:bCs/>
                <w:sz w:val="24"/>
              </w:rPr>
            </w:pPr>
          </w:p>
        </w:tc>
        <w:tc>
          <w:tcPr>
            <w:tcW w:w="1903" w:type="dxa"/>
            <w:vMerge w:val="continue"/>
            <w:tcBorders>
              <w:top w:val="nil"/>
              <w:bottom w:val="nil"/>
            </w:tcBorders>
            <w:noWrap w:val="0"/>
            <w:vAlign w:val="center"/>
          </w:tcPr>
          <w:p>
            <w:pPr>
              <w:adjustRightInd w:val="0"/>
              <w:snapToGrid w:val="0"/>
              <w:spacing w:line="280" w:lineRule="exact"/>
              <w:jc w:val="center"/>
              <w:rPr>
                <w:rFonts w:hint="eastAsia" w:ascii="仿宋_GB2312" w:eastAsia="仿宋_GB2312"/>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eastAsia="仿宋_GB2312"/>
                <w:sz w:val="24"/>
              </w:rPr>
            </w:pPr>
          </w:p>
        </w:tc>
        <w:tc>
          <w:tcPr>
            <w:tcW w:w="3845" w:type="dxa"/>
            <w:gridSpan w:val="2"/>
            <w:noWrap w:val="0"/>
            <w:vAlign w:val="center"/>
          </w:tcPr>
          <w:p>
            <w:pPr>
              <w:adjustRightInd w:val="0"/>
              <w:snapToGrid w:val="0"/>
              <w:spacing w:line="280" w:lineRule="exact"/>
              <w:ind w:left="121"/>
              <w:rPr>
                <w:rFonts w:hint="eastAsia" w:ascii="仿宋_GB2312" w:hAnsi="仿宋" w:eastAsia="仿宋_GB2312" w:cs="仿宋"/>
                <w:sz w:val="24"/>
              </w:rPr>
            </w:pPr>
            <w:r>
              <w:rPr>
                <w:rFonts w:hint="eastAsia" w:ascii="仿宋_GB2312" w:hAnsi="仿宋" w:eastAsia="仿宋_GB2312" w:cs="仿宋"/>
                <w:spacing w:val="9"/>
                <w:sz w:val="24"/>
              </w:rPr>
              <w:t>正在整改但违法行为未完全消除</w:t>
            </w:r>
            <w:r>
              <w:rPr>
                <w:rFonts w:hint="eastAsia" w:ascii="仿宋_GB2312" w:hAnsi="仿宋" w:eastAsia="仿宋_GB2312" w:cs="仿宋"/>
                <w:spacing w:val="7"/>
                <w:sz w:val="24"/>
              </w:rPr>
              <w:t>的</w:t>
            </w:r>
          </w:p>
        </w:tc>
        <w:tc>
          <w:tcPr>
            <w:tcW w:w="1207" w:type="dxa"/>
            <w:gridSpan w:val="2"/>
            <w:noWrap w:val="0"/>
            <w:vAlign w:val="center"/>
          </w:tcPr>
          <w:p>
            <w:pPr>
              <w:adjustRightInd w:val="0"/>
              <w:snapToGrid w:val="0"/>
              <w:spacing w:line="280" w:lineRule="exact"/>
              <w:ind w:left="289"/>
              <w:rPr>
                <w:rFonts w:hint="eastAsia" w:ascii="仿宋_GB2312" w:hAnsi="仿宋" w:eastAsia="仿宋_GB2312" w:cs="仿宋"/>
                <w:sz w:val="24"/>
              </w:rPr>
            </w:pPr>
            <w:r>
              <w:rPr>
                <w:rFonts w:hint="eastAsia" w:ascii="仿宋_GB2312" w:hAnsi="仿宋" w:eastAsia="仿宋_GB2312" w:cs="仿宋"/>
                <w:position w:val="1"/>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3845" w:type="dxa"/>
            <w:gridSpan w:val="2"/>
            <w:noWrap w:val="0"/>
            <w:vAlign w:val="center"/>
          </w:tcPr>
          <w:p>
            <w:pPr>
              <w:adjustRightInd w:val="0"/>
              <w:snapToGrid w:val="0"/>
              <w:spacing w:line="280" w:lineRule="exact"/>
              <w:ind w:left="125"/>
              <w:rPr>
                <w:rFonts w:hint="eastAsia" w:ascii="仿宋_GB2312" w:hAnsi="仿宋" w:eastAsia="仿宋_GB2312" w:cs="仿宋"/>
                <w:sz w:val="24"/>
              </w:rPr>
            </w:pPr>
            <w:r>
              <w:rPr>
                <w:rFonts w:hint="eastAsia" w:ascii="仿宋_GB2312" w:hAnsi="仿宋" w:eastAsia="仿宋_GB2312" w:cs="仿宋"/>
                <w:spacing w:val="9"/>
                <w:sz w:val="24"/>
              </w:rPr>
              <w:t>复</w:t>
            </w:r>
            <w:r>
              <w:rPr>
                <w:rFonts w:hint="eastAsia" w:ascii="仿宋_GB2312" w:hAnsi="仿宋" w:eastAsia="仿宋_GB2312" w:cs="仿宋"/>
                <w:spacing w:val="8"/>
                <w:sz w:val="24"/>
              </w:rPr>
              <w:t>查时未采取整改措施的</w:t>
            </w:r>
          </w:p>
        </w:tc>
        <w:tc>
          <w:tcPr>
            <w:tcW w:w="1207" w:type="dxa"/>
            <w:gridSpan w:val="2"/>
            <w:noWrap w:val="0"/>
            <w:vAlign w:val="center"/>
          </w:tcPr>
          <w:p>
            <w:pPr>
              <w:adjustRightInd w:val="0"/>
              <w:snapToGrid w:val="0"/>
              <w:spacing w:line="280" w:lineRule="exact"/>
              <w:ind w:left="225"/>
              <w:rPr>
                <w:rFonts w:hint="eastAsia" w:ascii="仿宋_GB2312" w:hAnsi="仿宋" w:eastAsia="仿宋_GB2312" w:cs="仿宋"/>
                <w:sz w:val="24"/>
              </w:rPr>
            </w:pPr>
            <w:r>
              <w:rPr>
                <w:rFonts w:hint="eastAsia" w:ascii="仿宋_GB2312" w:hAnsi="仿宋" w:eastAsia="仿宋_GB2312" w:cs="仿宋"/>
                <w:spacing w:val="2"/>
                <w:position w:val="1"/>
                <w:sz w:val="24"/>
              </w:rPr>
              <w:t>6%-</w:t>
            </w:r>
            <w:r>
              <w:rPr>
                <w:rFonts w:hint="eastAsia" w:ascii="仿宋_GB2312" w:hAnsi="仿宋" w:eastAsia="仿宋_GB2312" w:cs="仿宋"/>
                <w:spacing w:val="1"/>
                <w:position w:val="1"/>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配合调查</w:t>
            </w:r>
          </w:p>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取证情况</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z w:val="24"/>
              </w:rPr>
            </w:pPr>
            <w:r>
              <w:rPr>
                <w:rFonts w:hint="eastAsia" w:ascii="仿宋_GB2312" w:hAnsi="仿宋" w:eastAsia="仿宋_GB2312" w:cs="仿宋"/>
                <w:spacing w:val="9"/>
                <w:sz w:val="24"/>
              </w:rPr>
              <w:t>是否配合执法</w:t>
            </w:r>
            <w:r>
              <w:rPr>
                <w:rFonts w:hint="eastAsia" w:ascii="仿宋_GB2312" w:hAnsi="仿宋" w:eastAsia="仿宋_GB2312" w:cs="仿宋"/>
                <w:spacing w:val="7"/>
                <w:sz w:val="24"/>
              </w:rPr>
              <w:t>检</w:t>
            </w:r>
            <w:r>
              <w:rPr>
                <w:rFonts w:hint="eastAsia" w:ascii="仿宋_GB2312" w:hAnsi="仿宋" w:eastAsia="仿宋_GB2312" w:cs="仿宋"/>
                <w:spacing w:val="6"/>
                <w:sz w:val="24"/>
              </w:rPr>
              <w:t>查</w:t>
            </w:r>
          </w:p>
        </w:tc>
        <w:tc>
          <w:tcPr>
            <w:tcW w:w="708" w:type="dxa"/>
            <w:vMerge w:val="restart"/>
            <w:tcBorders>
              <w:bottom w:val="nil"/>
            </w:tcBorders>
            <w:noWrap w:val="0"/>
            <w:vAlign w:val="center"/>
          </w:tcPr>
          <w:p>
            <w:pPr>
              <w:jc w:val="center"/>
              <w:rPr>
                <w:rFonts w:hint="eastAsia" w:ascii="仿宋_GB2312" w:hAnsi="仿宋" w:eastAsia="仿宋_GB2312" w:cs="仿宋"/>
                <w:sz w:val="24"/>
              </w:rPr>
            </w:pPr>
            <w:r>
              <w:rPr>
                <w:rFonts w:hint="eastAsia" w:ascii="仿宋_GB2312" w:hAnsi="仿宋_GB2312" w:eastAsia="仿宋_GB2312" w:cs="仿宋_GB2312"/>
                <w:color w:val="000000"/>
                <w:sz w:val="24"/>
                <w:shd w:val="clear" w:color="auto" w:fill="FFFFFF"/>
              </w:rPr>
              <w:t>10%</w:t>
            </w:r>
          </w:p>
        </w:tc>
        <w:tc>
          <w:tcPr>
            <w:tcW w:w="3845" w:type="dxa"/>
            <w:gridSpan w:val="2"/>
            <w:noWrap w:val="0"/>
            <w:vAlign w:val="center"/>
          </w:tcPr>
          <w:p>
            <w:pPr>
              <w:adjustRightInd w:val="0"/>
              <w:snapToGrid w:val="0"/>
              <w:spacing w:line="280" w:lineRule="exact"/>
              <w:ind w:left="118"/>
              <w:rPr>
                <w:rFonts w:hint="eastAsia" w:ascii="仿宋_GB2312" w:hAnsi="仿宋" w:eastAsia="仿宋_GB2312" w:cs="仿宋"/>
                <w:sz w:val="24"/>
              </w:rPr>
            </w:pPr>
            <w:r>
              <w:rPr>
                <w:rFonts w:hint="eastAsia" w:ascii="仿宋_GB2312" w:hAnsi="仿宋" w:eastAsia="仿宋_GB2312" w:cs="仿宋"/>
                <w:spacing w:val="10"/>
                <w:sz w:val="24"/>
              </w:rPr>
              <w:t>不</w:t>
            </w:r>
            <w:r>
              <w:rPr>
                <w:rFonts w:hint="eastAsia" w:ascii="仿宋_GB2312" w:hAnsi="仿宋" w:eastAsia="仿宋_GB2312" w:cs="仿宋"/>
                <w:spacing w:val="7"/>
                <w:sz w:val="24"/>
              </w:rPr>
              <w:t>配合检查的</w:t>
            </w:r>
          </w:p>
        </w:tc>
        <w:tc>
          <w:tcPr>
            <w:tcW w:w="1207" w:type="dxa"/>
            <w:gridSpan w:val="2"/>
            <w:noWrap w:val="0"/>
            <w:vAlign w:val="center"/>
          </w:tcPr>
          <w:p>
            <w:pPr>
              <w:adjustRightInd w:val="0"/>
              <w:snapToGrid w:val="0"/>
              <w:spacing w:line="280" w:lineRule="exact"/>
              <w:ind w:left="229"/>
              <w:rPr>
                <w:rFonts w:hint="eastAsia" w:ascii="仿宋_GB2312" w:hAnsi="仿宋" w:eastAsia="仿宋_GB2312" w:cs="仿宋"/>
                <w:sz w:val="24"/>
              </w:rPr>
            </w:pPr>
            <w:r>
              <w:rPr>
                <w:rFonts w:hint="eastAsia" w:ascii="仿宋_GB2312" w:hAnsi="仿宋" w:eastAsia="仿宋_GB2312" w:cs="仿宋"/>
                <w:spacing w:val="1"/>
                <w:position w:val="1"/>
                <w:sz w:val="24"/>
              </w:rPr>
              <w:t>1%-10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eastAsia="仿宋_GB2312"/>
                <w:sz w:val="24"/>
              </w:rPr>
            </w:pPr>
          </w:p>
        </w:tc>
        <w:tc>
          <w:tcPr>
            <w:tcW w:w="3845" w:type="dxa"/>
            <w:gridSpan w:val="2"/>
            <w:noWrap w:val="0"/>
            <w:vAlign w:val="center"/>
          </w:tcPr>
          <w:p>
            <w:pPr>
              <w:adjustRightInd w:val="0"/>
              <w:snapToGrid w:val="0"/>
              <w:spacing w:line="280" w:lineRule="exact"/>
              <w:ind w:left="124"/>
              <w:rPr>
                <w:rFonts w:hint="eastAsia" w:ascii="仿宋_GB2312" w:hAnsi="仿宋" w:eastAsia="仿宋_GB2312" w:cs="仿宋"/>
                <w:sz w:val="24"/>
              </w:rPr>
            </w:pPr>
            <w:r>
              <w:rPr>
                <w:rFonts w:hint="eastAsia" w:ascii="仿宋_GB2312" w:hAnsi="仿宋" w:eastAsia="仿宋_GB2312" w:cs="仿宋"/>
                <w:spacing w:val="6"/>
                <w:sz w:val="24"/>
              </w:rPr>
              <w:t>配合检查的</w:t>
            </w:r>
          </w:p>
        </w:tc>
        <w:tc>
          <w:tcPr>
            <w:tcW w:w="1207" w:type="dxa"/>
            <w:gridSpan w:val="2"/>
            <w:noWrap w:val="0"/>
            <w:vAlign w:val="center"/>
          </w:tcPr>
          <w:p>
            <w:pPr>
              <w:adjustRightInd w:val="0"/>
              <w:snapToGrid w:val="0"/>
              <w:spacing w:line="280" w:lineRule="exact"/>
              <w:ind w:left="471"/>
              <w:rPr>
                <w:rFonts w:hint="eastAsia" w:ascii="仿宋_GB2312" w:hAnsi="仿宋" w:eastAsia="仿宋_GB2312" w:cs="仿宋"/>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4"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对社会影响</w:t>
            </w:r>
          </w:p>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或生态破坏</w:t>
            </w:r>
          </w:p>
          <w:p>
            <w:pPr>
              <w:adjustRightInd w:val="0"/>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程度</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z w:val="24"/>
              </w:rPr>
            </w:pPr>
            <w:r>
              <w:rPr>
                <w:rFonts w:hint="eastAsia" w:ascii="仿宋_GB2312" w:hAnsi="仿宋" w:eastAsia="仿宋_GB2312" w:cs="仿宋"/>
                <w:spacing w:val="10"/>
                <w:sz w:val="24"/>
              </w:rPr>
              <w:t>是</w:t>
            </w:r>
            <w:r>
              <w:rPr>
                <w:rFonts w:hint="eastAsia" w:ascii="仿宋_GB2312" w:hAnsi="仿宋" w:eastAsia="仿宋_GB2312" w:cs="仿宋"/>
                <w:spacing w:val="9"/>
                <w:sz w:val="24"/>
              </w:rPr>
              <w:t>否造成社会影</w:t>
            </w:r>
            <w:r>
              <w:rPr>
                <w:rFonts w:hint="eastAsia" w:ascii="仿宋_GB2312" w:hAnsi="仿宋" w:eastAsia="仿宋_GB2312" w:cs="仿宋"/>
                <w:spacing w:val="8"/>
                <w:sz w:val="24"/>
              </w:rPr>
              <w:t>响</w:t>
            </w:r>
            <w:r>
              <w:rPr>
                <w:rFonts w:hint="eastAsia" w:ascii="仿宋_GB2312" w:hAnsi="仿宋" w:eastAsia="仿宋_GB2312" w:cs="仿宋"/>
                <w:spacing w:val="7"/>
                <w:sz w:val="24"/>
              </w:rPr>
              <w:t>或生态破坏</w:t>
            </w:r>
          </w:p>
        </w:tc>
        <w:tc>
          <w:tcPr>
            <w:tcW w:w="708" w:type="dxa"/>
            <w:vMerge w:val="restart"/>
            <w:tcBorders>
              <w:bottom w:val="nil"/>
            </w:tcBorders>
            <w:noWrap w:val="0"/>
            <w:vAlign w:val="center"/>
          </w:tcPr>
          <w:p>
            <w:pPr>
              <w:jc w:val="center"/>
              <w:rPr>
                <w:rFonts w:hint="eastAsia" w:ascii="仿宋_GB2312" w:hAnsi="仿宋" w:eastAsia="仿宋_GB2312" w:cs="仿宋"/>
                <w:sz w:val="24"/>
              </w:rPr>
            </w:pPr>
            <w:r>
              <w:rPr>
                <w:rFonts w:hint="eastAsia" w:ascii="仿宋_GB2312" w:hAnsi="仿宋_GB2312" w:eastAsia="仿宋_GB2312" w:cs="仿宋_GB2312"/>
                <w:color w:val="000000"/>
                <w:sz w:val="24"/>
                <w:shd w:val="clear" w:color="auto" w:fill="FFFFFF"/>
              </w:rPr>
              <w:t>20%</w:t>
            </w:r>
          </w:p>
        </w:tc>
        <w:tc>
          <w:tcPr>
            <w:tcW w:w="3845" w:type="dxa"/>
            <w:gridSpan w:val="2"/>
            <w:noWrap w:val="0"/>
            <w:vAlign w:val="center"/>
          </w:tcPr>
          <w:p>
            <w:pPr>
              <w:adjustRightInd w:val="0"/>
              <w:snapToGrid w:val="0"/>
              <w:spacing w:line="280" w:lineRule="exact"/>
              <w:ind w:left="117"/>
              <w:rPr>
                <w:rFonts w:hint="eastAsia" w:ascii="仿宋_GB2312" w:hAnsi="仿宋" w:eastAsia="仿宋_GB2312" w:cs="仿宋"/>
                <w:sz w:val="24"/>
              </w:rPr>
            </w:pPr>
            <w:r>
              <w:rPr>
                <w:rFonts w:hint="eastAsia" w:ascii="仿宋_GB2312" w:hAnsi="仿宋" w:eastAsia="仿宋_GB2312" w:cs="仿宋"/>
                <w:spacing w:val="9"/>
                <w:sz w:val="24"/>
              </w:rPr>
              <w:t>造成社会影响或生态破坏</w:t>
            </w:r>
            <w:r>
              <w:rPr>
                <w:rFonts w:hint="eastAsia" w:ascii="仿宋_GB2312" w:hAnsi="仿宋" w:eastAsia="仿宋_GB2312" w:cs="仿宋"/>
                <w:spacing w:val="8"/>
                <w:sz w:val="24"/>
              </w:rPr>
              <w:t>的</w:t>
            </w:r>
          </w:p>
        </w:tc>
        <w:tc>
          <w:tcPr>
            <w:tcW w:w="1207" w:type="dxa"/>
            <w:gridSpan w:val="2"/>
            <w:noWrap w:val="0"/>
            <w:vAlign w:val="center"/>
          </w:tcPr>
          <w:p>
            <w:pPr>
              <w:adjustRightInd w:val="0"/>
              <w:snapToGrid w:val="0"/>
              <w:spacing w:line="280" w:lineRule="exact"/>
              <w:ind w:left="229"/>
              <w:rPr>
                <w:rFonts w:hint="eastAsia" w:ascii="仿宋_GB2312" w:hAnsi="仿宋" w:eastAsia="仿宋_GB2312" w:cs="仿宋"/>
                <w:sz w:val="24"/>
              </w:rPr>
            </w:pPr>
            <w:r>
              <w:rPr>
                <w:rFonts w:hint="eastAsia" w:ascii="仿宋_GB2312" w:hAnsi="仿宋" w:eastAsia="仿宋_GB2312" w:cs="仿宋"/>
                <w:spacing w:val="1"/>
                <w:position w:val="1"/>
                <w:sz w:val="24"/>
              </w:rPr>
              <w:t>1%-20</w:t>
            </w:r>
            <w:r>
              <w:rPr>
                <w:rFonts w:hint="eastAsia" w:ascii="仿宋_GB2312" w:hAnsi="仿宋" w:eastAsia="仿宋_GB2312" w:cs="仿宋"/>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74" w:type="dxa"/>
            <w:vMerge w:val="continue"/>
            <w:tcBorders>
              <w:top w:val="nil"/>
            </w:tcBorders>
            <w:noWrap w:val="0"/>
            <w:vAlign w:val="top"/>
          </w:tcPr>
          <w:p>
            <w:pPr>
              <w:adjustRightInd w:val="0"/>
              <w:snapToGrid w:val="0"/>
              <w:spacing w:line="280" w:lineRule="exact"/>
              <w:rPr>
                <w:rFonts w:hint="eastAsia" w:ascii="仿宋_GB2312" w:eastAsia="仿宋_GB2312"/>
                <w:sz w:val="24"/>
              </w:rPr>
            </w:pPr>
          </w:p>
        </w:tc>
        <w:tc>
          <w:tcPr>
            <w:tcW w:w="1903" w:type="dxa"/>
            <w:vMerge w:val="continue"/>
            <w:tcBorders>
              <w:top w:val="nil"/>
            </w:tcBorders>
            <w:noWrap w:val="0"/>
            <w:vAlign w:val="top"/>
          </w:tcPr>
          <w:p>
            <w:pPr>
              <w:adjustRightInd w:val="0"/>
              <w:snapToGrid w:val="0"/>
              <w:spacing w:line="280" w:lineRule="exact"/>
              <w:rPr>
                <w:rFonts w:hint="eastAsia" w:ascii="仿宋_GB2312" w:eastAsia="仿宋_GB2312"/>
                <w:sz w:val="24"/>
              </w:rPr>
            </w:pPr>
          </w:p>
        </w:tc>
        <w:tc>
          <w:tcPr>
            <w:tcW w:w="708" w:type="dxa"/>
            <w:vMerge w:val="continue"/>
            <w:tcBorders>
              <w:top w:val="nil"/>
            </w:tcBorders>
            <w:noWrap w:val="0"/>
            <w:vAlign w:val="top"/>
          </w:tcPr>
          <w:p>
            <w:pPr>
              <w:adjustRightInd w:val="0"/>
              <w:snapToGrid w:val="0"/>
              <w:spacing w:line="280" w:lineRule="exact"/>
              <w:rPr>
                <w:rFonts w:hint="eastAsia" w:ascii="仿宋_GB2312" w:eastAsia="仿宋_GB2312"/>
                <w:sz w:val="24"/>
              </w:rPr>
            </w:pPr>
          </w:p>
        </w:tc>
        <w:tc>
          <w:tcPr>
            <w:tcW w:w="3845" w:type="dxa"/>
            <w:gridSpan w:val="2"/>
            <w:noWrap w:val="0"/>
            <w:vAlign w:val="center"/>
          </w:tcPr>
          <w:p>
            <w:pPr>
              <w:adjustRightInd w:val="0"/>
              <w:snapToGrid w:val="0"/>
              <w:spacing w:line="280" w:lineRule="exact"/>
              <w:ind w:left="114"/>
              <w:rPr>
                <w:rFonts w:hint="eastAsia" w:ascii="仿宋_GB2312" w:hAnsi="仿宋" w:eastAsia="仿宋_GB2312" w:cs="仿宋"/>
                <w:sz w:val="24"/>
              </w:rPr>
            </w:pPr>
            <w:r>
              <w:rPr>
                <w:rFonts w:hint="eastAsia" w:ascii="仿宋_GB2312" w:hAnsi="仿宋" w:eastAsia="仿宋_GB2312" w:cs="仿宋"/>
                <w:spacing w:val="12"/>
                <w:sz w:val="24"/>
              </w:rPr>
              <w:t>未</w:t>
            </w:r>
            <w:r>
              <w:rPr>
                <w:rFonts w:hint="eastAsia" w:ascii="仿宋_GB2312" w:hAnsi="仿宋" w:eastAsia="仿宋_GB2312" w:cs="仿宋"/>
                <w:spacing w:val="9"/>
                <w:sz w:val="24"/>
              </w:rPr>
              <w:t>造成社会影响与生态破坏的</w:t>
            </w:r>
          </w:p>
        </w:tc>
        <w:tc>
          <w:tcPr>
            <w:tcW w:w="1207" w:type="dxa"/>
            <w:gridSpan w:val="2"/>
            <w:noWrap w:val="0"/>
            <w:vAlign w:val="center"/>
          </w:tcPr>
          <w:p>
            <w:pPr>
              <w:adjustRightInd w:val="0"/>
              <w:snapToGrid w:val="0"/>
              <w:spacing w:line="280" w:lineRule="exact"/>
              <w:ind w:left="471"/>
              <w:rPr>
                <w:rFonts w:hint="eastAsia" w:ascii="仿宋_GB2312" w:hAnsi="仿宋" w:eastAsia="仿宋_GB2312" w:cs="仿宋"/>
                <w:spacing w:val="-8"/>
                <w:position w:val="1"/>
                <w:sz w:val="24"/>
              </w:rPr>
            </w:pPr>
            <w:r>
              <w:rPr>
                <w:rFonts w:hint="eastAsia" w:ascii="仿宋_GB2312" w:hAnsi="仿宋" w:eastAsia="仿宋_GB2312" w:cs="仿宋"/>
                <w:spacing w:val="-9"/>
                <w:position w:val="1"/>
                <w:sz w:val="24"/>
              </w:rPr>
              <w:t>0</w:t>
            </w:r>
            <w:r>
              <w:rPr>
                <w:rFonts w:hint="eastAsia" w:ascii="仿宋_GB2312" w:hAnsi="仿宋" w:eastAsia="仿宋_GB2312" w:cs="仿宋"/>
                <w:spacing w:val="-8"/>
                <w:position w:val="1"/>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43" w:hRule="atLeast"/>
          <w:jc w:val="center"/>
        </w:trPr>
        <w:tc>
          <w:tcPr>
            <w:tcW w:w="9122" w:type="dxa"/>
            <w:gridSpan w:val="6"/>
            <w:noWrap w:val="0"/>
            <w:vAlign w:val="top"/>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p>
          <w:p>
            <w:pPr>
              <w:widowControl/>
              <w:adjustRightInd w:val="0"/>
              <w:snapToGrid w:val="0"/>
              <w:ind w:left="147"/>
              <w:jc w:val="center"/>
              <w:rPr>
                <w:rFonts w:hint="eastAsia" w:ascii="微软雅黑" w:hAnsi="微软雅黑" w:eastAsia="方正小标宋简体" w:cs="微软雅黑"/>
                <w:spacing w:val="20"/>
                <w:sz w:val="28"/>
                <w:szCs w:val="28"/>
              </w:rPr>
            </w:pPr>
            <w:r>
              <w:rPr>
                <w:rFonts w:hint="eastAsia" w:ascii="方正小标宋简体" w:hAnsi="方正小标宋简体" w:eastAsia="方正小标宋简体" w:cs="方正小标宋简体"/>
                <w:kern w:val="0"/>
                <w:sz w:val="40"/>
                <w:szCs w:val="40"/>
              </w:rPr>
              <w:t>（</w:t>
            </w:r>
            <w:r>
              <w:rPr>
                <w:rFonts w:ascii="方正小标宋简体" w:hAnsi="方正小标宋简体" w:eastAsia="方正小标宋简体" w:cs="方正小标宋简体"/>
                <w:kern w:val="0"/>
                <w:sz w:val="40"/>
                <w:szCs w:val="40"/>
              </w:rPr>
              <w:t>唐山市</w:t>
            </w:r>
            <w:r>
              <w:rPr>
                <w:rFonts w:hint="eastAsia" w:ascii="方正小标宋简体" w:hAnsi="方正小标宋简体" w:eastAsia="方正小标宋简体" w:cs="方正小标宋简体"/>
                <w:kern w:val="0"/>
                <w:sz w:val="40"/>
                <w:szCs w:val="40"/>
              </w:rPr>
              <w:t>集中式饮用水水源地保护管理条例）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10" w:hRule="atLeast"/>
          <w:jc w:val="center"/>
        </w:trPr>
        <w:tc>
          <w:tcPr>
            <w:tcW w:w="1474" w:type="dxa"/>
            <w:noWrap w:val="0"/>
            <w:vAlign w:val="center"/>
          </w:tcPr>
          <w:p>
            <w:pPr>
              <w:adjustRightInd w:val="0"/>
              <w:snapToGrid w:val="0"/>
              <w:ind w:left="461"/>
              <w:rPr>
                <w:rFonts w:ascii="仿宋" w:hAnsi="仿宋" w:eastAsia="仿宋" w:cs="仿宋"/>
                <w:b/>
                <w:bCs/>
                <w:sz w:val="28"/>
                <w:szCs w:val="28"/>
              </w:rPr>
            </w:pPr>
            <w:r>
              <w:rPr>
                <w:rFonts w:ascii="仿宋" w:hAnsi="仿宋" w:eastAsia="仿宋" w:cs="仿宋"/>
                <w:b/>
                <w:bCs/>
                <w:spacing w:val="-4"/>
                <w:sz w:val="28"/>
                <w:szCs w:val="28"/>
              </w:rPr>
              <w:t>序</w:t>
            </w:r>
            <w:r>
              <w:rPr>
                <w:rFonts w:ascii="仿宋" w:hAnsi="仿宋" w:eastAsia="仿宋" w:cs="仿宋"/>
                <w:b/>
                <w:bCs/>
                <w:spacing w:val="-3"/>
                <w:sz w:val="28"/>
                <w:szCs w:val="28"/>
              </w:rPr>
              <w:t>号</w:t>
            </w:r>
          </w:p>
        </w:tc>
        <w:tc>
          <w:tcPr>
            <w:tcW w:w="7648" w:type="dxa"/>
            <w:gridSpan w:val="5"/>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w:t>
            </w:r>
            <w:r>
              <w:rPr>
                <w:rFonts w:hint="eastAsia" w:ascii="仿宋" w:hAnsi="仿宋" w:eastAsia="仿宋" w:cs="仿宋"/>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55" w:hRule="atLeast"/>
          <w:jc w:val="center"/>
        </w:trPr>
        <w:tc>
          <w:tcPr>
            <w:tcW w:w="1474" w:type="dxa"/>
            <w:noWrap w:val="0"/>
            <w:vAlign w:val="center"/>
          </w:tcPr>
          <w:p>
            <w:pPr>
              <w:adjustRightInd w:val="0"/>
              <w:snapToGrid w:val="0"/>
              <w:ind w:left="186"/>
              <w:rPr>
                <w:rFonts w:ascii="仿宋" w:hAnsi="仿宋" w:eastAsia="仿宋" w:cs="仿宋"/>
                <w:b/>
                <w:bCs/>
                <w:sz w:val="28"/>
                <w:szCs w:val="28"/>
              </w:rPr>
            </w:pPr>
            <w:r>
              <w:rPr>
                <w:rFonts w:ascii="仿宋" w:hAnsi="仿宋" w:eastAsia="仿宋" w:cs="仿宋"/>
                <w:b/>
                <w:bCs/>
                <w:spacing w:val="-4"/>
                <w:sz w:val="28"/>
                <w:szCs w:val="28"/>
              </w:rPr>
              <w:t>违</w:t>
            </w:r>
            <w:r>
              <w:rPr>
                <w:rFonts w:ascii="仿宋" w:hAnsi="仿宋" w:eastAsia="仿宋" w:cs="仿宋"/>
                <w:b/>
                <w:bCs/>
                <w:spacing w:val="-3"/>
                <w:sz w:val="28"/>
                <w:szCs w:val="28"/>
              </w:rPr>
              <w:t>法</w:t>
            </w:r>
            <w:r>
              <w:rPr>
                <w:rFonts w:ascii="仿宋" w:hAnsi="仿宋" w:eastAsia="仿宋" w:cs="仿宋"/>
                <w:b/>
                <w:bCs/>
                <w:spacing w:val="-2"/>
                <w:sz w:val="28"/>
                <w:szCs w:val="28"/>
              </w:rPr>
              <w:t>行为</w:t>
            </w:r>
          </w:p>
        </w:tc>
        <w:tc>
          <w:tcPr>
            <w:tcW w:w="7648" w:type="dxa"/>
            <w:gridSpan w:val="5"/>
            <w:noWrap w:val="0"/>
            <w:vAlign w:val="center"/>
          </w:tcPr>
          <w:p>
            <w:pPr>
              <w:adjustRightInd w:val="0"/>
              <w:snapToGrid w:val="0"/>
              <w:ind w:right="105"/>
              <w:rPr>
                <w:rFonts w:hint="eastAsia" w:ascii="仿宋_GB2312" w:hAnsi="仿宋_GB2312" w:eastAsia="仿宋_GB2312" w:cs="仿宋_GB2312"/>
                <w:sz w:val="24"/>
              </w:rPr>
            </w:pPr>
            <w:r>
              <w:rPr>
                <w:rFonts w:hint="eastAsia" w:ascii="仿宋_GB2312" w:hAnsi="仿宋_GB2312" w:eastAsia="仿宋_GB2312" w:cs="仿宋_GB2312"/>
                <w:sz w:val="24"/>
              </w:rPr>
              <w:t>在二级保护区内从事网箱养殖等可能污染饮用水水体的活动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864" w:hRule="atLeast"/>
          <w:jc w:val="center"/>
        </w:trPr>
        <w:tc>
          <w:tcPr>
            <w:tcW w:w="1474" w:type="dxa"/>
            <w:noWrap w:val="0"/>
            <w:vAlign w:val="center"/>
          </w:tcPr>
          <w:p>
            <w:pPr>
              <w:adjustRightInd w:val="0"/>
              <w:snapToGrid w:val="0"/>
              <w:spacing w:line="280" w:lineRule="exact"/>
              <w:jc w:val="center"/>
              <w:rPr>
                <w:rFonts w:ascii="仿宋" w:hAnsi="仿宋" w:eastAsia="仿宋" w:cs="仿宋"/>
                <w:b/>
                <w:bCs/>
                <w:sz w:val="28"/>
                <w:szCs w:val="28"/>
              </w:rPr>
            </w:pPr>
            <w:r>
              <w:rPr>
                <w:rFonts w:ascii="仿宋" w:hAnsi="仿宋" w:eastAsia="仿宋" w:cs="仿宋"/>
                <w:b/>
                <w:bCs/>
                <w:spacing w:val="-7"/>
                <w:sz w:val="28"/>
                <w:szCs w:val="28"/>
              </w:rPr>
              <w:t>处罚依据</w:t>
            </w:r>
          </w:p>
        </w:tc>
        <w:tc>
          <w:tcPr>
            <w:tcW w:w="7648" w:type="dxa"/>
            <w:gridSpan w:val="5"/>
            <w:noWrap w:val="0"/>
            <w:vAlign w:val="top"/>
          </w:tcPr>
          <w:p>
            <w:pPr>
              <w:widowControl/>
              <w:tabs>
                <w:tab w:val="left" w:pos="312"/>
              </w:tabs>
              <w:adjustRightInd w:val="0"/>
              <w:snapToGrid w:val="0"/>
              <w:jc w:val="left"/>
              <w:rPr>
                <w:rFonts w:hint="eastAsia" w:ascii="仿宋_GB2312" w:hAnsi="仿宋_GB2312" w:eastAsia="仿宋_GB2312" w:cs="仿宋_GB2312"/>
                <w:b/>
                <w:bCs/>
                <w:spacing w:val="10"/>
                <w:sz w:val="24"/>
              </w:rPr>
            </w:pPr>
            <w:r>
              <w:rPr>
                <w:rFonts w:hint="eastAsia" w:ascii="仿宋_GB2312" w:hAnsi="仿宋_GB2312" w:eastAsia="仿宋_GB2312" w:cs="仿宋_GB2312"/>
                <w:spacing w:val="11"/>
                <w:sz w:val="24"/>
              </w:rPr>
              <w:t>1.</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唐山市集中式饮用水水源地保护管理条例》</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b/>
                <w:bCs/>
                <w:sz w:val="24"/>
              </w:rPr>
              <w:t>第十八条 第一款</w:t>
            </w:r>
            <w:r>
              <w:rPr>
                <w:rFonts w:hint="eastAsia" w:ascii="仿宋_GB2312" w:hAnsi="仿宋_GB2312" w:eastAsia="仿宋_GB2312" w:cs="仿宋_GB2312"/>
                <w:sz w:val="24"/>
              </w:rPr>
              <w:t xml:space="preserve"> 在二级保护区内，除适用本条例第十七条规定外，还应当遵守下列规定：（三）禁止从事网箱养殖等可能污染饮用水水体的活动；</w:t>
            </w:r>
          </w:p>
          <w:p>
            <w:pPr>
              <w:adjustRightInd w:val="0"/>
              <w:snapToGrid w:val="0"/>
              <w:rPr>
                <w:rFonts w:hint="eastAsia" w:ascii="仿宋_GB2312" w:hAnsi="仿宋_GB2312" w:eastAsia="仿宋_GB2312" w:cs="仿宋_GB2312"/>
                <w:sz w:val="24"/>
              </w:rPr>
            </w:pPr>
          </w:p>
          <w:p>
            <w:pPr>
              <w:adjustRightInd w:val="0"/>
              <w:snapToGrid w:val="0"/>
              <w:rPr>
                <w:rFonts w:hint="eastAsia" w:ascii="仿宋_GB2312" w:hAnsi="仿宋_GB2312" w:eastAsia="仿宋_GB2312" w:cs="仿宋_GB2312"/>
                <w:b/>
                <w:bCs/>
                <w:sz w:val="24"/>
              </w:rPr>
            </w:pPr>
            <w:r>
              <w:rPr>
                <w:rFonts w:hint="eastAsia" w:ascii="仿宋_GB2312" w:hAnsi="仿宋_GB2312" w:eastAsia="仿宋_GB2312" w:cs="仿宋_GB2312"/>
                <w:spacing w:val="11"/>
                <w:sz w:val="24"/>
              </w:rPr>
              <w:t>2.</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唐山市集中式饮用水水源地保护管理条例》</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b/>
                <w:bCs/>
                <w:sz w:val="24"/>
              </w:rPr>
              <w:t>第三十三条 第二款</w:t>
            </w:r>
            <w:r>
              <w:rPr>
                <w:rFonts w:hint="eastAsia" w:ascii="仿宋_GB2312" w:hAnsi="仿宋_GB2312" w:eastAsia="仿宋_GB2312" w:cs="仿宋_GB2312"/>
                <w:sz w:val="24"/>
              </w:rPr>
              <w:t xml:space="preserve"> 违反本条例第十八条第一款第三项规定的，由生态环境主管部门或者农业农村主管部门责令停止违法行为，可以处二万元以上五万元以下的罚款；情节严重的，处五万元以上十万元以下的罚款。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34" w:hRule="atLeast"/>
          <w:jc w:val="center"/>
        </w:trPr>
        <w:tc>
          <w:tcPr>
            <w:tcW w:w="4085" w:type="dxa"/>
            <w:gridSpan w:val="3"/>
            <w:noWrap w:val="0"/>
            <w:vAlign w:val="center"/>
          </w:tcPr>
          <w:p>
            <w:pPr>
              <w:adjustRightInd w:val="0"/>
              <w:snapToGrid w:val="0"/>
              <w:ind w:left="1488"/>
              <w:rPr>
                <w:rFonts w:ascii="仿宋" w:hAnsi="仿宋" w:eastAsia="仿宋" w:cs="仿宋"/>
                <w:b/>
                <w:bCs/>
                <w:sz w:val="28"/>
                <w:szCs w:val="28"/>
              </w:rPr>
            </w:pPr>
            <w:r>
              <w:rPr>
                <w:rFonts w:ascii="仿宋" w:hAnsi="仿宋" w:eastAsia="仿宋" w:cs="仿宋"/>
                <w:b/>
                <w:bCs/>
                <w:spacing w:val="-2"/>
                <w:sz w:val="28"/>
                <w:szCs w:val="28"/>
              </w:rPr>
              <w:t>裁量要素</w:t>
            </w:r>
          </w:p>
        </w:tc>
        <w:tc>
          <w:tcPr>
            <w:tcW w:w="5037" w:type="dxa"/>
            <w:gridSpan w:val="3"/>
            <w:noWrap w:val="0"/>
            <w:vAlign w:val="center"/>
          </w:tcPr>
          <w:p>
            <w:pPr>
              <w:adjustRightInd w:val="0"/>
              <w:snapToGrid w:val="0"/>
              <w:ind w:left="1891"/>
              <w:rPr>
                <w:rFonts w:ascii="仿宋" w:hAnsi="仿宋" w:eastAsia="仿宋" w:cs="仿宋"/>
                <w:b/>
                <w:bCs/>
                <w:sz w:val="28"/>
                <w:szCs w:val="28"/>
              </w:rPr>
            </w:pPr>
            <w:r>
              <w:rPr>
                <w:rFonts w:ascii="仿宋" w:hAnsi="仿宋" w:eastAsia="仿宋"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74" w:hRule="atLeast"/>
          <w:jc w:val="center"/>
        </w:trPr>
        <w:tc>
          <w:tcPr>
            <w:tcW w:w="1474" w:type="dxa"/>
            <w:noWrap w:val="0"/>
            <w:vAlign w:val="top"/>
          </w:tcPr>
          <w:p>
            <w:pPr>
              <w:adjustRightInd w:val="0"/>
              <w:snapToGrid w:val="0"/>
              <w:spacing w:before="218"/>
              <w:ind w:left="510"/>
              <w:rPr>
                <w:rFonts w:hint="eastAsia" w:ascii="仿宋_GB2312" w:hAnsi="仿宋_GB2312" w:eastAsia="仿宋_GB2312" w:cs="仿宋_GB2312"/>
                <w:b/>
                <w:bCs/>
                <w:sz w:val="24"/>
              </w:rPr>
            </w:pPr>
            <w:r>
              <w:rPr>
                <w:rFonts w:hint="eastAsia" w:ascii="仿宋_GB2312" w:hAnsi="仿宋_GB2312" w:eastAsia="仿宋_GB2312" w:cs="仿宋_GB2312"/>
                <w:b/>
                <w:bCs/>
                <w:spacing w:val="2"/>
                <w:sz w:val="24"/>
              </w:rPr>
              <w:t>要</w:t>
            </w:r>
            <w:r>
              <w:rPr>
                <w:rFonts w:hint="eastAsia" w:ascii="仿宋_GB2312" w:hAnsi="仿宋_GB2312" w:eastAsia="仿宋_GB2312" w:cs="仿宋_GB2312"/>
                <w:b/>
                <w:bCs/>
                <w:spacing w:val="1"/>
                <w:sz w:val="24"/>
              </w:rPr>
              <w:t>素</w:t>
            </w:r>
          </w:p>
        </w:tc>
        <w:tc>
          <w:tcPr>
            <w:tcW w:w="1903" w:type="dxa"/>
            <w:noWrap w:val="0"/>
            <w:vAlign w:val="top"/>
          </w:tcPr>
          <w:p>
            <w:pPr>
              <w:adjustRightInd w:val="0"/>
              <w:snapToGrid w:val="0"/>
              <w:spacing w:before="218"/>
              <w:ind w:left="483"/>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7"/>
                <w:sz w:val="22"/>
                <w:szCs w:val="22"/>
              </w:rPr>
              <w:t>具</w:t>
            </w:r>
            <w:r>
              <w:rPr>
                <w:rFonts w:hint="eastAsia" w:ascii="仿宋_GB2312" w:hAnsi="仿宋_GB2312" w:eastAsia="仿宋_GB2312" w:cs="仿宋_GB2312"/>
                <w:b/>
                <w:bCs/>
                <w:spacing w:val="6"/>
                <w:sz w:val="22"/>
                <w:szCs w:val="22"/>
              </w:rPr>
              <w:t>体条件</w:t>
            </w:r>
          </w:p>
        </w:tc>
        <w:tc>
          <w:tcPr>
            <w:tcW w:w="708" w:type="dxa"/>
            <w:noWrap w:val="0"/>
            <w:vAlign w:val="top"/>
          </w:tcPr>
          <w:p>
            <w:pPr>
              <w:adjustRightInd w:val="0"/>
              <w:snapToGrid w:val="0"/>
              <w:spacing w:before="62"/>
              <w:ind w:left="118" w:right="113"/>
              <w:rPr>
                <w:rFonts w:hint="eastAsia" w:ascii="仿宋_GB2312" w:hAnsi="仿宋_GB2312" w:eastAsia="仿宋_GB2312" w:cs="仿宋_GB2312"/>
                <w:b/>
                <w:bCs/>
                <w:spacing w:val="-14"/>
                <w:sz w:val="22"/>
                <w:szCs w:val="22"/>
              </w:rPr>
            </w:pPr>
            <w:r>
              <w:rPr>
                <w:rFonts w:hint="eastAsia" w:ascii="仿宋_GB2312" w:hAnsi="仿宋_GB2312" w:eastAsia="仿宋_GB2312" w:cs="仿宋_GB2312"/>
                <w:b/>
                <w:bCs/>
                <w:spacing w:val="-14"/>
                <w:sz w:val="22"/>
                <w:szCs w:val="22"/>
              </w:rPr>
              <w:t>构成</w:t>
            </w:r>
          </w:p>
          <w:p>
            <w:pPr>
              <w:adjustRightInd w:val="0"/>
              <w:snapToGrid w:val="0"/>
              <w:spacing w:before="62"/>
              <w:ind w:left="118" w:right="113"/>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14"/>
                <w:sz w:val="22"/>
                <w:szCs w:val="22"/>
              </w:rPr>
              <w:t>比</w:t>
            </w:r>
            <w:r>
              <w:rPr>
                <w:rFonts w:hint="eastAsia" w:ascii="仿宋_GB2312" w:hAnsi="仿宋_GB2312" w:eastAsia="仿宋_GB2312" w:cs="仿宋_GB2312"/>
                <w:b/>
                <w:bCs/>
                <w:spacing w:val="-12"/>
                <w:sz w:val="22"/>
                <w:szCs w:val="22"/>
              </w:rPr>
              <w:t>例</w:t>
            </w:r>
          </w:p>
        </w:tc>
        <w:tc>
          <w:tcPr>
            <w:tcW w:w="3822" w:type="dxa"/>
            <w:noWrap w:val="0"/>
            <w:vAlign w:val="top"/>
          </w:tcPr>
          <w:p>
            <w:pPr>
              <w:adjustRightInd w:val="0"/>
              <w:snapToGrid w:val="0"/>
              <w:spacing w:before="218"/>
              <w:ind w:left="16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程</w:t>
            </w:r>
            <w:r>
              <w:rPr>
                <w:rFonts w:hint="eastAsia" w:ascii="仿宋_GB2312" w:hAnsi="仿宋_GB2312" w:eastAsia="仿宋_GB2312" w:cs="仿宋_GB2312"/>
                <w:b/>
                <w:bCs/>
                <w:spacing w:val="3"/>
                <w:sz w:val="22"/>
                <w:szCs w:val="22"/>
              </w:rPr>
              <w:t>度</w:t>
            </w:r>
          </w:p>
        </w:tc>
        <w:tc>
          <w:tcPr>
            <w:tcW w:w="1215" w:type="dxa"/>
            <w:gridSpan w:val="2"/>
            <w:noWrap w:val="0"/>
            <w:vAlign w:val="top"/>
          </w:tcPr>
          <w:p>
            <w:pPr>
              <w:adjustRightInd w:val="0"/>
              <w:snapToGrid w:val="0"/>
              <w:spacing w:before="218"/>
              <w:ind w:left="2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53" w:hRule="atLeast"/>
          <w:jc w:val="center"/>
        </w:trPr>
        <w:tc>
          <w:tcPr>
            <w:tcW w:w="1474" w:type="dxa"/>
            <w:vMerge w:val="restart"/>
            <w:noWrap w:val="0"/>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对环境影响</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903" w:type="dxa"/>
            <w:vMerge w:val="restart"/>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违法行为类型</w:t>
            </w:r>
          </w:p>
        </w:tc>
        <w:tc>
          <w:tcPr>
            <w:tcW w:w="708" w:type="dxa"/>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color w:val="000000"/>
                <w:sz w:val="24"/>
                <w:shd w:val="clear" w:color="auto" w:fill="FFFFFF"/>
              </w:rPr>
              <w:t>40%</w:t>
            </w: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网箱养殖面积不足100 平方米</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91" w:hRule="atLeast"/>
          <w:jc w:val="center"/>
        </w:trPr>
        <w:tc>
          <w:tcPr>
            <w:tcW w:w="1474" w:type="dxa"/>
            <w:vMerge w:val="continue"/>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tcBorders>
              <w:bottom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网箱养殖面积100平方米以上不足500平方米</w:t>
            </w:r>
          </w:p>
        </w:tc>
        <w:tc>
          <w:tcPr>
            <w:tcW w:w="1215" w:type="dxa"/>
            <w:gridSpan w:val="2"/>
            <w:tcBorders>
              <w:bottom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73" w:hRule="atLeast"/>
          <w:jc w:val="center"/>
        </w:trPr>
        <w:tc>
          <w:tcPr>
            <w:tcW w:w="1474" w:type="dxa"/>
            <w:vMerge w:val="continue"/>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tcBorders>
              <w:top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网箱养殖面积500平方米以上</w:t>
            </w:r>
          </w:p>
        </w:tc>
        <w:tc>
          <w:tcPr>
            <w:tcW w:w="1215" w:type="dxa"/>
            <w:gridSpan w:val="2"/>
            <w:tcBorders>
              <w:top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44"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一年内违法次数</w:t>
            </w:r>
          </w:p>
        </w:tc>
        <w:tc>
          <w:tcPr>
            <w:tcW w:w="708" w:type="dxa"/>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color w:val="000000"/>
                <w:sz w:val="24"/>
                <w:shd w:val="clear" w:color="auto" w:fill="FFFFFF"/>
              </w:rPr>
              <w:t>20%</w:t>
            </w: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首次实施违法行为的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44" w:hRule="atLeast"/>
          <w:jc w:val="center"/>
        </w:trPr>
        <w:tc>
          <w:tcPr>
            <w:tcW w:w="1474"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再次实施违法行为的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44" w:hRule="atLeast"/>
          <w:jc w:val="center"/>
        </w:trPr>
        <w:tc>
          <w:tcPr>
            <w:tcW w:w="1474"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第三次实施违法行为的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44" w:hRule="atLeast"/>
          <w:jc w:val="center"/>
        </w:trPr>
        <w:tc>
          <w:tcPr>
            <w:tcW w:w="1474"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三次以上实施违法行为的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98"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整改情况</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是否完成整改</w:t>
            </w:r>
          </w:p>
        </w:tc>
        <w:tc>
          <w:tcPr>
            <w:tcW w:w="708" w:type="dxa"/>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color w:val="000000"/>
                <w:sz w:val="24"/>
                <w:shd w:val="clear" w:color="auto" w:fill="FFFFFF"/>
              </w:rPr>
              <w:t>10%</w:t>
            </w: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全面整改并停止违法行为的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98" w:hRule="atLeast"/>
          <w:jc w:val="center"/>
        </w:trPr>
        <w:tc>
          <w:tcPr>
            <w:tcW w:w="1474"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正在整改但违法行为未完全消除的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98" w:hRule="atLeast"/>
          <w:jc w:val="center"/>
        </w:trPr>
        <w:tc>
          <w:tcPr>
            <w:tcW w:w="1474"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复查时未采取整改措施的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98"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配合调查</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取证情况</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是否配合执法检查</w:t>
            </w:r>
          </w:p>
        </w:tc>
        <w:tc>
          <w:tcPr>
            <w:tcW w:w="708" w:type="dxa"/>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color w:val="000000"/>
                <w:sz w:val="24"/>
                <w:shd w:val="clear" w:color="auto" w:fill="FFFFFF"/>
              </w:rPr>
              <w:t>10%</w:t>
            </w: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不配合检查的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98" w:hRule="atLeast"/>
          <w:jc w:val="center"/>
        </w:trPr>
        <w:tc>
          <w:tcPr>
            <w:tcW w:w="1474"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配合检查的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98" w:hRule="atLeast"/>
          <w:jc w:val="center"/>
        </w:trPr>
        <w:tc>
          <w:tcPr>
            <w:tcW w:w="1474"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对社会影响</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或生态破坏</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是否造成社会影响或生态破坏</w:t>
            </w:r>
          </w:p>
        </w:tc>
        <w:tc>
          <w:tcPr>
            <w:tcW w:w="708" w:type="dxa"/>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color w:val="000000"/>
                <w:sz w:val="24"/>
                <w:shd w:val="clear" w:color="auto" w:fill="FFFFFF"/>
              </w:rPr>
              <w:t>20%</w:t>
            </w: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造成社会影响或生态破坏的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00" w:hRule="atLeast"/>
          <w:jc w:val="center"/>
        </w:trPr>
        <w:tc>
          <w:tcPr>
            <w:tcW w:w="1474" w:type="dxa"/>
            <w:vMerge w:val="continue"/>
            <w:tcBorders>
              <w:top w:val="nil"/>
            </w:tcBorders>
            <w:noWrap w:val="0"/>
            <w:vAlign w:val="top"/>
          </w:tcPr>
          <w:p>
            <w:pPr>
              <w:adjustRightInd w:val="0"/>
              <w:snapToGrid w:val="0"/>
              <w:rPr>
                <w:rFonts w:hint="eastAsia" w:ascii="仿宋_GB2312" w:hAnsi="仿宋_GB2312" w:eastAsia="仿宋_GB2312" w:cs="仿宋_GB2312"/>
                <w:sz w:val="24"/>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22"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未造成社会影响与生态破坏的</w:t>
            </w:r>
          </w:p>
        </w:tc>
        <w:tc>
          <w:tcPr>
            <w:tcW w:w="1215"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bl>
    <w:p>
      <w:pPr>
        <w:rPr>
          <w:rFonts w:ascii="宋体" w:hAnsi="宋体" w:cs="宋体"/>
          <w:sz w:val="28"/>
          <w:szCs w:val="28"/>
        </w:rPr>
      </w:pPr>
    </w:p>
    <w:p>
      <w:pPr>
        <w:rPr>
          <w:rFonts w:ascii="宋体" w:hAnsi="宋体" w:cs="宋体"/>
          <w:sz w:val="10"/>
          <w:szCs w:val="10"/>
        </w:rPr>
      </w:pPr>
      <w:r>
        <w:rPr>
          <w:rFonts w:ascii="宋体" w:hAnsi="宋体" w:cs="宋体"/>
          <w:sz w:val="28"/>
          <w:szCs w:val="28"/>
        </w:rPr>
        <w:br w:type="page"/>
      </w:r>
    </w:p>
    <w:tbl>
      <w:tblPr>
        <w:tblStyle w:val="9"/>
        <w:tblW w:w="91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0"/>
        <w:gridCol w:w="1505"/>
        <w:gridCol w:w="708"/>
        <w:gridCol w:w="4287"/>
        <w:gridCol w:w="1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42" w:type="dxa"/>
            <w:gridSpan w:val="5"/>
            <w:noWrap w:val="0"/>
            <w:vAlign w:val="top"/>
          </w:tcPr>
          <w:p>
            <w:pPr>
              <w:widowControl/>
              <w:adjustRightInd w:val="0"/>
              <w:snapToGrid w:val="0"/>
              <w:ind w:left="147"/>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p>
          <w:p>
            <w:pPr>
              <w:widowControl/>
              <w:adjustRightInd w:val="0"/>
              <w:snapToGrid w:val="0"/>
              <w:ind w:left="147"/>
              <w:jc w:val="center"/>
              <w:rPr>
                <w:rFonts w:hint="eastAsia" w:ascii="微软雅黑" w:hAnsi="微软雅黑" w:eastAsia="方正小标宋简体" w:cs="微软雅黑"/>
                <w:spacing w:val="20"/>
                <w:sz w:val="28"/>
                <w:szCs w:val="28"/>
              </w:rPr>
            </w:pPr>
            <w:r>
              <w:rPr>
                <w:rFonts w:hint="eastAsia" w:ascii="方正小标宋简体" w:hAnsi="方正小标宋简体" w:eastAsia="方正小标宋简体" w:cs="方正小标宋简体"/>
                <w:kern w:val="0"/>
                <w:sz w:val="40"/>
                <w:szCs w:val="40"/>
              </w:rPr>
              <w:t>（</w:t>
            </w:r>
            <w:r>
              <w:rPr>
                <w:rFonts w:ascii="方正小标宋简体" w:hAnsi="方正小标宋简体" w:eastAsia="方正小标宋简体" w:cs="方正小标宋简体"/>
                <w:kern w:val="0"/>
                <w:sz w:val="40"/>
                <w:szCs w:val="40"/>
              </w:rPr>
              <w:t>唐山市</w:t>
            </w:r>
            <w:r>
              <w:rPr>
                <w:rFonts w:hint="eastAsia" w:ascii="方正小标宋简体" w:hAnsi="方正小标宋简体" w:eastAsia="方正小标宋简体" w:cs="方正小标宋简体"/>
                <w:kern w:val="0"/>
                <w:sz w:val="40"/>
                <w:szCs w:val="40"/>
              </w:rPr>
              <w:t>集中式饮用水水源地保护管理条例）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470" w:type="dxa"/>
            <w:noWrap w:val="0"/>
            <w:vAlign w:val="center"/>
          </w:tcPr>
          <w:p>
            <w:pPr>
              <w:adjustRightInd w:val="0"/>
              <w:snapToGrid w:val="0"/>
              <w:ind w:left="461"/>
              <w:rPr>
                <w:rFonts w:ascii="仿宋" w:hAnsi="仿宋" w:eastAsia="仿宋" w:cs="仿宋"/>
                <w:b/>
                <w:bCs/>
                <w:sz w:val="28"/>
                <w:szCs w:val="28"/>
              </w:rPr>
            </w:pPr>
            <w:r>
              <w:rPr>
                <w:rFonts w:ascii="仿宋" w:hAnsi="仿宋" w:eastAsia="仿宋" w:cs="仿宋"/>
                <w:b/>
                <w:bCs/>
                <w:spacing w:val="-4"/>
                <w:sz w:val="28"/>
                <w:szCs w:val="28"/>
              </w:rPr>
              <w:t>序</w:t>
            </w:r>
            <w:r>
              <w:rPr>
                <w:rFonts w:ascii="仿宋" w:hAnsi="仿宋" w:eastAsia="仿宋" w:cs="仿宋"/>
                <w:b/>
                <w:bCs/>
                <w:spacing w:val="-3"/>
                <w:sz w:val="28"/>
                <w:szCs w:val="28"/>
              </w:rPr>
              <w:t>号</w:t>
            </w:r>
          </w:p>
        </w:tc>
        <w:tc>
          <w:tcPr>
            <w:tcW w:w="7672" w:type="dxa"/>
            <w:gridSpan w:val="4"/>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2</w:t>
            </w:r>
            <w:r>
              <w:rPr>
                <w:rFonts w:hint="eastAsia" w:ascii="仿宋" w:hAnsi="仿宋" w:eastAsia="仿宋" w:cs="仿宋"/>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470" w:type="dxa"/>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4"/>
                <w:sz w:val="28"/>
                <w:szCs w:val="28"/>
              </w:rPr>
              <w:t>违</w:t>
            </w:r>
            <w:r>
              <w:rPr>
                <w:rFonts w:ascii="仿宋" w:hAnsi="仿宋" w:eastAsia="仿宋" w:cs="仿宋"/>
                <w:b/>
                <w:bCs/>
                <w:spacing w:val="-3"/>
                <w:sz w:val="28"/>
                <w:szCs w:val="28"/>
              </w:rPr>
              <w:t>法</w:t>
            </w:r>
            <w:r>
              <w:rPr>
                <w:rFonts w:ascii="仿宋" w:hAnsi="仿宋" w:eastAsia="仿宋" w:cs="仿宋"/>
                <w:b/>
                <w:bCs/>
                <w:spacing w:val="-2"/>
                <w:sz w:val="28"/>
                <w:szCs w:val="28"/>
              </w:rPr>
              <w:t>行为</w:t>
            </w:r>
          </w:p>
        </w:tc>
        <w:tc>
          <w:tcPr>
            <w:tcW w:w="7672" w:type="dxa"/>
            <w:gridSpan w:val="4"/>
            <w:noWrap w:val="0"/>
            <w:vAlign w:val="center"/>
          </w:tcPr>
          <w:p>
            <w:pPr>
              <w:adjustRightInd w:val="0"/>
              <w:snapToGrid w:val="0"/>
              <w:ind w:right="105"/>
              <w:rPr>
                <w:rFonts w:hint="eastAsia" w:ascii="仿宋_GB2312" w:hAnsi="仿宋_GB2312" w:eastAsia="仿宋_GB2312" w:cs="仿宋_GB2312"/>
                <w:sz w:val="24"/>
              </w:rPr>
            </w:pPr>
            <w:r>
              <w:rPr>
                <w:rFonts w:hint="eastAsia" w:ascii="仿宋_GB2312" w:hAnsi="仿宋_GB2312" w:eastAsia="仿宋_GB2312" w:cs="仿宋_GB2312"/>
                <w:sz w:val="24"/>
              </w:rPr>
              <w:t>在地表水源的水库一级保护区内，在水体清洗机动车辆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jc w:val="center"/>
        </w:trPr>
        <w:tc>
          <w:tcPr>
            <w:tcW w:w="1470" w:type="dxa"/>
            <w:noWrap w:val="0"/>
            <w:vAlign w:val="center"/>
          </w:tcPr>
          <w:p>
            <w:pPr>
              <w:adjustRightInd w:val="0"/>
              <w:snapToGrid w:val="0"/>
              <w:ind w:left="193"/>
              <w:rPr>
                <w:rFonts w:ascii="仿宋" w:hAnsi="仿宋" w:eastAsia="仿宋" w:cs="仿宋"/>
                <w:b/>
                <w:bCs/>
                <w:sz w:val="28"/>
                <w:szCs w:val="28"/>
              </w:rPr>
            </w:pPr>
            <w:r>
              <w:rPr>
                <w:rFonts w:ascii="仿宋" w:hAnsi="仿宋" w:eastAsia="仿宋" w:cs="仿宋"/>
                <w:b/>
                <w:bCs/>
                <w:spacing w:val="-7"/>
                <w:sz w:val="28"/>
                <w:szCs w:val="28"/>
              </w:rPr>
              <w:t>处</w:t>
            </w:r>
            <w:r>
              <w:rPr>
                <w:rFonts w:ascii="仿宋" w:hAnsi="仿宋" w:eastAsia="仿宋" w:cs="仿宋"/>
                <w:b/>
                <w:bCs/>
                <w:spacing w:val="-4"/>
                <w:sz w:val="28"/>
                <w:szCs w:val="28"/>
              </w:rPr>
              <w:t>罚依据</w:t>
            </w:r>
          </w:p>
        </w:tc>
        <w:tc>
          <w:tcPr>
            <w:tcW w:w="7672" w:type="dxa"/>
            <w:gridSpan w:val="4"/>
            <w:noWrap w:val="0"/>
            <w:vAlign w:val="top"/>
          </w:tcPr>
          <w:p>
            <w:pPr>
              <w:adjustRightInd w:val="0"/>
              <w:snapToGrid w:val="0"/>
              <w:spacing w:line="360" w:lineRule="exact"/>
              <w:rPr>
                <w:rFonts w:hint="eastAsia" w:ascii="仿宋_GB2312" w:hAnsi="仿宋_GB2312" w:eastAsia="仿宋_GB2312" w:cs="仿宋_GB2312"/>
                <w:b/>
                <w:bCs/>
                <w:sz w:val="24"/>
              </w:rPr>
            </w:pPr>
            <w:r>
              <w:rPr>
                <w:rFonts w:hint="eastAsia" w:ascii="仿宋_GB2312" w:hAnsi="仿宋_GB2312" w:eastAsia="仿宋_GB2312" w:cs="仿宋_GB2312"/>
                <w:b/>
                <w:bCs/>
                <w:spacing w:val="11"/>
                <w:sz w:val="24"/>
              </w:rPr>
              <w:t>1.《</w:t>
            </w:r>
            <w:r>
              <w:rPr>
                <w:rFonts w:hint="eastAsia" w:ascii="仿宋_GB2312" w:hAnsi="仿宋_GB2312" w:eastAsia="仿宋_GB2312" w:cs="仿宋_GB2312"/>
                <w:b/>
                <w:bCs/>
                <w:spacing w:val="10"/>
                <w:sz w:val="24"/>
              </w:rPr>
              <w:t>唐山市集中式饮用水水源地保护管理条例》</w:t>
            </w:r>
          </w:p>
          <w:p>
            <w:pPr>
              <w:adjustRightInd w:val="0"/>
              <w:snapToGrid w:val="0"/>
              <w:spacing w:line="36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第二十条</w:t>
            </w:r>
            <w:r>
              <w:rPr>
                <w:rFonts w:hint="eastAsia" w:ascii="仿宋_GB2312" w:hAnsi="仿宋_GB2312" w:eastAsia="仿宋_GB2312" w:cs="仿宋_GB2312"/>
                <w:sz w:val="24"/>
              </w:rPr>
              <w:t xml:space="preserve"> 在作为地表水源的水库一级保护区内，除适用本条例第十七条、第十八条、第十九条规定外，还应当遵守下列规定：（三）禁止在水体清洗机动车辆；</w:t>
            </w:r>
          </w:p>
          <w:p>
            <w:pPr>
              <w:adjustRightInd w:val="0"/>
              <w:snapToGrid w:val="0"/>
              <w:spacing w:line="360" w:lineRule="exact"/>
              <w:rPr>
                <w:rFonts w:hint="eastAsia" w:ascii="仿宋_GB2312" w:hAnsi="仿宋_GB2312" w:eastAsia="仿宋_GB2312" w:cs="仿宋_GB2312"/>
                <w:sz w:val="24"/>
              </w:rPr>
            </w:pPr>
          </w:p>
          <w:p>
            <w:pPr>
              <w:adjustRightInd w:val="0"/>
              <w:snapToGrid w:val="0"/>
              <w:spacing w:line="360" w:lineRule="exact"/>
              <w:rPr>
                <w:rFonts w:hint="eastAsia" w:ascii="仿宋_GB2312" w:hAnsi="仿宋_GB2312" w:eastAsia="仿宋_GB2312" w:cs="仿宋_GB2312"/>
                <w:b/>
                <w:bCs/>
                <w:sz w:val="24"/>
              </w:rPr>
            </w:pPr>
            <w:r>
              <w:rPr>
                <w:rFonts w:hint="eastAsia" w:ascii="仿宋_GB2312" w:hAnsi="仿宋_GB2312" w:eastAsia="仿宋_GB2312" w:cs="仿宋_GB2312"/>
                <w:b/>
                <w:bCs/>
                <w:spacing w:val="11"/>
                <w:sz w:val="24"/>
              </w:rPr>
              <w:t>2.《</w:t>
            </w:r>
            <w:r>
              <w:rPr>
                <w:rFonts w:hint="eastAsia" w:ascii="仿宋_GB2312" w:hAnsi="仿宋_GB2312" w:eastAsia="仿宋_GB2312" w:cs="仿宋_GB2312"/>
                <w:b/>
                <w:bCs/>
                <w:spacing w:val="10"/>
                <w:sz w:val="24"/>
              </w:rPr>
              <w:t>唐山市集中式饮用水水源地保护管理条例》</w:t>
            </w:r>
          </w:p>
          <w:p>
            <w:pPr>
              <w:adjustRightInd w:val="0"/>
              <w:snapToGrid w:val="0"/>
              <w:spacing w:line="360" w:lineRule="exact"/>
              <w:ind w:firstLine="12"/>
              <w:rPr>
                <w:rFonts w:hint="eastAsia" w:ascii="仿宋_GB2312" w:hAnsi="仿宋_GB2312" w:eastAsia="仿宋_GB2312" w:cs="仿宋_GB2312"/>
                <w:sz w:val="24"/>
              </w:rPr>
            </w:pPr>
            <w:r>
              <w:rPr>
                <w:rFonts w:hint="eastAsia" w:ascii="仿宋_GB2312" w:hAnsi="仿宋_GB2312" w:eastAsia="仿宋_GB2312" w:cs="仿宋_GB2312"/>
                <w:b/>
                <w:bCs/>
                <w:sz w:val="24"/>
              </w:rPr>
              <w:t>第三十四条 第三款</w:t>
            </w:r>
            <w:r>
              <w:rPr>
                <w:rFonts w:hint="eastAsia" w:ascii="仿宋_GB2312" w:hAnsi="仿宋_GB2312" w:eastAsia="仿宋_GB2312" w:cs="仿宋_GB2312"/>
                <w:sz w:val="24"/>
              </w:rPr>
              <w:t xml:space="preserve"> 违反本条例第二十条第三项规定的，由生态环境主管部门或者水库管理机构责令停止违法行为，处二万元以上五万元以下的罚款；情节较重的，处五万元以上十万元以下的罚款；情节严重的，处十万元以上二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3683" w:type="dxa"/>
            <w:gridSpan w:val="3"/>
            <w:noWrap w:val="0"/>
            <w:vAlign w:val="center"/>
          </w:tcPr>
          <w:p>
            <w:pPr>
              <w:adjustRightInd w:val="0"/>
              <w:snapToGrid w:val="0"/>
              <w:ind w:left="1488"/>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2"/>
                <w:sz w:val="28"/>
                <w:szCs w:val="28"/>
              </w:rPr>
              <w:t>裁量要素</w:t>
            </w:r>
          </w:p>
        </w:tc>
        <w:tc>
          <w:tcPr>
            <w:tcW w:w="5459" w:type="dxa"/>
            <w:gridSpan w:val="2"/>
            <w:noWrap w:val="0"/>
            <w:vAlign w:val="center"/>
          </w:tcPr>
          <w:p>
            <w:pPr>
              <w:adjustRightInd w:val="0"/>
              <w:snapToGrid w:val="0"/>
              <w:ind w:left="1891"/>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70" w:type="dxa"/>
            <w:noWrap w:val="0"/>
            <w:vAlign w:val="top"/>
          </w:tcPr>
          <w:p>
            <w:pPr>
              <w:adjustRightInd w:val="0"/>
              <w:snapToGrid w:val="0"/>
              <w:spacing w:before="218"/>
              <w:ind w:left="510"/>
              <w:rPr>
                <w:rFonts w:hint="eastAsia" w:ascii="仿宋_GB2312" w:hAnsi="仿宋_GB2312" w:eastAsia="仿宋_GB2312" w:cs="仿宋_GB2312"/>
                <w:b/>
                <w:bCs/>
                <w:sz w:val="24"/>
              </w:rPr>
            </w:pPr>
            <w:r>
              <w:rPr>
                <w:rFonts w:hint="eastAsia" w:ascii="仿宋_GB2312" w:hAnsi="仿宋_GB2312" w:eastAsia="仿宋_GB2312" w:cs="仿宋_GB2312"/>
                <w:b/>
                <w:bCs/>
                <w:spacing w:val="2"/>
                <w:sz w:val="24"/>
              </w:rPr>
              <w:t>要</w:t>
            </w:r>
            <w:r>
              <w:rPr>
                <w:rFonts w:hint="eastAsia" w:ascii="仿宋_GB2312" w:hAnsi="仿宋_GB2312" w:eastAsia="仿宋_GB2312" w:cs="仿宋_GB2312"/>
                <w:b/>
                <w:bCs/>
                <w:spacing w:val="1"/>
                <w:sz w:val="24"/>
              </w:rPr>
              <w:t>素</w:t>
            </w:r>
          </w:p>
        </w:tc>
        <w:tc>
          <w:tcPr>
            <w:tcW w:w="1505" w:type="dxa"/>
            <w:noWrap w:val="0"/>
            <w:vAlign w:val="center"/>
          </w:tcPr>
          <w:p>
            <w:pPr>
              <w:adjustRightInd w:val="0"/>
              <w:snapToGrid w:val="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7"/>
                <w:sz w:val="22"/>
                <w:szCs w:val="22"/>
              </w:rPr>
              <w:t>具</w:t>
            </w:r>
            <w:r>
              <w:rPr>
                <w:rFonts w:hint="eastAsia" w:ascii="仿宋_GB2312" w:hAnsi="仿宋_GB2312" w:eastAsia="仿宋_GB2312" w:cs="仿宋_GB2312"/>
                <w:b/>
                <w:bCs/>
                <w:spacing w:val="6"/>
                <w:sz w:val="22"/>
                <w:szCs w:val="22"/>
              </w:rPr>
              <w:t>体条件</w:t>
            </w:r>
          </w:p>
        </w:tc>
        <w:tc>
          <w:tcPr>
            <w:tcW w:w="708" w:type="dxa"/>
            <w:noWrap w:val="0"/>
            <w:vAlign w:val="center"/>
          </w:tcPr>
          <w:p>
            <w:pPr>
              <w:adjustRightInd w:val="0"/>
              <w:snapToGrid w:val="0"/>
              <w:spacing w:before="62"/>
              <w:ind w:left="118" w:right="113"/>
              <w:jc w:val="center"/>
              <w:rPr>
                <w:rFonts w:hint="eastAsia" w:ascii="仿宋_GB2312" w:hAnsi="仿宋_GB2312" w:eastAsia="仿宋_GB2312" w:cs="仿宋_GB2312"/>
                <w:b/>
                <w:bCs/>
                <w:spacing w:val="-14"/>
                <w:sz w:val="22"/>
                <w:szCs w:val="22"/>
              </w:rPr>
            </w:pPr>
            <w:r>
              <w:rPr>
                <w:rFonts w:hint="eastAsia" w:ascii="仿宋_GB2312" w:hAnsi="仿宋_GB2312" w:eastAsia="仿宋_GB2312" w:cs="仿宋_GB2312"/>
                <w:b/>
                <w:bCs/>
                <w:spacing w:val="-14"/>
                <w:sz w:val="22"/>
                <w:szCs w:val="22"/>
              </w:rPr>
              <w:t>构成</w:t>
            </w:r>
          </w:p>
          <w:p>
            <w:pPr>
              <w:adjustRightInd w:val="0"/>
              <w:snapToGrid w:val="0"/>
              <w:spacing w:before="62"/>
              <w:ind w:left="118" w:right="113"/>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14"/>
                <w:sz w:val="22"/>
                <w:szCs w:val="22"/>
              </w:rPr>
              <w:t>比</w:t>
            </w:r>
            <w:r>
              <w:rPr>
                <w:rFonts w:hint="eastAsia" w:ascii="仿宋_GB2312" w:hAnsi="仿宋_GB2312" w:eastAsia="仿宋_GB2312" w:cs="仿宋_GB2312"/>
                <w:b/>
                <w:bCs/>
                <w:spacing w:val="-12"/>
                <w:sz w:val="22"/>
                <w:szCs w:val="22"/>
              </w:rPr>
              <w:t>例</w:t>
            </w:r>
          </w:p>
        </w:tc>
        <w:tc>
          <w:tcPr>
            <w:tcW w:w="4287" w:type="dxa"/>
            <w:noWrap w:val="0"/>
            <w:vAlign w:val="top"/>
          </w:tcPr>
          <w:p>
            <w:pPr>
              <w:adjustRightInd w:val="0"/>
              <w:snapToGrid w:val="0"/>
              <w:spacing w:before="218"/>
              <w:ind w:left="16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程</w:t>
            </w:r>
            <w:r>
              <w:rPr>
                <w:rFonts w:hint="eastAsia" w:ascii="仿宋_GB2312" w:hAnsi="仿宋_GB2312" w:eastAsia="仿宋_GB2312" w:cs="仿宋_GB2312"/>
                <w:b/>
                <w:bCs/>
                <w:spacing w:val="3"/>
                <w:sz w:val="22"/>
                <w:szCs w:val="22"/>
              </w:rPr>
              <w:t>度</w:t>
            </w:r>
          </w:p>
        </w:tc>
        <w:tc>
          <w:tcPr>
            <w:tcW w:w="1172" w:type="dxa"/>
            <w:noWrap w:val="0"/>
            <w:vAlign w:val="top"/>
          </w:tcPr>
          <w:p>
            <w:pPr>
              <w:adjustRightInd w:val="0"/>
              <w:snapToGrid w:val="0"/>
              <w:spacing w:before="218"/>
              <w:ind w:left="2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470"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 程度</w:t>
            </w:r>
          </w:p>
        </w:tc>
        <w:tc>
          <w:tcPr>
            <w:tcW w:w="1505" w:type="dxa"/>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违法行为类型</w:t>
            </w:r>
          </w:p>
        </w:tc>
        <w:tc>
          <w:tcPr>
            <w:tcW w:w="708" w:type="dxa"/>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40%</w:t>
            </w: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在水体清洗汽油（</w:t>
            </w:r>
            <w:r>
              <w:rPr>
                <w:rFonts w:hint="eastAsia" w:ascii="仿宋_GB2312" w:hAnsi="仿宋_GB2312" w:eastAsia="仿宋_GB2312" w:cs="仿宋_GB2312"/>
                <w:spacing w:val="7"/>
                <w:sz w:val="24"/>
                <w:lang w:eastAsia="zh-Hans"/>
              </w:rPr>
              <w:t>油电混、油气混</w:t>
            </w:r>
            <w:r>
              <w:rPr>
                <w:rFonts w:hint="eastAsia" w:ascii="仿宋_GB2312" w:hAnsi="仿宋_GB2312" w:eastAsia="仿宋_GB2312" w:cs="仿宋_GB2312"/>
                <w:spacing w:val="7"/>
                <w:sz w:val="24"/>
              </w:rPr>
              <w:t>）车辆</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470"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505"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在水体清洗柴油车辆</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70"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505" w:type="dxa"/>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一年内违法次数</w:t>
            </w:r>
          </w:p>
        </w:tc>
        <w:tc>
          <w:tcPr>
            <w:tcW w:w="708" w:type="dxa"/>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首次实施违法行为的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0"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505"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再次实施违法行为的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0"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505"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第三次实施违法行为的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70"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505"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三次以上实施违法行为的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0"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整改情况</w:t>
            </w:r>
          </w:p>
        </w:tc>
        <w:tc>
          <w:tcPr>
            <w:tcW w:w="1505" w:type="dxa"/>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是否完成整改</w:t>
            </w:r>
          </w:p>
        </w:tc>
        <w:tc>
          <w:tcPr>
            <w:tcW w:w="708" w:type="dxa"/>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全面整改并停止违法行为的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0"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505"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4287" w:type="dxa"/>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正在整改但违法行为未完全消除的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0" w:type="dxa"/>
            <w:vMerge w:val="continue"/>
            <w:tcBorders>
              <w:top w:val="nil"/>
              <w:bottom w:val="single" w:color="auto" w:sz="4" w:space="0"/>
            </w:tcBorders>
            <w:noWrap w:val="0"/>
            <w:vAlign w:val="center"/>
          </w:tcPr>
          <w:p>
            <w:pPr>
              <w:adjustRightInd w:val="0"/>
              <w:snapToGrid w:val="0"/>
              <w:jc w:val="center"/>
              <w:rPr>
                <w:rFonts w:hint="eastAsia" w:ascii="仿宋_GB2312" w:hAnsi="仿宋_GB2312" w:eastAsia="仿宋_GB2312" w:cs="仿宋_GB2312"/>
                <w:b/>
                <w:bCs/>
                <w:sz w:val="24"/>
              </w:rPr>
            </w:pPr>
          </w:p>
        </w:tc>
        <w:tc>
          <w:tcPr>
            <w:tcW w:w="1505" w:type="dxa"/>
            <w:vMerge w:val="continue"/>
            <w:tcBorders>
              <w:top w:val="nil"/>
              <w:bottom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nil"/>
              <w:bottom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4287" w:type="dxa"/>
            <w:tcBorders>
              <w:bottom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复查时未采取整改措施的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配合调查</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取证情况</w:t>
            </w: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是否配合执法检查</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不配合检查的</w:t>
            </w:r>
          </w:p>
        </w:tc>
        <w:tc>
          <w:tcPr>
            <w:tcW w:w="1172" w:type="dxa"/>
            <w:tcBorders>
              <w:left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sz w:val="24"/>
              </w:rPr>
            </w:pPr>
          </w:p>
        </w:tc>
        <w:tc>
          <w:tcPr>
            <w:tcW w:w="150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4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配合检查的</w:t>
            </w:r>
          </w:p>
        </w:tc>
        <w:tc>
          <w:tcPr>
            <w:tcW w:w="1172" w:type="dxa"/>
            <w:tcBorders>
              <w:left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对社会影响</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或生态破坏</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50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是否造成社会影响或生态破坏</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造成社会影响或生态破坏的</w:t>
            </w:r>
          </w:p>
        </w:tc>
        <w:tc>
          <w:tcPr>
            <w:tcW w:w="1172" w:type="dxa"/>
            <w:tcBorders>
              <w:left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70" w:type="dxa"/>
            <w:vMerge w:val="continue"/>
            <w:tcBorders>
              <w:top w:val="single" w:color="auto" w:sz="4" w:space="0"/>
              <w:left w:val="single" w:color="auto" w:sz="4" w:space="0"/>
            </w:tcBorders>
            <w:noWrap w:val="0"/>
            <w:vAlign w:val="center"/>
          </w:tcPr>
          <w:p>
            <w:pPr>
              <w:adjustRightInd w:val="0"/>
              <w:snapToGrid w:val="0"/>
              <w:rPr>
                <w:rFonts w:hint="eastAsia" w:ascii="仿宋_GB2312" w:hAnsi="仿宋_GB2312" w:eastAsia="仿宋_GB2312" w:cs="仿宋_GB2312"/>
                <w:sz w:val="24"/>
              </w:rPr>
            </w:pPr>
          </w:p>
        </w:tc>
        <w:tc>
          <w:tcPr>
            <w:tcW w:w="1505" w:type="dxa"/>
            <w:vMerge w:val="continue"/>
            <w:tcBorders>
              <w:top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p>
        </w:tc>
        <w:tc>
          <w:tcPr>
            <w:tcW w:w="708" w:type="dxa"/>
            <w:vMerge w:val="continue"/>
            <w:tcBorders>
              <w:top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p>
        </w:tc>
        <w:tc>
          <w:tcPr>
            <w:tcW w:w="4287" w:type="dxa"/>
            <w:tcBorders>
              <w:top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未造成社会影响与生态破坏的</w:t>
            </w:r>
          </w:p>
        </w:tc>
        <w:tc>
          <w:tcPr>
            <w:tcW w:w="1172" w:type="dxa"/>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bl>
    <w:p>
      <w:pPr>
        <w:rPr>
          <w:rFonts w:hint="eastAsia"/>
          <w:vanish/>
        </w:rPr>
      </w:pPr>
    </w:p>
    <w:p>
      <w:pPr>
        <w:rPr>
          <w:rFonts w:hint="eastAsia"/>
          <w:vanish/>
        </w:rPr>
      </w:pPr>
    </w:p>
    <w:tbl>
      <w:tblPr>
        <w:tblStyle w:val="9"/>
        <w:tblW w:w="91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343"/>
        <w:gridCol w:w="1560"/>
        <w:gridCol w:w="251"/>
        <w:gridCol w:w="457"/>
        <w:gridCol w:w="231"/>
        <w:gridCol w:w="3569"/>
        <w:gridCol w:w="94"/>
        <w:gridCol w:w="1188"/>
        <w:gridCol w:w="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743" w:hRule="atLeast"/>
          <w:jc w:val="center"/>
        </w:trPr>
        <w:tc>
          <w:tcPr>
            <w:tcW w:w="9095" w:type="dxa"/>
            <w:gridSpan w:val="9"/>
            <w:noWrap w:val="0"/>
            <w:vAlign w:val="top"/>
          </w:tcPr>
          <w:p>
            <w:pPr>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p>
          <w:p>
            <w:pPr>
              <w:adjustRightInd w:val="0"/>
              <w:snapToGrid w:val="0"/>
              <w:ind w:left="147"/>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w:t>
            </w:r>
            <w:r>
              <w:rPr>
                <w:rFonts w:ascii="方正小标宋简体" w:hAnsi="方正小标宋简体" w:eastAsia="方正小标宋简体" w:cs="方正小标宋简体"/>
                <w:kern w:val="0"/>
                <w:sz w:val="40"/>
                <w:szCs w:val="40"/>
              </w:rPr>
              <w:t>唐山市</w:t>
            </w:r>
            <w:r>
              <w:rPr>
                <w:rFonts w:hint="eastAsia" w:ascii="方正小标宋简体" w:hAnsi="方正小标宋简体" w:eastAsia="方正小标宋简体" w:cs="方正小标宋简体"/>
                <w:kern w:val="0"/>
                <w:sz w:val="40"/>
                <w:szCs w:val="40"/>
              </w:rPr>
              <w:t>集中式饮用水水源地保护管理条例）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10" w:hRule="atLeast"/>
          <w:jc w:val="center"/>
        </w:trPr>
        <w:tc>
          <w:tcPr>
            <w:tcW w:w="1402" w:type="dxa"/>
            <w:noWrap w:val="0"/>
            <w:vAlign w:val="center"/>
          </w:tcPr>
          <w:p>
            <w:pPr>
              <w:adjustRightInd w:val="0"/>
              <w:snapToGrid w:val="0"/>
              <w:ind w:left="461"/>
              <w:rPr>
                <w:rFonts w:ascii="仿宋" w:hAnsi="仿宋" w:eastAsia="仿宋" w:cs="仿宋"/>
                <w:b/>
                <w:bCs/>
                <w:sz w:val="28"/>
                <w:szCs w:val="28"/>
              </w:rPr>
            </w:pPr>
            <w:r>
              <w:rPr>
                <w:rFonts w:ascii="仿宋" w:hAnsi="仿宋" w:eastAsia="仿宋" w:cs="仿宋"/>
                <w:b/>
                <w:bCs/>
                <w:spacing w:val="-4"/>
                <w:sz w:val="28"/>
                <w:szCs w:val="28"/>
              </w:rPr>
              <w:t>序</w:t>
            </w:r>
            <w:r>
              <w:rPr>
                <w:rFonts w:ascii="仿宋" w:hAnsi="仿宋" w:eastAsia="仿宋" w:cs="仿宋"/>
                <w:b/>
                <w:bCs/>
                <w:spacing w:val="-3"/>
                <w:sz w:val="28"/>
                <w:szCs w:val="28"/>
              </w:rPr>
              <w:t>号</w:t>
            </w:r>
          </w:p>
        </w:tc>
        <w:tc>
          <w:tcPr>
            <w:tcW w:w="7693" w:type="dxa"/>
            <w:gridSpan w:val="8"/>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2</w:t>
            </w:r>
            <w:r>
              <w:rPr>
                <w:rFonts w:hint="eastAsia" w:ascii="仿宋" w:hAnsi="仿宋" w:eastAsia="仿宋" w:cs="仿宋"/>
                <w:sz w:val="28"/>
                <w:szCs w:val="2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71" w:hRule="atLeast"/>
          <w:jc w:val="center"/>
        </w:trPr>
        <w:tc>
          <w:tcPr>
            <w:tcW w:w="1402" w:type="dxa"/>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4"/>
                <w:sz w:val="28"/>
                <w:szCs w:val="28"/>
              </w:rPr>
              <w:t>违</w:t>
            </w:r>
            <w:r>
              <w:rPr>
                <w:rFonts w:ascii="仿宋" w:hAnsi="仿宋" w:eastAsia="仿宋" w:cs="仿宋"/>
                <w:b/>
                <w:bCs/>
                <w:spacing w:val="-3"/>
                <w:sz w:val="28"/>
                <w:szCs w:val="28"/>
              </w:rPr>
              <w:t>法</w:t>
            </w:r>
            <w:r>
              <w:rPr>
                <w:rFonts w:ascii="仿宋" w:hAnsi="仿宋" w:eastAsia="仿宋" w:cs="仿宋"/>
                <w:b/>
                <w:bCs/>
                <w:spacing w:val="-2"/>
                <w:sz w:val="28"/>
                <w:szCs w:val="28"/>
              </w:rPr>
              <w:t>行为</w:t>
            </w:r>
          </w:p>
        </w:tc>
        <w:tc>
          <w:tcPr>
            <w:tcW w:w="7693" w:type="dxa"/>
            <w:gridSpan w:val="8"/>
            <w:noWrap w:val="0"/>
            <w:vAlign w:val="center"/>
          </w:tcPr>
          <w:p>
            <w:pPr>
              <w:adjustRightInd w:val="0"/>
              <w:snapToGrid w:val="0"/>
              <w:ind w:right="105"/>
              <w:rPr>
                <w:rFonts w:hint="eastAsia" w:ascii="仿宋_GB2312" w:hAnsi="仿宋_GB2312" w:eastAsia="仿宋_GB2312" w:cs="仿宋_GB2312"/>
                <w:sz w:val="24"/>
              </w:rPr>
            </w:pPr>
            <w:r>
              <w:rPr>
                <w:rFonts w:hint="eastAsia" w:ascii="仿宋_GB2312" w:hAnsi="仿宋_GB2312" w:eastAsia="仿宋_GB2312" w:cs="仿宋_GB2312"/>
                <w:sz w:val="24"/>
              </w:rPr>
              <w:t>企业事业单位迟报、谎报、瞒报、漏报饮用水水源污染事故造成影响的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3024" w:hRule="atLeast"/>
          <w:jc w:val="center"/>
        </w:trPr>
        <w:tc>
          <w:tcPr>
            <w:tcW w:w="1402" w:type="dxa"/>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7"/>
                <w:sz w:val="28"/>
                <w:szCs w:val="28"/>
              </w:rPr>
              <w:t>处</w:t>
            </w:r>
            <w:r>
              <w:rPr>
                <w:rFonts w:ascii="仿宋" w:hAnsi="仿宋" w:eastAsia="仿宋" w:cs="仿宋"/>
                <w:b/>
                <w:bCs/>
                <w:spacing w:val="-4"/>
                <w:sz w:val="28"/>
                <w:szCs w:val="28"/>
              </w:rPr>
              <w:t>罚依据</w:t>
            </w:r>
          </w:p>
        </w:tc>
        <w:tc>
          <w:tcPr>
            <w:tcW w:w="7693" w:type="dxa"/>
            <w:gridSpan w:val="8"/>
            <w:noWrap w:val="0"/>
            <w:vAlign w:val="top"/>
          </w:tcPr>
          <w:p>
            <w:pPr>
              <w:adjustRightInd w:val="0"/>
              <w:snapToGrid w:val="0"/>
              <w:rPr>
                <w:rFonts w:hint="eastAsia" w:ascii="仿宋_GB2312" w:hAnsi="仿宋_GB2312" w:eastAsia="仿宋_GB2312" w:cs="仿宋_GB2312"/>
                <w:spacing w:val="10"/>
                <w:sz w:val="24"/>
              </w:rPr>
            </w:pPr>
            <w:r>
              <w:rPr>
                <w:rFonts w:hint="eastAsia" w:ascii="仿宋_GB2312" w:hAnsi="仿宋_GB2312" w:eastAsia="仿宋_GB2312" w:cs="仿宋_GB2312"/>
                <w:spacing w:val="11"/>
                <w:sz w:val="24"/>
              </w:rPr>
              <w:t>1.</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唐山市集中式饮用水水源地保护管理条例》</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b/>
                <w:bCs/>
                <w:sz w:val="24"/>
              </w:rPr>
              <w:t>第二十七条</w:t>
            </w:r>
            <w:r>
              <w:rPr>
                <w:rFonts w:hint="eastAsia" w:ascii="仿宋_GB2312" w:hAnsi="仿宋_GB2312" w:eastAsia="仿宋_GB2312" w:cs="仿宋_GB2312"/>
                <w:sz w:val="24"/>
              </w:rPr>
              <w:t xml:space="preserve"> 业事业单位发生事故或者其他突发性事件，造成或者可能造成饮用水水源污染事故的，应当立即启动本单位的应急预案，采取应急措施，并向事故发生地的县级以上人民政府或者生态环境主管部门报告，不得迟报、谎报、瞒报、漏报；生态环境主管部门接到报告后，应当及时向本级人民政府报告，并抄送有关部门。</w:t>
            </w:r>
          </w:p>
          <w:p>
            <w:pPr>
              <w:adjustRightInd w:val="0"/>
              <w:snapToGrid w:val="0"/>
              <w:rPr>
                <w:rFonts w:hint="eastAsia" w:ascii="仿宋_GB2312" w:hAnsi="仿宋_GB2312" w:eastAsia="仿宋_GB2312" w:cs="仿宋_GB2312"/>
                <w:sz w:val="24"/>
              </w:rPr>
            </w:pPr>
          </w:p>
          <w:p>
            <w:pPr>
              <w:adjustRightInd w:val="0"/>
              <w:snapToGrid w:val="0"/>
              <w:rPr>
                <w:rFonts w:hint="eastAsia" w:ascii="仿宋_GB2312" w:hAnsi="仿宋_GB2312" w:eastAsia="仿宋_GB2312" w:cs="仿宋_GB2312"/>
                <w:b/>
                <w:bCs/>
                <w:sz w:val="24"/>
              </w:rPr>
            </w:pPr>
            <w:r>
              <w:rPr>
                <w:rFonts w:hint="eastAsia" w:ascii="仿宋_GB2312" w:hAnsi="仿宋_GB2312" w:eastAsia="仿宋_GB2312" w:cs="仿宋_GB2312"/>
                <w:spacing w:val="11"/>
                <w:sz w:val="24"/>
              </w:rPr>
              <w:t>2.</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唐山市集中式饮用水水源地保护管理条例》</w:t>
            </w:r>
          </w:p>
          <w:p>
            <w:pPr>
              <w:adjustRightInd w:val="0"/>
              <w:snapToGrid w:val="0"/>
              <w:ind w:right="100"/>
              <w:rPr>
                <w:rFonts w:hint="eastAsia" w:ascii="仿宋_GB2312" w:hAnsi="仿宋_GB2312" w:eastAsia="仿宋_GB2312" w:cs="仿宋_GB2312"/>
                <w:sz w:val="24"/>
              </w:rPr>
            </w:pPr>
            <w:r>
              <w:rPr>
                <w:rFonts w:hint="eastAsia" w:ascii="仿宋_GB2312" w:hAnsi="仿宋_GB2312" w:eastAsia="仿宋_GB2312" w:cs="仿宋_GB2312"/>
                <w:b/>
                <w:bCs/>
                <w:sz w:val="24"/>
              </w:rPr>
              <w:t>第三十五条</w:t>
            </w:r>
            <w:r>
              <w:rPr>
                <w:rFonts w:hint="eastAsia" w:ascii="仿宋_GB2312" w:hAnsi="仿宋_GB2312" w:eastAsia="仿宋_GB2312" w:cs="仿宋_GB2312"/>
                <w:sz w:val="24"/>
              </w:rPr>
              <w:t xml:space="preserve"> 违反本条例规定，企业事业单位迟报、谎报、瞒报、漏报饮用水水源污染事故造成影响的，由生态环境主管部门责令改正，处一万元以上三万元以下的罚款；情节严重的，处三万元以上十万元以下罚款。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74" w:hRule="atLeast"/>
          <w:jc w:val="center"/>
        </w:trPr>
        <w:tc>
          <w:tcPr>
            <w:tcW w:w="4013" w:type="dxa"/>
            <w:gridSpan w:val="5"/>
            <w:noWrap w:val="0"/>
            <w:vAlign w:val="center"/>
          </w:tcPr>
          <w:p>
            <w:pPr>
              <w:adjustRightInd w:val="0"/>
              <w:snapToGrid w:val="0"/>
              <w:ind w:left="1488"/>
              <w:rPr>
                <w:rFonts w:ascii="仿宋" w:hAnsi="仿宋" w:eastAsia="仿宋" w:cs="仿宋"/>
                <w:b/>
                <w:bCs/>
                <w:sz w:val="28"/>
                <w:szCs w:val="28"/>
              </w:rPr>
            </w:pPr>
            <w:r>
              <w:rPr>
                <w:rFonts w:ascii="仿宋" w:hAnsi="仿宋" w:eastAsia="仿宋" w:cs="仿宋"/>
                <w:b/>
                <w:bCs/>
                <w:spacing w:val="-2"/>
                <w:sz w:val="28"/>
                <w:szCs w:val="28"/>
              </w:rPr>
              <w:t>裁量要素</w:t>
            </w:r>
          </w:p>
        </w:tc>
        <w:tc>
          <w:tcPr>
            <w:tcW w:w="5082" w:type="dxa"/>
            <w:gridSpan w:val="4"/>
            <w:noWrap w:val="0"/>
            <w:vAlign w:val="center"/>
          </w:tcPr>
          <w:p>
            <w:pPr>
              <w:adjustRightInd w:val="0"/>
              <w:snapToGrid w:val="0"/>
              <w:ind w:left="1891"/>
              <w:rPr>
                <w:rFonts w:ascii="仿宋" w:hAnsi="仿宋" w:eastAsia="仿宋" w:cs="仿宋"/>
                <w:b/>
                <w:bCs/>
                <w:sz w:val="28"/>
                <w:szCs w:val="28"/>
              </w:rPr>
            </w:pPr>
            <w:r>
              <w:rPr>
                <w:rFonts w:ascii="仿宋" w:hAnsi="仿宋" w:eastAsia="仿宋"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674" w:hRule="atLeast"/>
          <w:jc w:val="center"/>
        </w:trPr>
        <w:tc>
          <w:tcPr>
            <w:tcW w:w="1402" w:type="dxa"/>
            <w:noWrap w:val="0"/>
            <w:vAlign w:val="center"/>
          </w:tcPr>
          <w:p>
            <w:pPr>
              <w:adjustRightInd w:val="0"/>
              <w:snapToGrid w:val="0"/>
              <w:ind w:left="510"/>
              <w:rPr>
                <w:rFonts w:hint="eastAsia" w:ascii="仿宋_GB2312" w:hAnsi="仿宋_GB2312" w:eastAsia="仿宋_GB2312" w:cs="仿宋_GB2312"/>
                <w:b/>
                <w:bCs/>
                <w:sz w:val="24"/>
              </w:rPr>
            </w:pPr>
            <w:r>
              <w:rPr>
                <w:rFonts w:hint="eastAsia" w:ascii="仿宋_GB2312" w:hAnsi="仿宋_GB2312" w:eastAsia="仿宋_GB2312" w:cs="仿宋_GB2312"/>
                <w:b/>
                <w:bCs/>
                <w:spacing w:val="2"/>
                <w:sz w:val="24"/>
              </w:rPr>
              <w:t>要</w:t>
            </w:r>
            <w:r>
              <w:rPr>
                <w:rFonts w:hint="eastAsia" w:ascii="仿宋_GB2312" w:hAnsi="仿宋_GB2312" w:eastAsia="仿宋_GB2312" w:cs="仿宋_GB2312"/>
                <w:b/>
                <w:bCs/>
                <w:spacing w:val="1"/>
                <w:sz w:val="24"/>
              </w:rPr>
              <w:t>素</w:t>
            </w:r>
          </w:p>
        </w:tc>
        <w:tc>
          <w:tcPr>
            <w:tcW w:w="1903" w:type="dxa"/>
            <w:gridSpan w:val="2"/>
            <w:noWrap w:val="0"/>
            <w:vAlign w:val="center"/>
          </w:tcPr>
          <w:p>
            <w:pPr>
              <w:adjustRightInd w:val="0"/>
              <w:snapToGrid w:val="0"/>
              <w:ind w:left="483"/>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7"/>
                <w:sz w:val="22"/>
                <w:szCs w:val="22"/>
              </w:rPr>
              <w:t>具</w:t>
            </w:r>
            <w:r>
              <w:rPr>
                <w:rFonts w:hint="eastAsia" w:ascii="仿宋_GB2312" w:hAnsi="仿宋_GB2312" w:eastAsia="仿宋_GB2312" w:cs="仿宋_GB2312"/>
                <w:b/>
                <w:bCs/>
                <w:spacing w:val="6"/>
                <w:sz w:val="22"/>
                <w:szCs w:val="22"/>
              </w:rPr>
              <w:t>体条件</w:t>
            </w:r>
          </w:p>
        </w:tc>
        <w:tc>
          <w:tcPr>
            <w:tcW w:w="708" w:type="dxa"/>
            <w:gridSpan w:val="2"/>
            <w:noWrap w:val="0"/>
            <w:vAlign w:val="center"/>
          </w:tcPr>
          <w:p>
            <w:pPr>
              <w:adjustRightInd w:val="0"/>
              <w:snapToGrid w:val="0"/>
              <w:ind w:left="118" w:right="113"/>
              <w:jc w:val="center"/>
              <w:rPr>
                <w:rFonts w:hint="eastAsia" w:ascii="仿宋_GB2312" w:hAnsi="仿宋_GB2312" w:eastAsia="仿宋_GB2312" w:cs="仿宋_GB2312"/>
                <w:b/>
                <w:bCs/>
                <w:spacing w:val="-14"/>
                <w:sz w:val="22"/>
                <w:szCs w:val="22"/>
              </w:rPr>
            </w:pPr>
            <w:r>
              <w:rPr>
                <w:rFonts w:hint="eastAsia" w:ascii="仿宋_GB2312" w:hAnsi="仿宋_GB2312" w:eastAsia="仿宋_GB2312" w:cs="仿宋_GB2312"/>
                <w:b/>
                <w:bCs/>
                <w:spacing w:val="-14"/>
                <w:sz w:val="22"/>
                <w:szCs w:val="22"/>
              </w:rPr>
              <w:t>构成</w:t>
            </w:r>
          </w:p>
          <w:p>
            <w:pPr>
              <w:adjustRightInd w:val="0"/>
              <w:snapToGrid w:val="0"/>
              <w:ind w:left="118" w:right="113"/>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14"/>
                <w:sz w:val="22"/>
                <w:szCs w:val="22"/>
              </w:rPr>
              <w:t>比</w:t>
            </w:r>
            <w:r>
              <w:rPr>
                <w:rFonts w:hint="eastAsia" w:ascii="仿宋_GB2312" w:hAnsi="仿宋_GB2312" w:eastAsia="仿宋_GB2312" w:cs="仿宋_GB2312"/>
                <w:b/>
                <w:bCs/>
                <w:spacing w:val="-12"/>
                <w:sz w:val="22"/>
                <w:szCs w:val="22"/>
              </w:rPr>
              <w:t>例</w:t>
            </w:r>
          </w:p>
        </w:tc>
        <w:tc>
          <w:tcPr>
            <w:tcW w:w="3800" w:type="dxa"/>
            <w:gridSpan w:val="2"/>
            <w:noWrap w:val="0"/>
            <w:vAlign w:val="center"/>
          </w:tcPr>
          <w:p>
            <w:pPr>
              <w:adjustRightInd w:val="0"/>
              <w:snapToGrid w:val="0"/>
              <w:ind w:left="16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程</w:t>
            </w:r>
            <w:r>
              <w:rPr>
                <w:rFonts w:hint="eastAsia" w:ascii="仿宋_GB2312" w:hAnsi="仿宋_GB2312" w:eastAsia="仿宋_GB2312" w:cs="仿宋_GB2312"/>
                <w:b/>
                <w:bCs/>
                <w:spacing w:val="3"/>
                <w:sz w:val="22"/>
                <w:szCs w:val="22"/>
              </w:rPr>
              <w:t>度</w:t>
            </w:r>
          </w:p>
        </w:tc>
        <w:tc>
          <w:tcPr>
            <w:tcW w:w="1282" w:type="dxa"/>
            <w:gridSpan w:val="2"/>
            <w:noWrap w:val="0"/>
            <w:vAlign w:val="center"/>
          </w:tcPr>
          <w:p>
            <w:pPr>
              <w:adjustRightInd w:val="0"/>
              <w:snapToGrid w:val="0"/>
              <w:ind w:firstLine="229" w:firstLineChars="100"/>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382" w:hRule="atLeast"/>
          <w:jc w:val="center"/>
        </w:trPr>
        <w:tc>
          <w:tcPr>
            <w:tcW w:w="1402" w:type="dxa"/>
            <w:vMerge w:val="restart"/>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903" w:type="dxa"/>
            <w:gridSpan w:val="2"/>
            <w:vMerge w:val="restart"/>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违法行为类型</w:t>
            </w:r>
          </w:p>
        </w:tc>
        <w:tc>
          <w:tcPr>
            <w:tcW w:w="708" w:type="dxa"/>
            <w:gridSpan w:val="2"/>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40%</w:t>
            </w:r>
          </w:p>
        </w:tc>
        <w:tc>
          <w:tcPr>
            <w:tcW w:w="3800" w:type="dxa"/>
            <w:gridSpan w:val="2"/>
            <w:tcBorders>
              <w:bottom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造成一般环境事故</w:t>
            </w:r>
          </w:p>
        </w:tc>
        <w:tc>
          <w:tcPr>
            <w:tcW w:w="1282" w:type="dxa"/>
            <w:gridSpan w:val="2"/>
            <w:tcBorders>
              <w:bottom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353" w:hRule="atLeast"/>
          <w:jc w:val="center"/>
        </w:trPr>
        <w:tc>
          <w:tcPr>
            <w:tcW w:w="1402" w:type="dxa"/>
            <w:vMerge w:val="continue"/>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tcBorders>
              <w:top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造成较大环境事故</w:t>
            </w:r>
          </w:p>
        </w:tc>
        <w:tc>
          <w:tcPr>
            <w:tcW w:w="1282" w:type="dxa"/>
            <w:gridSpan w:val="2"/>
            <w:tcBorders>
              <w:top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385" w:hRule="atLeast"/>
          <w:jc w:val="center"/>
        </w:trPr>
        <w:tc>
          <w:tcPr>
            <w:tcW w:w="1402" w:type="dxa"/>
            <w:vMerge w:val="continue"/>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tcBorders>
              <w:bottom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造成重大环境事故</w:t>
            </w:r>
          </w:p>
        </w:tc>
        <w:tc>
          <w:tcPr>
            <w:tcW w:w="1282" w:type="dxa"/>
            <w:gridSpan w:val="2"/>
            <w:tcBorders>
              <w:bottom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365" w:hRule="atLeast"/>
          <w:jc w:val="center"/>
        </w:trPr>
        <w:tc>
          <w:tcPr>
            <w:tcW w:w="1402" w:type="dxa"/>
            <w:vMerge w:val="continue"/>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tcBorders>
              <w:top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造成特别重大环境事故</w:t>
            </w:r>
          </w:p>
        </w:tc>
        <w:tc>
          <w:tcPr>
            <w:tcW w:w="1282" w:type="dxa"/>
            <w:gridSpan w:val="2"/>
            <w:tcBorders>
              <w:top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31%—40%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44" w:hRule="atLeast"/>
          <w:jc w:val="center"/>
        </w:trPr>
        <w:tc>
          <w:tcPr>
            <w:tcW w:w="1402"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903" w:type="dxa"/>
            <w:gridSpan w:val="2"/>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一年内违法次数</w:t>
            </w:r>
          </w:p>
        </w:tc>
        <w:tc>
          <w:tcPr>
            <w:tcW w:w="708" w:type="dxa"/>
            <w:gridSpan w:val="2"/>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首次实施违法行为的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44" w:hRule="atLeast"/>
          <w:jc w:val="center"/>
        </w:trPr>
        <w:tc>
          <w:tcPr>
            <w:tcW w:w="1402"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再次实施违法行为的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44" w:hRule="atLeast"/>
          <w:jc w:val="center"/>
        </w:trPr>
        <w:tc>
          <w:tcPr>
            <w:tcW w:w="1402"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第三次实施违法行为的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44" w:hRule="atLeast"/>
          <w:jc w:val="center"/>
        </w:trPr>
        <w:tc>
          <w:tcPr>
            <w:tcW w:w="1402"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三次以上实施违法行为的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98" w:hRule="atLeast"/>
          <w:jc w:val="center"/>
        </w:trPr>
        <w:tc>
          <w:tcPr>
            <w:tcW w:w="1402"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整改情况</w:t>
            </w:r>
          </w:p>
        </w:tc>
        <w:tc>
          <w:tcPr>
            <w:tcW w:w="1903" w:type="dxa"/>
            <w:gridSpan w:val="2"/>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是否完成整改</w:t>
            </w:r>
          </w:p>
        </w:tc>
        <w:tc>
          <w:tcPr>
            <w:tcW w:w="708" w:type="dxa"/>
            <w:gridSpan w:val="2"/>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全面整改并停止违法行为的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98" w:hRule="atLeast"/>
          <w:jc w:val="center"/>
        </w:trPr>
        <w:tc>
          <w:tcPr>
            <w:tcW w:w="1402"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正在整改但违法行为未完全消除的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98" w:hRule="atLeast"/>
          <w:jc w:val="center"/>
        </w:trPr>
        <w:tc>
          <w:tcPr>
            <w:tcW w:w="1402"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复查时未采取整改措施的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98" w:hRule="atLeast"/>
          <w:jc w:val="center"/>
        </w:trPr>
        <w:tc>
          <w:tcPr>
            <w:tcW w:w="1402"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配合调查</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取证情况</w:t>
            </w:r>
          </w:p>
        </w:tc>
        <w:tc>
          <w:tcPr>
            <w:tcW w:w="1903" w:type="dxa"/>
            <w:gridSpan w:val="2"/>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是否配合执法</w:t>
            </w:r>
          </w:p>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检查</w:t>
            </w:r>
          </w:p>
        </w:tc>
        <w:tc>
          <w:tcPr>
            <w:tcW w:w="708" w:type="dxa"/>
            <w:gridSpan w:val="2"/>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不配合检查的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98" w:hRule="atLeast"/>
          <w:jc w:val="center"/>
        </w:trPr>
        <w:tc>
          <w:tcPr>
            <w:tcW w:w="1402"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708"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配合检查的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98" w:hRule="atLeast"/>
          <w:jc w:val="center"/>
        </w:trPr>
        <w:tc>
          <w:tcPr>
            <w:tcW w:w="1402"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对社会影响</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或生态破坏</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903" w:type="dxa"/>
            <w:gridSpan w:val="2"/>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是否造成社会影响或生态破坏</w:t>
            </w:r>
          </w:p>
        </w:tc>
        <w:tc>
          <w:tcPr>
            <w:tcW w:w="708" w:type="dxa"/>
            <w:gridSpan w:val="2"/>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造成社会影响或生态破坏的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00" w:hRule="atLeast"/>
          <w:jc w:val="center"/>
        </w:trPr>
        <w:tc>
          <w:tcPr>
            <w:tcW w:w="1402" w:type="dxa"/>
            <w:vMerge w:val="continue"/>
            <w:tcBorders>
              <w:top w:val="nil"/>
            </w:tcBorders>
            <w:noWrap w:val="0"/>
            <w:vAlign w:val="center"/>
          </w:tcPr>
          <w:p>
            <w:pPr>
              <w:adjustRightInd w:val="0"/>
              <w:snapToGrid w:val="0"/>
              <w:rPr>
                <w:rFonts w:hint="eastAsia" w:ascii="仿宋_GB2312" w:hAnsi="仿宋_GB2312" w:eastAsia="仿宋_GB2312" w:cs="仿宋_GB2312"/>
                <w:sz w:val="24"/>
              </w:rPr>
            </w:pPr>
          </w:p>
        </w:tc>
        <w:tc>
          <w:tcPr>
            <w:tcW w:w="1903" w:type="dxa"/>
            <w:gridSpan w:val="2"/>
            <w:vMerge w:val="continue"/>
            <w:tcBorders>
              <w:top w:val="nil"/>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p>
        </w:tc>
        <w:tc>
          <w:tcPr>
            <w:tcW w:w="708" w:type="dxa"/>
            <w:gridSpan w:val="2"/>
            <w:vMerge w:val="continue"/>
            <w:tcBorders>
              <w:top w:val="nil"/>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p>
        </w:tc>
        <w:tc>
          <w:tcPr>
            <w:tcW w:w="3800"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未造成社会影响与生态破坏的</w:t>
            </w:r>
          </w:p>
        </w:tc>
        <w:tc>
          <w:tcPr>
            <w:tcW w:w="1282" w:type="dxa"/>
            <w:gridSpan w:val="2"/>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04" w:type="dxa"/>
            <w:gridSpan w:val="10"/>
            <w:noWrap w:val="0"/>
            <w:vAlign w:val="top"/>
          </w:tcPr>
          <w:p>
            <w:pPr>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p>
          <w:p>
            <w:pPr>
              <w:jc w:val="center"/>
              <w:rPr>
                <w:rFonts w:hint="eastAsia" w:ascii="微软雅黑" w:hAnsi="微软雅黑" w:eastAsia="方正小标宋简体" w:cs="微软雅黑"/>
                <w:spacing w:val="20"/>
                <w:sz w:val="28"/>
                <w:szCs w:val="28"/>
              </w:rPr>
            </w:pPr>
            <w:r>
              <w:rPr>
                <w:rFonts w:hint="eastAsia" w:ascii="方正小标宋简体" w:hAnsi="方正小标宋简体" w:eastAsia="方正小标宋简体" w:cs="方正小标宋简体"/>
                <w:kern w:val="0"/>
                <w:sz w:val="40"/>
                <w:szCs w:val="40"/>
              </w:rPr>
              <w:t>（</w:t>
            </w:r>
            <w:r>
              <w:rPr>
                <w:rFonts w:ascii="方正小标宋简体" w:hAnsi="方正小标宋简体" w:eastAsia="方正小标宋简体" w:cs="方正小标宋简体"/>
                <w:kern w:val="0"/>
                <w:sz w:val="40"/>
                <w:szCs w:val="40"/>
              </w:rPr>
              <w:t>唐山市</w:t>
            </w:r>
            <w:r>
              <w:rPr>
                <w:rFonts w:hint="eastAsia" w:ascii="方正小标宋简体" w:hAnsi="方正小标宋简体" w:eastAsia="方正小标宋简体" w:cs="方正小标宋简体"/>
                <w:kern w:val="0"/>
                <w:sz w:val="40"/>
                <w:szCs w:val="40"/>
              </w:rPr>
              <w:t>生态环境保护条例）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745" w:type="dxa"/>
            <w:gridSpan w:val="2"/>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4"/>
                <w:sz w:val="28"/>
                <w:szCs w:val="28"/>
              </w:rPr>
              <w:t>序</w:t>
            </w:r>
            <w:r>
              <w:rPr>
                <w:rFonts w:ascii="仿宋" w:hAnsi="仿宋" w:eastAsia="仿宋" w:cs="仿宋"/>
                <w:b/>
                <w:bCs/>
                <w:spacing w:val="-3"/>
                <w:sz w:val="28"/>
                <w:szCs w:val="28"/>
              </w:rPr>
              <w:t>号</w:t>
            </w:r>
          </w:p>
        </w:tc>
        <w:tc>
          <w:tcPr>
            <w:tcW w:w="7359" w:type="dxa"/>
            <w:gridSpan w:val="8"/>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w:t>
            </w:r>
            <w:r>
              <w:rPr>
                <w:rFonts w:hint="eastAsia" w:ascii="仿宋" w:hAnsi="仿宋" w:eastAsia="仿宋" w:cs="仿宋"/>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745" w:type="dxa"/>
            <w:gridSpan w:val="2"/>
            <w:noWrap w:val="0"/>
            <w:vAlign w:val="center"/>
          </w:tcPr>
          <w:p>
            <w:pPr>
              <w:adjustRightInd w:val="0"/>
              <w:snapToGrid w:val="0"/>
              <w:ind w:firstLine="273" w:firstLineChars="100"/>
              <w:rPr>
                <w:rFonts w:ascii="仿宋" w:hAnsi="仿宋" w:eastAsia="仿宋" w:cs="仿宋"/>
                <w:b/>
                <w:bCs/>
                <w:sz w:val="28"/>
                <w:szCs w:val="28"/>
              </w:rPr>
            </w:pPr>
            <w:r>
              <w:rPr>
                <w:rFonts w:ascii="仿宋" w:hAnsi="仿宋" w:eastAsia="仿宋" w:cs="仿宋"/>
                <w:b/>
                <w:bCs/>
                <w:spacing w:val="-4"/>
                <w:sz w:val="28"/>
                <w:szCs w:val="28"/>
              </w:rPr>
              <w:t>违</w:t>
            </w:r>
            <w:r>
              <w:rPr>
                <w:rFonts w:ascii="仿宋" w:hAnsi="仿宋" w:eastAsia="仿宋" w:cs="仿宋"/>
                <w:b/>
                <w:bCs/>
                <w:spacing w:val="-3"/>
                <w:sz w:val="28"/>
                <w:szCs w:val="28"/>
              </w:rPr>
              <w:t>法</w:t>
            </w:r>
            <w:r>
              <w:rPr>
                <w:rFonts w:ascii="仿宋" w:hAnsi="仿宋" w:eastAsia="仿宋" w:cs="仿宋"/>
                <w:b/>
                <w:bCs/>
                <w:spacing w:val="-2"/>
                <w:sz w:val="28"/>
                <w:szCs w:val="28"/>
              </w:rPr>
              <w:t>行为</w:t>
            </w:r>
          </w:p>
        </w:tc>
        <w:tc>
          <w:tcPr>
            <w:tcW w:w="7359" w:type="dxa"/>
            <w:gridSpan w:val="8"/>
            <w:noWrap w:val="0"/>
            <w:vAlign w:val="center"/>
          </w:tcPr>
          <w:p>
            <w:pPr>
              <w:adjustRightInd w:val="0"/>
              <w:snapToGrid w:val="0"/>
              <w:spacing w:before="39"/>
              <w:ind w:right="105"/>
              <w:rPr>
                <w:rFonts w:hint="eastAsia" w:ascii="仿宋_GB2312" w:hAnsi="仿宋_GB2312" w:eastAsia="仿宋_GB2312" w:cs="仿宋_GB2312"/>
                <w:sz w:val="24"/>
              </w:rPr>
            </w:pPr>
            <w:r>
              <w:rPr>
                <w:rFonts w:hint="eastAsia" w:ascii="仿宋_GB2312" w:hAnsi="仿宋_GB2312" w:eastAsia="仿宋_GB2312" w:cs="仿宋_GB2312"/>
                <w:sz w:val="24"/>
              </w:rPr>
              <w:t>排污单位主要负责人未按照规定履行环境保护管理职责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9" w:hRule="atLeast"/>
          <w:jc w:val="center"/>
        </w:trPr>
        <w:tc>
          <w:tcPr>
            <w:tcW w:w="1745" w:type="dxa"/>
            <w:gridSpan w:val="2"/>
            <w:noWrap w:val="0"/>
            <w:vAlign w:val="center"/>
          </w:tcPr>
          <w:p>
            <w:pPr>
              <w:adjustRightInd w:val="0"/>
              <w:snapToGrid w:val="0"/>
              <w:spacing w:before="91"/>
              <w:jc w:val="center"/>
              <w:rPr>
                <w:rFonts w:ascii="仿宋" w:hAnsi="仿宋" w:eastAsia="仿宋" w:cs="仿宋"/>
                <w:b/>
                <w:bCs/>
                <w:sz w:val="28"/>
                <w:szCs w:val="28"/>
              </w:rPr>
            </w:pPr>
            <w:r>
              <w:rPr>
                <w:rFonts w:ascii="仿宋" w:hAnsi="仿宋" w:eastAsia="仿宋" w:cs="仿宋"/>
                <w:b/>
                <w:bCs/>
                <w:spacing w:val="-7"/>
                <w:sz w:val="28"/>
                <w:szCs w:val="28"/>
              </w:rPr>
              <w:t>处</w:t>
            </w:r>
            <w:r>
              <w:rPr>
                <w:rFonts w:ascii="仿宋" w:hAnsi="仿宋" w:eastAsia="仿宋" w:cs="仿宋"/>
                <w:b/>
                <w:bCs/>
                <w:spacing w:val="-4"/>
                <w:sz w:val="28"/>
                <w:szCs w:val="28"/>
              </w:rPr>
              <w:t>罚依据</w:t>
            </w:r>
          </w:p>
        </w:tc>
        <w:tc>
          <w:tcPr>
            <w:tcW w:w="7359" w:type="dxa"/>
            <w:gridSpan w:val="8"/>
            <w:noWrap w:val="0"/>
            <w:vAlign w:val="top"/>
          </w:tcPr>
          <w:p>
            <w:pPr>
              <w:adjustRightInd w:val="0"/>
              <w:snapToGrid w:val="0"/>
              <w:spacing w:line="300" w:lineRule="exact"/>
              <w:rPr>
                <w:rFonts w:hint="eastAsia" w:ascii="仿宋_GB2312" w:hAnsi="仿宋_GB2312" w:eastAsia="仿宋_GB2312" w:cs="仿宋_GB2312"/>
                <w:b/>
                <w:bCs/>
                <w:sz w:val="24"/>
              </w:rPr>
            </w:pPr>
            <w:r>
              <w:rPr>
                <w:rFonts w:hint="eastAsia" w:ascii="仿宋_GB2312" w:hAnsi="仿宋_GB2312" w:eastAsia="仿宋_GB2312" w:cs="仿宋_GB2312"/>
                <w:spacing w:val="11"/>
                <w:sz w:val="24"/>
              </w:rPr>
              <w:t>1.</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唐山市生态环境保护条例》</w:t>
            </w:r>
          </w:p>
          <w:p>
            <w:pPr>
              <w:adjustRightInd w:val="0"/>
              <w:snapToGrid w:val="0"/>
              <w:spacing w:line="30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b/>
                <w:bCs/>
                <w:spacing w:val="11"/>
                <w:sz w:val="24"/>
              </w:rPr>
              <w:t>第二十八条</w:t>
            </w:r>
            <w:r>
              <w:rPr>
                <w:rFonts w:hint="eastAsia" w:ascii="仿宋_GB2312" w:hAnsi="仿宋_GB2312" w:eastAsia="仿宋_GB2312" w:cs="仿宋_GB2312"/>
                <w:spacing w:val="11"/>
                <w:sz w:val="24"/>
              </w:rPr>
              <w:t xml:space="preserve"> 排放污染物的企业事业单位和其他生产经营者是污染防治的责任主体，应当建立以下生态环境保护责任制度，明确负责人和相关人员的责任：（一）确定生态环境保护工作机构或者配备专职管理人员；（二）制定完善生态环境保护管理制度和防治污染设施操作规程；（三）保证各生产环节符合生态环境保护法律法规、标准和技术规范的要求；（四）建立健全生态环境保护工作档案；（五）建立健全生态环境应急和生态环境风险防范机制，及时消除生态环境安全隐患；（六）按要求落实环境信息依法披露制度；（七）法律法规规定的其他生态环境保护责任。</w:t>
            </w:r>
          </w:p>
          <w:p>
            <w:pPr>
              <w:adjustRightInd w:val="0"/>
              <w:snapToGrid w:val="0"/>
              <w:spacing w:line="300" w:lineRule="exact"/>
              <w:ind w:firstLine="12"/>
              <w:rPr>
                <w:rFonts w:hint="eastAsia" w:ascii="仿宋_GB2312" w:hAnsi="仿宋_GB2312" w:eastAsia="仿宋_GB2312" w:cs="仿宋_GB2312"/>
                <w:spacing w:val="11"/>
                <w:sz w:val="24"/>
              </w:rPr>
            </w:pPr>
          </w:p>
          <w:p>
            <w:pPr>
              <w:adjustRightInd w:val="0"/>
              <w:snapToGrid w:val="0"/>
              <w:spacing w:line="300" w:lineRule="exact"/>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2.</w:t>
            </w:r>
            <w:r>
              <w:rPr>
                <w:rFonts w:hint="eastAsia" w:ascii="仿宋_GB2312" w:hAnsi="仿宋_GB2312" w:eastAsia="仿宋_GB2312" w:cs="仿宋_GB2312"/>
                <w:b/>
                <w:bCs/>
                <w:spacing w:val="11"/>
                <w:sz w:val="24"/>
              </w:rPr>
              <w:t>《唐山市生态环境保护条例》</w:t>
            </w:r>
          </w:p>
          <w:p>
            <w:pPr>
              <w:adjustRightInd w:val="0"/>
              <w:snapToGrid w:val="0"/>
              <w:spacing w:line="300" w:lineRule="exact"/>
              <w:ind w:firstLine="12"/>
              <w:rPr>
                <w:rFonts w:hint="eastAsia" w:ascii="仿宋_GB2312" w:hAnsi="仿宋_GB2312" w:eastAsia="仿宋_GB2312" w:cs="仿宋_GB2312"/>
                <w:sz w:val="24"/>
              </w:rPr>
            </w:pPr>
            <w:r>
              <w:rPr>
                <w:rFonts w:hint="eastAsia" w:ascii="仿宋_GB2312" w:hAnsi="仿宋_GB2312" w:eastAsia="仿宋_GB2312" w:cs="仿宋_GB2312"/>
                <w:b/>
                <w:bCs/>
                <w:spacing w:val="11"/>
                <w:sz w:val="24"/>
              </w:rPr>
              <w:t>第四十九条</w:t>
            </w:r>
            <w:r>
              <w:rPr>
                <w:rFonts w:hint="eastAsia" w:ascii="仿宋_GB2312" w:hAnsi="仿宋_GB2312" w:eastAsia="仿宋_GB2312" w:cs="仿宋_GB2312"/>
                <w:spacing w:val="11"/>
                <w:sz w:val="24"/>
              </w:rPr>
              <w:t xml:space="preserve"> 违反本条例第二十八条规定，排污单位主要负责人未按照规定履行环境保护管理职责，由生态环境主管部门予以警告，责令限期改正；逾期不改正的，处一万元以上十万元以下罚款。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4244" w:type="dxa"/>
            <w:gridSpan w:val="6"/>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2"/>
                <w:sz w:val="28"/>
                <w:szCs w:val="28"/>
              </w:rPr>
              <w:t>裁量要素</w:t>
            </w:r>
          </w:p>
        </w:tc>
        <w:tc>
          <w:tcPr>
            <w:tcW w:w="4860" w:type="dxa"/>
            <w:gridSpan w:val="4"/>
            <w:noWrap w:val="0"/>
            <w:vAlign w:val="center"/>
          </w:tcPr>
          <w:p>
            <w:pPr>
              <w:adjustRightInd w:val="0"/>
              <w:snapToGrid w:val="0"/>
              <w:ind w:left="1891"/>
              <w:rPr>
                <w:rFonts w:ascii="仿宋" w:hAnsi="仿宋" w:eastAsia="仿宋" w:cs="仿宋"/>
                <w:b/>
                <w:bCs/>
                <w:sz w:val="28"/>
                <w:szCs w:val="28"/>
              </w:rPr>
            </w:pPr>
            <w:r>
              <w:rPr>
                <w:rFonts w:ascii="仿宋" w:hAnsi="仿宋" w:eastAsia="仿宋" w:cs="仿宋"/>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745" w:type="dxa"/>
            <w:gridSpan w:val="2"/>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pacing w:val="2"/>
                <w:sz w:val="24"/>
              </w:rPr>
              <w:t>要</w:t>
            </w:r>
            <w:r>
              <w:rPr>
                <w:rFonts w:hint="eastAsia" w:ascii="仿宋_GB2312" w:hAnsi="仿宋_GB2312" w:eastAsia="仿宋_GB2312" w:cs="仿宋_GB2312"/>
                <w:b/>
                <w:bCs/>
                <w:spacing w:val="1"/>
                <w:sz w:val="24"/>
              </w:rPr>
              <w:t>素</w:t>
            </w:r>
          </w:p>
        </w:tc>
        <w:tc>
          <w:tcPr>
            <w:tcW w:w="1811" w:type="dxa"/>
            <w:gridSpan w:val="2"/>
            <w:noWrap w:val="0"/>
            <w:vAlign w:val="center"/>
          </w:tcPr>
          <w:p>
            <w:pPr>
              <w:adjustRightInd w:val="0"/>
              <w:snapToGrid w:val="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7"/>
                <w:sz w:val="22"/>
                <w:szCs w:val="22"/>
              </w:rPr>
              <w:t>具</w:t>
            </w:r>
            <w:r>
              <w:rPr>
                <w:rFonts w:hint="eastAsia" w:ascii="仿宋_GB2312" w:hAnsi="仿宋_GB2312" w:eastAsia="仿宋_GB2312" w:cs="仿宋_GB2312"/>
                <w:b/>
                <w:bCs/>
                <w:spacing w:val="6"/>
                <w:sz w:val="22"/>
                <w:szCs w:val="22"/>
              </w:rPr>
              <w:t>体条件</w:t>
            </w:r>
          </w:p>
        </w:tc>
        <w:tc>
          <w:tcPr>
            <w:tcW w:w="688" w:type="dxa"/>
            <w:gridSpan w:val="2"/>
            <w:noWrap w:val="0"/>
            <w:vAlign w:val="top"/>
          </w:tcPr>
          <w:p>
            <w:pPr>
              <w:adjustRightInd w:val="0"/>
              <w:snapToGrid w:val="0"/>
              <w:spacing w:before="62"/>
              <w:ind w:left="118" w:right="113"/>
              <w:rPr>
                <w:rFonts w:hint="eastAsia" w:ascii="仿宋_GB2312" w:hAnsi="仿宋_GB2312" w:eastAsia="仿宋_GB2312" w:cs="仿宋_GB2312"/>
                <w:b/>
                <w:bCs/>
                <w:spacing w:val="-14"/>
                <w:sz w:val="22"/>
                <w:szCs w:val="22"/>
              </w:rPr>
            </w:pPr>
            <w:r>
              <w:rPr>
                <w:rFonts w:hint="eastAsia" w:ascii="仿宋_GB2312" w:hAnsi="仿宋_GB2312" w:eastAsia="仿宋_GB2312" w:cs="仿宋_GB2312"/>
                <w:b/>
                <w:bCs/>
                <w:spacing w:val="-14"/>
                <w:sz w:val="22"/>
                <w:szCs w:val="22"/>
              </w:rPr>
              <w:t>构成</w:t>
            </w:r>
          </w:p>
          <w:p>
            <w:pPr>
              <w:adjustRightInd w:val="0"/>
              <w:snapToGrid w:val="0"/>
              <w:spacing w:before="62"/>
              <w:ind w:left="118" w:right="113"/>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14"/>
                <w:sz w:val="22"/>
                <w:szCs w:val="22"/>
              </w:rPr>
              <w:t>比</w:t>
            </w:r>
            <w:r>
              <w:rPr>
                <w:rFonts w:hint="eastAsia" w:ascii="仿宋_GB2312" w:hAnsi="仿宋_GB2312" w:eastAsia="仿宋_GB2312" w:cs="仿宋_GB2312"/>
                <w:b/>
                <w:bCs/>
                <w:spacing w:val="-12"/>
                <w:sz w:val="22"/>
                <w:szCs w:val="22"/>
              </w:rPr>
              <w:t>例</w:t>
            </w:r>
          </w:p>
        </w:tc>
        <w:tc>
          <w:tcPr>
            <w:tcW w:w="3663" w:type="dxa"/>
            <w:gridSpan w:val="2"/>
            <w:noWrap w:val="0"/>
            <w:vAlign w:val="top"/>
          </w:tcPr>
          <w:p>
            <w:pPr>
              <w:adjustRightInd w:val="0"/>
              <w:snapToGrid w:val="0"/>
              <w:spacing w:before="218"/>
              <w:ind w:left="16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程</w:t>
            </w:r>
            <w:r>
              <w:rPr>
                <w:rFonts w:hint="eastAsia" w:ascii="仿宋_GB2312" w:hAnsi="仿宋_GB2312" w:eastAsia="仿宋_GB2312" w:cs="仿宋_GB2312"/>
                <w:b/>
                <w:bCs/>
                <w:spacing w:val="3"/>
                <w:sz w:val="22"/>
                <w:szCs w:val="22"/>
              </w:rPr>
              <w:t>度</w:t>
            </w:r>
          </w:p>
        </w:tc>
        <w:tc>
          <w:tcPr>
            <w:tcW w:w="1197" w:type="dxa"/>
            <w:gridSpan w:val="2"/>
            <w:noWrap w:val="0"/>
            <w:vAlign w:val="top"/>
          </w:tcPr>
          <w:p>
            <w:pPr>
              <w:adjustRightInd w:val="0"/>
              <w:snapToGrid w:val="0"/>
              <w:spacing w:before="218"/>
              <w:ind w:left="2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745" w:type="dxa"/>
            <w:gridSpan w:val="2"/>
            <w:vMerge w:val="restart"/>
            <w:tcBorders>
              <w:bottom w:val="nil"/>
            </w:tcBorders>
            <w:noWrap w:val="0"/>
            <w:vAlign w:val="center"/>
          </w:tcPr>
          <w:p>
            <w:pPr>
              <w:adjustRightInd w:val="0"/>
              <w:snapToGrid w:val="0"/>
              <w:jc w:val="center"/>
              <w:rPr>
                <w:rFonts w:hint="eastAsia" w:ascii="仿宋_GB2312" w:hAnsi="仿宋_GB2312" w:eastAsia="仿宋_GB2312" w:cs="仿宋_GB2312"/>
                <w:b/>
                <w:bCs/>
                <w:spacing w:val="8"/>
                <w:sz w:val="24"/>
              </w:rPr>
            </w:pPr>
            <w:r>
              <w:rPr>
                <w:rFonts w:hint="eastAsia" w:ascii="仿宋_GB2312" w:hAnsi="仿宋_GB2312" w:eastAsia="仿宋_GB2312" w:cs="仿宋_GB2312"/>
                <w:b/>
                <w:bCs/>
                <w:spacing w:val="8"/>
                <w:sz w:val="24"/>
              </w:rPr>
              <w:t>对环境影响</w:t>
            </w:r>
          </w:p>
          <w:p>
            <w:pPr>
              <w:adjustRightInd w:val="0"/>
              <w:snapToGrid w:val="0"/>
              <w:jc w:val="center"/>
              <w:rPr>
                <w:rFonts w:hint="eastAsia" w:ascii="仿宋_GB2312" w:hAnsi="仿宋_GB2312" w:eastAsia="仿宋_GB2312" w:cs="仿宋_GB2312"/>
                <w:b/>
                <w:bCs/>
                <w:spacing w:val="8"/>
                <w:sz w:val="24"/>
              </w:rPr>
            </w:pPr>
            <w:r>
              <w:rPr>
                <w:rFonts w:hint="eastAsia" w:ascii="仿宋_GB2312" w:hAnsi="仿宋_GB2312" w:eastAsia="仿宋_GB2312" w:cs="仿宋_GB2312"/>
                <w:b/>
                <w:bCs/>
                <w:spacing w:val="8"/>
                <w:sz w:val="24"/>
              </w:rPr>
              <w:t>程度</w:t>
            </w:r>
          </w:p>
        </w:tc>
        <w:tc>
          <w:tcPr>
            <w:tcW w:w="1811" w:type="dxa"/>
            <w:gridSpan w:val="2"/>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违法行为类型</w:t>
            </w:r>
          </w:p>
        </w:tc>
        <w:tc>
          <w:tcPr>
            <w:tcW w:w="688" w:type="dxa"/>
            <w:gridSpan w:val="2"/>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40%</w:t>
            </w: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排污单位主要负责人未履行第二十八条规定不足三项的环境保护管理职责</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1745" w:type="dxa"/>
            <w:gridSpan w:val="2"/>
            <w:vMerge w:val="continue"/>
            <w:tcBorders>
              <w:top w:val="nil"/>
            </w:tcBorders>
            <w:noWrap w:val="0"/>
            <w:vAlign w:val="center"/>
          </w:tcPr>
          <w:p>
            <w:pPr>
              <w:adjustRightInd w:val="0"/>
              <w:snapToGrid w:val="0"/>
              <w:jc w:val="center"/>
              <w:rPr>
                <w:rFonts w:hint="eastAsia" w:ascii="仿宋_GB2312" w:hAnsi="仿宋_GB2312" w:eastAsia="仿宋_GB2312" w:cs="仿宋_GB2312"/>
                <w:b/>
                <w:bCs/>
                <w:spacing w:val="8"/>
                <w:sz w:val="24"/>
              </w:rPr>
            </w:pPr>
          </w:p>
        </w:tc>
        <w:tc>
          <w:tcPr>
            <w:tcW w:w="1811"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688" w:type="dxa"/>
            <w:gridSpan w:val="2"/>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排污单位主要负责人未履行第二十八条规定三项以上的环境保护管理职责</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745" w:type="dxa"/>
            <w:gridSpan w:val="2"/>
            <w:vMerge w:val="restart"/>
            <w:tcBorders>
              <w:bottom w:val="nil"/>
            </w:tcBorders>
            <w:noWrap w:val="0"/>
            <w:vAlign w:val="center"/>
          </w:tcPr>
          <w:p>
            <w:pPr>
              <w:adjustRightInd w:val="0"/>
              <w:snapToGrid w:val="0"/>
              <w:jc w:val="center"/>
              <w:rPr>
                <w:rFonts w:hint="eastAsia" w:ascii="仿宋_GB2312" w:hAnsi="仿宋_GB2312" w:eastAsia="仿宋_GB2312" w:cs="仿宋_GB2312"/>
                <w:b/>
                <w:bCs/>
                <w:spacing w:val="8"/>
                <w:sz w:val="24"/>
              </w:rPr>
            </w:pPr>
            <w:r>
              <w:rPr>
                <w:rFonts w:hint="eastAsia" w:ascii="仿宋_GB2312" w:hAnsi="仿宋_GB2312" w:eastAsia="仿宋_GB2312" w:cs="仿宋_GB2312"/>
                <w:b/>
                <w:bCs/>
                <w:spacing w:val="8"/>
                <w:sz w:val="24"/>
              </w:rPr>
              <w:t>违法频次</w:t>
            </w:r>
          </w:p>
        </w:tc>
        <w:tc>
          <w:tcPr>
            <w:tcW w:w="1811" w:type="dxa"/>
            <w:gridSpan w:val="2"/>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一年内违数</w:t>
            </w:r>
          </w:p>
        </w:tc>
        <w:tc>
          <w:tcPr>
            <w:tcW w:w="688" w:type="dxa"/>
            <w:gridSpan w:val="2"/>
            <w:vMerge w:val="restart"/>
            <w:tcBorders>
              <w:bottom w:val="nil"/>
            </w:tcBorders>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首次实施违法行为的</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745" w:type="dxa"/>
            <w:gridSpan w:val="2"/>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pacing w:val="8"/>
                <w:sz w:val="24"/>
              </w:rPr>
            </w:pPr>
          </w:p>
        </w:tc>
        <w:tc>
          <w:tcPr>
            <w:tcW w:w="1811"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688" w:type="dxa"/>
            <w:gridSpan w:val="2"/>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再次实施违法行为的</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745" w:type="dxa"/>
            <w:gridSpan w:val="2"/>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pacing w:val="8"/>
                <w:sz w:val="24"/>
              </w:rPr>
            </w:pPr>
          </w:p>
        </w:tc>
        <w:tc>
          <w:tcPr>
            <w:tcW w:w="1811"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688" w:type="dxa"/>
            <w:gridSpan w:val="2"/>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第三次实施违法行为的</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745" w:type="dxa"/>
            <w:gridSpan w:val="2"/>
            <w:vMerge w:val="continue"/>
            <w:tcBorders>
              <w:top w:val="nil"/>
            </w:tcBorders>
            <w:noWrap w:val="0"/>
            <w:vAlign w:val="center"/>
          </w:tcPr>
          <w:p>
            <w:pPr>
              <w:adjustRightInd w:val="0"/>
              <w:snapToGrid w:val="0"/>
              <w:jc w:val="center"/>
              <w:rPr>
                <w:rFonts w:hint="eastAsia" w:ascii="仿宋_GB2312" w:hAnsi="仿宋_GB2312" w:eastAsia="仿宋_GB2312" w:cs="仿宋_GB2312"/>
                <w:b/>
                <w:bCs/>
                <w:spacing w:val="8"/>
                <w:sz w:val="24"/>
              </w:rPr>
            </w:pPr>
          </w:p>
        </w:tc>
        <w:tc>
          <w:tcPr>
            <w:tcW w:w="1811" w:type="dxa"/>
            <w:gridSpan w:val="2"/>
            <w:vMerge w:val="continue"/>
            <w:tcBorders>
              <w:top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688" w:type="dxa"/>
            <w:gridSpan w:val="2"/>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三次以上实施违法行为的</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745" w:type="dxa"/>
            <w:gridSpan w:val="2"/>
            <w:vMerge w:val="restart"/>
            <w:tcBorders>
              <w:bottom w:val="nil"/>
            </w:tcBorders>
            <w:noWrap w:val="0"/>
            <w:vAlign w:val="center"/>
          </w:tcPr>
          <w:p>
            <w:pPr>
              <w:adjustRightInd w:val="0"/>
              <w:snapToGrid w:val="0"/>
              <w:jc w:val="center"/>
              <w:rPr>
                <w:rFonts w:hint="eastAsia" w:ascii="仿宋_GB2312" w:hAnsi="仿宋_GB2312" w:eastAsia="仿宋_GB2312" w:cs="仿宋_GB2312"/>
                <w:b/>
                <w:bCs/>
                <w:spacing w:val="8"/>
                <w:sz w:val="24"/>
              </w:rPr>
            </w:pPr>
            <w:r>
              <w:rPr>
                <w:rFonts w:hint="eastAsia" w:ascii="仿宋_GB2312" w:hAnsi="仿宋_GB2312" w:eastAsia="仿宋_GB2312" w:cs="仿宋_GB2312"/>
                <w:b/>
                <w:bCs/>
                <w:spacing w:val="8"/>
                <w:sz w:val="24"/>
              </w:rPr>
              <w:t>整改情况</w:t>
            </w:r>
          </w:p>
        </w:tc>
        <w:tc>
          <w:tcPr>
            <w:tcW w:w="1811" w:type="dxa"/>
            <w:gridSpan w:val="2"/>
            <w:vMerge w:val="restart"/>
            <w:tcBorders>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是否完成整改</w:t>
            </w:r>
          </w:p>
        </w:tc>
        <w:tc>
          <w:tcPr>
            <w:tcW w:w="688" w:type="dxa"/>
            <w:gridSpan w:val="2"/>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全面整改并停止违法行为的</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745" w:type="dxa"/>
            <w:gridSpan w:val="2"/>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pacing w:val="8"/>
                <w:sz w:val="24"/>
              </w:rPr>
            </w:pPr>
          </w:p>
        </w:tc>
        <w:tc>
          <w:tcPr>
            <w:tcW w:w="1811" w:type="dxa"/>
            <w:gridSpan w:val="2"/>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688" w:type="dxa"/>
            <w:gridSpan w:val="2"/>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663" w:type="dxa"/>
            <w:gridSpan w:val="2"/>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正在整改但违法行为未完全消除的</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745" w:type="dxa"/>
            <w:gridSpan w:val="2"/>
            <w:vMerge w:val="continue"/>
            <w:tcBorders>
              <w:top w:val="nil"/>
              <w:bottom w:val="single" w:color="000000" w:sz="2" w:space="0"/>
            </w:tcBorders>
            <w:noWrap w:val="0"/>
            <w:vAlign w:val="center"/>
          </w:tcPr>
          <w:p>
            <w:pPr>
              <w:adjustRightInd w:val="0"/>
              <w:snapToGrid w:val="0"/>
              <w:jc w:val="center"/>
              <w:rPr>
                <w:rFonts w:hint="eastAsia" w:ascii="仿宋_GB2312" w:hAnsi="仿宋_GB2312" w:eastAsia="仿宋_GB2312" w:cs="仿宋_GB2312"/>
                <w:b/>
                <w:bCs/>
                <w:spacing w:val="8"/>
                <w:sz w:val="24"/>
              </w:rPr>
            </w:pPr>
          </w:p>
        </w:tc>
        <w:tc>
          <w:tcPr>
            <w:tcW w:w="1811" w:type="dxa"/>
            <w:gridSpan w:val="2"/>
            <w:vMerge w:val="continue"/>
            <w:tcBorders>
              <w:top w:val="nil"/>
              <w:bottom w:val="single" w:color="auto" w:sz="4" w:space="0"/>
            </w:tcBorders>
            <w:noWrap w:val="0"/>
            <w:vAlign w:val="center"/>
          </w:tcPr>
          <w:p>
            <w:pPr>
              <w:adjustRightInd w:val="0"/>
              <w:snapToGrid w:val="0"/>
              <w:spacing w:line="280" w:lineRule="exact"/>
              <w:ind w:left="118"/>
              <w:jc w:val="center"/>
              <w:rPr>
                <w:rFonts w:hint="eastAsia" w:ascii="仿宋_GB2312" w:hAnsi="仿宋_GB2312" w:eastAsia="仿宋_GB2312" w:cs="仿宋_GB2312"/>
                <w:spacing w:val="7"/>
                <w:sz w:val="24"/>
              </w:rPr>
            </w:pPr>
          </w:p>
        </w:tc>
        <w:tc>
          <w:tcPr>
            <w:tcW w:w="688" w:type="dxa"/>
            <w:gridSpan w:val="2"/>
            <w:vMerge w:val="continue"/>
            <w:tcBorders>
              <w:top w:val="nil"/>
              <w:bottom w:val="single" w:color="auto" w:sz="4" w:space="0"/>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663" w:type="dxa"/>
            <w:gridSpan w:val="2"/>
            <w:tcBorders>
              <w:bottom w:val="single" w:color="auto" w:sz="4" w:space="0"/>
            </w:tcBorders>
            <w:noWrap w:val="0"/>
            <w:vAlign w:val="center"/>
          </w:tcPr>
          <w:p>
            <w:pPr>
              <w:adjustRightInd w:val="0"/>
              <w:snapToGrid w:val="0"/>
              <w:spacing w:line="280" w:lineRule="exact"/>
              <w:ind w:left="118"/>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复查时未采取整改措施的</w:t>
            </w:r>
          </w:p>
        </w:tc>
        <w:tc>
          <w:tcPr>
            <w:tcW w:w="1197" w:type="dxa"/>
            <w:gridSpan w:val="2"/>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745" w:type="dxa"/>
            <w:gridSpan w:val="2"/>
            <w:vMerge w:val="restart"/>
            <w:tcBorders>
              <w:bottom w:val="single" w:color="auto" w:sz="4" w:space="0"/>
            </w:tcBorders>
            <w:noWrap w:val="0"/>
            <w:vAlign w:val="center"/>
          </w:tcPr>
          <w:p>
            <w:pPr>
              <w:adjustRightInd w:val="0"/>
              <w:snapToGrid w:val="0"/>
              <w:jc w:val="center"/>
              <w:rPr>
                <w:rFonts w:ascii="仿宋" w:hAnsi="仿宋" w:eastAsia="仿宋" w:cs="仿宋"/>
                <w:b/>
                <w:bCs/>
                <w:spacing w:val="8"/>
                <w:sz w:val="24"/>
              </w:rPr>
            </w:pPr>
            <w:r>
              <w:rPr>
                <w:rFonts w:ascii="仿宋" w:hAnsi="仿宋" w:eastAsia="仿宋" w:cs="仿宋"/>
                <w:b/>
                <w:bCs/>
                <w:spacing w:val="8"/>
                <w:sz w:val="24"/>
              </w:rPr>
              <w:t>配合调查</w:t>
            </w:r>
          </w:p>
          <w:p>
            <w:pPr>
              <w:adjustRightInd w:val="0"/>
              <w:snapToGrid w:val="0"/>
              <w:jc w:val="center"/>
              <w:rPr>
                <w:rFonts w:ascii="仿宋" w:hAnsi="仿宋" w:eastAsia="仿宋" w:cs="仿宋"/>
                <w:b/>
                <w:bCs/>
                <w:spacing w:val="8"/>
                <w:sz w:val="24"/>
              </w:rPr>
            </w:pPr>
            <w:r>
              <w:rPr>
                <w:rFonts w:ascii="仿宋" w:hAnsi="仿宋" w:eastAsia="仿宋" w:cs="仿宋"/>
                <w:b/>
                <w:bCs/>
                <w:spacing w:val="8"/>
                <w:sz w:val="24"/>
              </w:rPr>
              <w:t>取证情况</w:t>
            </w:r>
          </w:p>
        </w:tc>
        <w:tc>
          <w:tcPr>
            <w:tcW w:w="1811" w:type="dxa"/>
            <w:gridSpan w:val="2"/>
            <w:vMerge w:val="restart"/>
            <w:tcBorders>
              <w:top w:val="single" w:color="auto" w:sz="4" w:space="0"/>
              <w:bottom w:val="single" w:color="auto" w:sz="4" w:space="0"/>
              <w:righ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是否配合执法检查</w:t>
            </w:r>
          </w:p>
        </w:tc>
        <w:tc>
          <w:tcPr>
            <w:tcW w:w="68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10%</w:t>
            </w:r>
          </w:p>
        </w:tc>
        <w:tc>
          <w:tcPr>
            <w:tcW w:w="366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不配合检查的</w:t>
            </w:r>
          </w:p>
        </w:tc>
        <w:tc>
          <w:tcPr>
            <w:tcW w:w="1197" w:type="dxa"/>
            <w:gridSpan w:val="2"/>
            <w:tcBorders>
              <w:left w:val="single" w:color="auto" w:sz="4" w:space="0"/>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745" w:type="dxa"/>
            <w:gridSpan w:val="2"/>
            <w:vMerge w:val="continue"/>
            <w:tcBorders>
              <w:top w:val="single" w:color="000000" w:sz="2" w:space="0"/>
              <w:bottom w:val="single" w:color="auto" w:sz="4" w:space="0"/>
            </w:tcBorders>
            <w:noWrap w:val="0"/>
            <w:vAlign w:val="center"/>
          </w:tcPr>
          <w:p>
            <w:pPr>
              <w:adjustRightInd w:val="0"/>
              <w:snapToGrid w:val="0"/>
              <w:jc w:val="center"/>
              <w:rPr>
                <w:rFonts w:ascii="仿宋" w:hAnsi="仿宋" w:eastAsia="仿宋" w:cs="仿宋"/>
                <w:b/>
                <w:bCs/>
                <w:spacing w:val="8"/>
                <w:sz w:val="24"/>
              </w:rPr>
            </w:pPr>
          </w:p>
        </w:tc>
        <w:tc>
          <w:tcPr>
            <w:tcW w:w="1811" w:type="dxa"/>
            <w:gridSpan w:val="2"/>
            <w:vMerge w:val="continue"/>
            <w:tcBorders>
              <w:top w:val="single" w:color="000000" w:sz="2" w:space="0"/>
              <w:bottom w:val="single" w:color="auto" w:sz="4" w:space="0"/>
              <w:righ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6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66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配合检查的</w:t>
            </w:r>
          </w:p>
        </w:tc>
        <w:tc>
          <w:tcPr>
            <w:tcW w:w="1197" w:type="dxa"/>
            <w:gridSpan w:val="2"/>
            <w:tcBorders>
              <w:left w:val="single" w:color="auto" w:sz="4" w:space="0"/>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745" w:type="dxa"/>
            <w:gridSpan w:val="2"/>
            <w:vMerge w:val="restart"/>
            <w:tcBorders>
              <w:top w:val="single" w:color="auto" w:sz="4" w:space="0"/>
              <w:bottom w:val="nil"/>
            </w:tcBorders>
            <w:noWrap w:val="0"/>
            <w:vAlign w:val="center"/>
          </w:tcPr>
          <w:p>
            <w:pPr>
              <w:adjustRightInd w:val="0"/>
              <w:snapToGrid w:val="0"/>
              <w:jc w:val="center"/>
              <w:rPr>
                <w:rFonts w:ascii="仿宋" w:hAnsi="仿宋" w:eastAsia="仿宋" w:cs="仿宋"/>
                <w:b/>
                <w:bCs/>
                <w:spacing w:val="8"/>
                <w:sz w:val="24"/>
              </w:rPr>
            </w:pPr>
            <w:r>
              <w:rPr>
                <w:rFonts w:ascii="仿宋" w:hAnsi="仿宋" w:eastAsia="仿宋" w:cs="仿宋"/>
                <w:b/>
                <w:bCs/>
                <w:spacing w:val="8"/>
                <w:sz w:val="24"/>
              </w:rPr>
              <w:t>对社会影响</w:t>
            </w:r>
          </w:p>
          <w:p>
            <w:pPr>
              <w:adjustRightInd w:val="0"/>
              <w:snapToGrid w:val="0"/>
              <w:jc w:val="center"/>
              <w:rPr>
                <w:rFonts w:ascii="仿宋" w:hAnsi="仿宋" w:eastAsia="仿宋" w:cs="仿宋"/>
                <w:b/>
                <w:bCs/>
                <w:spacing w:val="8"/>
                <w:sz w:val="24"/>
              </w:rPr>
            </w:pPr>
            <w:r>
              <w:rPr>
                <w:rFonts w:ascii="仿宋" w:hAnsi="仿宋" w:eastAsia="仿宋" w:cs="仿宋"/>
                <w:b/>
                <w:bCs/>
                <w:spacing w:val="8"/>
                <w:sz w:val="24"/>
              </w:rPr>
              <w:t>或生态破坏</w:t>
            </w:r>
          </w:p>
          <w:p>
            <w:pPr>
              <w:adjustRightInd w:val="0"/>
              <w:snapToGrid w:val="0"/>
              <w:jc w:val="center"/>
              <w:rPr>
                <w:rFonts w:ascii="仿宋" w:hAnsi="仿宋" w:eastAsia="仿宋" w:cs="仿宋"/>
                <w:b/>
                <w:bCs/>
                <w:spacing w:val="8"/>
                <w:sz w:val="24"/>
              </w:rPr>
            </w:pPr>
            <w:r>
              <w:rPr>
                <w:rFonts w:ascii="仿宋" w:hAnsi="仿宋" w:eastAsia="仿宋" w:cs="仿宋"/>
                <w:b/>
                <w:bCs/>
                <w:spacing w:val="8"/>
                <w:sz w:val="24"/>
              </w:rPr>
              <w:t>程度</w:t>
            </w:r>
          </w:p>
        </w:tc>
        <w:tc>
          <w:tcPr>
            <w:tcW w:w="1811" w:type="dxa"/>
            <w:gridSpan w:val="2"/>
            <w:vMerge w:val="restart"/>
            <w:tcBorders>
              <w:top w:val="single" w:color="auto" w:sz="4" w:space="0"/>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是否造成社会影响或生态破坏</w:t>
            </w:r>
          </w:p>
        </w:tc>
        <w:tc>
          <w:tcPr>
            <w:tcW w:w="688" w:type="dxa"/>
            <w:gridSpan w:val="2"/>
            <w:vMerge w:val="restart"/>
            <w:tcBorders>
              <w:top w:val="single" w:color="auto" w:sz="4" w:space="0"/>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20%</w:t>
            </w:r>
          </w:p>
        </w:tc>
        <w:tc>
          <w:tcPr>
            <w:tcW w:w="3663" w:type="dxa"/>
            <w:gridSpan w:val="2"/>
            <w:tcBorders>
              <w:top w:val="single" w:color="auto" w:sz="4" w:space="0"/>
            </w:tcBorders>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造成社会影响或生态破坏的</w:t>
            </w:r>
          </w:p>
        </w:tc>
        <w:tc>
          <w:tcPr>
            <w:tcW w:w="1197" w:type="dxa"/>
            <w:gridSpan w:val="2"/>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745" w:type="dxa"/>
            <w:gridSpan w:val="2"/>
            <w:vMerge w:val="continue"/>
            <w:tcBorders>
              <w:top w:val="nil"/>
            </w:tcBorders>
            <w:noWrap w:val="0"/>
            <w:vAlign w:val="top"/>
          </w:tcPr>
          <w:p>
            <w:pPr>
              <w:adjustRightInd w:val="0"/>
              <w:snapToGrid w:val="0"/>
              <w:rPr>
                <w:sz w:val="24"/>
              </w:rPr>
            </w:pPr>
          </w:p>
        </w:tc>
        <w:tc>
          <w:tcPr>
            <w:tcW w:w="1811" w:type="dxa"/>
            <w:gridSpan w:val="2"/>
            <w:vMerge w:val="continue"/>
            <w:tcBorders>
              <w:top w:val="nil"/>
            </w:tcBorders>
            <w:noWrap w:val="0"/>
            <w:vAlign w:val="top"/>
          </w:tcPr>
          <w:p>
            <w:pPr>
              <w:adjustRightInd w:val="0"/>
              <w:snapToGrid w:val="0"/>
              <w:spacing w:line="280" w:lineRule="exact"/>
              <w:ind w:left="118"/>
              <w:rPr>
                <w:rFonts w:hint="eastAsia" w:ascii="仿宋_GB2312" w:hAnsi="仿宋" w:eastAsia="仿宋_GB2312" w:cs="仿宋"/>
                <w:spacing w:val="7"/>
                <w:sz w:val="24"/>
              </w:rPr>
            </w:pPr>
          </w:p>
        </w:tc>
        <w:tc>
          <w:tcPr>
            <w:tcW w:w="688" w:type="dxa"/>
            <w:gridSpan w:val="2"/>
            <w:vMerge w:val="continue"/>
            <w:tcBorders>
              <w:top w:val="nil"/>
            </w:tcBorders>
            <w:noWrap w:val="0"/>
            <w:vAlign w:val="top"/>
          </w:tcPr>
          <w:p>
            <w:pPr>
              <w:adjustRightInd w:val="0"/>
              <w:snapToGrid w:val="0"/>
              <w:spacing w:line="280" w:lineRule="exact"/>
              <w:ind w:left="118"/>
              <w:rPr>
                <w:rFonts w:hint="eastAsia" w:ascii="仿宋_GB2312" w:hAnsi="仿宋" w:eastAsia="仿宋_GB2312" w:cs="仿宋"/>
                <w:spacing w:val="7"/>
                <w:sz w:val="24"/>
              </w:rPr>
            </w:pPr>
          </w:p>
        </w:tc>
        <w:tc>
          <w:tcPr>
            <w:tcW w:w="3663" w:type="dxa"/>
            <w:gridSpan w:val="2"/>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未造成社会影响与生态破坏的</w:t>
            </w:r>
          </w:p>
        </w:tc>
        <w:tc>
          <w:tcPr>
            <w:tcW w:w="1197" w:type="dxa"/>
            <w:gridSpan w:val="2"/>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bl>
    <w:p>
      <w:pPr>
        <w:rPr>
          <w:rFonts w:ascii="宋体" w:hAnsi="宋体" w:cs="宋体"/>
          <w:sz w:val="28"/>
          <w:szCs w:val="28"/>
        </w:rPr>
      </w:pPr>
    </w:p>
    <w:p>
      <w:pPr>
        <w:rPr>
          <w:rFonts w:ascii="宋体" w:hAnsi="宋体" w:cs="宋体"/>
          <w:sz w:val="10"/>
          <w:szCs w:val="10"/>
        </w:rPr>
      </w:pPr>
      <w:r>
        <w:rPr>
          <w:rFonts w:ascii="宋体" w:hAnsi="宋体" w:cs="宋体"/>
          <w:sz w:val="28"/>
          <w:szCs w:val="28"/>
        </w:rPr>
        <w:br w:type="page"/>
      </w:r>
    </w:p>
    <w:tbl>
      <w:tblPr>
        <w:tblStyle w:val="9"/>
        <w:tblW w:w="91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5"/>
        <w:gridCol w:w="1903"/>
        <w:gridCol w:w="708"/>
        <w:gridCol w:w="3735"/>
        <w:gridCol w:w="1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02" w:type="dxa"/>
            <w:gridSpan w:val="5"/>
            <w:noWrap w:val="0"/>
            <w:vAlign w:val="top"/>
          </w:tcPr>
          <w:p>
            <w:pPr>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p>
          <w:p>
            <w:pPr>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w:t>
            </w:r>
            <w:r>
              <w:rPr>
                <w:rFonts w:ascii="方正小标宋简体" w:hAnsi="方正小标宋简体" w:eastAsia="方正小标宋简体" w:cs="方正小标宋简体"/>
                <w:kern w:val="0"/>
                <w:sz w:val="40"/>
                <w:szCs w:val="40"/>
              </w:rPr>
              <w:t>唐山市</w:t>
            </w:r>
            <w:r>
              <w:rPr>
                <w:rFonts w:hint="eastAsia" w:ascii="方正小标宋简体" w:hAnsi="方正小标宋简体" w:eastAsia="方正小标宋简体" w:cs="方正小标宋简体"/>
                <w:kern w:val="0"/>
                <w:sz w:val="40"/>
                <w:szCs w:val="40"/>
              </w:rPr>
              <w:t>生态环境保护条例）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295" w:type="dxa"/>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4"/>
                <w:sz w:val="28"/>
                <w:szCs w:val="28"/>
              </w:rPr>
              <w:t>序</w:t>
            </w:r>
            <w:r>
              <w:rPr>
                <w:rFonts w:ascii="仿宋" w:hAnsi="仿宋" w:eastAsia="仿宋" w:cs="仿宋"/>
                <w:b/>
                <w:bCs/>
                <w:spacing w:val="-3"/>
                <w:sz w:val="28"/>
                <w:szCs w:val="28"/>
              </w:rPr>
              <w:t>号</w:t>
            </w:r>
          </w:p>
        </w:tc>
        <w:tc>
          <w:tcPr>
            <w:tcW w:w="7807" w:type="dxa"/>
            <w:gridSpan w:val="4"/>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w:t>
            </w:r>
            <w:r>
              <w:rPr>
                <w:rFonts w:hint="eastAsia" w:ascii="仿宋" w:hAnsi="仿宋" w:eastAsia="仿宋" w:cs="仿宋"/>
                <w:sz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1295" w:type="dxa"/>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4"/>
                <w:sz w:val="28"/>
                <w:szCs w:val="28"/>
              </w:rPr>
              <w:t>违</w:t>
            </w:r>
            <w:r>
              <w:rPr>
                <w:rFonts w:ascii="仿宋" w:hAnsi="仿宋" w:eastAsia="仿宋" w:cs="仿宋"/>
                <w:b/>
                <w:bCs/>
                <w:spacing w:val="-3"/>
                <w:sz w:val="28"/>
                <w:szCs w:val="28"/>
              </w:rPr>
              <w:t>法</w:t>
            </w:r>
            <w:r>
              <w:rPr>
                <w:rFonts w:ascii="仿宋" w:hAnsi="仿宋" w:eastAsia="仿宋" w:cs="仿宋"/>
                <w:b/>
                <w:bCs/>
                <w:spacing w:val="-2"/>
                <w:sz w:val="28"/>
                <w:szCs w:val="28"/>
              </w:rPr>
              <w:t>行为</w:t>
            </w:r>
          </w:p>
        </w:tc>
        <w:tc>
          <w:tcPr>
            <w:tcW w:w="7807" w:type="dxa"/>
            <w:gridSpan w:val="4"/>
            <w:noWrap w:val="0"/>
            <w:vAlign w:val="center"/>
          </w:tcPr>
          <w:p>
            <w:pPr>
              <w:adjustRightInd w:val="0"/>
              <w:snapToGrid w:val="0"/>
              <w:spacing w:before="39"/>
              <w:ind w:right="105"/>
              <w:rPr>
                <w:rFonts w:hint="eastAsia" w:ascii="仿宋_GB2312" w:hAnsi="仿宋_GB2312" w:eastAsia="仿宋_GB2312" w:cs="仿宋_GB2312"/>
                <w:sz w:val="24"/>
              </w:rPr>
            </w:pPr>
            <w:r>
              <w:rPr>
                <w:rFonts w:hint="eastAsia" w:ascii="仿宋_GB2312" w:hAnsi="仿宋_GB2312" w:eastAsia="仿宋_GB2312" w:cs="仿宋_GB2312"/>
                <w:sz w:val="24"/>
              </w:rPr>
              <w:t>未按照法律、法规和相关技术规范提供有关环境服务活动，或者在有关环境服务活动中弄虚作假的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295" w:type="dxa"/>
            <w:noWrap w:val="0"/>
            <w:vAlign w:val="center"/>
          </w:tcPr>
          <w:p>
            <w:pPr>
              <w:adjustRightInd w:val="0"/>
              <w:snapToGrid w:val="0"/>
              <w:spacing w:before="91"/>
              <w:jc w:val="center"/>
              <w:rPr>
                <w:rFonts w:ascii="仿宋" w:hAnsi="仿宋" w:eastAsia="仿宋" w:cs="仿宋"/>
                <w:b/>
                <w:bCs/>
                <w:sz w:val="28"/>
                <w:szCs w:val="28"/>
              </w:rPr>
            </w:pPr>
            <w:r>
              <w:rPr>
                <w:rFonts w:ascii="仿宋" w:hAnsi="仿宋" w:eastAsia="仿宋" w:cs="仿宋"/>
                <w:b/>
                <w:bCs/>
                <w:spacing w:val="-7"/>
                <w:sz w:val="28"/>
                <w:szCs w:val="28"/>
              </w:rPr>
              <w:t>处</w:t>
            </w:r>
            <w:r>
              <w:rPr>
                <w:rFonts w:ascii="仿宋" w:hAnsi="仿宋" w:eastAsia="仿宋" w:cs="仿宋"/>
                <w:b/>
                <w:bCs/>
                <w:spacing w:val="-4"/>
                <w:sz w:val="28"/>
                <w:szCs w:val="28"/>
              </w:rPr>
              <w:t>罚依据</w:t>
            </w:r>
          </w:p>
        </w:tc>
        <w:tc>
          <w:tcPr>
            <w:tcW w:w="7807" w:type="dxa"/>
            <w:gridSpan w:val="4"/>
            <w:noWrap w:val="0"/>
            <w:vAlign w:val="top"/>
          </w:tcPr>
          <w:p>
            <w:pPr>
              <w:adjustRightInd w:val="0"/>
              <w:snapToGrid w:val="0"/>
              <w:spacing w:line="290" w:lineRule="exact"/>
              <w:rPr>
                <w:rFonts w:hint="eastAsia" w:ascii="仿宋_GB2312" w:hAnsi="仿宋_GB2312" w:eastAsia="仿宋_GB2312" w:cs="仿宋_GB2312"/>
                <w:b/>
                <w:bCs/>
                <w:sz w:val="24"/>
              </w:rPr>
            </w:pPr>
            <w:r>
              <w:rPr>
                <w:rFonts w:hint="eastAsia" w:ascii="仿宋_GB2312" w:hAnsi="仿宋_GB2312" w:eastAsia="仿宋_GB2312" w:cs="仿宋_GB2312"/>
                <w:spacing w:val="11"/>
                <w:sz w:val="24"/>
              </w:rPr>
              <w:t>1.</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唐山市生态环境保护条例》</w:t>
            </w:r>
          </w:p>
          <w:p>
            <w:pPr>
              <w:adjustRightInd w:val="0"/>
              <w:snapToGrid w:val="0"/>
              <w:spacing w:line="29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b/>
                <w:bCs/>
                <w:spacing w:val="11"/>
                <w:sz w:val="24"/>
              </w:rPr>
              <w:t xml:space="preserve">第二十九条 </w:t>
            </w:r>
            <w:r>
              <w:rPr>
                <w:rFonts w:hint="eastAsia" w:ascii="仿宋_GB2312" w:hAnsi="仿宋_GB2312" w:eastAsia="仿宋_GB2312" w:cs="仿宋_GB2312"/>
                <w:spacing w:val="11"/>
                <w:sz w:val="24"/>
              </w:rPr>
              <w:t>排放污染物的企业事业单位和其他生产经营者应当对监测数据的完整性、真实性和准确性负责。企业事业单位和其他生产经营者，或者其委托的生态环境监测机构、从事环境监测设备和污染防治设施维护运营的第三方机构，不得有下列行为：</w:t>
            </w:r>
          </w:p>
          <w:p>
            <w:pPr>
              <w:adjustRightInd w:val="0"/>
              <w:snapToGrid w:val="0"/>
              <w:spacing w:line="29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（一）对污染源监控系统或者对污染源监控系统中存储、处理、传输的数据和应用程序进行删除、修改、增加、干扰，造成污染源监控系统不能正常运行的；</w:t>
            </w:r>
          </w:p>
          <w:p>
            <w:pPr>
              <w:adjustRightInd w:val="0"/>
              <w:snapToGrid w:val="0"/>
              <w:spacing w:line="29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（二）破坏、损毁监控仪器站房、通讯线路、信息采集传输设备、视频设备、电力设备、空调、风机、采样泵及其他监控设施的，以及破坏、损毁监控设施采样管线，破坏、损毁监控仪器、仪表的；</w:t>
            </w:r>
          </w:p>
          <w:p>
            <w:pPr>
              <w:adjustRightInd w:val="0"/>
              <w:snapToGrid w:val="0"/>
              <w:spacing w:line="29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（三）在自动监测点位及附近区域采取稀释、投放药剂以及其他方式干扰监测数据的；</w:t>
            </w:r>
          </w:p>
          <w:p>
            <w:pPr>
              <w:adjustRightInd w:val="0"/>
              <w:snapToGrid w:val="0"/>
              <w:spacing w:line="29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（四）在人工监测过程中篡改、伪造、销毁原始记录，或者故意操纵、干扰、干预监测活动的；</w:t>
            </w:r>
          </w:p>
          <w:p>
            <w:pPr>
              <w:adjustRightInd w:val="0"/>
              <w:snapToGrid w:val="0"/>
              <w:spacing w:line="29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（五）其他篡改、伪造监测数据的行为。</w:t>
            </w:r>
          </w:p>
          <w:p>
            <w:pPr>
              <w:adjustRightInd w:val="0"/>
              <w:snapToGrid w:val="0"/>
              <w:spacing w:line="290" w:lineRule="exact"/>
              <w:ind w:firstLine="12"/>
              <w:rPr>
                <w:rFonts w:hint="eastAsia" w:ascii="仿宋_GB2312" w:hAnsi="仿宋_GB2312" w:eastAsia="仿宋_GB2312" w:cs="仿宋_GB2312"/>
                <w:spacing w:val="11"/>
                <w:sz w:val="24"/>
              </w:rPr>
            </w:pPr>
          </w:p>
          <w:p>
            <w:pPr>
              <w:adjustRightInd w:val="0"/>
              <w:snapToGrid w:val="0"/>
              <w:spacing w:line="290" w:lineRule="exact"/>
              <w:rPr>
                <w:rFonts w:hint="eastAsia" w:ascii="仿宋_GB2312" w:hAnsi="仿宋_GB2312" w:eastAsia="仿宋_GB2312" w:cs="仿宋_GB2312"/>
                <w:b/>
                <w:bCs/>
                <w:sz w:val="24"/>
              </w:rPr>
            </w:pPr>
            <w:r>
              <w:rPr>
                <w:rFonts w:hint="eastAsia" w:ascii="仿宋_GB2312" w:hAnsi="仿宋_GB2312" w:eastAsia="仿宋_GB2312" w:cs="仿宋_GB2312"/>
                <w:spacing w:val="11"/>
                <w:sz w:val="24"/>
              </w:rPr>
              <w:t>2.</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唐山市生态环境保护条例》</w:t>
            </w:r>
          </w:p>
          <w:p>
            <w:pPr>
              <w:adjustRightInd w:val="0"/>
              <w:snapToGrid w:val="0"/>
              <w:spacing w:line="290" w:lineRule="exact"/>
              <w:ind w:firstLine="12"/>
              <w:rPr>
                <w:rFonts w:hint="eastAsia" w:ascii="仿宋_GB2312" w:hAnsi="仿宋_GB2312" w:eastAsia="仿宋_GB2312" w:cs="仿宋_GB2312"/>
                <w:spacing w:val="11"/>
                <w:sz w:val="24"/>
              </w:rPr>
            </w:pPr>
            <w:r>
              <w:rPr>
                <w:rFonts w:hint="eastAsia" w:ascii="仿宋_GB2312" w:hAnsi="仿宋_GB2312" w:eastAsia="仿宋_GB2312" w:cs="仿宋_GB2312"/>
                <w:b/>
                <w:bCs/>
                <w:spacing w:val="17"/>
                <w:sz w:val="24"/>
              </w:rPr>
              <w:t>第五十</w:t>
            </w:r>
            <w:r>
              <w:rPr>
                <w:rFonts w:hint="eastAsia" w:ascii="仿宋_GB2312" w:hAnsi="仿宋_GB2312" w:eastAsia="仿宋_GB2312" w:cs="仿宋_GB2312"/>
                <w:b/>
                <w:bCs/>
                <w:spacing w:val="11"/>
                <w:sz w:val="24"/>
              </w:rPr>
              <w:t>条</w:t>
            </w:r>
            <w:r>
              <w:rPr>
                <w:rFonts w:hint="eastAsia" w:ascii="仿宋_GB2312" w:hAnsi="仿宋_GB2312" w:eastAsia="仿宋_GB2312" w:cs="仿宋_GB2312"/>
                <w:spacing w:val="11"/>
                <w:sz w:val="24"/>
              </w:rPr>
              <w:t xml:space="preserve"> 违反本条例第二十九条规定，环境监测机构、环境影响评价机构以及从事环境监测设备和防治污染设施维护、运营的第三方机构，未按照法律、法规和相关技术规范提供有关环境服务活动，或者在有关环境服务活动中弄虚作假的，由生态环境主管部门和其他负有环境保护监督管理职责的部门责令停业整顿，处十万元以上五十万元以下的罚款，并对其主要负责人处一万元以上十万元以下的罚款；情节严重的，移送相关资 质认定机构依法撤销其资质认定证书。对造成的环境污染和生态破坏负有责任的，还应当与造成环境污染和生 态破坏的其他责任者承担连带责任。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3906" w:type="dxa"/>
            <w:gridSpan w:val="3"/>
            <w:noWrap w:val="0"/>
            <w:vAlign w:val="center"/>
          </w:tcPr>
          <w:p>
            <w:pPr>
              <w:adjustRightInd w:val="0"/>
              <w:snapToGrid w:val="0"/>
              <w:ind w:left="1488"/>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2"/>
                <w:sz w:val="28"/>
                <w:szCs w:val="28"/>
              </w:rPr>
              <w:t>裁量要素</w:t>
            </w:r>
          </w:p>
        </w:tc>
        <w:tc>
          <w:tcPr>
            <w:tcW w:w="5196" w:type="dxa"/>
            <w:gridSpan w:val="2"/>
            <w:noWrap w:val="0"/>
            <w:vAlign w:val="center"/>
          </w:tcPr>
          <w:p>
            <w:pPr>
              <w:adjustRightInd w:val="0"/>
              <w:snapToGrid w:val="0"/>
              <w:ind w:left="1891"/>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295" w:type="dxa"/>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要素</w:t>
            </w:r>
          </w:p>
        </w:tc>
        <w:tc>
          <w:tcPr>
            <w:tcW w:w="1903" w:type="dxa"/>
            <w:noWrap w:val="0"/>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具体条件</w:t>
            </w:r>
          </w:p>
        </w:tc>
        <w:tc>
          <w:tcPr>
            <w:tcW w:w="708" w:type="dxa"/>
            <w:noWrap w:val="0"/>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构成</w:t>
            </w:r>
          </w:p>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比例</w:t>
            </w:r>
          </w:p>
        </w:tc>
        <w:tc>
          <w:tcPr>
            <w:tcW w:w="3735" w:type="dxa"/>
            <w:noWrap w:val="0"/>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程度</w:t>
            </w:r>
          </w:p>
        </w:tc>
        <w:tc>
          <w:tcPr>
            <w:tcW w:w="1461" w:type="dxa"/>
            <w:noWrap w:val="0"/>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295" w:type="dxa"/>
            <w:vMerge w:val="restart"/>
            <w:tcBorders>
              <w:bottom w:val="nil"/>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对环境影响 程度</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违法行为类型</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40%</w:t>
            </w:r>
          </w:p>
        </w:tc>
        <w:tc>
          <w:tcPr>
            <w:tcW w:w="3735" w:type="dxa"/>
            <w:noWrap w:val="0"/>
            <w:vAlign w:val="center"/>
          </w:tcPr>
          <w:p>
            <w:pPr>
              <w:adjustRightInd w:val="0"/>
              <w:snapToGrid w:val="0"/>
              <w:spacing w:line="280" w:lineRule="exact"/>
              <w:ind w:left="118"/>
              <w:rPr>
                <w:rFonts w:ascii="仿宋_GB2312" w:hAnsi="仿宋" w:eastAsia="仿宋_GB2312" w:cs="仿宋"/>
                <w:spacing w:val="7"/>
                <w:sz w:val="24"/>
              </w:rPr>
            </w:pPr>
            <w:r>
              <w:rPr>
                <w:rFonts w:hint="eastAsia" w:ascii="仿宋_GB2312" w:hAnsi="仿宋" w:eastAsia="仿宋_GB2312" w:cs="仿宋"/>
                <w:spacing w:val="7"/>
                <w:sz w:val="24"/>
              </w:rPr>
              <w:t>两年内未按照法律、法规和相关技术规范提供有关环境服务活动，或者在有关环境服务活动中弄虚作假1次的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1295" w:type="dxa"/>
            <w:vMerge w:val="continue"/>
            <w:tcBorders>
              <w:top w:val="nil"/>
            </w:tcBorders>
            <w:noWrap w:val="0"/>
            <w:vAlign w:val="center"/>
          </w:tcPr>
          <w:p>
            <w:pPr>
              <w:jc w:val="center"/>
              <w:rPr>
                <w:rFonts w:hint="eastAsia" w:ascii="仿宋_GB2312" w:hAnsi="仿宋_GB2312" w:eastAsia="仿宋_GB2312" w:cs="仿宋_GB2312"/>
                <w:b/>
                <w:bCs/>
                <w:sz w:val="24"/>
                <w:szCs w:val="32"/>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ascii="仿宋_GB2312" w:hAnsi="仿宋" w:eastAsia="仿宋_GB2312" w:cs="仿宋"/>
                <w:spacing w:val="7"/>
                <w:sz w:val="24"/>
              </w:rPr>
            </w:pPr>
            <w:r>
              <w:rPr>
                <w:rFonts w:hint="eastAsia" w:ascii="仿宋_GB2312" w:hAnsi="仿宋" w:eastAsia="仿宋_GB2312" w:cs="仿宋"/>
                <w:spacing w:val="7"/>
                <w:sz w:val="24"/>
              </w:rPr>
              <w:t>两年内未按照法律、法规和相关技术规范提供有关环境服务活动，或者在有关环境服务活动中弄虚作假2次以上的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295" w:type="dxa"/>
            <w:vMerge w:val="restart"/>
            <w:tcBorders>
              <w:bottom w:val="nil"/>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违法频次</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一年内违法次数</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20%</w:t>
            </w: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首次实施违法行为的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295" w:type="dxa"/>
            <w:vMerge w:val="continue"/>
            <w:tcBorders>
              <w:top w:val="nil"/>
              <w:bottom w:val="nil"/>
            </w:tcBorders>
            <w:noWrap w:val="0"/>
            <w:vAlign w:val="center"/>
          </w:tcPr>
          <w:p>
            <w:pPr>
              <w:jc w:val="center"/>
              <w:rPr>
                <w:rFonts w:hint="eastAsia" w:ascii="仿宋_GB2312" w:hAnsi="仿宋_GB2312" w:eastAsia="仿宋_GB2312" w:cs="仿宋_GB2312"/>
                <w:b/>
                <w:bCs/>
                <w:sz w:val="24"/>
                <w:szCs w:val="32"/>
              </w:rPr>
            </w:pPr>
          </w:p>
        </w:tc>
        <w:tc>
          <w:tcPr>
            <w:tcW w:w="1903"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再次实施违法行为的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295" w:type="dxa"/>
            <w:vMerge w:val="continue"/>
            <w:tcBorders>
              <w:top w:val="nil"/>
              <w:bottom w:val="nil"/>
            </w:tcBorders>
            <w:noWrap w:val="0"/>
            <w:vAlign w:val="center"/>
          </w:tcPr>
          <w:p>
            <w:pPr>
              <w:jc w:val="center"/>
              <w:rPr>
                <w:rFonts w:hint="eastAsia" w:ascii="仿宋_GB2312" w:hAnsi="仿宋_GB2312" w:eastAsia="仿宋_GB2312" w:cs="仿宋_GB2312"/>
                <w:b/>
                <w:bCs/>
                <w:sz w:val="24"/>
                <w:szCs w:val="32"/>
              </w:rPr>
            </w:pPr>
          </w:p>
        </w:tc>
        <w:tc>
          <w:tcPr>
            <w:tcW w:w="1903"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第三次实施违法行为的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295" w:type="dxa"/>
            <w:vMerge w:val="continue"/>
            <w:tcBorders>
              <w:top w:val="nil"/>
            </w:tcBorders>
            <w:noWrap w:val="0"/>
            <w:vAlign w:val="center"/>
          </w:tcPr>
          <w:p>
            <w:pPr>
              <w:jc w:val="center"/>
              <w:rPr>
                <w:rFonts w:hint="eastAsia" w:ascii="仿宋_GB2312" w:hAnsi="仿宋_GB2312" w:eastAsia="仿宋_GB2312" w:cs="仿宋_GB2312"/>
                <w:b/>
                <w:bCs/>
                <w:sz w:val="24"/>
                <w:szCs w:val="32"/>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三次以上实施违法行为的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295" w:type="dxa"/>
            <w:vMerge w:val="restart"/>
            <w:tcBorders>
              <w:bottom w:val="nil"/>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是否完成整改</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10%</w:t>
            </w: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全面整改并停止违法行为的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295" w:type="dxa"/>
            <w:vMerge w:val="continue"/>
            <w:tcBorders>
              <w:top w:val="nil"/>
              <w:bottom w:val="nil"/>
            </w:tcBorders>
            <w:noWrap w:val="0"/>
            <w:vAlign w:val="center"/>
          </w:tcPr>
          <w:p>
            <w:pPr>
              <w:jc w:val="center"/>
              <w:rPr>
                <w:rFonts w:hint="eastAsia" w:ascii="仿宋_GB2312" w:hAnsi="仿宋_GB2312" w:eastAsia="仿宋_GB2312" w:cs="仿宋_GB2312"/>
                <w:b/>
                <w:bCs/>
                <w:sz w:val="24"/>
                <w:szCs w:val="32"/>
              </w:rPr>
            </w:pPr>
          </w:p>
        </w:tc>
        <w:tc>
          <w:tcPr>
            <w:tcW w:w="1903" w:type="dxa"/>
            <w:vMerge w:val="continue"/>
            <w:tcBorders>
              <w:top w:val="nil"/>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正在整改但违法行为未完全消除的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295" w:type="dxa"/>
            <w:vMerge w:val="continue"/>
            <w:tcBorders>
              <w:top w:val="nil"/>
            </w:tcBorders>
            <w:noWrap w:val="0"/>
            <w:vAlign w:val="center"/>
          </w:tcPr>
          <w:p>
            <w:pPr>
              <w:jc w:val="center"/>
              <w:rPr>
                <w:rFonts w:hint="eastAsia" w:ascii="仿宋_GB2312" w:hAnsi="仿宋_GB2312" w:eastAsia="仿宋_GB2312" w:cs="仿宋_GB2312"/>
                <w:b/>
                <w:bCs/>
                <w:sz w:val="24"/>
                <w:szCs w:val="32"/>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复查时未采取整改措施的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295" w:type="dxa"/>
            <w:vMerge w:val="restart"/>
            <w:tcBorders>
              <w:bottom w:val="nil"/>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是否配合执法</w:t>
            </w:r>
          </w:p>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检查</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10%</w:t>
            </w: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不配合检查的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295" w:type="dxa"/>
            <w:vMerge w:val="continue"/>
            <w:tcBorders>
              <w:top w:val="nil"/>
            </w:tcBorders>
            <w:noWrap w:val="0"/>
            <w:vAlign w:val="center"/>
          </w:tcPr>
          <w:p>
            <w:pPr>
              <w:jc w:val="center"/>
              <w:rPr>
                <w:rFonts w:hint="eastAsia" w:ascii="仿宋_GB2312" w:hAnsi="仿宋_GB2312" w:eastAsia="仿宋_GB2312" w:cs="仿宋_GB2312"/>
                <w:b/>
                <w:bCs/>
                <w:sz w:val="24"/>
                <w:szCs w:val="32"/>
              </w:rPr>
            </w:pPr>
          </w:p>
        </w:tc>
        <w:tc>
          <w:tcPr>
            <w:tcW w:w="1903" w:type="dxa"/>
            <w:vMerge w:val="continue"/>
            <w:tcBorders>
              <w:top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配合检查的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295" w:type="dxa"/>
            <w:vMerge w:val="restart"/>
            <w:tcBorders>
              <w:bottom w:val="nil"/>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或生态破坏</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程度</w:t>
            </w:r>
          </w:p>
        </w:tc>
        <w:tc>
          <w:tcPr>
            <w:tcW w:w="1903" w:type="dxa"/>
            <w:vMerge w:val="restart"/>
            <w:tcBorders>
              <w:bottom w:val="nil"/>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是否造成社会影 响或生态破坏</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20%</w:t>
            </w: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造成社会影响或生态破坏的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295" w:type="dxa"/>
            <w:vMerge w:val="continue"/>
            <w:tcBorders>
              <w:top w:val="nil"/>
            </w:tcBorders>
            <w:noWrap w:val="0"/>
            <w:vAlign w:val="center"/>
          </w:tcPr>
          <w:p>
            <w:pPr>
              <w:jc w:val="center"/>
              <w:rPr>
                <w:rFonts w:hint="eastAsia" w:ascii="仿宋_GB2312" w:hAnsi="仿宋_GB2312" w:eastAsia="仿宋_GB2312" w:cs="仿宋_GB2312"/>
                <w:sz w:val="24"/>
                <w:szCs w:val="32"/>
              </w:rPr>
            </w:pPr>
          </w:p>
        </w:tc>
        <w:tc>
          <w:tcPr>
            <w:tcW w:w="1903" w:type="dxa"/>
            <w:vMerge w:val="continue"/>
            <w:tcBorders>
              <w:top w:val="nil"/>
            </w:tcBorders>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708" w:type="dxa"/>
            <w:vMerge w:val="continue"/>
            <w:tcBorders>
              <w:top w:val="nil"/>
            </w:tcBorders>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735" w:type="dxa"/>
            <w:noWrap w:val="0"/>
            <w:vAlign w:val="center"/>
          </w:tcPr>
          <w:p>
            <w:pPr>
              <w:adjustRightInd w:val="0"/>
              <w:snapToGrid w:val="0"/>
              <w:spacing w:line="280" w:lineRule="exact"/>
              <w:ind w:left="118"/>
              <w:rPr>
                <w:rFonts w:hint="eastAsia" w:ascii="仿宋_GB2312" w:hAnsi="仿宋" w:eastAsia="仿宋_GB2312" w:cs="仿宋"/>
                <w:spacing w:val="7"/>
                <w:sz w:val="24"/>
              </w:rPr>
            </w:pPr>
            <w:r>
              <w:rPr>
                <w:rFonts w:hint="eastAsia" w:ascii="仿宋_GB2312" w:hAnsi="仿宋" w:eastAsia="仿宋_GB2312" w:cs="仿宋"/>
                <w:spacing w:val="7"/>
                <w:sz w:val="24"/>
              </w:rPr>
              <w:t>未造成社会影响与生态破坏的</w:t>
            </w:r>
          </w:p>
        </w:tc>
        <w:tc>
          <w:tcPr>
            <w:tcW w:w="1461" w:type="dxa"/>
            <w:noWrap w:val="0"/>
            <w:vAlign w:val="center"/>
          </w:tcPr>
          <w:p>
            <w:pPr>
              <w:adjustRightInd w:val="0"/>
              <w:snapToGrid w:val="0"/>
              <w:spacing w:line="280" w:lineRule="exact"/>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bl>
    <w:p>
      <w:pPr>
        <w:jc w:val="center"/>
        <w:rPr>
          <w:rFonts w:hint="eastAsia" w:ascii="仿宋_GB2312" w:hAnsi="仿宋_GB2312" w:eastAsia="仿宋_GB2312" w:cs="仿宋_GB2312"/>
          <w:sz w:val="24"/>
          <w:szCs w:val="32"/>
        </w:rPr>
      </w:pPr>
    </w:p>
    <w:p>
      <w:pPr>
        <w:rPr>
          <w:rFonts w:ascii="宋体" w:hAnsi="宋体" w:cs="宋体"/>
          <w:sz w:val="10"/>
          <w:szCs w:val="10"/>
        </w:rPr>
      </w:pPr>
      <w:r>
        <w:rPr>
          <w:rFonts w:ascii="宋体" w:hAnsi="宋体" w:cs="宋体"/>
          <w:sz w:val="28"/>
          <w:szCs w:val="28"/>
        </w:rPr>
        <w:br w:type="page"/>
      </w:r>
    </w:p>
    <w:tbl>
      <w:tblPr>
        <w:tblStyle w:val="9"/>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3"/>
        <w:gridCol w:w="1903"/>
        <w:gridCol w:w="708"/>
        <w:gridCol w:w="3735"/>
        <w:gridCol w:w="13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136" w:type="dxa"/>
            <w:gridSpan w:val="5"/>
            <w:noWrap w:val="0"/>
            <w:vAlign w:val="top"/>
          </w:tcPr>
          <w:p>
            <w:pPr>
              <w:adjustRightInd w:val="0"/>
              <w:snapToGrid w:val="0"/>
              <w:ind w:left="147"/>
              <w:jc w:val="center"/>
              <w:rPr>
                <w:rFonts w:ascii="方正小标宋简体" w:hAnsi="方正小标宋简体" w:eastAsia="方正小标宋简体" w:cs="方正小标宋简体"/>
                <w:kern w:val="0"/>
                <w:sz w:val="40"/>
                <w:szCs w:val="40"/>
              </w:rPr>
            </w:pPr>
            <w:r>
              <w:rPr>
                <w:rFonts w:ascii="方正小标宋简体" w:hAnsi="方正小标宋简体" w:eastAsia="方正小标宋简体" w:cs="方正小标宋简体"/>
                <w:kern w:val="0"/>
                <w:sz w:val="40"/>
                <w:szCs w:val="40"/>
              </w:rPr>
              <w:t>唐山市生态环境行政处罚裁量规则</w:t>
            </w:r>
          </w:p>
          <w:p>
            <w:pPr>
              <w:adjustRightInd w:val="0"/>
              <w:snapToGrid w:val="0"/>
              <w:ind w:left="147"/>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w:t>
            </w:r>
            <w:r>
              <w:rPr>
                <w:rFonts w:ascii="方正小标宋简体" w:hAnsi="方正小标宋简体" w:eastAsia="方正小标宋简体" w:cs="方正小标宋简体"/>
                <w:kern w:val="0"/>
                <w:sz w:val="40"/>
                <w:szCs w:val="40"/>
              </w:rPr>
              <w:t>唐山市</w:t>
            </w:r>
            <w:r>
              <w:rPr>
                <w:rFonts w:hint="eastAsia" w:ascii="方正小标宋简体" w:hAnsi="方正小标宋简体" w:eastAsia="方正小标宋简体" w:cs="方正小标宋简体"/>
                <w:kern w:val="0"/>
                <w:sz w:val="40"/>
                <w:szCs w:val="40"/>
              </w:rPr>
              <w:t>生态环境保护条例）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13" w:type="dxa"/>
            <w:noWrap w:val="0"/>
            <w:vAlign w:val="center"/>
          </w:tcPr>
          <w:p>
            <w:pPr>
              <w:adjustRightInd w:val="0"/>
              <w:snapToGrid w:val="0"/>
              <w:ind w:left="461"/>
              <w:rPr>
                <w:rFonts w:ascii="仿宋" w:hAnsi="仿宋" w:eastAsia="仿宋" w:cs="仿宋"/>
                <w:b/>
                <w:bCs/>
                <w:sz w:val="28"/>
                <w:szCs w:val="28"/>
              </w:rPr>
            </w:pPr>
            <w:r>
              <w:rPr>
                <w:rFonts w:ascii="仿宋" w:hAnsi="仿宋" w:eastAsia="仿宋" w:cs="仿宋"/>
                <w:b/>
                <w:bCs/>
                <w:spacing w:val="-4"/>
                <w:sz w:val="28"/>
                <w:szCs w:val="28"/>
              </w:rPr>
              <w:t>序</w:t>
            </w:r>
            <w:r>
              <w:rPr>
                <w:rFonts w:ascii="仿宋" w:hAnsi="仿宋" w:eastAsia="仿宋" w:cs="仿宋"/>
                <w:b/>
                <w:bCs/>
                <w:spacing w:val="-3"/>
                <w:sz w:val="28"/>
                <w:szCs w:val="28"/>
              </w:rPr>
              <w:t>号</w:t>
            </w:r>
          </w:p>
        </w:tc>
        <w:tc>
          <w:tcPr>
            <w:tcW w:w="7723" w:type="dxa"/>
            <w:gridSpan w:val="4"/>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w:t>
            </w:r>
            <w:r>
              <w:rPr>
                <w:rFonts w:hint="eastAsia" w:ascii="仿宋" w:hAnsi="仿宋" w:eastAsia="仿宋" w:cs="仿宋"/>
                <w:sz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413" w:type="dxa"/>
            <w:noWrap w:val="0"/>
            <w:vAlign w:val="center"/>
          </w:tcPr>
          <w:p>
            <w:pPr>
              <w:adjustRightInd w:val="0"/>
              <w:snapToGrid w:val="0"/>
              <w:jc w:val="center"/>
              <w:rPr>
                <w:rFonts w:ascii="仿宋" w:hAnsi="仿宋" w:eastAsia="仿宋" w:cs="仿宋"/>
                <w:b/>
                <w:bCs/>
                <w:sz w:val="28"/>
                <w:szCs w:val="28"/>
              </w:rPr>
            </w:pPr>
            <w:r>
              <w:rPr>
                <w:rFonts w:ascii="仿宋" w:hAnsi="仿宋" w:eastAsia="仿宋" w:cs="仿宋"/>
                <w:b/>
                <w:bCs/>
                <w:spacing w:val="-4"/>
                <w:sz w:val="28"/>
                <w:szCs w:val="28"/>
              </w:rPr>
              <w:t>违</w:t>
            </w:r>
            <w:r>
              <w:rPr>
                <w:rFonts w:ascii="仿宋" w:hAnsi="仿宋" w:eastAsia="仿宋" w:cs="仿宋"/>
                <w:b/>
                <w:bCs/>
                <w:spacing w:val="-3"/>
                <w:sz w:val="28"/>
                <w:szCs w:val="28"/>
              </w:rPr>
              <w:t>法</w:t>
            </w:r>
            <w:r>
              <w:rPr>
                <w:rFonts w:ascii="仿宋" w:hAnsi="仿宋" w:eastAsia="仿宋" w:cs="仿宋"/>
                <w:b/>
                <w:bCs/>
                <w:spacing w:val="-2"/>
                <w:sz w:val="28"/>
                <w:szCs w:val="28"/>
              </w:rPr>
              <w:t>行为</w:t>
            </w:r>
          </w:p>
        </w:tc>
        <w:tc>
          <w:tcPr>
            <w:tcW w:w="7723" w:type="dxa"/>
            <w:gridSpan w:val="4"/>
            <w:noWrap w:val="0"/>
            <w:vAlign w:val="center"/>
          </w:tcPr>
          <w:p>
            <w:pPr>
              <w:adjustRightInd w:val="0"/>
              <w:snapToGrid w:val="0"/>
              <w:ind w:right="108"/>
              <w:rPr>
                <w:rFonts w:hint="eastAsia" w:ascii="仿宋_GB2312" w:hAnsi="仿宋_GB2312" w:eastAsia="仿宋_GB2312" w:cs="仿宋_GB2312"/>
                <w:sz w:val="24"/>
              </w:rPr>
            </w:pPr>
            <w:r>
              <w:rPr>
                <w:rFonts w:hint="eastAsia" w:ascii="仿宋_GB2312" w:hAnsi="仿宋_GB2312" w:eastAsia="仿宋_GB2312" w:cs="仿宋_GB2312"/>
                <w:sz w:val="24"/>
              </w:rPr>
              <w:t>在本市使用的非道路移动机械未经信息编码登记或者未如实登记信息的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jc w:val="center"/>
        </w:trPr>
        <w:tc>
          <w:tcPr>
            <w:tcW w:w="1413" w:type="dxa"/>
            <w:noWrap w:val="0"/>
            <w:vAlign w:val="center"/>
          </w:tcPr>
          <w:p>
            <w:pPr>
              <w:adjustRightInd w:val="0"/>
              <w:snapToGrid w:val="0"/>
              <w:spacing w:before="91"/>
              <w:jc w:val="center"/>
              <w:rPr>
                <w:rFonts w:ascii="仿宋" w:hAnsi="仿宋" w:eastAsia="仿宋" w:cs="仿宋"/>
                <w:b/>
                <w:bCs/>
                <w:sz w:val="28"/>
                <w:szCs w:val="28"/>
              </w:rPr>
            </w:pPr>
            <w:r>
              <w:rPr>
                <w:rFonts w:ascii="仿宋" w:hAnsi="仿宋" w:eastAsia="仿宋" w:cs="仿宋"/>
                <w:b/>
                <w:bCs/>
                <w:spacing w:val="-7"/>
                <w:sz w:val="28"/>
                <w:szCs w:val="28"/>
              </w:rPr>
              <w:t>处</w:t>
            </w:r>
            <w:r>
              <w:rPr>
                <w:rFonts w:ascii="仿宋" w:hAnsi="仿宋" w:eastAsia="仿宋" w:cs="仿宋"/>
                <w:b/>
                <w:bCs/>
                <w:spacing w:val="-4"/>
                <w:sz w:val="28"/>
                <w:szCs w:val="28"/>
              </w:rPr>
              <w:t>罚依据</w:t>
            </w:r>
          </w:p>
        </w:tc>
        <w:tc>
          <w:tcPr>
            <w:tcW w:w="7723" w:type="dxa"/>
            <w:gridSpan w:val="4"/>
            <w:noWrap w:val="0"/>
            <w:vAlign w:val="top"/>
          </w:tcPr>
          <w:p>
            <w:pPr>
              <w:widowControl/>
              <w:tabs>
                <w:tab w:val="left" w:pos="312"/>
              </w:tabs>
              <w:adjustRightInd w:val="0"/>
              <w:snapToGrid w:val="0"/>
              <w:jc w:val="left"/>
              <w:rPr>
                <w:rFonts w:hint="eastAsia" w:ascii="仿宋_GB2312" w:hAnsi="仿宋_GB2312" w:eastAsia="仿宋_GB2312" w:cs="仿宋_GB2312"/>
                <w:b/>
                <w:bCs/>
                <w:spacing w:val="10"/>
                <w:sz w:val="24"/>
              </w:rPr>
            </w:pPr>
            <w:r>
              <w:rPr>
                <w:rFonts w:hint="eastAsia" w:ascii="仿宋_GB2312" w:hAnsi="仿宋_GB2312" w:eastAsia="仿宋_GB2312" w:cs="仿宋_GB2312"/>
                <w:spacing w:val="11"/>
                <w:sz w:val="24"/>
              </w:rPr>
              <w:t>1.</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唐山市生态环境保护条例》</w:t>
            </w:r>
          </w:p>
          <w:p>
            <w:pPr>
              <w:adjustRightInd w:val="0"/>
              <w:snapToGrid w:val="0"/>
              <w:rPr>
                <w:rFonts w:hint="eastAsia" w:ascii="仿宋_GB2312" w:hAnsi="仿宋_GB2312" w:eastAsia="仿宋_GB2312" w:cs="仿宋_GB2312"/>
                <w:spacing w:val="11"/>
                <w:sz w:val="24"/>
              </w:rPr>
            </w:pPr>
            <w:r>
              <w:rPr>
                <w:rFonts w:hint="eastAsia" w:ascii="仿宋_GB2312" w:hAnsi="仿宋_GB2312" w:eastAsia="仿宋_GB2312" w:cs="仿宋_GB2312"/>
                <w:b/>
                <w:bCs/>
                <w:spacing w:val="11"/>
                <w:sz w:val="24"/>
              </w:rPr>
              <w:t xml:space="preserve">第三十八条 </w:t>
            </w:r>
            <w:r>
              <w:rPr>
                <w:rFonts w:hint="eastAsia" w:ascii="仿宋_GB2312" w:hAnsi="仿宋_GB2312" w:eastAsia="仿宋_GB2312" w:cs="仿宋_GB2312"/>
                <w:spacing w:val="11"/>
                <w:sz w:val="24"/>
              </w:rPr>
              <w:t>实施非道路移动机械使用登记管理制度。非道路移动机械应当在检测合格后进行信息编码登记。建设单位应当要求施工单位使用按照国家和本省规定进行信息编码登记且符合排放标准的非道路移动机械。</w:t>
            </w:r>
          </w:p>
          <w:p>
            <w:pPr>
              <w:adjustRightInd w:val="0"/>
              <w:snapToGrid w:val="0"/>
              <w:rPr>
                <w:rFonts w:hint="eastAsia" w:ascii="仿宋_GB2312" w:hAnsi="仿宋_GB2312" w:eastAsia="仿宋_GB2312" w:cs="仿宋_GB2312"/>
                <w:spacing w:val="11"/>
                <w:sz w:val="24"/>
              </w:rPr>
            </w:pPr>
          </w:p>
          <w:p>
            <w:pPr>
              <w:adjustRightInd w:val="0"/>
              <w:snapToGrid w:val="0"/>
              <w:rPr>
                <w:rFonts w:hint="eastAsia" w:ascii="仿宋_GB2312" w:hAnsi="仿宋_GB2312" w:eastAsia="仿宋_GB2312" w:cs="仿宋_GB2312"/>
                <w:b/>
                <w:bCs/>
                <w:sz w:val="24"/>
              </w:rPr>
            </w:pPr>
            <w:r>
              <w:rPr>
                <w:rFonts w:hint="eastAsia" w:ascii="仿宋_GB2312" w:hAnsi="仿宋_GB2312" w:eastAsia="仿宋_GB2312" w:cs="仿宋_GB2312"/>
                <w:spacing w:val="11"/>
                <w:sz w:val="24"/>
              </w:rPr>
              <w:t>2.</w:t>
            </w:r>
            <w:r>
              <w:rPr>
                <w:rFonts w:hint="eastAsia" w:ascii="仿宋_GB2312" w:hAnsi="仿宋_GB2312" w:eastAsia="仿宋_GB2312" w:cs="仿宋_GB2312"/>
                <w:b/>
                <w:bCs/>
                <w:spacing w:val="11"/>
                <w:sz w:val="24"/>
              </w:rPr>
              <w:t>《</w:t>
            </w:r>
            <w:r>
              <w:rPr>
                <w:rFonts w:hint="eastAsia" w:ascii="仿宋_GB2312" w:hAnsi="仿宋_GB2312" w:eastAsia="仿宋_GB2312" w:cs="仿宋_GB2312"/>
                <w:b/>
                <w:bCs/>
                <w:spacing w:val="10"/>
                <w:sz w:val="24"/>
              </w:rPr>
              <w:t>唐山市生态环境保护条例》</w:t>
            </w:r>
          </w:p>
          <w:p>
            <w:pPr>
              <w:adjustRightInd w:val="0"/>
              <w:snapToGrid w:val="0"/>
              <w:ind w:firstLine="12"/>
              <w:rPr>
                <w:rFonts w:hint="eastAsia" w:ascii="仿宋_GB2312" w:hAnsi="仿宋_GB2312" w:eastAsia="仿宋_GB2312" w:cs="仿宋_GB2312"/>
                <w:spacing w:val="11"/>
                <w:sz w:val="23"/>
                <w:szCs w:val="23"/>
              </w:rPr>
            </w:pPr>
            <w:r>
              <w:rPr>
                <w:rFonts w:hint="eastAsia" w:ascii="仿宋_GB2312" w:hAnsi="仿宋_GB2312" w:eastAsia="仿宋_GB2312" w:cs="仿宋_GB2312"/>
                <w:b/>
                <w:bCs/>
                <w:spacing w:val="11"/>
                <w:sz w:val="24"/>
              </w:rPr>
              <w:t>第五十一条</w:t>
            </w:r>
            <w:r>
              <w:rPr>
                <w:rFonts w:hint="eastAsia" w:ascii="仿宋_GB2312" w:hAnsi="仿宋_GB2312" w:eastAsia="仿宋_GB2312" w:cs="仿宋_GB2312"/>
                <w:spacing w:val="11"/>
                <w:sz w:val="24"/>
              </w:rPr>
              <w:t xml:space="preserve"> 违反本条例第三十八条规定，在本市使用的非道路移动机械未经信息编码登记或者未如实登记信息的，由生态环境主管部门责令改正；拒不改正的，对使用者处每台五百元以上一千元以下罚款。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4024" w:type="dxa"/>
            <w:gridSpan w:val="3"/>
            <w:noWrap w:val="0"/>
            <w:vAlign w:val="center"/>
          </w:tcPr>
          <w:p>
            <w:pPr>
              <w:adjustRightInd w:val="0"/>
              <w:snapToGrid w:val="0"/>
              <w:ind w:left="1488"/>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2"/>
                <w:sz w:val="28"/>
                <w:szCs w:val="28"/>
              </w:rPr>
              <w:t>裁量要素</w:t>
            </w:r>
          </w:p>
        </w:tc>
        <w:tc>
          <w:tcPr>
            <w:tcW w:w="5112" w:type="dxa"/>
            <w:gridSpan w:val="2"/>
            <w:noWrap w:val="0"/>
            <w:vAlign w:val="center"/>
          </w:tcPr>
          <w:p>
            <w:pPr>
              <w:adjustRightInd w:val="0"/>
              <w:snapToGrid w:val="0"/>
              <w:ind w:left="1891"/>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413" w:type="dxa"/>
            <w:noWrap w:val="0"/>
            <w:vAlign w:val="center"/>
          </w:tcPr>
          <w:p>
            <w:pPr>
              <w:adjustRightInd w:val="0"/>
              <w:snapToGrid w:val="0"/>
              <w:ind w:left="510"/>
              <w:rPr>
                <w:rFonts w:hint="eastAsia" w:ascii="仿宋_GB2312" w:hAnsi="仿宋_GB2312" w:eastAsia="仿宋_GB2312" w:cs="仿宋_GB2312"/>
                <w:b/>
                <w:bCs/>
                <w:sz w:val="24"/>
              </w:rPr>
            </w:pPr>
            <w:r>
              <w:rPr>
                <w:rFonts w:hint="eastAsia" w:ascii="仿宋_GB2312" w:hAnsi="仿宋_GB2312" w:eastAsia="仿宋_GB2312" w:cs="仿宋_GB2312"/>
                <w:b/>
                <w:bCs/>
                <w:spacing w:val="2"/>
                <w:sz w:val="24"/>
              </w:rPr>
              <w:t>要</w:t>
            </w:r>
            <w:r>
              <w:rPr>
                <w:rFonts w:hint="eastAsia" w:ascii="仿宋_GB2312" w:hAnsi="仿宋_GB2312" w:eastAsia="仿宋_GB2312" w:cs="仿宋_GB2312"/>
                <w:b/>
                <w:bCs/>
                <w:spacing w:val="1"/>
                <w:sz w:val="24"/>
              </w:rPr>
              <w:t>素</w:t>
            </w:r>
          </w:p>
        </w:tc>
        <w:tc>
          <w:tcPr>
            <w:tcW w:w="1903" w:type="dxa"/>
            <w:noWrap w:val="0"/>
            <w:vAlign w:val="center"/>
          </w:tcPr>
          <w:p>
            <w:pPr>
              <w:adjustRightInd w:val="0"/>
              <w:snapToGrid w:val="0"/>
              <w:ind w:left="483"/>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7"/>
                <w:sz w:val="22"/>
                <w:szCs w:val="22"/>
              </w:rPr>
              <w:t>具</w:t>
            </w:r>
            <w:r>
              <w:rPr>
                <w:rFonts w:hint="eastAsia" w:ascii="仿宋_GB2312" w:hAnsi="仿宋_GB2312" w:eastAsia="仿宋_GB2312" w:cs="仿宋_GB2312"/>
                <w:b/>
                <w:bCs/>
                <w:spacing w:val="6"/>
                <w:sz w:val="22"/>
                <w:szCs w:val="22"/>
              </w:rPr>
              <w:t>体条件</w:t>
            </w:r>
          </w:p>
        </w:tc>
        <w:tc>
          <w:tcPr>
            <w:tcW w:w="708" w:type="dxa"/>
            <w:noWrap w:val="0"/>
            <w:vAlign w:val="center"/>
          </w:tcPr>
          <w:p>
            <w:pPr>
              <w:adjustRightInd w:val="0"/>
              <w:snapToGrid w:val="0"/>
              <w:ind w:left="118" w:right="113"/>
              <w:rPr>
                <w:rFonts w:hint="eastAsia" w:ascii="仿宋_GB2312" w:hAnsi="仿宋_GB2312" w:eastAsia="仿宋_GB2312" w:cs="仿宋_GB2312"/>
                <w:b/>
                <w:bCs/>
                <w:spacing w:val="-14"/>
                <w:sz w:val="22"/>
                <w:szCs w:val="22"/>
              </w:rPr>
            </w:pPr>
            <w:r>
              <w:rPr>
                <w:rFonts w:hint="eastAsia" w:ascii="仿宋_GB2312" w:hAnsi="仿宋_GB2312" w:eastAsia="仿宋_GB2312" w:cs="仿宋_GB2312"/>
                <w:b/>
                <w:bCs/>
                <w:spacing w:val="-14"/>
                <w:sz w:val="22"/>
                <w:szCs w:val="22"/>
              </w:rPr>
              <w:t>构成</w:t>
            </w:r>
          </w:p>
          <w:p>
            <w:pPr>
              <w:adjustRightInd w:val="0"/>
              <w:snapToGrid w:val="0"/>
              <w:ind w:left="118" w:right="113"/>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14"/>
                <w:sz w:val="22"/>
                <w:szCs w:val="22"/>
              </w:rPr>
              <w:t>比</w:t>
            </w:r>
            <w:r>
              <w:rPr>
                <w:rFonts w:hint="eastAsia" w:ascii="仿宋_GB2312" w:hAnsi="仿宋_GB2312" w:eastAsia="仿宋_GB2312" w:cs="仿宋_GB2312"/>
                <w:b/>
                <w:bCs/>
                <w:spacing w:val="-12"/>
                <w:sz w:val="22"/>
                <w:szCs w:val="22"/>
              </w:rPr>
              <w:t>例</w:t>
            </w:r>
          </w:p>
        </w:tc>
        <w:tc>
          <w:tcPr>
            <w:tcW w:w="3735" w:type="dxa"/>
            <w:noWrap w:val="0"/>
            <w:vAlign w:val="center"/>
          </w:tcPr>
          <w:p>
            <w:pPr>
              <w:adjustRightInd w:val="0"/>
              <w:snapToGrid w:val="0"/>
              <w:ind w:left="16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程</w:t>
            </w:r>
            <w:r>
              <w:rPr>
                <w:rFonts w:hint="eastAsia" w:ascii="仿宋_GB2312" w:hAnsi="仿宋_GB2312" w:eastAsia="仿宋_GB2312" w:cs="仿宋_GB2312"/>
                <w:b/>
                <w:bCs/>
                <w:spacing w:val="3"/>
                <w:sz w:val="22"/>
                <w:szCs w:val="22"/>
              </w:rPr>
              <w:t>度</w:t>
            </w:r>
          </w:p>
        </w:tc>
        <w:tc>
          <w:tcPr>
            <w:tcW w:w="1377" w:type="dxa"/>
            <w:noWrap w:val="0"/>
            <w:vAlign w:val="center"/>
          </w:tcPr>
          <w:p>
            <w:pPr>
              <w:adjustRightInd w:val="0"/>
              <w:snapToGrid w:val="0"/>
              <w:ind w:left="224"/>
              <w:rPr>
                <w:rFonts w:hint="eastAsia" w:ascii="仿宋_GB2312" w:hAnsi="仿宋_GB2312" w:eastAsia="仿宋_GB2312" w:cs="仿宋_GB2312"/>
                <w:b/>
                <w:bCs/>
                <w:sz w:val="22"/>
                <w:szCs w:val="22"/>
              </w:rPr>
            </w:pPr>
            <w:r>
              <w:rPr>
                <w:rFonts w:hint="eastAsia" w:ascii="仿宋_GB2312" w:hAnsi="仿宋_GB2312" w:eastAsia="仿宋_GB2312" w:cs="仿宋_GB2312"/>
                <w:b/>
                <w:bCs/>
                <w:spacing w:val="4"/>
                <w:sz w:val="22"/>
                <w:szCs w:val="22"/>
              </w:rPr>
              <w:t>百分值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13"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违法行为类型</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40%</w:t>
            </w: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未经信息编码登记</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413"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未如实登记信息</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3"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一年内违法次数</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首次实施违法行为的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3"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再次实施违法行为的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3"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第三次实施违法行为的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413"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三次以上实施违法行为的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3"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整改情况</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是否完成整改</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全面整改并停止违法行为的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3" w:type="dxa"/>
            <w:vMerge w:val="continue"/>
            <w:tcBorders>
              <w:top w:val="nil"/>
              <w:bottom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正在整改但违法行为未完全消除的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3"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复查时未采取整改措施的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3"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配合调查取证情况</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是否配合执法检查</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10%</w:t>
            </w: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不配合检查的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3" w:type="dxa"/>
            <w:vMerge w:val="continue"/>
            <w:tcBorders>
              <w:top w:val="nil"/>
            </w:tcBorders>
            <w:noWrap w:val="0"/>
            <w:vAlign w:val="center"/>
          </w:tcPr>
          <w:p>
            <w:pPr>
              <w:adjustRightInd w:val="0"/>
              <w:snapToGrid w:val="0"/>
              <w:jc w:val="center"/>
              <w:rPr>
                <w:rFonts w:hint="eastAsia" w:ascii="仿宋_GB2312" w:hAnsi="仿宋_GB2312" w:eastAsia="仿宋_GB2312" w:cs="仿宋_GB2312"/>
                <w:b/>
                <w:bCs/>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配合检查的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413" w:type="dxa"/>
            <w:vMerge w:val="restart"/>
            <w:tcBorders>
              <w:bottom w:val="nil"/>
            </w:tcBorders>
            <w:noWrap w:val="0"/>
            <w:vAlign w:val="center"/>
          </w:tcPr>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对社会影响</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或生态破坏</w:t>
            </w:r>
          </w:p>
          <w:p>
            <w:pPr>
              <w:adjustRightInd w:val="0"/>
              <w:snapToGrid w:val="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903"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是否造成社会影响或生态破坏</w:t>
            </w:r>
          </w:p>
        </w:tc>
        <w:tc>
          <w:tcPr>
            <w:tcW w:w="708" w:type="dxa"/>
            <w:vMerge w:val="restart"/>
            <w:tcBorders>
              <w:bottom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造成社会影响或生态破坏的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13" w:type="dxa"/>
            <w:vMerge w:val="continue"/>
            <w:tcBorders>
              <w:top w:val="nil"/>
            </w:tcBorders>
            <w:noWrap w:val="0"/>
            <w:vAlign w:val="center"/>
          </w:tcPr>
          <w:p>
            <w:pPr>
              <w:adjustRightInd w:val="0"/>
              <w:snapToGrid w:val="0"/>
              <w:rPr>
                <w:rFonts w:hint="eastAsia" w:ascii="仿宋_GB2312" w:hAnsi="仿宋_GB2312" w:eastAsia="仿宋_GB2312" w:cs="仿宋_GB2312"/>
                <w:sz w:val="24"/>
              </w:rPr>
            </w:pPr>
          </w:p>
        </w:tc>
        <w:tc>
          <w:tcPr>
            <w:tcW w:w="1903"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708" w:type="dxa"/>
            <w:vMerge w:val="continue"/>
            <w:tcBorders>
              <w:top w:val="nil"/>
            </w:tcBorders>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p>
        </w:tc>
        <w:tc>
          <w:tcPr>
            <w:tcW w:w="3735" w:type="dxa"/>
            <w:noWrap w:val="0"/>
            <w:vAlign w:val="center"/>
          </w:tcPr>
          <w:p>
            <w:pPr>
              <w:adjustRightInd w:val="0"/>
              <w:snapToGrid w:val="0"/>
              <w:spacing w:line="28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未造成社会影响与生态破坏的</w:t>
            </w:r>
          </w:p>
        </w:tc>
        <w:tc>
          <w:tcPr>
            <w:tcW w:w="1377" w:type="dxa"/>
            <w:noWrap w:val="0"/>
            <w:vAlign w:val="center"/>
          </w:tcPr>
          <w:p>
            <w:pPr>
              <w:adjustRightInd w:val="0"/>
              <w:snapToGrid w:val="0"/>
              <w:spacing w:line="280" w:lineRule="exact"/>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0%</w:t>
            </w:r>
          </w:p>
        </w:tc>
      </w:tr>
    </w:tbl>
    <w:p>
      <w:pPr>
        <w:rPr>
          <w:rFonts w:hint="eastAsia" w:ascii="宋体" w:hAnsi="宋体" w:cs="宋体"/>
          <w:sz w:val="28"/>
          <w:szCs w:val="28"/>
        </w:rPr>
      </w:pPr>
    </w:p>
    <w:p>
      <w:pPr>
        <w:jc w:val="center"/>
        <w:rPr>
          <w:rFonts w:ascii="宋体" w:hAnsi="宋体" w:cs="宋体"/>
          <w:sz w:val="28"/>
          <w:szCs w:val="28"/>
        </w:rPr>
      </w:pPr>
      <w:r>
        <w:rPr>
          <w:rFonts w:hint="eastAsia" w:ascii="方正小标宋简体" w:hAnsi="方正小标宋简体" w:eastAsia="方正小标宋简体" w:cs="方正小标宋简体"/>
          <w:sz w:val="40"/>
          <w:szCs w:val="40"/>
        </w:rPr>
        <w:t>唐山市生态环境行政处罚通用裁量表</w:t>
      </w:r>
    </w:p>
    <w:p>
      <w:pPr>
        <w:rPr>
          <w:rFonts w:ascii="宋体" w:hAnsi="宋体" w:cs="宋体"/>
          <w:sz w:val="28"/>
          <w:szCs w:val="28"/>
        </w:rPr>
      </w:pPr>
    </w:p>
    <w:tbl>
      <w:tblPr>
        <w:tblStyle w:val="9"/>
        <w:tblpPr w:leftFromText="180" w:rightFromText="180" w:vertAnchor="page" w:horzAnchor="page" w:tblpX="1533" w:tblpY="22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890"/>
        <w:gridCol w:w="793"/>
        <w:gridCol w:w="320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4" w:type="dxa"/>
            <w:gridSpan w:val="3"/>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裁量要素</w:t>
            </w:r>
          </w:p>
        </w:tc>
        <w:tc>
          <w:tcPr>
            <w:tcW w:w="4566" w:type="dxa"/>
            <w:gridSpan w:val="2"/>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8"/>
                <w:szCs w:val="28"/>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1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要素</w:t>
            </w:r>
          </w:p>
        </w:tc>
        <w:tc>
          <w:tcPr>
            <w:tcW w:w="1890"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具体条件</w:t>
            </w:r>
          </w:p>
        </w:tc>
        <w:tc>
          <w:tcPr>
            <w:tcW w:w="79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构成</w:t>
            </w:r>
          </w:p>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比例</w:t>
            </w:r>
          </w:p>
        </w:tc>
        <w:tc>
          <w:tcPr>
            <w:tcW w:w="320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程度</w:t>
            </w:r>
          </w:p>
        </w:tc>
        <w:tc>
          <w:tcPr>
            <w:tcW w:w="1363" w:type="dxa"/>
            <w:noWrap w:val="0"/>
            <w:vAlign w:val="center"/>
          </w:tcPr>
          <w:p>
            <w:pPr>
              <w:jc w:val="cente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对环境影响</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程度</w:t>
            </w:r>
          </w:p>
        </w:tc>
        <w:tc>
          <w:tcPr>
            <w:tcW w:w="1890" w:type="dxa"/>
            <w:vMerge w:val="restart"/>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违法行为类型</w:t>
            </w:r>
          </w:p>
        </w:tc>
        <w:tc>
          <w:tcPr>
            <w:tcW w:w="793" w:type="dxa"/>
            <w:vMerge w:val="restart"/>
            <w:noWrap w:val="0"/>
            <w:vAlign w:val="center"/>
          </w:tcPr>
          <w:p>
            <w:pPr>
              <w:jc w:val="center"/>
              <w:rPr>
                <w:rFonts w:hint="eastAsia" w:ascii="仿宋_GB2312" w:hAnsi="仿宋_GB2312" w:eastAsia="仿宋_GB2312" w:cs="仿宋_GB2312"/>
                <w:spacing w:val="7"/>
                <w:sz w:val="24"/>
              </w:rPr>
            </w:pPr>
            <w:r>
              <w:rPr>
                <w:rFonts w:hint="eastAsia" w:ascii="仿宋_GB2312" w:hAnsi="仿宋_GB2312" w:eastAsia="仿宋_GB2312" w:cs="仿宋_GB2312"/>
                <w:spacing w:val="7"/>
                <w:sz w:val="24"/>
              </w:rPr>
              <w:t>20%</w:t>
            </w:r>
          </w:p>
        </w:tc>
        <w:tc>
          <w:tcPr>
            <w:tcW w:w="3203" w:type="dxa"/>
            <w:noWrap w:val="0"/>
            <w:vAlign w:val="top"/>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一般</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11"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top"/>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较重</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11"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top"/>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严重</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11" w:type="dxa"/>
            <w:vMerge w:val="continue"/>
            <w:noWrap w:val="0"/>
            <w:vAlign w:val="center"/>
          </w:tcPr>
          <w:p>
            <w:pPr>
              <w:jc w:val="center"/>
              <w:rPr>
                <w:rFonts w:hint="eastAsia" w:ascii="仿宋_GB2312" w:hAnsi="仿宋_GB2312" w:eastAsia="仿宋_GB2312" w:cs="仿宋_GB2312"/>
                <w:b/>
                <w:bCs/>
                <w:sz w:val="24"/>
              </w:rPr>
            </w:pPr>
          </w:p>
        </w:tc>
        <w:tc>
          <w:tcPr>
            <w:tcW w:w="1890" w:type="dxa"/>
            <w:vMerge w:val="restart"/>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违法行为</w:t>
            </w:r>
          </w:p>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持续时间</w:t>
            </w:r>
          </w:p>
        </w:tc>
        <w:tc>
          <w:tcPr>
            <w:tcW w:w="793" w:type="dxa"/>
            <w:vMerge w:val="restart"/>
            <w:noWrap w:val="0"/>
            <w:vAlign w:val="center"/>
          </w:tcPr>
          <w:p>
            <w:pPr>
              <w:jc w:val="center"/>
              <w:rPr>
                <w:rFonts w:hint="eastAsia" w:ascii="仿宋_GB2312" w:hAnsi="仿宋" w:eastAsia="仿宋_GB2312" w:cs="仿宋"/>
                <w:spacing w:val="7"/>
                <w:sz w:val="24"/>
              </w:rPr>
            </w:pPr>
            <w:r>
              <w:rPr>
                <w:rFonts w:hint="eastAsia" w:ascii="仿宋_GB2312" w:hAnsi="仿宋_GB2312" w:eastAsia="仿宋_GB2312" w:cs="仿宋_GB2312"/>
                <w:spacing w:val="7"/>
                <w:sz w:val="24"/>
              </w:rPr>
              <w:t>10%</w:t>
            </w: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违法行为持续1个月以下的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11"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违法行为持续1个月以上3个月以下的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811"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违法行为持续3个月以上的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11"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违法频次</w:t>
            </w:r>
          </w:p>
        </w:tc>
        <w:tc>
          <w:tcPr>
            <w:tcW w:w="1890" w:type="dxa"/>
            <w:vMerge w:val="restart"/>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一年内违法</w:t>
            </w:r>
          </w:p>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次数</w:t>
            </w:r>
          </w:p>
        </w:tc>
        <w:tc>
          <w:tcPr>
            <w:tcW w:w="793" w:type="dxa"/>
            <w:vMerge w:val="restart"/>
            <w:noWrap w:val="0"/>
            <w:vAlign w:val="center"/>
          </w:tcPr>
          <w:p>
            <w:pPr>
              <w:jc w:val="center"/>
              <w:rPr>
                <w:rFonts w:hint="eastAsia" w:ascii="仿宋_GB2312" w:hAnsi="仿宋" w:eastAsia="仿宋_GB2312" w:cs="仿宋"/>
                <w:spacing w:val="7"/>
                <w:sz w:val="24"/>
              </w:rPr>
            </w:pPr>
            <w:r>
              <w:rPr>
                <w:rFonts w:hint="eastAsia" w:ascii="仿宋_GB2312" w:hAnsi="仿宋_GB2312" w:eastAsia="仿宋_GB2312" w:cs="仿宋_GB2312"/>
                <w:spacing w:val="7"/>
                <w:sz w:val="24"/>
              </w:rPr>
              <w:t>20%</w:t>
            </w: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首次实施违法行为的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11" w:type="dxa"/>
            <w:vMerge w:val="continue"/>
            <w:noWrap w:val="0"/>
            <w:vAlign w:val="center"/>
          </w:tcPr>
          <w:p>
            <w:pPr>
              <w:jc w:val="center"/>
              <w:rPr>
                <w:rFonts w:hint="eastAsia" w:ascii="仿宋_GB2312" w:hAnsi="仿宋_GB2312" w:eastAsia="仿宋_GB2312" w:cs="仿宋_GB2312"/>
                <w:b/>
                <w:bCs/>
                <w:sz w:val="24"/>
              </w:rPr>
            </w:pPr>
          </w:p>
        </w:tc>
        <w:tc>
          <w:tcPr>
            <w:tcW w:w="1890" w:type="dxa"/>
            <w:vMerge w:val="continue"/>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再次实施违法行为的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11" w:type="dxa"/>
            <w:vMerge w:val="continue"/>
            <w:noWrap w:val="0"/>
            <w:vAlign w:val="center"/>
          </w:tcPr>
          <w:p>
            <w:pPr>
              <w:jc w:val="left"/>
            </w:pPr>
          </w:p>
        </w:tc>
        <w:tc>
          <w:tcPr>
            <w:tcW w:w="1890" w:type="dxa"/>
            <w:vMerge w:val="continue"/>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第三次实施违法行为的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11" w:type="dxa"/>
            <w:vMerge w:val="continue"/>
            <w:noWrap w:val="0"/>
            <w:vAlign w:val="center"/>
          </w:tcPr>
          <w:p>
            <w:pPr>
              <w:jc w:val="left"/>
              <w:rPr>
                <w:rFonts w:hint="eastAsia" w:ascii="仿宋_GB2312" w:hAnsi="仿宋_GB2312" w:eastAsia="仿宋_GB2312" w:cs="仿宋_GB2312"/>
                <w:sz w:val="24"/>
                <w:szCs w:val="32"/>
              </w:rPr>
            </w:pPr>
          </w:p>
        </w:tc>
        <w:tc>
          <w:tcPr>
            <w:tcW w:w="1890" w:type="dxa"/>
            <w:vMerge w:val="continue"/>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三次以上实施违法行为的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排污许可</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管理类别</w:t>
            </w:r>
          </w:p>
        </w:tc>
        <w:tc>
          <w:tcPr>
            <w:tcW w:w="1890" w:type="dxa"/>
            <w:vMerge w:val="restart"/>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具体类别</w:t>
            </w:r>
          </w:p>
        </w:tc>
        <w:tc>
          <w:tcPr>
            <w:tcW w:w="793" w:type="dxa"/>
            <w:vMerge w:val="restart"/>
            <w:noWrap w:val="0"/>
            <w:vAlign w:val="center"/>
          </w:tcPr>
          <w:p>
            <w:pPr>
              <w:jc w:val="center"/>
              <w:rPr>
                <w:rFonts w:hint="eastAsia" w:ascii="仿宋_GB2312" w:hAnsi="仿宋" w:eastAsia="仿宋_GB2312" w:cs="仿宋"/>
                <w:spacing w:val="7"/>
                <w:sz w:val="24"/>
              </w:rPr>
            </w:pPr>
            <w:r>
              <w:rPr>
                <w:rFonts w:hint="eastAsia" w:ascii="仿宋_GB2312" w:hAnsi="仿宋_GB2312" w:eastAsia="仿宋_GB2312" w:cs="仿宋_GB2312"/>
                <w:spacing w:val="7"/>
                <w:sz w:val="24"/>
              </w:rPr>
              <w:t>10%</w:t>
            </w:r>
          </w:p>
        </w:tc>
        <w:tc>
          <w:tcPr>
            <w:tcW w:w="3203" w:type="dxa"/>
            <w:noWrap w:val="0"/>
            <w:vAlign w:val="top"/>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登记管理</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top"/>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简化管理</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top"/>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重点管理</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配合调查</w:t>
            </w:r>
          </w:p>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取证情况</w:t>
            </w:r>
          </w:p>
        </w:tc>
        <w:tc>
          <w:tcPr>
            <w:tcW w:w="1890" w:type="dxa"/>
            <w:vMerge w:val="restart"/>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是否配合执法检查</w:t>
            </w:r>
          </w:p>
        </w:tc>
        <w:tc>
          <w:tcPr>
            <w:tcW w:w="793" w:type="dxa"/>
            <w:vMerge w:val="restart"/>
            <w:noWrap w:val="0"/>
            <w:vAlign w:val="center"/>
          </w:tcPr>
          <w:p>
            <w:pPr>
              <w:jc w:val="center"/>
              <w:rPr>
                <w:rFonts w:hint="eastAsia" w:ascii="仿宋_GB2312" w:hAnsi="仿宋" w:eastAsia="仿宋_GB2312" w:cs="仿宋"/>
                <w:spacing w:val="7"/>
                <w:sz w:val="24"/>
              </w:rPr>
            </w:pPr>
            <w:r>
              <w:rPr>
                <w:rFonts w:hint="eastAsia" w:ascii="仿宋_GB2312" w:hAnsi="仿宋_GB2312" w:eastAsia="仿宋_GB2312" w:cs="仿宋_GB2312"/>
                <w:spacing w:val="7"/>
                <w:sz w:val="24"/>
              </w:rPr>
              <w:t>10%</w:t>
            </w: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不配合检查的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配合检查的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811" w:type="dxa"/>
            <w:vMerge w:val="restart"/>
            <w:tcBorders>
              <w:right w:val="single" w:color="auto" w:sz="4" w:space="0"/>
            </w:tcBorders>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整改情况</w:t>
            </w:r>
          </w:p>
        </w:tc>
        <w:tc>
          <w:tcPr>
            <w:tcW w:w="1890" w:type="dxa"/>
            <w:vMerge w:val="restart"/>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是否完成整改</w:t>
            </w:r>
          </w:p>
        </w:tc>
        <w:tc>
          <w:tcPr>
            <w:tcW w:w="793" w:type="dxa"/>
            <w:vMerge w:val="restart"/>
            <w:noWrap w:val="0"/>
            <w:vAlign w:val="center"/>
          </w:tcPr>
          <w:p>
            <w:pPr>
              <w:jc w:val="center"/>
              <w:rPr>
                <w:rFonts w:hint="eastAsia" w:ascii="仿宋_GB2312" w:hAnsi="仿宋" w:eastAsia="仿宋_GB2312" w:cs="仿宋"/>
                <w:spacing w:val="7"/>
                <w:sz w:val="24"/>
              </w:rPr>
            </w:pPr>
            <w:r>
              <w:rPr>
                <w:rFonts w:hint="eastAsia" w:ascii="仿宋_GB2312" w:hAnsi="仿宋_GB2312" w:eastAsia="仿宋_GB2312" w:cs="仿宋_GB2312"/>
                <w:spacing w:val="7"/>
                <w:sz w:val="24"/>
              </w:rPr>
              <w:t>10%</w:t>
            </w: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全面整改并停止违法行为的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正在整改但违法行为未完全消除的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11" w:type="dxa"/>
            <w:vMerge w:val="continue"/>
            <w:tcBorders>
              <w:right w:val="single" w:color="auto" w:sz="4" w:space="0"/>
            </w:tcBorders>
            <w:noWrap w:val="0"/>
            <w:vAlign w:val="center"/>
          </w:tcPr>
          <w:p>
            <w:pPr>
              <w:jc w:val="center"/>
              <w:rPr>
                <w:rFonts w:hint="eastAsia" w:ascii="仿宋_GB2312" w:hAnsi="仿宋_GB2312" w:eastAsia="仿宋_GB2312" w:cs="仿宋_GB2312"/>
                <w:b/>
                <w:bCs/>
                <w:sz w:val="24"/>
                <w:szCs w:val="32"/>
              </w:rPr>
            </w:pPr>
          </w:p>
        </w:tc>
        <w:tc>
          <w:tcPr>
            <w:tcW w:w="1890" w:type="dxa"/>
            <w:vMerge w:val="continue"/>
            <w:tcBorders>
              <w:left w:val="single" w:color="auto" w:sz="4" w:space="0"/>
            </w:tcBorders>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复查时未采取整改措施的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11" w:type="dxa"/>
            <w:vMerge w:val="restart"/>
            <w:noWrap w:val="0"/>
            <w:vAlign w:val="center"/>
          </w:tcPr>
          <w:p>
            <w:pPr>
              <w:jc w:val="center"/>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对社会影响或生态破坏程度</w:t>
            </w:r>
          </w:p>
        </w:tc>
        <w:tc>
          <w:tcPr>
            <w:tcW w:w="1890" w:type="dxa"/>
            <w:vMerge w:val="restart"/>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是否造成社会影响与生态</w:t>
            </w:r>
          </w:p>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破坏</w:t>
            </w:r>
          </w:p>
        </w:tc>
        <w:tc>
          <w:tcPr>
            <w:tcW w:w="793" w:type="dxa"/>
            <w:vMerge w:val="restart"/>
            <w:noWrap w:val="0"/>
            <w:vAlign w:val="center"/>
          </w:tcPr>
          <w:p>
            <w:pPr>
              <w:jc w:val="center"/>
              <w:rPr>
                <w:rFonts w:hint="eastAsia" w:ascii="仿宋_GB2312" w:hAnsi="仿宋" w:eastAsia="仿宋_GB2312" w:cs="仿宋"/>
                <w:spacing w:val="7"/>
                <w:sz w:val="24"/>
              </w:rPr>
            </w:pPr>
            <w:r>
              <w:rPr>
                <w:rFonts w:hint="eastAsia" w:ascii="仿宋_GB2312" w:hAnsi="仿宋_GB2312" w:eastAsia="仿宋_GB2312" w:cs="仿宋_GB2312"/>
                <w:spacing w:val="7"/>
                <w:sz w:val="24"/>
              </w:rPr>
              <w:t>20%</w:t>
            </w: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造成社会影响或生态破坏的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11" w:type="dxa"/>
            <w:vMerge w:val="continue"/>
            <w:noWrap w:val="0"/>
            <w:vAlign w:val="center"/>
          </w:tcPr>
          <w:p>
            <w:pPr>
              <w:jc w:val="center"/>
              <w:rPr>
                <w:rFonts w:hint="eastAsia" w:ascii="仿宋_GB2312" w:hAnsi="仿宋_GB2312" w:eastAsia="仿宋_GB2312" w:cs="仿宋_GB2312"/>
                <w:b/>
                <w:bCs/>
                <w:sz w:val="24"/>
                <w:szCs w:val="32"/>
              </w:rPr>
            </w:pPr>
          </w:p>
        </w:tc>
        <w:tc>
          <w:tcPr>
            <w:tcW w:w="1890"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793" w:type="dxa"/>
            <w:vMerge w:val="continue"/>
            <w:noWrap w:val="0"/>
            <w:vAlign w:val="center"/>
          </w:tcPr>
          <w:p>
            <w:pPr>
              <w:adjustRightInd w:val="0"/>
              <w:snapToGrid w:val="0"/>
              <w:spacing w:line="280" w:lineRule="exact"/>
              <w:ind w:left="118"/>
              <w:rPr>
                <w:rFonts w:hint="eastAsia" w:ascii="仿宋_GB2312" w:hAnsi="仿宋" w:eastAsia="仿宋_GB2312" w:cs="仿宋"/>
                <w:spacing w:val="7"/>
                <w:sz w:val="24"/>
              </w:rPr>
            </w:pPr>
          </w:p>
        </w:tc>
        <w:tc>
          <w:tcPr>
            <w:tcW w:w="3203" w:type="dxa"/>
            <w:noWrap w:val="0"/>
            <w:vAlign w:val="center"/>
          </w:tcPr>
          <w:p>
            <w:pPr>
              <w:adjustRightInd w:val="0"/>
              <w:snapToGrid w:val="0"/>
              <w:spacing w:line="280" w:lineRule="exact"/>
              <w:rPr>
                <w:rFonts w:hint="eastAsia" w:ascii="仿宋_GB2312" w:hAnsi="仿宋" w:eastAsia="仿宋_GB2312" w:cs="仿宋"/>
                <w:spacing w:val="7"/>
                <w:sz w:val="24"/>
              </w:rPr>
            </w:pPr>
            <w:r>
              <w:rPr>
                <w:rFonts w:hint="eastAsia" w:ascii="仿宋_GB2312" w:hAnsi="仿宋" w:eastAsia="仿宋_GB2312" w:cs="仿宋"/>
                <w:spacing w:val="7"/>
                <w:sz w:val="24"/>
              </w:rPr>
              <w:t>未造成社会影响与生态破坏的</w:t>
            </w:r>
          </w:p>
        </w:tc>
        <w:tc>
          <w:tcPr>
            <w:tcW w:w="1363" w:type="dxa"/>
            <w:noWrap w:val="0"/>
            <w:vAlign w:val="center"/>
          </w:tcPr>
          <w:p>
            <w:pPr>
              <w:adjustRightInd w:val="0"/>
              <w:snapToGrid w:val="0"/>
              <w:spacing w:line="280" w:lineRule="exact"/>
              <w:ind w:left="118"/>
              <w:jc w:val="center"/>
              <w:rPr>
                <w:rFonts w:hint="eastAsia" w:ascii="仿宋_GB2312" w:hAnsi="仿宋" w:eastAsia="仿宋_GB2312" w:cs="仿宋"/>
                <w:spacing w:val="7"/>
                <w:sz w:val="24"/>
              </w:rPr>
            </w:pPr>
            <w:r>
              <w:rPr>
                <w:rFonts w:hint="eastAsia" w:ascii="仿宋_GB2312" w:hAnsi="仿宋" w:eastAsia="仿宋_GB2312" w:cs="仿宋"/>
                <w:spacing w:val="7"/>
                <w:sz w:val="24"/>
              </w:rPr>
              <w:t>0%</w:t>
            </w:r>
          </w:p>
        </w:tc>
      </w:tr>
    </w:tbl>
    <w:p>
      <w:pPr>
        <w:spacing w:line="0" w:lineRule="atLeast"/>
        <w:jc w:val="center"/>
        <w:sectPr>
          <w:footerReference r:id="rId4" w:type="default"/>
          <w:pgSz w:w="11906" w:h="16838"/>
          <w:pgMar w:top="1429" w:right="1417" w:bottom="1247" w:left="1417" w:header="0" w:footer="958" w:gutter="0"/>
          <w:pgNumType w:fmt="numberInDash"/>
          <w:cols w:space="720" w:num="1"/>
          <w:docGrid w:linePitch="312" w:charSpace="0"/>
        </w:sectPr>
      </w:pPr>
    </w:p>
    <w:p>
      <w:pPr>
        <w:spacing w:line="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唐山市生态环境轻微违法行为不予行政处罚事项清单</w:t>
      </w:r>
    </w:p>
    <w:tbl>
      <w:tblPr>
        <w:tblStyle w:val="9"/>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36"/>
        <w:gridCol w:w="7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5" w:type="dxa"/>
            <w:noWrap w:val="0"/>
            <w:vAlign w:val="center"/>
          </w:tcPr>
          <w:p>
            <w:pPr>
              <w:widowControl/>
              <w:kinsoku w:val="0"/>
              <w:autoSpaceDE w:val="0"/>
              <w:autoSpaceDN w:val="0"/>
              <w:adjustRightInd w:val="0"/>
              <w:snapToGrid w:val="0"/>
              <w:spacing w:line="60" w:lineRule="atLeast"/>
              <w:ind w:right="45"/>
              <w:jc w:val="center"/>
              <w:textAlignment w:val="baseline"/>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序号</w:t>
            </w:r>
          </w:p>
        </w:tc>
        <w:tc>
          <w:tcPr>
            <w:tcW w:w="5336" w:type="dxa"/>
            <w:noWrap w:val="0"/>
            <w:vAlign w:val="center"/>
          </w:tcPr>
          <w:p>
            <w:pPr>
              <w:widowControl/>
              <w:kinsoku w:val="0"/>
              <w:autoSpaceDE w:val="0"/>
              <w:autoSpaceDN w:val="0"/>
              <w:adjustRightInd w:val="0"/>
              <w:snapToGrid w:val="0"/>
              <w:spacing w:line="60" w:lineRule="atLeast"/>
              <w:ind w:right="45"/>
              <w:jc w:val="center"/>
              <w:textAlignment w:val="baseline"/>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免罚事项名称</w:t>
            </w:r>
          </w:p>
        </w:tc>
        <w:tc>
          <w:tcPr>
            <w:tcW w:w="7939" w:type="dxa"/>
            <w:noWrap w:val="0"/>
            <w:vAlign w:val="center"/>
          </w:tcPr>
          <w:p>
            <w:pPr>
              <w:widowControl/>
              <w:kinsoku w:val="0"/>
              <w:autoSpaceDE w:val="0"/>
              <w:autoSpaceDN w:val="0"/>
              <w:adjustRightInd w:val="0"/>
              <w:snapToGrid w:val="0"/>
              <w:spacing w:line="60" w:lineRule="atLeast"/>
              <w:ind w:left="45" w:right="45" w:firstLine="422" w:firstLineChars="200"/>
              <w:jc w:val="center"/>
              <w:textAlignment w:val="baseline"/>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w:t>
            </w:r>
          </w:p>
        </w:tc>
        <w:tc>
          <w:tcPr>
            <w:tcW w:w="5336" w:type="dxa"/>
            <w:noWrap w:val="0"/>
            <w:vAlign w:val="center"/>
          </w:tcPr>
          <w:p>
            <w:pPr>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建设单位未依法备案建设项目环境影响登记表，自检查之日起5日内完成备案的</w:t>
            </w:r>
          </w:p>
        </w:tc>
        <w:tc>
          <w:tcPr>
            <w:tcW w:w="7939" w:type="dxa"/>
            <w:noWrap w:val="0"/>
            <w:vAlign w:val="top"/>
          </w:tcPr>
          <w:p>
            <w:pPr>
              <w:kinsoku w:val="0"/>
              <w:autoSpaceDE w:val="0"/>
              <w:autoSpaceDN w:val="0"/>
              <w:adjustRightInd w:val="0"/>
              <w:snapToGrid w:val="0"/>
              <w:spacing w:line="264" w:lineRule="exact"/>
              <w:ind w:left="51" w:right="45"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1.《中华人民共和国环境影响评价法》</w:t>
            </w:r>
            <w:r>
              <w:rPr>
                <w:rFonts w:hint="eastAsia" w:ascii="宋体" w:hAnsi="宋体" w:cs="宋体"/>
                <w:snapToGrid w:val="0"/>
                <w:color w:val="000000"/>
                <w:spacing w:val="-2"/>
                <w:kern w:val="0"/>
                <w:szCs w:val="21"/>
              </w:rPr>
              <w:t>第三十一条第三款</w:t>
            </w:r>
          </w:p>
          <w:p>
            <w:pPr>
              <w:kinsoku w:val="0"/>
              <w:autoSpaceDE w:val="0"/>
              <w:autoSpaceDN w:val="0"/>
              <w:adjustRightInd w:val="0"/>
              <w:snapToGrid w:val="0"/>
              <w:spacing w:before="3" w:line="230" w:lineRule="auto"/>
              <w:ind w:left="51" w:right="45"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建设单位未依法备案建设项目环境影响登记表的，由县级以上生态环境主管部门责令备案，处五万元以下的罚款。</w:t>
            </w:r>
          </w:p>
          <w:p>
            <w:pPr>
              <w:kinsoku w:val="0"/>
              <w:autoSpaceDE w:val="0"/>
              <w:autoSpaceDN w:val="0"/>
              <w:adjustRightInd w:val="0"/>
              <w:snapToGrid w:val="0"/>
              <w:spacing w:before="3" w:line="230" w:lineRule="auto"/>
              <w:ind w:left="51" w:right="45" w:firstLine="420" w:firstLineChars="200"/>
              <w:jc w:val="left"/>
              <w:textAlignment w:val="baseline"/>
              <w:rPr>
                <w:rFonts w:hint="eastAsia" w:ascii="宋体" w:hAnsi="宋体" w:cs="宋体"/>
                <w:snapToGrid w:val="0"/>
                <w:color w:val="000000"/>
                <w:kern w:val="0"/>
                <w:szCs w:val="21"/>
              </w:rPr>
            </w:pPr>
          </w:p>
          <w:p>
            <w:pPr>
              <w:kinsoku w:val="0"/>
              <w:autoSpaceDE w:val="0"/>
              <w:autoSpaceDN w:val="0"/>
              <w:adjustRightInd w:val="0"/>
              <w:snapToGrid w:val="0"/>
              <w:spacing w:line="226" w:lineRule="exact"/>
              <w:ind w:left="420" w:leftChars="200" w:right="45"/>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2.《建设项目环境保护管理条例》第二十一条</w:t>
            </w:r>
          </w:p>
          <w:p>
            <w:pPr>
              <w:kinsoku w:val="0"/>
              <w:autoSpaceDE w:val="0"/>
              <w:autoSpaceDN w:val="0"/>
              <w:adjustRightInd w:val="0"/>
              <w:snapToGrid w:val="0"/>
              <w:spacing w:line="226" w:lineRule="exact"/>
              <w:ind w:left="51" w:right="45"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建设单位有下列行为之一的，依照《中华人民共和国环境影响评价法》的规定处罚：</w:t>
            </w:r>
          </w:p>
          <w:p>
            <w:pPr>
              <w:kinsoku w:val="0"/>
              <w:autoSpaceDE w:val="0"/>
              <w:autoSpaceDN w:val="0"/>
              <w:adjustRightInd w:val="0"/>
              <w:snapToGrid w:val="0"/>
              <w:spacing w:line="226" w:lineRule="exact"/>
              <w:ind w:left="51" w:right="45"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（三）建设项目环境影响登记表未依法备案。</w:t>
            </w:r>
          </w:p>
          <w:p>
            <w:pPr>
              <w:kinsoku w:val="0"/>
              <w:autoSpaceDE w:val="0"/>
              <w:autoSpaceDN w:val="0"/>
              <w:adjustRightInd w:val="0"/>
              <w:snapToGrid w:val="0"/>
              <w:spacing w:before="3" w:line="230" w:lineRule="auto"/>
              <w:ind w:left="51" w:right="45" w:firstLine="420" w:firstLineChars="200"/>
              <w:jc w:val="left"/>
              <w:textAlignment w:val="baseline"/>
              <w:rPr>
                <w:rFonts w:hint="eastAsia" w:ascii="宋体" w:hAnsi="宋体" w:cs="宋体"/>
                <w:snapToGrid w:val="0"/>
                <w:color w:val="000000"/>
                <w:kern w:val="0"/>
                <w:szCs w:val="21"/>
              </w:rPr>
            </w:pPr>
          </w:p>
          <w:p>
            <w:pPr>
              <w:kinsoku w:val="0"/>
              <w:autoSpaceDE w:val="0"/>
              <w:autoSpaceDN w:val="0"/>
              <w:adjustRightInd w:val="0"/>
              <w:snapToGrid w:val="0"/>
              <w:spacing w:line="226" w:lineRule="exact"/>
              <w:ind w:left="51" w:right="45" w:firstLine="420" w:firstLineChars="200"/>
              <w:jc w:val="left"/>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3.《建设项目环境影响登记表备案管理办法》第十八条</w:t>
            </w:r>
          </w:p>
          <w:p>
            <w:pPr>
              <w:kinsoku w:val="0"/>
              <w:autoSpaceDE w:val="0"/>
              <w:autoSpaceDN w:val="0"/>
              <w:adjustRightInd w:val="0"/>
              <w:snapToGrid w:val="0"/>
              <w:spacing w:line="226" w:lineRule="exact"/>
              <w:ind w:left="51" w:right="45"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建设单位未依法备案建设项目环境影响登记表的，由县级环境保护主管部门根据《中华人民共和国环境影响评价法》第三十一条第三款的规定，责令备案，处五万元以下的罚款。</w:t>
            </w:r>
          </w:p>
          <w:p>
            <w:pPr>
              <w:kinsoku w:val="0"/>
              <w:autoSpaceDE w:val="0"/>
              <w:autoSpaceDN w:val="0"/>
              <w:adjustRightInd w:val="0"/>
              <w:snapToGrid w:val="0"/>
              <w:spacing w:before="2" w:line="242" w:lineRule="auto"/>
              <w:ind w:left="45" w:right="45" w:firstLine="420"/>
              <w:jc w:val="left"/>
              <w:textAlignment w:val="baseline"/>
              <w:rPr>
                <w:rFonts w:hint="eastAsia"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69" w:line="185"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w:t>
            </w:r>
          </w:p>
        </w:tc>
        <w:tc>
          <w:tcPr>
            <w:tcW w:w="5336" w:type="dxa"/>
            <w:noWrap w:val="0"/>
            <w:vAlign w:val="center"/>
          </w:tcPr>
          <w:p>
            <w:pPr>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应当编制环境影响报告书、报告表的建设项目，未依法报批，但处于建设阶段，无污染物产生，企业主动停止建设或者恢复原状的</w:t>
            </w:r>
          </w:p>
        </w:tc>
        <w:tc>
          <w:tcPr>
            <w:tcW w:w="7939" w:type="dxa"/>
            <w:noWrap w:val="0"/>
            <w:vAlign w:val="top"/>
          </w:tcPr>
          <w:p>
            <w:pPr>
              <w:widowControl/>
              <w:kinsoku w:val="0"/>
              <w:autoSpaceDE w:val="0"/>
              <w:autoSpaceDN w:val="0"/>
              <w:adjustRightInd w:val="0"/>
              <w:snapToGrid w:val="0"/>
              <w:spacing w:before="1" w:line="300" w:lineRule="exact"/>
              <w:ind w:left="420" w:leftChars="200" w:right="51"/>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1.《中华人民共和国环境保护法》第六十一条</w:t>
            </w:r>
          </w:p>
          <w:p>
            <w:pPr>
              <w:widowControl/>
              <w:kinsoku w:val="0"/>
              <w:autoSpaceDE w:val="0"/>
              <w:autoSpaceDN w:val="0"/>
              <w:adjustRightInd w:val="0"/>
              <w:snapToGrid w:val="0"/>
              <w:spacing w:before="1" w:line="300" w:lineRule="exact"/>
              <w:ind w:right="51" w:firstLine="444"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6"/>
                <w:kern w:val="0"/>
                <w:szCs w:val="21"/>
              </w:rPr>
              <w:t>建设单位未依法提交建设项目环境影响评价文件或者环境影响评价文件未经批准</w:t>
            </w:r>
            <w:r>
              <w:rPr>
                <w:rFonts w:hint="eastAsia" w:ascii="宋体" w:hAnsi="宋体" w:cs="宋体"/>
                <w:snapToGrid w:val="0"/>
                <w:color w:val="000000"/>
                <w:spacing w:val="-2"/>
                <w:kern w:val="0"/>
                <w:szCs w:val="21"/>
              </w:rPr>
              <w:t>，擅自开工建设的，由</w:t>
            </w:r>
            <w:r>
              <w:rPr>
                <w:rFonts w:hint="eastAsia" w:ascii="宋体" w:hAnsi="宋体" w:cs="宋体"/>
                <w:snapToGrid w:val="0"/>
                <w:color w:val="000000"/>
                <w:kern w:val="0"/>
                <w:szCs w:val="21"/>
              </w:rPr>
              <w:t>负有环境保护监督管理职责的部门责令停止建设，处以罚款，并可以责令恢复原状。</w:t>
            </w:r>
          </w:p>
          <w:p>
            <w:pPr>
              <w:widowControl/>
              <w:tabs>
                <w:tab w:val="left" w:pos="1308"/>
              </w:tabs>
              <w:kinsoku w:val="0"/>
              <w:autoSpaceDE w:val="0"/>
              <w:autoSpaceDN w:val="0"/>
              <w:adjustRightInd w:val="0"/>
              <w:snapToGrid w:val="0"/>
              <w:spacing w:before="2" w:line="300" w:lineRule="exact"/>
              <w:ind w:left="51" w:right="51" w:firstLine="420" w:firstLineChars="200"/>
              <w:jc w:val="left"/>
              <w:textAlignment w:val="baseline"/>
              <w:rPr>
                <w:rFonts w:hint="eastAsia" w:ascii="宋体" w:hAnsi="宋体" w:cs="宋体"/>
                <w:snapToGrid w:val="0"/>
                <w:color w:val="000000"/>
                <w:kern w:val="0"/>
                <w:szCs w:val="21"/>
              </w:rPr>
            </w:pPr>
          </w:p>
          <w:p>
            <w:pPr>
              <w:widowControl/>
              <w:tabs>
                <w:tab w:val="left" w:pos="1308"/>
              </w:tabs>
              <w:kinsoku w:val="0"/>
              <w:autoSpaceDE w:val="0"/>
              <w:autoSpaceDN w:val="0"/>
              <w:adjustRightInd w:val="0"/>
              <w:snapToGrid w:val="0"/>
              <w:spacing w:before="2" w:line="300" w:lineRule="exact"/>
              <w:ind w:left="51" w:right="51" w:firstLine="420"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kern w:val="0"/>
                <w:szCs w:val="21"/>
              </w:rPr>
              <w:t>2.《中华人民共和国环境影响评价法》</w:t>
            </w:r>
            <w:r>
              <w:rPr>
                <w:rFonts w:hint="eastAsia" w:ascii="宋体" w:hAnsi="宋体" w:cs="宋体"/>
                <w:snapToGrid w:val="0"/>
                <w:color w:val="000000"/>
                <w:spacing w:val="-2"/>
                <w:kern w:val="0"/>
                <w:szCs w:val="21"/>
              </w:rPr>
              <w:t>第三十一条第一款</w:t>
            </w:r>
          </w:p>
          <w:p>
            <w:pPr>
              <w:widowControl/>
              <w:kinsoku w:val="0"/>
              <w:autoSpaceDE w:val="0"/>
              <w:autoSpaceDN w:val="0"/>
              <w:adjustRightInd w:val="0"/>
              <w:snapToGrid w:val="0"/>
              <w:spacing w:before="3" w:line="300" w:lineRule="exact"/>
              <w:ind w:left="51" w:right="51" w:firstLine="412" w:firstLineChars="200"/>
              <w:jc w:val="left"/>
              <w:textAlignment w:val="baseline"/>
              <w:rPr>
                <w:rFonts w:hint="eastAsia" w:ascii="宋体" w:hAnsi="宋体" w:cs="宋体"/>
                <w:snapToGrid w:val="0"/>
                <w:color w:val="000000"/>
                <w:spacing w:val="-5"/>
                <w:kern w:val="0"/>
                <w:szCs w:val="21"/>
              </w:rPr>
            </w:pPr>
            <w:r>
              <w:rPr>
                <w:rFonts w:hint="eastAsia" w:ascii="宋体" w:hAnsi="宋体" w:cs="宋体"/>
                <w:snapToGrid w:val="0"/>
                <w:color w:val="000000"/>
                <w:spacing w:val="-2"/>
                <w:kern w:val="0"/>
                <w:szCs w:val="21"/>
              </w:rPr>
              <w:t>建设单位未依法报批建设项目环境影响报告书、报告表，或者未依照本法第二十四条的规定</w:t>
            </w:r>
            <w:r>
              <w:rPr>
                <w:rFonts w:hint="eastAsia" w:ascii="宋体" w:hAnsi="宋体" w:cs="宋体"/>
                <w:snapToGrid w:val="0"/>
                <w:color w:val="000000"/>
                <w:spacing w:val="-5"/>
                <w:kern w:val="0"/>
                <w:szCs w:val="21"/>
              </w:rPr>
              <w:t>重新报批或者报请重新审核环境影响报告书、报告表，擅自开工建设的，由</w:t>
            </w:r>
            <w:r>
              <w:rPr>
                <w:rFonts w:hint="eastAsia" w:ascii="宋体" w:hAnsi="宋体" w:cs="宋体"/>
                <w:snapToGrid w:val="0"/>
                <w:color w:val="000000"/>
                <w:kern w:val="0"/>
                <w:szCs w:val="21"/>
              </w:rPr>
              <w:t>县级以上生态环境主管部门责</w:t>
            </w:r>
            <w:r>
              <w:rPr>
                <w:rFonts w:hint="eastAsia" w:ascii="宋体" w:hAnsi="宋体" w:cs="宋体"/>
                <w:snapToGrid w:val="0"/>
                <w:color w:val="000000"/>
                <w:spacing w:val="-5"/>
                <w:kern w:val="0"/>
                <w:szCs w:val="21"/>
              </w:rPr>
              <w:t>令停止建设，根据违法情节和危害后果，处建设项目总投资额百分之一以上百分之五以下的罚款，并可以责令恢复原状；对建设单位直接负责的主管人员和其他直接责任人员，依法给予行政处分。</w:t>
            </w:r>
          </w:p>
          <w:p>
            <w:pPr>
              <w:widowControl/>
              <w:kinsoku w:val="0"/>
              <w:autoSpaceDE w:val="0"/>
              <w:autoSpaceDN w:val="0"/>
              <w:adjustRightInd w:val="0"/>
              <w:snapToGrid w:val="0"/>
              <w:spacing w:before="1" w:line="300" w:lineRule="exact"/>
              <w:ind w:left="51" w:right="51" w:firstLine="420" w:firstLineChars="200"/>
              <w:jc w:val="left"/>
              <w:textAlignment w:val="baseline"/>
              <w:rPr>
                <w:rFonts w:hint="eastAsia" w:ascii="宋体" w:hAnsi="宋体" w:cs="宋体"/>
                <w:snapToGrid w:val="0"/>
                <w:color w:val="000000"/>
                <w:kern w:val="0"/>
                <w:szCs w:val="21"/>
              </w:rPr>
            </w:pPr>
          </w:p>
          <w:p>
            <w:pPr>
              <w:widowControl/>
              <w:kinsoku w:val="0"/>
              <w:autoSpaceDE w:val="0"/>
              <w:autoSpaceDN w:val="0"/>
              <w:adjustRightInd w:val="0"/>
              <w:snapToGrid w:val="0"/>
              <w:spacing w:before="1" w:line="300" w:lineRule="exact"/>
              <w:ind w:left="51" w:right="51" w:firstLine="420" w:firstLineChars="200"/>
              <w:jc w:val="left"/>
              <w:textAlignment w:val="baseline"/>
              <w:rPr>
                <w:rFonts w:hint="eastAsia" w:ascii="宋体" w:hAnsi="宋体" w:cs="宋体"/>
                <w:snapToGrid w:val="0"/>
                <w:color w:val="000000"/>
                <w:spacing w:val="-5"/>
                <w:kern w:val="0"/>
                <w:szCs w:val="21"/>
              </w:rPr>
            </w:pPr>
            <w:r>
              <w:rPr>
                <w:rFonts w:hint="eastAsia" w:ascii="宋体" w:hAnsi="宋体" w:cs="宋体"/>
                <w:snapToGrid w:val="0"/>
                <w:color w:val="000000"/>
                <w:kern w:val="0"/>
                <w:szCs w:val="21"/>
              </w:rPr>
              <w:t>3.《建设项目环境保护管理条例》</w:t>
            </w:r>
            <w:r>
              <w:rPr>
                <w:rFonts w:hint="eastAsia" w:ascii="宋体" w:hAnsi="宋体" w:cs="宋体"/>
                <w:snapToGrid w:val="0"/>
                <w:color w:val="000000"/>
                <w:spacing w:val="-5"/>
                <w:kern w:val="0"/>
                <w:szCs w:val="21"/>
              </w:rPr>
              <w:t>第二十一条</w:t>
            </w:r>
          </w:p>
          <w:p>
            <w:pPr>
              <w:widowControl/>
              <w:kinsoku w:val="0"/>
              <w:autoSpaceDE w:val="0"/>
              <w:autoSpaceDN w:val="0"/>
              <w:adjustRightInd w:val="0"/>
              <w:snapToGrid w:val="0"/>
              <w:spacing w:before="1" w:line="300" w:lineRule="exact"/>
              <w:ind w:left="51" w:right="51" w:firstLine="444" w:firstLineChars="200"/>
              <w:jc w:val="left"/>
              <w:textAlignment w:val="baseline"/>
              <w:rPr>
                <w:rFonts w:hint="eastAsia" w:ascii="宋体" w:hAnsi="宋体" w:cs="宋体"/>
                <w:snapToGrid w:val="0"/>
                <w:color w:val="000000"/>
                <w:spacing w:val="-5"/>
                <w:kern w:val="0"/>
                <w:szCs w:val="21"/>
              </w:rPr>
            </w:pPr>
            <w:r>
              <w:rPr>
                <w:rFonts w:hint="eastAsia" w:ascii="宋体" w:hAnsi="宋体" w:cs="宋体"/>
                <w:snapToGrid w:val="0"/>
                <w:color w:val="000000"/>
                <w:spacing w:val="6"/>
                <w:kern w:val="0"/>
                <w:szCs w:val="21"/>
              </w:rPr>
              <w:t>建设单位有下列行为之一的，依照《中华人民共和国环境影响评价法》的规定处罚</w:t>
            </w:r>
            <w:r>
              <w:rPr>
                <w:rFonts w:hint="eastAsia" w:ascii="宋体" w:hAnsi="宋体" w:cs="宋体"/>
                <w:snapToGrid w:val="0"/>
                <w:color w:val="000000"/>
                <w:spacing w:val="-5"/>
                <w:kern w:val="0"/>
                <w:szCs w:val="21"/>
              </w:rPr>
              <w:t>：</w:t>
            </w:r>
          </w:p>
          <w:p>
            <w:pPr>
              <w:widowControl/>
              <w:numPr>
                <w:ilvl w:val="0"/>
                <w:numId w:val="10"/>
              </w:numPr>
              <w:kinsoku w:val="0"/>
              <w:autoSpaceDE w:val="0"/>
              <w:autoSpaceDN w:val="0"/>
              <w:adjustRightInd w:val="0"/>
              <w:snapToGrid w:val="0"/>
              <w:spacing w:before="1" w:line="300" w:lineRule="exact"/>
              <w:ind w:left="51" w:right="51" w:firstLine="400" w:firstLineChars="200"/>
              <w:jc w:val="left"/>
              <w:textAlignment w:val="baseline"/>
              <w:rPr>
                <w:rFonts w:hint="eastAsia" w:ascii="宋体" w:hAnsi="宋体" w:cs="宋体"/>
                <w:snapToGrid w:val="0"/>
                <w:color w:val="000000"/>
                <w:spacing w:val="-5"/>
                <w:kern w:val="0"/>
                <w:szCs w:val="21"/>
              </w:rPr>
            </w:pPr>
            <w:r>
              <w:rPr>
                <w:rFonts w:hint="eastAsia" w:ascii="宋体" w:hAnsi="宋体" w:cs="宋体"/>
                <w:snapToGrid w:val="0"/>
                <w:color w:val="000000"/>
                <w:spacing w:val="-5"/>
                <w:kern w:val="0"/>
                <w:szCs w:val="21"/>
              </w:rPr>
              <w:t>建设项目环境影响报告书、环境影响报告表未依法报批或者报请重新审核，擅自开工建设；</w:t>
            </w:r>
          </w:p>
          <w:p>
            <w:pPr>
              <w:widowControl/>
              <w:numPr>
                <w:ilvl w:val="0"/>
                <w:numId w:val="10"/>
              </w:numPr>
              <w:kinsoku w:val="0"/>
              <w:autoSpaceDE w:val="0"/>
              <w:autoSpaceDN w:val="0"/>
              <w:adjustRightInd w:val="0"/>
              <w:snapToGrid w:val="0"/>
              <w:spacing w:before="1" w:line="300" w:lineRule="exact"/>
              <w:ind w:left="51" w:right="51" w:firstLine="400" w:firstLineChars="200"/>
              <w:jc w:val="left"/>
              <w:textAlignment w:val="baseline"/>
              <w:rPr>
                <w:rFonts w:hint="eastAsia" w:ascii="宋体" w:hAnsi="宋体" w:cs="宋体"/>
                <w:snapToGrid w:val="0"/>
                <w:color w:val="000000"/>
                <w:spacing w:val="-5"/>
                <w:kern w:val="0"/>
                <w:szCs w:val="21"/>
              </w:rPr>
            </w:pPr>
            <w:r>
              <w:rPr>
                <w:rFonts w:hint="eastAsia" w:ascii="宋体" w:hAnsi="宋体" w:cs="宋体"/>
                <w:snapToGrid w:val="0"/>
                <w:color w:val="000000"/>
                <w:spacing w:val="-5"/>
                <w:kern w:val="0"/>
                <w:szCs w:val="21"/>
              </w:rPr>
              <w:t>建设项目环境影响报告书、环境影响报告表未经批准或者重新审核同意，擅自开工建设；</w:t>
            </w:r>
          </w:p>
          <w:p>
            <w:pPr>
              <w:widowControl/>
              <w:kinsoku w:val="0"/>
              <w:autoSpaceDE w:val="0"/>
              <w:autoSpaceDN w:val="0"/>
              <w:adjustRightInd w:val="0"/>
              <w:snapToGrid w:val="0"/>
              <w:spacing w:before="1" w:line="300" w:lineRule="exact"/>
              <w:ind w:left="420" w:leftChars="200" w:right="51"/>
              <w:jc w:val="left"/>
              <w:textAlignment w:val="baseline"/>
              <w:rPr>
                <w:rFonts w:hint="eastAsia" w:ascii="宋体" w:hAnsi="宋体" w:cs="宋体"/>
                <w:snapToGrid w:val="0"/>
                <w:color w:val="000000"/>
                <w:spacing w:val="-5"/>
                <w:kern w:val="0"/>
                <w:szCs w:val="21"/>
              </w:rPr>
            </w:pPr>
          </w:p>
          <w:p>
            <w:pPr>
              <w:widowControl/>
              <w:kinsoku w:val="0"/>
              <w:autoSpaceDE w:val="0"/>
              <w:autoSpaceDN w:val="0"/>
              <w:adjustRightInd w:val="0"/>
              <w:snapToGrid w:val="0"/>
              <w:spacing w:before="1" w:line="300" w:lineRule="exact"/>
              <w:ind w:left="420" w:leftChars="200" w:right="51"/>
              <w:jc w:val="left"/>
              <w:textAlignment w:val="baseline"/>
              <w:rPr>
                <w:rFonts w:hint="eastAsia" w:ascii="宋体" w:hAnsi="宋体" w:cs="宋体"/>
                <w:snapToGrid w:val="0"/>
                <w:color w:val="000000"/>
                <w:spacing w:val="-5"/>
                <w:kern w:val="0"/>
                <w:szCs w:val="21"/>
              </w:rPr>
            </w:pPr>
            <w:r>
              <w:rPr>
                <w:rFonts w:hint="eastAsia" w:ascii="宋体" w:hAnsi="宋体" w:cs="宋体"/>
                <w:snapToGrid w:val="0"/>
                <w:color w:val="000000"/>
                <w:spacing w:val="-5"/>
                <w:kern w:val="0"/>
                <w:szCs w:val="21"/>
              </w:rPr>
              <w:t>4.《河北省生态环境保护条例》第七十一条第一款</w:t>
            </w:r>
          </w:p>
          <w:p>
            <w:pPr>
              <w:widowControl/>
              <w:kinsoku w:val="0"/>
              <w:autoSpaceDE w:val="0"/>
              <w:autoSpaceDN w:val="0"/>
              <w:adjustRightInd w:val="0"/>
              <w:snapToGrid w:val="0"/>
              <w:spacing w:before="1" w:line="300" w:lineRule="exact"/>
              <w:ind w:right="51" w:firstLine="400"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5"/>
                <w:kern w:val="0"/>
                <w:szCs w:val="21"/>
              </w:rPr>
              <w:t>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3</w:t>
            </w:r>
          </w:p>
        </w:tc>
        <w:tc>
          <w:tcPr>
            <w:tcW w:w="5336" w:type="dxa"/>
            <w:noWrap w:val="0"/>
            <w:vAlign w:val="center"/>
          </w:tcPr>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建设项目环境影响评价文件已审批，配套建设的环境保护设施（措施）已按环评要求建设完成并正常运行，并依法取得排污许可证，污染物达标排放，建设项目调试运行12个月内，配套的环境保护设施仍未进行验收，经责令改正后按规定期限和要求完成验收的</w:t>
            </w:r>
          </w:p>
        </w:tc>
        <w:tc>
          <w:tcPr>
            <w:tcW w:w="7939" w:type="dxa"/>
            <w:noWrap w:val="0"/>
            <w:vAlign w:val="top"/>
          </w:tcPr>
          <w:p>
            <w:pPr>
              <w:kinsoku w:val="0"/>
              <w:autoSpaceDE w:val="0"/>
              <w:autoSpaceDN w:val="0"/>
              <w:adjustRightInd w:val="0"/>
              <w:snapToGrid w:val="0"/>
              <w:spacing w:line="242" w:lineRule="auto"/>
              <w:ind w:left="420" w:leftChars="20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1.《建设项目环境保护管理条例》第二十三条第一款</w:t>
            </w:r>
          </w:p>
          <w:p>
            <w:pPr>
              <w:kinsoku w:val="0"/>
              <w:autoSpaceDE w:val="0"/>
              <w:autoSpaceDN w:val="0"/>
              <w:adjustRightInd w:val="0"/>
              <w:snapToGrid w:val="0"/>
              <w:spacing w:line="243" w:lineRule="auto"/>
              <w:ind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违反本条例规定，需要配套建设的环境保护设施未建成、未经验收或者验收不合格，建设项目即投入生产或者使用，或者在环境保护设施验收中弄虚作假的，由</w:t>
            </w:r>
            <w:r>
              <w:rPr>
                <w:rFonts w:hint="eastAsia" w:ascii="宋体" w:hAnsi="宋体" w:cs="宋体"/>
                <w:snapToGrid w:val="0"/>
                <w:color w:val="000000"/>
                <w:spacing w:val="6"/>
                <w:kern w:val="0"/>
                <w:szCs w:val="21"/>
              </w:rPr>
              <w:t>县级以上环境保护行政主管部门责令限期改正，处20万元以上100万元以下的罚款</w:t>
            </w:r>
            <w:r>
              <w:rPr>
                <w:rFonts w:hint="eastAsia" w:ascii="宋体" w:hAnsi="宋体" w:cs="宋体"/>
                <w:snapToGrid w:val="0"/>
                <w:color w:val="000000"/>
                <w:spacing w:val="2"/>
                <w:kern w:val="0"/>
                <w:szCs w:val="21"/>
              </w:rPr>
              <w:t>；逾期不改正的，处100万元以上200万元以下的罚款。</w:t>
            </w:r>
          </w:p>
          <w:p>
            <w:pPr>
              <w:kinsoku w:val="0"/>
              <w:autoSpaceDE w:val="0"/>
              <w:autoSpaceDN w:val="0"/>
              <w:adjustRightInd w:val="0"/>
              <w:snapToGrid w:val="0"/>
              <w:spacing w:line="243" w:lineRule="auto"/>
              <w:ind w:right="28"/>
              <w:jc w:val="left"/>
              <w:textAlignment w:val="baseline"/>
              <w:rPr>
                <w:rFonts w:hint="eastAsia" w:ascii="宋体" w:hAnsi="宋体" w:cs="宋体"/>
                <w:snapToGrid w:val="0"/>
                <w:color w:val="000000"/>
                <w:spacing w:val="2"/>
                <w:kern w:val="0"/>
                <w:szCs w:val="21"/>
              </w:rPr>
            </w:pPr>
            <w:r>
              <w:rPr>
                <w:rFonts w:hint="eastAsia" w:ascii="宋体" w:hAnsi="宋体" w:cs="宋体"/>
                <w:b/>
                <w:bCs/>
                <w:snapToGrid w:val="0"/>
                <w:color w:val="000000"/>
                <w:spacing w:val="2"/>
                <w:kern w:val="0"/>
                <w:szCs w:val="21"/>
              </w:rPr>
              <w:t>（只含本规定中对未经验收的处罚）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4</w:t>
            </w:r>
          </w:p>
        </w:tc>
        <w:tc>
          <w:tcPr>
            <w:tcW w:w="5336" w:type="dxa"/>
            <w:noWrap w:val="0"/>
            <w:vAlign w:val="center"/>
          </w:tcPr>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建设项目投产时配套的环境保护设施未经验收，配套建设的环保设施已按照环评建设完成并正常运行，污染物达标排放，被检查发现后主动停止生产，积极推进整改的，对直接负责的主管人员和其他责任人员不予行政处罚</w:t>
            </w:r>
          </w:p>
        </w:tc>
        <w:tc>
          <w:tcPr>
            <w:tcW w:w="7939" w:type="dxa"/>
            <w:noWrap w:val="0"/>
            <w:vAlign w:val="top"/>
          </w:tcPr>
          <w:p>
            <w:pPr>
              <w:widowControl/>
              <w:kinsoku w:val="0"/>
              <w:autoSpaceDE w:val="0"/>
              <w:autoSpaceDN w:val="0"/>
              <w:adjustRightInd w:val="0"/>
              <w:snapToGrid w:val="0"/>
              <w:spacing w:line="243" w:lineRule="auto"/>
              <w:ind w:left="420" w:leftChars="200" w:right="28"/>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1.《建设项目环境保护管理条例》第二十三条第一款</w:t>
            </w:r>
          </w:p>
          <w:p>
            <w:pPr>
              <w:widowControl/>
              <w:kinsoku w:val="0"/>
              <w:autoSpaceDE w:val="0"/>
              <w:autoSpaceDN w:val="0"/>
              <w:adjustRightInd w:val="0"/>
              <w:snapToGrid w:val="0"/>
              <w:spacing w:line="243" w:lineRule="auto"/>
              <w:ind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违反本条例规定，需要配套建设的环境保护设施未建成、未经验收或者验收不合格，建设项目即投入生产或者使用，或者在环境保护设施验收中弄虚作假的，由</w:t>
            </w:r>
            <w:r>
              <w:rPr>
                <w:rFonts w:hint="eastAsia" w:ascii="宋体" w:hAnsi="宋体" w:cs="宋体"/>
                <w:snapToGrid w:val="0"/>
                <w:color w:val="000000"/>
                <w:spacing w:val="-6"/>
                <w:kern w:val="0"/>
                <w:szCs w:val="21"/>
              </w:rPr>
              <w:t>县级以上环境保护行政主管部门责令限期改正，处20万元以上100万元以下的罚款</w:t>
            </w:r>
            <w:r>
              <w:rPr>
                <w:rFonts w:hint="eastAsia" w:ascii="宋体" w:hAnsi="宋体" w:cs="宋体"/>
                <w:snapToGrid w:val="0"/>
                <w:color w:val="000000"/>
                <w:spacing w:val="2"/>
                <w:kern w:val="0"/>
                <w:szCs w:val="21"/>
              </w:rPr>
              <w:t>；逾期不改正的，处100万元以上200万元以下的罚款；对直接负责的主管人员和其他责任人员，处5万元以上20万元以下的罚款。</w:t>
            </w:r>
          </w:p>
          <w:p>
            <w:pPr>
              <w:widowControl/>
              <w:kinsoku w:val="0"/>
              <w:autoSpaceDE w:val="0"/>
              <w:autoSpaceDN w:val="0"/>
              <w:adjustRightInd w:val="0"/>
              <w:snapToGrid w:val="0"/>
              <w:spacing w:line="243" w:lineRule="auto"/>
              <w:ind w:right="28"/>
              <w:jc w:val="left"/>
              <w:textAlignment w:val="baseline"/>
              <w:rPr>
                <w:rFonts w:hint="eastAsia" w:ascii="宋体" w:hAnsi="宋体" w:cs="宋体"/>
                <w:snapToGrid w:val="0"/>
                <w:color w:val="000000"/>
                <w:spacing w:val="2"/>
                <w:kern w:val="0"/>
                <w:szCs w:val="21"/>
              </w:rPr>
            </w:pPr>
            <w:r>
              <w:rPr>
                <w:rFonts w:hint="eastAsia" w:ascii="宋体" w:hAnsi="宋体" w:cs="宋体"/>
                <w:b/>
                <w:bCs/>
                <w:snapToGrid w:val="0"/>
                <w:color w:val="000000"/>
                <w:spacing w:val="2"/>
                <w:kern w:val="0"/>
                <w:szCs w:val="21"/>
              </w:rPr>
              <w:t>（只含本规定中对直接负责的主管人员和其他责任人员的处罚）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5</w:t>
            </w:r>
          </w:p>
        </w:tc>
        <w:tc>
          <w:tcPr>
            <w:tcW w:w="5336" w:type="dxa"/>
            <w:noWrap w:val="0"/>
            <w:vAlign w:val="center"/>
          </w:tcPr>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污染物产生量、排放量和对环境的影响都很小的企业事业单位和其他生产经营者，应当填报排污登记表没有填报，自检查之日起5日内完成填报的</w:t>
            </w:r>
          </w:p>
        </w:tc>
        <w:tc>
          <w:tcPr>
            <w:tcW w:w="7939" w:type="dxa"/>
            <w:noWrap w:val="0"/>
            <w:vAlign w:val="top"/>
          </w:tcPr>
          <w:p>
            <w:pPr>
              <w:kinsoku w:val="0"/>
              <w:autoSpaceDE w:val="0"/>
              <w:autoSpaceDN w:val="0"/>
              <w:adjustRightInd w:val="0"/>
              <w:snapToGrid w:val="0"/>
              <w:spacing w:line="243" w:lineRule="auto"/>
              <w:ind w:right="28" w:firstLine="428" w:firstLineChars="200"/>
              <w:textAlignment w:val="baseline"/>
              <w:rPr>
                <w:rFonts w:hint="eastAsia" w:ascii="宋体" w:hAnsi="宋体" w:cs="宋体"/>
                <w:snapToGrid w:val="0"/>
                <w:spacing w:val="2"/>
                <w:kern w:val="0"/>
                <w:szCs w:val="21"/>
              </w:rPr>
            </w:pPr>
            <w:r>
              <w:rPr>
                <w:rFonts w:hint="eastAsia" w:ascii="宋体" w:hAnsi="宋体" w:cs="宋体"/>
                <w:snapToGrid w:val="0"/>
                <w:spacing w:val="2"/>
                <w:kern w:val="0"/>
                <w:szCs w:val="21"/>
              </w:rPr>
              <w:t>1.《</w:t>
            </w:r>
            <w:r>
              <w:rPr>
                <w:rFonts w:hint="eastAsia" w:ascii="宋体" w:hAnsi="宋体" w:cs="宋体"/>
                <w:snapToGrid w:val="0"/>
                <w:spacing w:val="2"/>
                <w:kern w:val="0"/>
                <w:szCs w:val="21"/>
              </w:rPr>
              <w:fldChar w:fldCharType="begin"/>
            </w:r>
            <w:r>
              <w:rPr>
                <w:rFonts w:hint="eastAsia" w:ascii="宋体" w:hAnsi="宋体" w:cs="宋体"/>
                <w:snapToGrid w:val="0"/>
                <w:spacing w:val="2"/>
                <w:kern w:val="0"/>
                <w:szCs w:val="21"/>
              </w:rPr>
              <w:instrText xml:space="preserve"> HYPERLINK "http://www.law-lib.com/law/law_view.asp?id=712131" \o "排污许可管理条例" \t "http://www.law-lib.com/law/_blank" </w:instrText>
            </w:r>
            <w:r>
              <w:rPr>
                <w:rFonts w:hint="eastAsia" w:ascii="宋体" w:hAnsi="宋体" w:cs="宋体"/>
                <w:snapToGrid w:val="0"/>
                <w:spacing w:val="2"/>
                <w:kern w:val="0"/>
                <w:szCs w:val="21"/>
              </w:rPr>
              <w:fldChar w:fldCharType="separate"/>
            </w:r>
            <w:r>
              <w:rPr>
                <w:rFonts w:hint="eastAsia" w:ascii="宋体" w:hAnsi="宋体" w:cs="宋体"/>
                <w:snapToGrid w:val="0"/>
                <w:spacing w:val="2"/>
                <w:kern w:val="0"/>
                <w:szCs w:val="21"/>
              </w:rPr>
              <w:t>排污许可管理条例</w:t>
            </w:r>
            <w:r>
              <w:rPr>
                <w:rFonts w:hint="eastAsia" w:ascii="宋体" w:hAnsi="宋体" w:cs="宋体"/>
                <w:snapToGrid w:val="0"/>
                <w:spacing w:val="2"/>
                <w:kern w:val="0"/>
                <w:szCs w:val="21"/>
              </w:rPr>
              <w:fldChar w:fldCharType="end"/>
            </w:r>
            <w:r>
              <w:rPr>
                <w:rFonts w:hint="eastAsia" w:ascii="宋体" w:hAnsi="宋体" w:cs="宋体"/>
                <w:snapToGrid w:val="0"/>
                <w:spacing w:val="2"/>
                <w:kern w:val="0"/>
                <w:szCs w:val="21"/>
              </w:rPr>
              <w:t>》第四十三条</w:t>
            </w:r>
          </w:p>
          <w:p>
            <w:pPr>
              <w:kinsoku w:val="0"/>
              <w:autoSpaceDE w:val="0"/>
              <w:autoSpaceDN w:val="0"/>
              <w:adjustRightInd w:val="0"/>
              <w:snapToGrid w:val="0"/>
              <w:spacing w:line="243" w:lineRule="auto"/>
              <w:ind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spacing w:val="2"/>
                <w:kern w:val="0"/>
                <w:szCs w:val="21"/>
              </w:rPr>
              <w:t>需要填报排污登记表的企业事业单位和其他生产经营者，未依照本条例规定填报排污信息的，由生态环境主管部门责令改正，可以处5万元以下的罚款</w:t>
            </w:r>
            <w:r>
              <w:rPr>
                <w:rFonts w:hint="eastAsia" w:ascii="宋体" w:hAnsi="宋体" w:cs="宋体"/>
                <w:snapToGrid w:val="0"/>
                <w:color w:val="000000"/>
                <w:spacing w:val="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6</w:t>
            </w:r>
          </w:p>
        </w:tc>
        <w:tc>
          <w:tcPr>
            <w:tcW w:w="5336" w:type="dxa"/>
            <w:noWrap w:val="0"/>
            <w:vAlign w:val="center"/>
          </w:tcPr>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环境保护设施升级改造项目实施后，未依法变更或重新申请排污许可证的建设单位，经责令限期改正的</w:t>
            </w:r>
          </w:p>
        </w:tc>
        <w:tc>
          <w:tcPr>
            <w:tcW w:w="7939" w:type="dxa"/>
            <w:noWrap w:val="0"/>
            <w:vAlign w:val="top"/>
          </w:tcPr>
          <w:p>
            <w:pPr>
              <w:kinsoku w:val="0"/>
              <w:autoSpaceDE w:val="0"/>
              <w:autoSpaceDN w:val="0"/>
              <w:adjustRightInd w:val="0"/>
              <w:snapToGrid w:val="0"/>
              <w:spacing w:line="243" w:lineRule="auto"/>
              <w:ind w:left="420" w:leftChars="200" w:right="28"/>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1.《</w:t>
            </w:r>
            <w:r>
              <w:rPr>
                <w:rFonts w:hint="eastAsia" w:ascii="宋体" w:hAnsi="宋体" w:cs="宋体"/>
                <w:snapToGrid w:val="0"/>
                <w:color w:val="000000"/>
                <w:spacing w:val="2"/>
                <w:kern w:val="0"/>
                <w:szCs w:val="21"/>
              </w:rPr>
              <w:fldChar w:fldCharType="begin"/>
            </w:r>
            <w:r>
              <w:rPr>
                <w:rFonts w:hint="eastAsia" w:ascii="宋体" w:hAnsi="宋体" w:cs="宋体"/>
                <w:snapToGrid w:val="0"/>
                <w:color w:val="000000"/>
                <w:spacing w:val="2"/>
                <w:kern w:val="0"/>
                <w:szCs w:val="21"/>
              </w:rPr>
              <w:instrText xml:space="preserve"> HYPERLINK "http://www.law-lib.com/law/law_view.asp?id=712131" \o "排污许可管理条例" \t "http://www.law-lib.com/law/_blank" </w:instrText>
            </w:r>
            <w:r>
              <w:rPr>
                <w:rFonts w:hint="eastAsia" w:ascii="宋体" w:hAnsi="宋体" w:cs="宋体"/>
                <w:snapToGrid w:val="0"/>
                <w:color w:val="000000"/>
                <w:spacing w:val="2"/>
                <w:kern w:val="0"/>
                <w:szCs w:val="21"/>
              </w:rPr>
              <w:fldChar w:fldCharType="separate"/>
            </w:r>
            <w:r>
              <w:rPr>
                <w:rFonts w:hint="eastAsia" w:ascii="宋体" w:hAnsi="宋体" w:cs="宋体"/>
                <w:snapToGrid w:val="0"/>
                <w:color w:val="000000"/>
                <w:spacing w:val="2"/>
                <w:kern w:val="0"/>
                <w:szCs w:val="21"/>
              </w:rPr>
              <w:t>排污许可管理条例</w:t>
            </w:r>
            <w:r>
              <w:rPr>
                <w:rFonts w:hint="eastAsia" w:ascii="宋体" w:hAnsi="宋体" w:cs="宋体"/>
                <w:snapToGrid w:val="0"/>
                <w:color w:val="000000"/>
                <w:spacing w:val="2"/>
                <w:kern w:val="0"/>
                <w:szCs w:val="21"/>
              </w:rPr>
              <w:fldChar w:fldCharType="end"/>
            </w:r>
            <w:r>
              <w:rPr>
                <w:rFonts w:hint="eastAsia" w:ascii="宋体" w:hAnsi="宋体" w:cs="宋体"/>
                <w:snapToGrid w:val="0"/>
                <w:color w:val="000000"/>
                <w:spacing w:val="2"/>
                <w:kern w:val="0"/>
                <w:szCs w:val="21"/>
              </w:rPr>
              <w:t>》第三十三条</w:t>
            </w:r>
          </w:p>
          <w:p>
            <w:pPr>
              <w:kinsoku w:val="0"/>
              <w:autoSpaceDE w:val="0"/>
              <w:autoSpaceDN w:val="0"/>
              <w:adjustRightInd w:val="0"/>
              <w:snapToGrid w:val="0"/>
              <w:spacing w:line="243" w:lineRule="auto"/>
              <w:ind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违反本条例规定，排污单位有下列行为之一的，由生态环境主管部门责令改正或者限制生产、停产整治，处20万元以上100万元以下的罚款；情节严重的，报经有批准权的人民政府批准，责令停业、关闭：</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（四）依法应当重新申请取得排污许可证，未重新申请取得排污许可证排放污染物。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7</w:t>
            </w:r>
          </w:p>
        </w:tc>
        <w:tc>
          <w:tcPr>
            <w:tcW w:w="5336" w:type="dxa"/>
            <w:noWrap w:val="0"/>
            <w:vAlign w:val="center"/>
          </w:tcPr>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已核发排污许可证的企业，未按规定时间要求提交执行报告、未及时开展自行监测，企业按要求期限完成整改的</w:t>
            </w:r>
          </w:p>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kern w:val="0"/>
                <w:szCs w:val="21"/>
              </w:rPr>
            </w:pPr>
          </w:p>
        </w:tc>
        <w:tc>
          <w:tcPr>
            <w:tcW w:w="7939" w:type="dxa"/>
            <w:noWrap w:val="0"/>
            <w:vAlign w:val="top"/>
          </w:tcPr>
          <w:p>
            <w:pPr>
              <w:widowControl/>
              <w:kinsoku w:val="0"/>
              <w:autoSpaceDE w:val="0"/>
              <w:autoSpaceDN w:val="0"/>
              <w:adjustRightInd w:val="0"/>
              <w:snapToGrid w:val="0"/>
              <w:spacing w:line="243" w:lineRule="auto"/>
              <w:ind w:right="28" w:firstLine="428" w:firstLineChars="200"/>
              <w:textAlignment w:val="baseline"/>
              <w:rPr>
                <w:rFonts w:ascii="宋体" w:hAnsi="宋体" w:cs="宋体"/>
                <w:snapToGrid w:val="0"/>
                <w:color w:val="000000"/>
                <w:spacing w:val="2"/>
                <w:kern w:val="0"/>
                <w:szCs w:val="21"/>
              </w:rPr>
            </w:pPr>
            <w:r>
              <w:rPr>
                <w:rFonts w:hint="eastAsia" w:ascii="宋体" w:hAnsi="宋体" w:cs="宋体"/>
                <w:snapToGrid w:val="0"/>
                <w:color w:val="000000"/>
                <w:spacing w:val="2"/>
                <w:kern w:val="0"/>
                <w:szCs w:val="21"/>
              </w:rPr>
              <w:t>1.《</w:t>
            </w:r>
            <w:r>
              <w:rPr>
                <w:rFonts w:hint="eastAsia" w:ascii="宋体" w:hAnsi="宋体" w:cs="宋体"/>
                <w:snapToGrid w:val="0"/>
                <w:color w:val="000000"/>
                <w:spacing w:val="2"/>
                <w:kern w:val="0"/>
                <w:szCs w:val="21"/>
              </w:rPr>
              <w:fldChar w:fldCharType="begin"/>
            </w:r>
            <w:r>
              <w:rPr>
                <w:rFonts w:hint="eastAsia" w:ascii="宋体" w:hAnsi="宋体" w:cs="宋体"/>
                <w:snapToGrid w:val="0"/>
                <w:color w:val="000000"/>
                <w:spacing w:val="2"/>
                <w:kern w:val="0"/>
                <w:szCs w:val="21"/>
              </w:rPr>
              <w:instrText xml:space="preserve"> HYPERLINK "http://www.law-lib.com/law/law_view.asp?id=712131" \o "排污许可管理条例" \t "http://www.law-lib.com/law/_blank" </w:instrText>
            </w:r>
            <w:r>
              <w:rPr>
                <w:rFonts w:hint="eastAsia" w:ascii="宋体" w:hAnsi="宋体" w:cs="宋体"/>
                <w:snapToGrid w:val="0"/>
                <w:color w:val="000000"/>
                <w:spacing w:val="2"/>
                <w:kern w:val="0"/>
                <w:szCs w:val="21"/>
              </w:rPr>
              <w:fldChar w:fldCharType="separate"/>
            </w:r>
            <w:r>
              <w:rPr>
                <w:rFonts w:hint="eastAsia" w:ascii="宋体" w:hAnsi="宋体" w:cs="宋体"/>
                <w:snapToGrid w:val="0"/>
                <w:color w:val="000000"/>
                <w:spacing w:val="2"/>
                <w:kern w:val="0"/>
                <w:szCs w:val="21"/>
              </w:rPr>
              <w:t>排污许可管理条例</w:t>
            </w:r>
            <w:r>
              <w:rPr>
                <w:rFonts w:hint="eastAsia" w:ascii="宋体" w:hAnsi="宋体" w:cs="宋体"/>
                <w:snapToGrid w:val="0"/>
                <w:color w:val="000000"/>
                <w:spacing w:val="2"/>
                <w:kern w:val="0"/>
                <w:szCs w:val="21"/>
              </w:rPr>
              <w:fldChar w:fldCharType="end"/>
            </w:r>
            <w:r>
              <w:rPr>
                <w:rFonts w:hint="eastAsia" w:ascii="宋体" w:hAnsi="宋体" w:cs="宋体"/>
                <w:snapToGrid w:val="0"/>
                <w:color w:val="000000"/>
                <w:spacing w:val="2"/>
                <w:kern w:val="0"/>
                <w:szCs w:val="21"/>
              </w:rPr>
              <w:t>》第三十六条</w:t>
            </w:r>
          </w:p>
          <w:p>
            <w:pPr>
              <w:widowControl/>
              <w:kinsoku w:val="0"/>
              <w:autoSpaceDE w:val="0"/>
              <w:autoSpaceDN w:val="0"/>
              <w:adjustRightInd w:val="0"/>
              <w:snapToGrid w:val="0"/>
              <w:spacing w:line="243" w:lineRule="auto"/>
              <w:ind w:right="28" w:firstLine="444"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6"/>
                <w:kern w:val="0"/>
                <w:szCs w:val="21"/>
              </w:rPr>
              <w:t>违反本条例规定，排污单位有下列行为之一的，由生态环境主管部门责令改正</w:t>
            </w:r>
            <w:r>
              <w:rPr>
                <w:rFonts w:hint="eastAsia" w:ascii="宋体" w:hAnsi="宋体" w:cs="宋体"/>
                <w:snapToGrid w:val="0"/>
                <w:color w:val="000000"/>
                <w:spacing w:val="2"/>
                <w:kern w:val="0"/>
                <w:szCs w:val="21"/>
              </w:rPr>
              <w:t>，处2万元以上20万元以下的罚款；拒不改正的，责令停产整治：</w:t>
            </w:r>
          </w:p>
          <w:p>
            <w:pPr>
              <w:kinsoku w:val="0"/>
              <w:autoSpaceDE w:val="0"/>
              <w:autoSpaceDN w:val="0"/>
              <w:adjustRightInd w:val="0"/>
              <w:snapToGrid w:val="0"/>
              <w:spacing w:line="242" w:lineRule="auto"/>
              <w:ind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（五）未按照排污许可证规定制定自行监测方案并开展自行监测；</w:t>
            </w:r>
          </w:p>
          <w:p>
            <w:pPr>
              <w:kinsoku w:val="0"/>
              <w:autoSpaceDE w:val="0"/>
              <w:autoSpaceDN w:val="0"/>
              <w:adjustRightInd w:val="0"/>
              <w:snapToGrid w:val="0"/>
              <w:spacing w:line="242" w:lineRule="auto"/>
              <w:ind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第三十七条   违反本条例规定，排污单位有下列行为之一的，由生态环境主</w:t>
            </w:r>
            <w:r>
              <w:rPr>
                <w:rFonts w:hint="eastAsia" w:ascii="宋体" w:hAnsi="宋体" w:cs="宋体"/>
                <w:snapToGrid w:val="0"/>
                <w:color w:val="000000"/>
                <w:spacing w:val="6"/>
                <w:kern w:val="0"/>
                <w:szCs w:val="21"/>
              </w:rPr>
              <w:t>管部门责令改正，处每次5千元以上2万元以下的罚款；法律另有规定的，从其规定</w:t>
            </w:r>
            <w:r>
              <w:rPr>
                <w:rFonts w:hint="eastAsia" w:ascii="宋体" w:hAnsi="宋体" w:cs="宋体"/>
                <w:snapToGrid w:val="0"/>
                <w:color w:val="000000"/>
                <w:spacing w:val="2"/>
                <w:kern w:val="0"/>
                <w:szCs w:val="21"/>
              </w:rPr>
              <w:t>：</w:t>
            </w:r>
          </w:p>
          <w:p>
            <w:pPr>
              <w:kinsoku w:val="0"/>
              <w:autoSpaceDE w:val="0"/>
              <w:autoSpaceDN w:val="0"/>
              <w:adjustRightInd w:val="0"/>
              <w:snapToGrid w:val="0"/>
              <w:spacing w:line="242" w:lineRule="auto"/>
              <w:ind w:right="29" w:firstLine="420"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1A2930"/>
                <w:kern w:val="0"/>
                <w:szCs w:val="21"/>
                <w:shd w:val="clear" w:color="auto" w:fill="FFFFFF"/>
              </w:rPr>
              <w:t>（三）未按照排污许可证规定提交排污许可证执行报告。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8</w:t>
            </w:r>
          </w:p>
        </w:tc>
        <w:tc>
          <w:tcPr>
            <w:tcW w:w="5336" w:type="dxa"/>
            <w:noWrap w:val="0"/>
            <w:vAlign w:val="center"/>
          </w:tcPr>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未按照规定和监测规范设置监测点位和采样监测平台，或者排放口设置、排放口标识设置不规范的，经责令改正后及时完成整改的</w:t>
            </w:r>
          </w:p>
        </w:tc>
        <w:tc>
          <w:tcPr>
            <w:tcW w:w="7939" w:type="dxa"/>
            <w:noWrap w:val="0"/>
            <w:vAlign w:val="top"/>
          </w:tcPr>
          <w:p>
            <w:pPr>
              <w:kinsoku w:val="0"/>
              <w:autoSpaceDE w:val="0"/>
              <w:autoSpaceDN w:val="0"/>
              <w:adjustRightInd w:val="0"/>
              <w:snapToGrid w:val="0"/>
              <w:spacing w:before="34"/>
              <w:ind w:left="48"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1.《中华人民共和国大气污染防治法》第一百条</w:t>
            </w:r>
            <w:r>
              <w:rPr>
                <w:rFonts w:hint="eastAsia" w:ascii="宋体" w:hAnsi="宋体" w:cs="宋体"/>
                <w:snapToGrid w:val="0"/>
                <w:color w:val="000000"/>
                <w:kern w:val="0"/>
                <w:szCs w:val="21"/>
              </w:rPr>
              <w:tab/>
            </w:r>
          </w:p>
          <w:p>
            <w:pPr>
              <w:tabs>
                <w:tab w:val="left" w:pos="1099"/>
              </w:tabs>
              <w:kinsoku w:val="0"/>
              <w:autoSpaceDE w:val="0"/>
              <w:autoSpaceDN w:val="0"/>
              <w:adjustRightInd w:val="0"/>
              <w:snapToGrid w:val="0"/>
              <w:spacing w:before="3" w:line="242" w:lineRule="auto"/>
              <w:ind w:left="48" w:right="16"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违反本法规定</w:t>
            </w:r>
            <w:r>
              <w:rPr>
                <w:rFonts w:hint="eastAsia" w:ascii="宋体" w:hAnsi="宋体" w:cs="宋体"/>
                <w:snapToGrid w:val="0"/>
                <w:color w:val="000000"/>
                <w:spacing w:val="-15"/>
                <w:kern w:val="0"/>
                <w:szCs w:val="21"/>
              </w:rPr>
              <w:t>，</w:t>
            </w:r>
            <w:r>
              <w:rPr>
                <w:rFonts w:hint="eastAsia" w:ascii="宋体" w:hAnsi="宋体" w:cs="宋体"/>
                <w:snapToGrid w:val="0"/>
                <w:color w:val="000000"/>
                <w:kern w:val="0"/>
                <w:szCs w:val="21"/>
              </w:rPr>
              <w:t>有下列行为之一的</w:t>
            </w:r>
            <w:r>
              <w:rPr>
                <w:rFonts w:hint="eastAsia" w:ascii="宋体" w:hAnsi="宋体" w:cs="宋体"/>
                <w:snapToGrid w:val="0"/>
                <w:color w:val="000000"/>
                <w:spacing w:val="-15"/>
                <w:kern w:val="0"/>
                <w:szCs w:val="21"/>
              </w:rPr>
              <w:t>，</w:t>
            </w:r>
            <w:r>
              <w:rPr>
                <w:rFonts w:hint="eastAsia" w:ascii="宋体" w:hAnsi="宋体" w:cs="宋体"/>
                <w:snapToGrid w:val="0"/>
                <w:color w:val="000000"/>
                <w:kern w:val="0"/>
                <w:szCs w:val="21"/>
              </w:rPr>
              <w:t>由县级以上人民政府生态环境主管部门责令改正</w:t>
            </w:r>
            <w:r>
              <w:rPr>
                <w:rFonts w:hint="eastAsia" w:ascii="宋体" w:hAnsi="宋体" w:cs="宋体"/>
                <w:snapToGrid w:val="0"/>
                <w:color w:val="000000"/>
                <w:spacing w:val="-15"/>
                <w:kern w:val="0"/>
                <w:szCs w:val="21"/>
              </w:rPr>
              <w:t>，</w:t>
            </w:r>
            <w:r>
              <w:rPr>
                <w:rFonts w:hint="eastAsia" w:ascii="宋体" w:hAnsi="宋体" w:cs="宋体"/>
                <w:snapToGrid w:val="0"/>
                <w:color w:val="000000"/>
                <w:kern w:val="0"/>
                <w:szCs w:val="21"/>
              </w:rPr>
              <w:t>处二万元以上二十万元以下的罚款；拒不改正的，责令停产整治：</w:t>
            </w:r>
          </w:p>
          <w:p>
            <w:pPr>
              <w:kinsoku w:val="0"/>
              <w:autoSpaceDE w:val="0"/>
              <w:autoSpaceDN w:val="0"/>
              <w:adjustRightInd w:val="0"/>
              <w:snapToGrid w:val="0"/>
              <w:spacing w:before="2"/>
              <w:ind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（五）未按照规定设置大气污染物排放口的。</w:t>
            </w:r>
          </w:p>
          <w:p>
            <w:pPr>
              <w:widowControl/>
              <w:kinsoku w:val="0"/>
              <w:autoSpaceDE w:val="0"/>
              <w:autoSpaceDN w:val="0"/>
              <w:adjustRightInd w:val="0"/>
              <w:snapToGrid w:val="0"/>
              <w:ind w:firstLine="420" w:firstLineChars="200"/>
              <w:jc w:val="left"/>
              <w:textAlignment w:val="baseline"/>
              <w:rPr>
                <w:rFonts w:hint="eastAsia" w:ascii="宋体" w:hAnsi="宋体" w:cs="宋体"/>
                <w:snapToGrid w:val="0"/>
                <w:color w:val="000000"/>
                <w:kern w:val="0"/>
                <w:szCs w:val="21"/>
              </w:rPr>
            </w:pPr>
          </w:p>
          <w:p>
            <w:pPr>
              <w:kinsoku w:val="0"/>
              <w:autoSpaceDE w:val="0"/>
              <w:autoSpaceDN w:val="0"/>
              <w:adjustRightInd w:val="0"/>
              <w:snapToGrid w:val="0"/>
              <w:ind w:left="28"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2.《河北省大气污染防治条例》第七十九条   </w:t>
            </w:r>
          </w:p>
          <w:p>
            <w:pPr>
              <w:kinsoku w:val="0"/>
              <w:autoSpaceDE w:val="0"/>
              <w:autoSpaceDN w:val="0"/>
              <w:adjustRightInd w:val="0"/>
              <w:snapToGrid w:val="0"/>
              <w:ind w:left="28"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 </w:t>
            </w:r>
          </w:p>
          <w:p>
            <w:pPr>
              <w:numPr>
                <w:ilvl w:val="0"/>
                <w:numId w:val="11"/>
              </w:numPr>
              <w:kinsoku w:val="0"/>
              <w:autoSpaceDE w:val="0"/>
              <w:autoSpaceDN w:val="0"/>
              <w:adjustRightInd w:val="0"/>
              <w:snapToGrid w:val="0"/>
              <w:spacing w:before="1"/>
              <w:ind w:left="28" w:firstLine="420"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kern w:val="0"/>
                <w:szCs w:val="21"/>
              </w:rPr>
              <w:t>未按照规定设置大气污染物排放口的。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9</w:t>
            </w:r>
          </w:p>
        </w:tc>
        <w:tc>
          <w:tcPr>
            <w:tcW w:w="5336" w:type="dxa"/>
            <w:noWrap w:val="0"/>
            <w:vAlign w:val="center"/>
          </w:tcPr>
          <w:p>
            <w:pPr>
              <w:widowControl/>
              <w:kinsoku w:val="0"/>
              <w:autoSpaceDE w:val="0"/>
              <w:autoSpaceDN w:val="0"/>
              <w:adjustRightInd w:val="0"/>
              <w:snapToGrid w:val="0"/>
              <w:spacing w:line="243" w:lineRule="auto"/>
              <w:ind w:left="51" w:right="28"/>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未按规定安装、使用自动监测设备或未与生态环境部门联网，但已按要求开展自行手工监测，且污染物达标排放</w:t>
            </w:r>
          </w:p>
        </w:tc>
        <w:tc>
          <w:tcPr>
            <w:tcW w:w="7939" w:type="dxa"/>
            <w:noWrap w:val="0"/>
            <w:vAlign w:val="top"/>
          </w:tcPr>
          <w:p>
            <w:pPr>
              <w:widowControl/>
              <w:kinsoku w:val="0"/>
              <w:autoSpaceDE w:val="0"/>
              <w:autoSpaceDN w:val="0"/>
              <w:adjustRightInd w:val="0"/>
              <w:snapToGrid w:val="0"/>
              <w:spacing w:line="243" w:lineRule="auto"/>
              <w:ind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1.《</w:t>
            </w:r>
            <w:r>
              <w:rPr>
                <w:rFonts w:hint="eastAsia" w:ascii="宋体" w:hAnsi="宋体" w:cs="宋体"/>
                <w:snapToGrid w:val="0"/>
                <w:color w:val="000000"/>
                <w:spacing w:val="2"/>
                <w:kern w:val="0"/>
                <w:szCs w:val="21"/>
              </w:rPr>
              <w:fldChar w:fldCharType="begin"/>
            </w:r>
            <w:r>
              <w:rPr>
                <w:rFonts w:hint="eastAsia" w:ascii="宋体" w:hAnsi="宋体" w:cs="宋体"/>
                <w:snapToGrid w:val="0"/>
                <w:color w:val="000000"/>
                <w:spacing w:val="2"/>
                <w:kern w:val="0"/>
                <w:szCs w:val="21"/>
              </w:rPr>
              <w:instrText xml:space="preserve"> HYPERLINK "http://www.law-lib.com/law/law_view.asp?id=712131" \o "排污许可管理条例" \t "http://www.law-lib.com/law/_blank" </w:instrText>
            </w:r>
            <w:r>
              <w:rPr>
                <w:rFonts w:hint="eastAsia" w:ascii="宋体" w:hAnsi="宋体" w:cs="宋体"/>
                <w:snapToGrid w:val="0"/>
                <w:color w:val="000000"/>
                <w:spacing w:val="2"/>
                <w:kern w:val="0"/>
                <w:szCs w:val="21"/>
              </w:rPr>
              <w:fldChar w:fldCharType="separate"/>
            </w:r>
            <w:r>
              <w:rPr>
                <w:rFonts w:hint="eastAsia" w:ascii="宋体" w:hAnsi="宋体" w:cs="宋体"/>
                <w:snapToGrid w:val="0"/>
                <w:color w:val="000000"/>
                <w:spacing w:val="2"/>
                <w:kern w:val="0"/>
                <w:szCs w:val="21"/>
              </w:rPr>
              <w:t>排污许可管理条例</w:t>
            </w:r>
            <w:r>
              <w:rPr>
                <w:rFonts w:hint="eastAsia" w:ascii="宋体" w:hAnsi="宋体" w:cs="宋体"/>
                <w:snapToGrid w:val="0"/>
                <w:color w:val="000000"/>
                <w:spacing w:val="2"/>
                <w:kern w:val="0"/>
                <w:szCs w:val="21"/>
              </w:rPr>
              <w:fldChar w:fldCharType="end"/>
            </w:r>
            <w:r>
              <w:rPr>
                <w:rFonts w:hint="eastAsia" w:ascii="宋体" w:hAnsi="宋体" w:cs="宋体"/>
                <w:snapToGrid w:val="0"/>
                <w:color w:val="000000"/>
                <w:spacing w:val="2"/>
                <w:kern w:val="0"/>
                <w:szCs w:val="21"/>
              </w:rPr>
              <w:t>》第三十六条</w:t>
            </w:r>
          </w:p>
          <w:p>
            <w:pPr>
              <w:widowControl/>
              <w:kinsoku w:val="0"/>
              <w:autoSpaceDE w:val="0"/>
              <w:autoSpaceDN w:val="0"/>
              <w:adjustRightInd w:val="0"/>
              <w:snapToGrid w:val="0"/>
              <w:spacing w:line="243" w:lineRule="auto"/>
              <w:ind w:right="28" w:firstLine="444"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6"/>
                <w:kern w:val="0"/>
                <w:szCs w:val="21"/>
              </w:rPr>
              <w:t>违反本条例规定，排污单位有下列行为之一的，由生态环境主管部门责令改正</w:t>
            </w:r>
            <w:r>
              <w:rPr>
                <w:rFonts w:hint="eastAsia" w:ascii="宋体" w:hAnsi="宋体" w:cs="宋体"/>
                <w:snapToGrid w:val="0"/>
                <w:color w:val="000000"/>
                <w:spacing w:val="2"/>
                <w:kern w:val="0"/>
                <w:szCs w:val="21"/>
              </w:rPr>
              <w:t>，处2万元以上20万元以下的罚款；拒不改正的，责令停产整治：</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（四）未按照排污许可证规定安装、使用污染物排放自动监测设备并与生态环境主管部门的监控设备联网。</w:t>
            </w:r>
          </w:p>
          <w:p>
            <w:pPr>
              <w:kinsoku w:val="0"/>
              <w:autoSpaceDE w:val="0"/>
              <w:autoSpaceDN w:val="0"/>
              <w:adjustRightInd w:val="0"/>
              <w:snapToGrid w:val="0"/>
              <w:ind w:firstLine="428" w:firstLineChars="200"/>
              <w:textAlignment w:val="baseline"/>
              <w:rPr>
                <w:rFonts w:hint="eastAsia" w:ascii="宋体" w:hAnsi="宋体" w:cs="宋体"/>
                <w:snapToGrid w:val="0"/>
                <w:color w:val="000000"/>
                <w:spacing w:val="2"/>
                <w:kern w:val="0"/>
                <w:szCs w:val="21"/>
              </w:rPr>
            </w:pPr>
          </w:p>
          <w:p>
            <w:pPr>
              <w:kinsoku w:val="0"/>
              <w:autoSpaceDE w:val="0"/>
              <w:autoSpaceDN w:val="0"/>
              <w:adjustRightInd w:val="0"/>
              <w:snapToGrid w:val="0"/>
              <w:ind w:firstLine="428" w:firstLineChars="200"/>
              <w:textAlignment w:val="baseline"/>
              <w:rPr>
                <w:rFonts w:hint="eastAsia" w:ascii="Arial" w:hAnsi="Arial" w:eastAsia="Arial" w:cs="Arial"/>
                <w:snapToGrid w:val="0"/>
                <w:color w:val="000000"/>
                <w:kern w:val="0"/>
                <w:szCs w:val="21"/>
              </w:rPr>
            </w:pPr>
            <w:r>
              <w:rPr>
                <w:rFonts w:hint="eastAsia" w:ascii="宋体" w:hAnsi="宋体" w:cs="宋体"/>
                <w:snapToGrid w:val="0"/>
                <w:color w:val="000000"/>
                <w:spacing w:val="2"/>
                <w:kern w:val="0"/>
                <w:szCs w:val="21"/>
              </w:rPr>
              <w:t>2.</w:t>
            </w:r>
            <w:r>
              <w:rPr>
                <w:rFonts w:hint="eastAsia" w:ascii="Arial" w:hAnsi="Arial" w:eastAsia="Arial" w:cs="Arial"/>
                <w:snapToGrid w:val="0"/>
                <w:color w:val="000000"/>
                <w:kern w:val="0"/>
                <w:szCs w:val="21"/>
              </w:rPr>
              <w:t xml:space="preserve">《中华人民共和国水污染防治法》第八十二条 </w:t>
            </w:r>
          </w:p>
          <w:p>
            <w:pPr>
              <w:kinsoku w:val="0"/>
              <w:autoSpaceDE w:val="0"/>
              <w:autoSpaceDN w:val="0"/>
              <w:adjustRightInd w:val="0"/>
              <w:snapToGrid w:val="0"/>
              <w:ind w:firstLine="420" w:firstLineChars="200"/>
              <w:textAlignment w:val="baseline"/>
              <w:rPr>
                <w:rFonts w:hint="eastAsia" w:ascii="Arial" w:hAnsi="Arial" w:cs="Arial"/>
                <w:snapToGrid w:val="0"/>
                <w:color w:val="000000"/>
                <w:kern w:val="0"/>
                <w:szCs w:val="21"/>
              </w:rPr>
            </w:pPr>
            <w:r>
              <w:rPr>
                <w:rFonts w:hint="eastAsia" w:ascii="Arial" w:hAnsi="Arial" w:eastAsia="Arial" w:cs="Arial"/>
                <w:snapToGrid w:val="0"/>
                <w:color w:val="000000"/>
                <w:kern w:val="0"/>
                <w:szCs w:val="21"/>
              </w:rPr>
              <w:t>违反本法规定，有下列行为之一的，由县级以上人民政府环境保护主管部门责令限期改正，处二万元以上二十万元以下的罚款；逾期不改正的，责令停产整治：</w:t>
            </w:r>
          </w:p>
          <w:p>
            <w:pPr>
              <w:kinsoku w:val="0"/>
              <w:autoSpaceDE w:val="0"/>
              <w:autoSpaceDN w:val="0"/>
              <w:adjustRightInd w:val="0"/>
              <w:snapToGrid w:val="0"/>
              <w:spacing w:line="242" w:lineRule="auto"/>
              <w:ind w:left="50" w:right="29" w:firstLine="420" w:firstLineChars="200"/>
              <w:textAlignment w:val="baseline"/>
              <w:rPr>
                <w:rFonts w:hint="eastAsia" w:ascii="宋体" w:hAnsi="宋体" w:cs="宋体"/>
                <w:snapToGrid w:val="0"/>
                <w:color w:val="000000"/>
                <w:spacing w:val="2"/>
                <w:kern w:val="0"/>
                <w:szCs w:val="21"/>
              </w:rPr>
            </w:pPr>
            <w:r>
              <w:rPr>
                <w:rFonts w:hint="eastAsia" w:ascii="Arial" w:hAnsi="Arial" w:eastAsia="Arial" w:cs="Arial"/>
                <w:snapToGrid w:val="0"/>
                <w:color w:val="000000"/>
                <w:kern w:val="0"/>
                <w:szCs w:val="21"/>
              </w:rPr>
              <w:t>（二）未按照规定安装水污染物排放自动监测设备，未按照规定与环境保护主管部门的监控设备联网</w:t>
            </w:r>
            <w:r>
              <w:rPr>
                <w:rFonts w:hint="eastAsia" w:ascii="宋体" w:hAnsi="宋体" w:cs="宋体"/>
                <w:snapToGrid w:val="0"/>
                <w:color w:val="000000"/>
                <w:spacing w:val="2"/>
                <w:kern w:val="0"/>
                <w:szCs w:val="21"/>
              </w:rPr>
              <w:t>；</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p>
          <w:p>
            <w:pPr>
              <w:kinsoku w:val="0"/>
              <w:autoSpaceDE w:val="0"/>
              <w:autoSpaceDN w:val="0"/>
              <w:adjustRightInd w:val="0"/>
              <w:snapToGrid w:val="0"/>
              <w:ind w:firstLine="428" w:firstLineChars="200"/>
              <w:textAlignment w:val="baseline"/>
              <w:rPr>
                <w:rFonts w:hint="eastAsia" w:ascii="Arial" w:hAnsi="Arial" w:eastAsia="Arial" w:cs="Arial"/>
                <w:snapToGrid w:val="0"/>
                <w:color w:val="000000"/>
                <w:kern w:val="0"/>
                <w:szCs w:val="21"/>
              </w:rPr>
            </w:pPr>
            <w:r>
              <w:rPr>
                <w:rFonts w:hint="eastAsia" w:ascii="宋体" w:hAnsi="宋体" w:cs="宋体"/>
                <w:snapToGrid w:val="0"/>
                <w:color w:val="000000"/>
                <w:spacing w:val="2"/>
                <w:kern w:val="0"/>
                <w:szCs w:val="21"/>
              </w:rPr>
              <w:t>3.</w:t>
            </w:r>
            <w:r>
              <w:rPr>
                <w:rFonts w:hint="eastAsia" w:ascii="Arial" w:hAnsi="Arial" w:eastAsia="Arial" w:cs="Arial"/>
                <w:snapToGrid w:val="0"/>
                <w:color w:val="000000"/>
                <w:kern w:val="0"/>
                <w:szCs w:val="21"/>
              </w:rPr>
              <w:t>《</w:t>
            </w:r>
            <w:r>
              <w:rPr>
                <w:rFonts w:hint="eastAsia" w:ascii="宋体" w:hAnsi="宋体" w:cs="宋体"/>
                <w:snapToGrid w:val="0"/>
                <w:color w:val="000000"/>
                <w:kern w:val="0"/>
                <w:szCs w:val="21"/>
              </w:rPr>
              <w:t>河北省</w:t>
            </w:r>
            <w:r>
              <w:rPr>
                <w:rFonts w:hint="eastAsia" w:ascii="Arial" w:hAnsi="Arial" w:eastAsia="Arial" w:cs="Arial"/>
                <w:snapToGrid w:val="0"/>
                <w:color w:val="000000"/>
                <w:kern w:val="0"/>
                <w:szCs w:val="21"/>
              </w:rPr>
              <w:t xml:space="preserve">水污染防治条例》第七十二条 </w:t>
            </w:r>
          </w:p>
          <w:p>
            <w:pPr>
              <w:kinsoku w:val="0"/>
              <w:autoSpaceDE w:val="0"/>
              <w:autoSpaceDN w:val="0"/>
              <w:adjustRightInd w:val="0"/>
              <w:snapToGrid w:val="0"/>
              <w:ind w:firstLine="420" w:firstLineChars="200"/>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违反本条例规定，有下列行为之一的，由环境保护主管部门责令限期改正，处三万元以上十万元以下的罚款；情节较重的，处十万元以上二十万元以下的罚款；逾期不改正的，责令停产整治：</w:t>
            </w:r>
          </w:p>
          <w:p>
            <w:pPr>
              <w:kinsoku w:val="0"/>
              <w:autoSpaceDE w:val="0"/>
              <w:autoSpaceDN w:val="0"/>
              <w:adjustRightInd w:val="0"/>
              <w:snapToGrid w:val="0"/>
              <w:ind w:firstLine="420" w:firstLineChars="200"/>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（二）未按照规定安装水污染物排放自动监测设备，未按照规定与环境保护主管部门的监控设备联网；</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p>
          <w:p>
            <w:pPr>
              <w:kinsoku w:val="0"/>
              <w:autoSpaceDE w:val="0"/>
              <w:autoSpaceDN w:val="0"/>
              <w:adjustRightInd w:val="0"/>
              <w:snapToGrid w:val="0"/>
              <w:spacing w:line="242" w:lineRule="auto"/>
              <w:ind w:left="420" w:leftChars="200" w:right="29"/>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4.《</w:t>
            </w:r>
            <w:r>
              <w:rPr>
                <w:rFonts w:hint="eastAsia" w:ascii="宋体" w:hAnsi="宋体" w:cs="宋体"/>
                <w:snapToGrid w:val="0"/>
                <w:color w:val="000000"/>
                <w:spacing w:val="2"/>
                <w:kern w:val="0"/>
                <w:szCs w:val="21"/>
              </w:rPr>
              <w:fldChar w:fldCharType="begin"/>
            </w:r>
            <w:r>
              <w:rPr>
                <w:rFonts w:hint="eastAsia" w:ascii="宋体" w:hAnsi="宋体" w:cs="宋体"/>
                <w:snapToGrid w:val="0"/>
                <w:color w:val="000000"/>
                <w:spacing w:val="2"/>
                <w:kern w:val="0"/>
                <w:szCs w:val="21"/>
              </w:rPr>
              <w:instrText xml:space="preserve"> HYPERLINK "http://www.law-lib.com/law/law_view.asp?id=686470" \o "中华人民共和国大气污染防治法" \t "http://www.law-lib.com/law/_blank" </w:instrText>
            </w:r>
            <w:r>
              <w:rPr>
                <w:rFonts w:hint="eastAsia" w:ascii="宋体" w:hAnsi="宋体" w:cs="宋体"/>
                <w:snapToGrid w:val="0"/>
                <w:color w:val="000000"/>
                <w:spacing w:val="2"/>
                <w:kern w:val="0"/>
                <w:szCs w:val="21"/>
              </w:rPr>
              <w:fldChar w:fldCharType="separate"/>
            </w:r>
            <w:r>
              <w:rPr>
                <w:rFonts w:hint="eastAsia" w:ascii="宋体" w:hAnsi="宋体" w:cs="宋体"/>
                <w:snapToGrid w:val="0"/>
                <w:color w:val="000000"/>
                <w:spacing w:val="2"/>
                <w:kern w:val="0"/>
                <w:szCs w:val="21"/>
              </w:rPr>
              <w:t>中华人民共和国大气污染防治法</w:t>
            </w:r>
            <w:r>
              <w:rPr>
                <w:rFonts w:hint="eastAsia" w:ascii="宋体" w:hAnsi="宋体" w:cs="宋体"/>
                <w:snapToGrid w:val="0"/>
                <w:color w:val="000000"/>
                <w:spacing w:val="2"/>
                <w:kern w:val="0"/>
                <w:szCs w:val="21"/>
              </w:rPr>
              <w:fldChar w:fldCharType="end"/>
            </w:r>
            <w:r>
              <w:rPr>
                <w:rFonts w:hint="eastAsia" w:ascii="宋体" w:hAnsi="宋体" w:cs="宋体"/>
                <w:snapToGrid w:val="0"/>
                <w:color w:val="000000"/>
                <w:spacing w:val="2"/>
                <w:kern w:val="0"/>
                <w:szCs w:val="21"/>
              </w:rPr>
              <w:t xml:space="preserve">》第一百条   </w:t>
            </w:r>
          </w:p>
          <w:p>
            <w:pPr>
              <w:kinsoku w:val="0"/>
              <w:autoSpaceDE w:val="0"/>
              <w:autoSpaceDN w:val="0"/>
              <w:adjustRightInd w:val="0"/>
              <w:snapToGrid w:val="0"/>
              <w:spacing w:line="243" w:lineRule="auto"/>
              <w:ind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违反本法规定，有下列行为之一的，由县级以上人民政府生态环境主管部门责令改正，处二万元以上二十万元以下的罚款；拒不改正的，责令停产整治：</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（三）未按照规定安装、使用大气污染物排放自动监测设备或者未按照规定与生态环境主管部门的监控设备联网。</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 xml:space="preserve">5.《河北省大气污染防治条例》第七十九条 </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（二）未按照规定安装大气污染物排放自动监测、监控等设备或者未按照规定与环境保护主管部门的监控设备联网；</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ascii="宋体" w:hAnsi="宋体" w:cs="宋体"/>
                <w:snapToGrid w:val="0"/>
                <w:color w:val="000000"/>
                <w:spacing w:val="2"/>
                <w:kern w:val="0"/>
                <w:szCs w:val="21"/>
              </w:rPr>
              <w:t>6.《</w:t>
            </w:r>
            <w:r>
              <w:rPr>
                <w:rFonts w:hint="eastAsia" w:ascii="宋体" w:hAnsi="宋体" w:cs="宋体"/>
                <w:snapToGrid w:val="0"/>
                <w:color w:val="000000"/>
                <w:spacing w:val="2"/>
                <w:kern w:val="0"/>
                <w:szCs w:val="21"/>
              </w:rPr>
              <w:t>河北省</w:t>
            </w:r>
            <w:r>
              <w:rPr>
                <w:rFonts w:ascii="宋体" w:hAnsi="宋体" w:cs="宋体"/>
                <w:snapToGrid w:val="0"/>
                <w:color w:val="000000"/>
                <w:spacing w:val="2"/>
                <w:kern w:val="0"/>
                <w:szCs w:val="21"/>
              </w:rPr>
              <w:t>生态环境保护条例》第七十二条</w:t>
            </w:r>
            <w:r>
              <w:rPr>
                <w:rFonts w:hint="eastAsia" w:ascii="宋体" w:hAnsi="宋体" w:cs="宋体"/>
                <w:snapToGrid w:val="0"/>
                <w:color w:val="000000"/>
                <w:spacing w:val="2"/>
                <w:kern w:val="0"/>
                <w:szCs w:val="21"/>
              </w:rPr>
              <w:t xml:space="preserve"> </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r>
              <w:rPr>
                <w:rFonts w:ascii="宋体" w:hAnsi="宋体" w:cs="宋体"/>
                <w:snapToGrid w:val="0"/>
                <w:color w:val="000000"/>
                <w:spacing w:val="2"/>
                <w:kern w:val="0"/>
                <w:szCs w:val="21"/>
              </w:rPr>
              <w:t>违反本条例规定，重点排污单位有下列行为之一的，由生态环境主管部门责令改正，处二万元以上二十万元以下的罚款；拒不改正的，责令停产整治：</w:t>
            </w:r>
          </w:p>
          <w:p>
            <w:pPr>
              <w:kinsoku w:val="0"/>
              <w:autoSpaceDE w:val="0"/>
              <w:autoSpaceDN w:val="0"/>
              <w:adjustRightInd w:val="0"/>
              <w:snapToGrid w:val="0"/>
              <w:spacing w:line="242" w:lineRule="auto"/>
              <w:ind w:left="50" w:right="29" w:firstLine="428" w:firstLineChars="200"/>
              <w:textAlignment w:val="baseline"/>
              <w:rPr>
                <w:rFonts w:hint="eastAsia" w:ascii="Arial" w:hAnsi="Arial" w:eastAsia="Arial" w:cs="Arial"/>
                <w:snapToGrid w:val="0"/>
                <w:color w:val="000000"/>
                <w:kern w:val="0"/>
                <w:szCs w:val="21"/>
              </w:rPr>
            </w:pPr>
            <w:r>
              <w:rPr>
                <w:rFonts w:ascii="宋体" w:hAnsi="宋体" w:cs="宋体"/>
                <w:snapToGrid w:val="0"/>
                <w:color w:val="000000"/>
                <w:spacing w:val="2"/>
                <w:kern w:val="0"/>
                <w:szCs w:val="21"/>
              </w:rPr>
              <w:t>（一）未按照规定安装使用自动监测设备，或者未与生态环境主管部门的监控设备联网的；</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ascii="宋体" w:hAnsi="宋体" w:cs="宋体"/>
                <w:snapToGrid w:val="0"/>
                <w:color w:val="000000"/>
                <w:spacing w:val="2"/>
                <w:kern w:val="0"/>
                <w:szCs w:val="21"/>
              </w:rPr>
              <w:t>7.《</w:t>
            </w:r>
            <w:r>
              <w:rPr>
                <w:rFonts w:hint="eastAsia" w:ascii="宋体" w:hAnsi="宋体" w:cs="宋体"/>
                <w:snapToGrid w:val="0"/>
                <w:color w:val="000000"/>
                <w:spacing w:val="2"/>
                <w:kern w:val="0"/>
                <w:szCs w:val="21"/>
              </w:rPr>
              <w:t>河北省</w:t>
            </w:r>
            <w:r>
              <w:rPr>
                <w:rFonts w:ascii="宋体" w:hAnsi="宋体" w:cs="宋体"/>
                <w:snapToGrid w:val="0"/>
                <w:color w:val="000000"/>
                <w:spacing w:val="2"/>
                <w:kern w:val="0"/>
                <w:szCs w:val="21"/>
              </w:rPr>
              <w:t>扬尘污染防治办法》第四十三条</w:t>
            </w:r>
            <w:r>
              <w:rPr>
                <w:rFonts w:hint="eastAsia" w:ascii="宋体" w:hAnsi="宋体" w:cs="宋体"/>
                <w:snapToGrid w:val="0"/>
                <w:color w:val="000000"/>
                <w:spacing w:val="2"/>
                <w:kern w:val="0"/>
                <w:szCs w:val="21"/>
              </w:rPr>
              <w:t xml:space="preserve"> </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r>
              <w:rPr>
                <w:rFonts w:ascii="宋体" w:hAnsi="宋体" w:cs="宋体"/>
                <w:snapToGrid w:val="0"/>
                <w:color w:val="000000"/>
                <w:spacing w:val="2"/>
                <w:kern w:val="0"/>
                <w:szCs w:val="21"/>
              </w:rPr>
              <w:t>违反本办法规定，被确定为重点扬尘污染源的企业事业单位和其他生产经营者</w:t>
            </w:r>
            <w:r>
              <w:rPr>
                <w:rFonts w:ascii="宋体" w:hAnsi="宋体" w:cs="宋体"/>
                <w:snapToGrid w:val="0"/>
                <w:color w:val="000000"/>
                <w:spacing w:val="6"/>
                <w:kern w:val="0"/>
                <w:szCs w:val="21"/>
              </w:rPr>
              <w:t>有下列行为之一的，由监督管理部门责令限期改正，处二万元以上五万元以下罚</w:t>
            </w:r>
            <w:r>
              <w:rPr>
                <w:rFonts w:ascii="宋体" w:hAnsi="宋体" w:cs="宋体"/>
                <w:snapToGrid w:val="0"/>
                <w:color w:val="000000"/>
                <w:spacing w:val="2"/>
                <w:kern w:val="0"/>
                <w:szCs w:val="21"/>
              </w:rPr>
              <w:t>款；情节较重的，处五万元以上十万元以下罚款；情节严重的，处十万元以上二十万元以下罚款；拒不改正的，责令停工停产整治：</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r>
              <w:rPr>
                <w:rFonts w:ascii="宋体" w:hAnsi="宋体" w:cs="宋体"/>
                <w:snapToGrid w:val="0"/>
                <w:color w:val="000000"/>
                <w:spacing w:val="2"/>
                <w:kern w:val="0"/>
                <w:szCs w:val="21"/>
              </w:rPr>
              <w:t>（一）未按照规定安装、使用扬尘污染物在线监测设备或者未按照规定与生态环境主管部门的监控设备联网；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10</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6"/>
                <w:kern w:val="0"/>
                <w:szCs w:val="21"/>
              </w:rPr>
              <w:t>未使用焊烟收集处理设施，首次发现，焊机不超过4台</w:t>
            </w:r>
            <w:r>
              <w:rPr>
                <w:rFonts w:hint="eastAsia" w:ascii="宋体" w:hAnsi="宋体" w:cs="宋体"/>
                <w:snapToGrid w:val="0"/>
                <w:color w:val="000000"/>
                <w:spacing w:val="2"/>
                <w:kern w:val="0"/>
                <w:szCs w:val="21"/>
              </w:rPr>
              <w:t>，经现场检查指出后立即改正的</w:t>
            </w:r>
          </w:p>
        </w:tc>
        <w:tc>
          <w:tcPr>
            <w:tcW w:w="7939" w:type="dxa"/>
            <w:noWrap w:val="0"/>
            <w:vAlign w:val="top"/>
          </w:tcPr>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spacing w:val="2"/>
                <w:kern w:val="0"/>
                <w:szCs w:val="21"/>
              </w:rPr>
            </w:pPr>
            <w:r>
              <w:rPr>
                <w:rFonts w:hint="eastAsia" w:ascii="宋体" w:hAnsi="宋体" w:cs="宋体"/>
                <w:snapToGrid w:val="0"/>
                <w:spacing w:val="2"/>
                <w:kern w:val="0"/>
                <w:szCs w:val="21"/>
              </w:rPr>
              <w:t>1.《中华人民共和国大气污染防治法》第一百零八条</w:t>
            </w:r>
            <w:r>
              <w:rPr>
                <w:rFonts w:hint="eastAsia" w:ascii="宋体" w:hAnsi="宋体" w:cs="宋体"/>
                <w:snapToGrid w:val="0"/>
                <w:spacing w:val="2"/>
                <w:kern w:val="0"/>
                <w:szCs w:val="21"/>
              </w:rPr>
              <w:tab/>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spacing w:val="2"/>
                <w:kern w:val="0"/>
                <w:szCs w:val="21"/>
              </w:rPr>
            </w:pPr>
            <w:r>
              <w:rPr>
                <w:rFonts w:hint="eastAsia" w:ascii="宋体" w:hAnsi="宋体" w:cs="宋体"/>
                <w:snapToGrid w:val="0"/>
                <w:spacing w:val="2"/>
                <w:kern w:val="0"/>
                <w:szCs w:val="21"/>
              </w:rPr>
              <w:t>违反本法规定，有下列行为之一的，由县级以上人民政府生态环境主管部门责令改正，处二万元以上二十万元以下的罚款；拒不改正的，责令停产整治：</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spacing w:val="2"/>
                <w:kern w:val="0"/>
                <w:szCs w:val="21"/>
                <w:highlight w:val="yellow"/>
              </w:rPr>
            </w:pPr>
            <w:r>
              <w:rPr>
                <w:rFonts w:hint="eastAsia" w:ascii="宋体" w:hAnsi="宋体" w:cs="宋体"/>
                <w:snapToGrid w:val="0"/>
                <w:spacing w:val="2"/>
                <w:kern w:val="0"/>
                <w:szCs w:val="21"/>
              </w:rPr>
              <w:t>（五）钢铁、建材、有色金属、石油、化工、制药、矿产开采等企业，未采取集中收集处理、密闭、围挡、遮盖、清扫、洒水等措施，控制、减少粉尘和气态污染物排放的；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11</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产生工业固体废物的单位未建立固体废物管理台账，检查发现后企业限期主动完成整改的</w:t>
            </w:r>
          </w:p>
        </w:tc>
        <w:tc>
          <w:tcPr>
            <w:tcW w:w="7939" w:type="dxa"/>
            <w:noWrap w:val="0"/>
            <w:vAlign w:val="top"/>
          </w:tcPr>
          <w:p>
            <w:pPr>
              <w:kinsoku w:val="0"/>
              <w:autoSpaceDE w:val="0"/>
              <w:autoSpaceDN w:val="0"/>
              <w:adjustRightInd w:val="0"/>
              <w:snapToGrid w:val="0"/>
              <w:spacing w:before="2" w:line="250" w:lineRule="exact"/>
              <w:ind w:left="57" w:right="23" w:firstLine="420" w:firstLineChars="200"/>
              <w:jc w:val="left"/>
              <w:textAlignment w:val="baseline"/>
              <w:rPr>
                <w:rFonts w:hint="eastAsia" w:ascii="宋体" w:hAnsi="宋体" w:cs="宋体"/>
                <w:snapToGrid w:val="0"/>
                <w:color w:val="000000"/>
                <w:spacing w:val="-6"/>
                <w:kern w:val="0"/>
                <w:szCs w:val="21"/>
              </w:rPr>
            </w:pPr>
            <w:r>
              <w:rPr>
                <w:rFonts w:hint="eastAsia" w:ascii="宋体" w:hAnsi="宋体" w:cs="宋体"/>
                <w:snapToGrid w:val="0"/>
                <w:color w:val="000000"/>
                <w:kern w:val="0"/>
                <w:szCs w:val="21"/>
              </w:rPr>
              <w:t>1.《中华人民共和国固体废物污染环境防治法》</w:t>
            </w:r>
            <w:r>
              <w:rPr>
                <w:rFonts w:hint="eastAsia" w:ascii="宋体" w:hAnsi="宋体" w:cs="宋体"/>
                <w:snapToGrid w:val="0"/>
                <w:color w:val="000000"/>
                <w:spacing w:val="-6"/>
                <w:kern w:val="0"/>
                <w:szCs w:val="21"/>
              </w:rPr>
              <w:t xml:space="preserve">第一百零二条   </w:t>
            </w:r>
          </w:p>
          <w:p>
            <w:pPr>
              <w:kinsoku w:val="0"/>
              <w:autoSpaceDE w:val="0"/>
              <w:autoSpaceDN w:val="0"/>
              <w:adjustRightInd w:val="0"/>
              <w:snapToGrid w:val="0"/>
              <w:spacing w:before="2" w:line="250" w:lineRule="exact"/>
              <w:ind w:left="57" w:right="23" w:firstLine="396" w:firstLineChars="200"/>
              <w:jc w:val="left"/>
              <w:textAlignment w:val="baseline"/>
              <w:rPr>
                <w:rFonts w:hint="eastAsia" w:ascii="宋体" w:hAnsi="宋体" w:cs="宋体"/>
                <w:snapToGrid w:val="0"/>
                <w:color w:val="000000"/>
                <w:spacing w:val="-6"/>
                <w:kern w:val="0"/>
                <w:szCs w:val="21"/>
              </w:rPr>
            </w:pPr>
            <w:r>
              <w:rPr>
                <w:rFonts w:hint="eastAsia" w:ascii="宋体" w:hAnsi="宋体" w:cs="宋体"/>
                <w:snapToGrid w:val="0"/>
                <w:color w:val="000000"/>
                <w:spacing w:val="-6"/>
                <w:kern w:val="0"/>
                <w:szCs w:val="21"/>
              </w:rPr>
              <w:t>违反本法规定，有下列行为之一，由生态环境主管部门责令改正，处以罚款，没收违法所得；情节严重的，报经有批准权的人民政府批准，可以责令停业或者关闭：</w:t>
            </w:r>
          </w:p>
          <w:p>
            <w:pPr>
              <w:kinsoku w:val="0"/>
              <w:autoSpaceDE w:val="0"/>
              <w:autoSpaceDN w:val="0"/>
              <w:adjustRightInd w:val="0"/>
              <w:snapToGrid w:val="0"/>
              <w:spacing w:before="2" w:line="250" w:lineRule="exact"/>
              <w:ind w:left="57" w:right="23" w:firstLine="396"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6"/>
                <w:kern w:val="0"/>
                <w:szCs w:val="21"/>
              </w:rPr>
              <w:t>（八）产生工业固体废物的单位未建立固体废物管理台账并如实记录的；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12</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未设置或未规范设置危险废物识别标志等危险废物管理不规范行为，经现场检查指出后立即改正的</w:t>
            </w:r>
          </w:p>
        </w:tc>
        <w:tc>
          <w:tcPr>
            <w:tcW w:w="7939" w:type="dxa"/>
            <w:noWrap w:val="0"/>
            <w:vAlign w:val="top"/>
          </w:tcPr>
          <w:p>
            <w:pPr>
              <w:widowControl/>
              <w:kinsoku w:val="0"/>
              <w:autoSpaceDE w:val="0"/>
              <w:autoSpaceDN w:val="0"/>
              <w:adjustRightInd w:val="0"/>
              <w:snapToGrid w:val="0"/>
              <w:spacing w:line="243" w:lineRule="auto"/>
              <w:ind w:left="51"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1.《中华人民共和国固体废物污染环境防治法》第一百一十二条</w:t>
            </w:r>
          </w:p>
          <w:p>
            <w:pPr>
              <w:widowControl/>
              <w:kinsoku w:val="0"/>
              <w:autoSpaceDE w:val="0"/>
              <w:autoSpaceDN w:val="0"/>
              <w:adjustRightInd w:val="0"/>
              <w:snapToGrid w:val="0"/>
              <w:spacing w:line="243" w:lineRule="auto"/>
              <w:ind w:left="51"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违反本法规定，有下列行为之一，由生态环境主管部门责令改正，处以罚款，没收违法所得；情节严重的，报经有批准权的人民政府批准，可以责令停业或者关闭：</w:t>
            </w:r>
          </w:p>
          <w:p>
            <w:pPr>
              <w:widowControl/>
              <w:kinsoku w:val="0"/>
              <w:autoSpaceDE w:val="0"/>
              <w:autoSpaceDN w:val="0"/>
              <w:adjustRightInd w:val="0"/>
              <w:snapToGrid w:val="0"/>
              <w:spacing w:line="243" w:lineRule="auto"/>
              <w:ind w:left="51"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（一）未按照规定设置危险废物识别标志的；</w:t>
            </w:r>
          </w:p>
          <w:p>
            <w:pPr>
              <w:widowControl/>
              <w:kinsoku w:val="0"/>
              <w:autoSpaceDE w:val="0"/>
              <w:autoSpaceDN w:val="0"/>
              <w:adjustRightInd w:val="0"/>
              <w:snapToGrid w:val="0"/>
              <w:spacing w:line="243" w:lineRule="auto"/>
              <w:ind w:left="51" w:right="28"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有前款第一项、第二项、第五项、第六项、第七项、第八项、第九项、第十二项、第十三项行为之一，处十万元以上一百万元以下的罚款。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13</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不规范贮存危险废物，数量小于0.1吨或危险废物独立包装小于等于2个的，经现场检查指出后立即改正，且未污染外环境的</w:t>
            </w:r>
          </w:p>
        </w:tc>
        <w:tc>
          <w:tcPr>
            <w:tcW w:w="7939" w:type="dxa"/>
            <w:noWrap w:val="0"/>
            <w:vAlign w:val="top"/>
          </w:tcPr>
          <w:p>
            <w:pPr>
              <w:kinsoku w:val="0"/>
              <w:autoSpaceDE w:val="0"/>
              <w:autoSpaceDN w:val="0"/>
              <w:adjustRightInd w:val="0"/>
              <w:snapToGrid w:val="0"/>
              <w:spacing w:line="242" w:lineRule="auto"/>
              <w:ind w:left="50" w:right="29" w:firstLine="420" w:firstLineChars="200"/>
              <w:textAlignment w:val="baseline"/>
              <w:rPr>
                <w:rFonts w:hint="eastAsia"/>
              </w:rPr>
            </w:pPr>
            <w:r>
              <w:rPr>
                <w:rFonts w:hint="eastAsia" w:ascii="宋体" w:hAnsi="宋体" w:cs="宋体"/>
              </w:rPr>
              <w:t>1.</w:t>
            </w:r>
            <w:r>
              <w:rPr>
                <w:rFonts w:hint="eastAsia"/>
              </w:rPr>
              <w:t>《中华人民共和国固体废物污染环境防治法》第一百一十二条 </w:t>
            </w:r>
          </w:p>
          <w:p>
            <w:pPr>
              <w:kinsoku w:val="0"/>
              <w:autoSpaceDE w:val="0"/>
              <w:autoSpaceDN w:val="0"/>
              <w:adjustRightInd w:val="0"/>
              <w:snapToGrid w:val="0"/>
              <w:spacing w:line="242" w:lineRule="auto"/>
              <w:ind w:left="50" w:right="29" w:firstLine="420" w:firstLineChars="200"/>
              <w:textAlignment w:val="baseline"/>
              <w:rPr>
                <w:rFonts w:hint="eastAsia"/>
              </w:rPr>
            </w:pPr>
            <w:r>
              <w:rPr>
                <w:rFonts w:hint="eastAsia"/>
              </w:rPr>
              <w:t>违反本法规定，有下列行为之一，由生态环境主管部门责令改正，处以罚款，没收违法所得；情节严重的，报经有批准权的人民政府批准，可以责令停业或者关闭：</w:t>
            </w:r>
          </w:p>
          <w:p>
            <w:pPr>
              <w:kinsoku w:val="0"/>
              <w:autoSpaceDE w:val="0"/>
              <w:autoSpaceDN w:val="0"/>
              <w:adjustRightInd w:val="0"/>
              <w:snapToGrid w:val="0"/>
              <w:spacing w:line="242" w:lineRule="auto"/>
              <w:ind w:right="29"/>
              <w:textAlignment w:val="baseline"/>
              <w:rPr>
                <w:rFonts w:hint="eastAsia"/>
              </w:rPr>
            </w:pPr>
            <w:r>
              <w:rPr>
                <w:rFonts w:hint="eastAsia"/>
              </w:rPr>
              <w:t xml:space="preserve">    （六）未按照国家环境保护标准贮存、利用、处置危险废物或者将危险废物混入非危险废物中贮存的；</w:t>
            </w:r>
          </w:p>
          <w:p>
            <w:pPr>
              <w:kinsoku w:val="0"/>
              <w:autoSpaceDE w:val="0"/>
              <w:autoSpaceDN w:val="0"/>
              <w:adjustRightInd w:val="0"/>
              <w:snapToGrid w:val="0"/>
              <w:spacing w:line="242" w:lineRule="auto"/>
              <w:ind w:right="29"/>
              <w:textAlignment w:val="baseline"/>
              <w:rPr>
                <w:rFonts w:hint="eastAsia"/>
              </w:rPr>
            </w:pPr>
            <w:r>
              <w:rPr>
                <w:rFonts w:hint="eastAsia"/>
              </w:rPr>
              <w:t xml:space="preserve">     有前款第一项、第二项、第五项、第六项、第七项、第八项、第九项、第十二项、第十三项行为之一，处十万元以上一百万元以下的罚款。</w:t>
            </w:r>
          </w:p>
          <w:p>
            <w:pPr>
              <w:kinsoku w:val="0"/>
              <w:autoSpaceDE w:val="0"/>
              <w:autoSpaceDN w:val="0"/>
              <w:adjustRightInd w:val="0"/>
              <w:snapToGrid w:val="0"/>
              <w:spacing w:before="30" w:line="300" w:lineRule="exact"/>
              <w:ind w:right="51"/>
              <w:jc w:val="left"/>
              <w:textAlignment w:val="baseline"/>
            </w:pPr>
            <w:r>
              <w:rPr>
                <w:rFonts w:hint="eastAsia"/>
              </w:rPr>
              <w:t xml:space="preserve"> </w:t>
            </w:r>
            <w:r>
              <w:rPr>
                <w:rFonts w:hint="eastAsia" w:ascii="宋体" w:hAnsi="宋体" w:cs="宋体"/>
                <w:b/>
                <w:bCs/>
                <w:snapToGrid w:val="0"/>
                <w:color w:val="000000"/>
                <w:spacing w:val="2"/>
                <w:kern w:val="0"/>
                <w:szCs w:val="21"/>
              </w:rPr>
              <w:t>（只含本规定中对未按照国家环境保护标准贮存危险废物的处罚）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14</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环境管理台账记录数据不全，但按照要求有记录，经现场检查指出立即改正，并自整改之日起按照规范要求记录的</w:t>
            </w:r>
          </w:p>
        </w:tc>
        <w:tc>
          <w:tcPr>
            <w:tcW w:w="7939" w:type="dxa"/>
            <w:noWrap w:val="0"/>
            <w:vAlign w:val="top"/>
          </w:tcPr>
          <w:p>
            <w:pPr>
              <w:kinsoku w:val="0"/>
              <w:autoSpaceDE w:val="0"/>
              <w:autoSpaceDN w:val="0"/>
              <w:adjustRightInd w:val="0"/>
              <w:snapToGrid w:val="0"/>
              <w:spacing w:line="245" w:lineRule="auto"/>
              <w:ind w:left="105" w:leftChars="50" w:right="114"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w:t>
            </w:r>
            <w:r>
              <w:rPr>
                <w:rFonts w:hint="eastAsia" w:ascii="宋体" w:hAnsi="宋体" w:cs="宋体"/>
                <w:snapToGrid w:val="0"/>
                <w:color w:val="000000"/>
                <w:spacing w:val="2"/>
                <w:kern w:val="0"/>
                <w:szCs w:val="21"/>
              </w:rPr>
              <w:t>河北省</w:t>
            </w:r>
            <w:r>
              <w:rPr>
                <w:rFonts w:hint="eastAsia" w:ascii="宋体" w:hAnsi="宋体" w:cs="宋体"/>
                <w:snapToGrid w:val="0"/>
                <w:color w:val="000000"/>
                <w:kern w:val="0"/>
                <w:szCs w:val="21"/>
              </w:rPr>
              <w:t xml:space="preserve">生态环境保护条例》第七十四条 </w:t>
            </w:r>
          </w:p>
          <w:p>
            <w:pPr>
              <w:kinsoku w:val="0"/>
              <w:autoSpaceDE w:val="0"/>
              <w:autoSpaceDN w:val="0"/>
              <w:adjustRightInd w:val="0"/>
              <w:snapToGrid w:val="0"/>
              <w:spacing w:line="245" w:lineRule="auto"/>
              <w:ind w:left="105" w:leftChars="50" w:right="114" w:firstLine="420" w:firstLineChars="200"/>
              <w:jc w:val="left"/>
              <w:textAlignment w:val="baseline"/>
              <w:rPr>
                <w:rFonts w:hint="eastAsia" w:ascii="宋体" w:hAnsi="宋体" w:cs="宋体"/>
                <w:snapToGrid w:val="0"/>
                <w:kern w:val="0"/>
                <w:szCs w:val="21"/>
              </w:rPr>
            </w:pPr>
            <w:r>
              <w:rPr>
                <w:rFonts w:hint="eastAsia" w:ascii="宋体" w:hAnsi="宋体" w:cs="宋体"/>
                <w:snapToGrid w:val="0"/>
                <w:color w:val="000000"/>
                <w:kern w:val="0"/>
                <w:szCs w:val="21"/>
              </w:rPr>
              <w:t>违反本条例规定，排放污染物的企业事业单位和其他生产经营者未按照规定建立、保存环境管理台账或者台账记录内容不完整、弄虚</w:t>
            </w:r>
            <w:r>
              <w:rPr>
                <w:rFonts w:hint="eastAsia" w:ascii="宋体" w:hAnsi="宋体" w:cs="宋体"/>
                <w:snapToGrid w:val="0"/>
                <w:kern w:val="0"/>
                <w:szCs w:val="21"/>
              </w:rPr>
              <w:t>作假的，由生态环境主管部门责令改正，处二万元以上二十万元以下的罚款；拒不改正的，责令停产整治。</w:t>
            </w:r>
          </w:p>
          <w:p>
            <w:pPr>
              <w:kinsoku w:val="0"/>
              <w:autoSpaceDE w:val="0"/>
              <w:autoSpaceDN w:val="0"/>
              <w:adjustRightInd w:val="0"/>
              <w:snapToGrid w:val="0"/>
              <w:spacing w:line="245" w:lineRule="auto"/>
              <w:ind w:left="105" w:leftChars="50" w:right="114" w:firstLine="420" w:firstLineChars="200"/>
              <w:jc w:val="left"/>
              <w:textAlignment w:val="baseline"/>
              <w:rPr>
                <w:rFonts w:hint="eastAsia" w:ascii="宋体" w:hAnsi="宋体" w:cs="宋体"/>
                <w:snapToGrid w:val="0"/>
                <w:kern w:val="0"/>
                <w:szCs w:val="21"/>
              </w:rPr>
            </w:pPr>
          </w:p>
          <w:p>
            <w:pPr>
              <w:kinsoku w:val="0"/>
              <w:autoSpaceDE w:val="0"/>
              <w:autoSpaceDN w:val="0"/>
              <w:adjustRightInd w:val="0"/>
              <w:snapToGrid w:val="0"/>
              <w:spacing w:line="245" w:lineRule="auto"/>
              <w:ind w:left="105" w:leftChars="50" w:right="114" w:firstLine="420" w:firstLineChars="200"/>
              <w:jc w:val="left"/>
              <w:textAlignment w:val="baseline"/>
              <w:rPr>
                <w:rFonts w:hint="eastAsia" w:ascii="Arial" w:hAnsi="Arial" w:eastAsia="Arial" w:cs="Arial"/>
                <w:snapToGrid w:val="0"/>
                <w:kern w:val="0"/>
                <w:szCs w:val="21"/>
              </w:rPr>
            </w:pPr>
            <w:r>
              <w:rPr>
                <w:rFonts w:hint="eastAsia" w:ascii="宋体" w:hAnsi="宋体" w:cs="宋体"/>
              </w:rPr>
              <w:t>2.</w:t>
            </w:r>
            <w:r>
              <w:rPr>
                <w:rFonts w:hint="eastAsia" w:ascii="宋体" w:hAnsi="宋体" w:cs="宋体"/>
                <w:snapToGrid w:val="0"/>
                <w:kern w:val="0"/>
                <w:szCs w:val="21"/>
              </w:rPr>
              <w:t>《排污许可管理条例》</w:t>
            </w:r>
            <w:r>
              <w:rPr>
                <w:rFonts w:hint="eastAsia" w:ascii="Arial" w:hAnsi="Arial" w:eastAsia="Arial" w:cs="Arial"/>
                <w:snapToGrid w:val="0"/>
                <w:kern w:val="0"/>
                <w:szCs w:val="21"/>
              </w:rPr>
              <w:t xml:space="preserve">第三十七条 </w:t>
            </w:r>
          </w:p>
          <w:p>
            <w:pPr>
              <w:widowControl/>
              <w:kinsoku w:val="0"/>
              <w:autoSpaceDE w:val="0"/>
              <w:autoSpaceDN w:val="0"/>
              <w:adjustRightInd w:val="0"/>
              <w:snapToGrid w:val="0"/>
              <w:ind w:firstLine="420" w:firstLineChars="200"/>
              <w:jc w:val="left"/>
              <w:textAlignment w:val="baseline"/>
              <w:rPr>
                <w:rFonts w:hint="eastAsia" w:ascii="Arial" w:hAnsi="Arial" w:eastAsia="Arial" w:cs="Arial"/>
                <w:snapToGrid w:val="0"/>
                <w:color w:val="000000"/>
                <w:kern w:val="0"/>
                <w:szCs w:val="21"/>
              </w:rPr>
            </w:pPr>
            <w:r>
              <w:rPr>
                <w:rFonts w:hint="eastAsia" w:ascii="Arial" w:hAnsi="Arial" w:eastAsia="Arial" w:cs="Arial"/>
                <w:snapToGrid w:val="0"/>
                <w:kern w:val="0"/>
                <w:szCs w:val="21"/>
              </w:rPr>
              <w:t>违反本条例规定，排污单位有下列行为之一的，由生态环境主管部门责令改正，处每次5</w:t>
            </w:r>
            <w:r>
              <w:rPr>
                <w:rFonts w:hint="eastAsia" w:ascii="Arial" w:hAnsi="Arial" w:eastAsia="Arial" w:cs="Arial"/>
                <w:snapToGrid w:val="0"/>
                <w:color w:val="000000"/>
                <w:kern w:val="0"/>
                <w:szCs w:val="21"/>
              </w:rPr>
              <w:t>千元以上2万元以下的罚款；法律另有规定的，从其规定：</w:t>
            </w:r>
          </w:p>
          <w:p>
            <w:pPr>
              <w:widowControl/>
              <w:kinsoku w:val="0"/>
              <w:autoSpaceDE w:val="0"/>
              <w:autoSpaceDN w:val="0"/>
              <w:adjustRightInd w:val="0"/>
              <w:snapToGrid w:val="0"/>
              <w:ind w:firstLine="340" w:firstLineChars="200"/>
              <w:jc w:val="left"/>
              <w:textAlignment w:val="baseline"/>
              <w:rPr>
                <w:rFonts w:hint="eastAsia" w:ascii="宋体" w:hAnsi="宋体" w:cs="宋体"/>
                <w:snapToGrid w:val="0"/>
                <w:color w:val="000000"/>
                <w:spacing w:val="2"/>
                <w:kern w:val="0"/>
                <w:szCs w:val="21"/>
              </w:rPr>
            </w:pPr>
            <w:r>
              <w:rPr>
                <w:rFonts w:hint="eastAsia" w:ascii="Arial" w:hAnsi="Arial" w:eastAsia="Arial" w:cs="Arial"/>
                <w:snapToGrid w:val="0"/>
                <w:color w:val="000000"/>
                <w:spacing w:val="-20"/>
                <w:kern w:val="0"/>
                <w:szCs w:val="21"/>
              </w:rPr>
              <w:t>（一）</w:t>
            </w:r>
            <w:r>
              <w:rPr>
                <w:rFonts w:hint="eastAsia" w:ascii="Arial" w:hAnsi="Arial" w:eastAsia="Arial" w:cs="Arial"/>
                <w:snapToGrid w:val="0"/>
                <w:color w:val="000000"/>
                <w:kern w:val="0"/>
                <w:szCs w:val="21"/>
              </w:rPr>
              <w:t>未建立环境管理台账记录制度，或者未按照排污许可证规定记录；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15</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按照规定开展突发环境事件的风险评估、环境安全隐患排查治理、应急预案备案、应急培训、储备必要的环境应急装备和物资及公开突发环境事件相关信息，且3年内未发生突发环境事件，经责令改正及时完成整改的</w:t>
            </w:r>
          </w:p>
        </w:tc>
        <w:tc>
          <w:tcPr>
            <w:tcW w:w="7939" w:type="dxa"/>
            <w:noWrap w:val="0"/>
            <w:vAlign w:val="top"/>
          </w:tcPr>
          <w:p>
            <w:pPr>
              <w:widowControl/>
              <w:kinsoku w:val="0"/>
              <w:autoSpaceDE w:val="0"/>
              <w:autoSpaceDN w:val="0"/>
              <w:adjustRightInd w:val="0"/>
              <w:snapToGrid w:val="0"/>
              <w:spacing w:line="243" w:lineRule="auto"/>
              <w:ind w:left="51" w:right="28" w:firstLine="420" w:firstLineChars="200"/>
              <w:jc w:val="left"/>
              <w:textAlignment w:val="baseline"/>
              <w:rPr>
                <w:rFonts w:hint="eastAsia" w:ascii="宋体" w:hAnsi="宋体" w:cs="宋体"/>
                <w:snapToGrid w:val="0"/>
                <w:color w:val="000000"/>
                <w:spacing w:val="2"/>
                <w:kern w:val="0"/>
                <w:szCs w:val="21"/>
              </w:rPr>
            </w:pPr>
            <w:r>
              <w:rPr>
                <w:rFonts w:hint="eastAsia" w:ascii="宋体" w:hAnsi="宋体" w:cs="宋体"/>
              </w:rPr>
              <w:t>1.</w:t>
            </w:r>
            <w:r>
              <w:rPr>
                <w:rFonts w:hint="eastAsia" w:ascii="宋体" w:hAnsi="宋体" w:cs="宋体"/>
                <w:snapToGrid w:val="0"/>
                <w:color w:val="000000"/>
                <w:spacing w:val="2"/>
                <w:kern w:val="0"/>
                <w:szCs w:val="21"/>
              </w:rPr>
              <w:t xml:space="preserve">《突发环境事件应急管理办法》第三十八条 </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企业事业单位有下列情形之一的，由县级以上环境保护主管部门责令改正，可以处一万元以上三万元以下罚款：</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未按规定开展突发环境事件风险评估工作，确定风险等级的；</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未按规定开展环境安全隐患排查治理工作，建立隐患排查治理档案的；</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未按规定将突发环境事件应急预案备案的；</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未按规定开展突发环境事件应急培训，如实记录培训情况的；</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未按规定储备必要的环境应急装备和物资；</w:t>
            </w:r>
          </w:p>
          <w:p>
            <w:pPr>
              <w:widowControl/>
              <w:kinsoku w:val="0"/>
              <w:autoSpaceDE w:val="0"/>
              <w:autoSpaceDN w:val="0"/>
              <w:adjustRightInd w:val="0"/>
              <w:snapToGrid w:val="0"/>
              <w:spacing w:line="243" w:lineRule="auto"/>
              <w:ind w:left="51" w:right="28" w:firstLine="428"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未按规定公开突发环境事件相关信息的。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16</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重点排污单位环境信息未按规定时限公开或公开内容不全，或排污单位未按照排污许可证规定公开污染物排放信息，按要求及时完成整改的（不含公开内容弄虚作假行为）</w:t>
            </w:r>
          </w:p>
        </w:tc>
        <w:tc>
          <w:tcPr>
            <w:tcW w:w="7939" w:type="dxa"/>
            <w:noWrap w:val="0"/>
            <w:vAlign w:val="top"/>
          </w:tcPr>
          <w:p>
            <w:pPr>
              <w:kinsoku w:val="0"/>
              <w:autoSpaceDE w:val="0"/>
              <w:autoSpaceDN w:val="0"/>
              <w:adjustRightInd w:val="0"/>
              <w:snapToGrid w:val="0"/>
              <w:spacing w:line="32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宋体" w:hAnsi="宋体" w:cs="宋体"/>
              </w:rPr>
              <w:t>1.</w:t>
            </w:r>
            <w:r>
              <w:rPr>
                <w:rFonts w:hint="eastAsia" w:ascii="宋体" w:hAnsi="宋体" w:cs="宋体"/>
                <w:snapToGrid w:val="0"/>
                <w:color w:val="000000"/>
                <w:kern w:val="0"/>
                <w:szCs w:val="21"/>
              </w:rPr>
              <w:t>《中华人民共和国环境保护法》第六十二条</w:t>
            </w:r>
            <w:r>
              <w:rPr>
                <w:rFonts w:hint="eastAsia" w:ascii="宋体" w:hAnsi="宋体" w:cs="宋体"/>
                <w:snapToGrid w:val="0"/>
                <w:color w:val="000000"/>
                <w:kern w:val="0"/>
                <w:szCs w:val="21"/>
              </w:rPr>
              <w:tab/>
            </w:r>
          </w:p>
          <w:p>
            <w:pPr>
              <w:kinsoku w:val="0"/>
              <w:autoSpaceDE w:val="0"/>
              <w:autoSpaceDN w:val="0"/>
              <w:adjustRightInd w:val="0"/>
              <w:snapToGrid w:val="0"/>
              <w:spacing w:line="32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违反本法规定，重点排污单位不公开或者不如实公开环境信息的，由县级以上地方人民政府环境保护主管部门责令公开，处以罚款，并予以公告。</w:t>
            </w:r>
          </w:p>
          <w:p>
            <w:pPr>
              <w:tabs>
                <w:tab w:val="left" w:pos="1311"/>
              </w:tabs>
              <w:kinsoku w:val="0"/>
              <w:autoSpaceDE w:val="0"/>
              <w:autoSpaceDN w:val="0"/>
              <w:adjustRightInd w:val="0"/>
              <w:snapToGrid w:val="0"/>
              <w:spacing w:line="320" w:lineRule="exact"/>
              <w:ind w:right="51" w:firstLine="420" w:firstLineChars="200"/>
              <w:jc w:val="left"/>
              <w:textAlignment w:val="baseline"/>
              <w:rPr>
                <w:rFonts w:hint="eastAsia" w:ascii="宋体" w:hAnsi="宋体" w:cs="宋体"/>
                <w:snapToGrid w:val="0"/>
                <w:color w:val="000000"/>
                <w:kern w:val="0"/>
                <w:szCs w:val="21"/>
              </w:rPr>
            </w:pPr>
          </w:p>
          <w:p>
            <w:pPr>
              <w:tabs>
                <w:tab w:val="left" w:pos="1311"/>
              </w:tabs>
              <w:kinsoku w:val="0"/>
              <w:autoSpaceDE w:val="0"/>
              <w:autoSpaceDN w:val="0"/>
              <w:adjustRightInd w:val="0"/>
              <w:snapToGrid w:val="0"/>
              <w:spacing w:before="2" w:line="320" w:lineRule="exact"/>
              <w:ind w:left="51" w:right="51" w:firstLine="420" w:firstLineChars="200"/>
              <w:jc w:val="left"/>
              <w:textAlignment w:val="baseline"/>
              <w:rPr>
                <w:rFonts w:hint="eastAsia" w:ascii="宋体" w:hAnsi="宋体" w:cs="宋体"/>
                <w:snapToGrid w:val="0"/>
                <w:color w:val="000000"/>
                <w:spacing w:val="-6"/>
                <w:kern w:val="0"/>
                <w:szCs w:val="21"/>
              </w:rPr>
            </w:pPr>
            <w:r>
              <w:rPr>
                <w:rFonts w:hint="eastAsia" w:ascii="宋体" w:hAnsi="宋体" w:cs="宋体"/>
              </w:rPr>
              <w:t>2.</w:t>
            </w:r>
            <w:r>
              <w:rPr>
                <w:rFonts w:hint="eastAsia" w:ascii="宋体" w:hAnsi="宋体" w:cs="宋体"/>
                <w:snapToGrid w:val="0"/>
                <w:color w:val="000000"/>
                <w:kern w:val="0"/>
                <w:szCs w:val="21"/>
              </w:rPr>
              <w:t>《排污许可管理条例》</w:t>
            </w:r>
            <w:r>
              <w:rPr>
                <w:rFonts w:hint="eastAsia" w:ascii="宋体" w:hAnsi="宋体" w:cs="宋体"/>
                <w:snapToGrid w:val="0"/>
                <w:color w:val="000000"/>
                <w:spacing w:val="-6"/>
                <w:kern w:val="0"/>
                <w:szCs w:val="21"/>
              </w:rPr>
              <w:t xml:space="preserve">第三十六条 </w:t>
            </w:r>
          </w:p>
          <w:p>
            <w:pPr>
              <w:kinsoku w:val="0"/>
              <w:autoSpaceDE w:val="0"/>
              <w:autoSpaceDN w:val="0"/>
              <w:adjustRightInd w:val="0"/>
              <w:snapToGrid w:val="0"/>
              <w:spacing w:before="2" w:line="320" w:lineRule="exact"/>
              <w:ind w:left="51" w:right="51" w:firstLine="396" w:firstLineChars="200"/>
              <w:jc w:val="left"/>
              <w:textAlignment w:val="baseline"/>
              <w:rPr>
                <w:rFonts w:hint="eastAsia" w:ascii="宋体" w:hAnsi="宋体" w:cs="宋体"/>
                <w:snapToGrid w:val="0"/>
                <w:color w:val="000000"/>
                <w:spacing w:val="-6"/>
                <w:kern w:val="0"/>
                <w:szCs w:val="21"/>
              </w:rPr>
            </w:pPr>
            <w:r>
              <w:rPr>
                <w:rFonts w:hint="eastAsia" w:ascii="宋体" w:hAnsi="宋体" w:cs="宋体"/>
                <w:snapToGrid w:val="0"/>
                <w:color w:val="000000"/>
                <w:spacing w:val="-6"/>
                <w:kern w:val="0"/>
                <w:szCs w:val="21"/>
              </w:rPr>
              <w:t>违反本条例规定，排污单位有下列行为之一的，由生态环境主管部门责令改正，处2万元以上20万元以下的罚款；拒不改正的，责令停产整治：</w:t>
            </w:r>
          </w:p>
          <w:p>
            <w:pPr>
              <w:kinsoku w:val="0"/>
              <w:autoSpaceDE w:val="0"/>
              <w:autoSpaceDN w:val="0"/>
              <w:adjustRightInd w:val="0"/>
              <w:snapToGrid w:val="0"/>
              <w:spacing w:before="2" w:line="320" w:lineRule="exact"/>
              <w:ind w:left="51" w:right="51" w:firstLine="396" w:firstLineChars="200"/>
              <w:jc w:val="left"/>
              <w:textAlignment w:val="baseline"/>
              <w:rPr>
                <w:rFonts w:hint="eastAsia" w:ascii="宋体" w:hAnsi="宋体" w:cs="宋体"/>
                <w:snapToGrid w:val="0"/>
                <w:color w:val="000000"/>
                <w:spacing w:val="-6"/>
                <w:kern w:val="0"/>
                <w:szCs w:val="21"/>
              </w:rPr>
            </w:pPr>
            <w:r>
              <w:rPr>
                <w:rFonts w:hint="eastAsia" w:ascii="宋体" w:hAnsi="宋体" w:cs="宋体"/>
                <w:snapToGrid w:val="0"/>
                <w:color w:val="000000"/>
                <w:spacing w:val="-6"/>
                <w:kern w:val="0"/>
                <w:szCs w:val="21"/>
              </w:rPr>
              <w:t>（七）未按照排污许可证规定公开或者不如实公开污染物排放信息；</w:t>
            </w:r>
          </w:p>
          <w:p>
            <w:pPr>
              <w:kinsoku w:val="0"/>
              <w:autoSpaceDE w:val="0"/>
              <w:autoSpaceDN w:val="0"/>
              <w:adjustRightInd w:val="0"/>
              <w:snapToGrid w:val="0"/>
              <w:spacing w:before="2" w:line="320" w:lineRule="exact"/>
              <w:ind w:left="51" w:right="51" w:firstLine="396" w:firstLineChars="200"/>
              <w:jc w:val="left"/>
              <w:textAlignment w:val="baseline"/>
              <w:rPr>
                <w:rFonts w:hint="eastAsia" w:ascii="宋体" w:hAnsi="宋体" w:cs="宋体"/>
                <w:snapToGrid w:val="0"/>
                <w:color w:val="000000"/>
                <w:spacing w:val="-6"/>
                <w:kern w:val="0"/>
                <w:szCs w:val="21"/>
              </w:rPr>
            </w:pPr>
          </w:p>
          <w:p>
            <w:pPr>
              <w:kinsoku w:val="0"/>
              <w:autoSpaceDE w:val="0"/>
              <w:autoSpaceDN w:val="0"/>
              <w:adjustRightInd w:val="0"/>
              <w:snapToGrid w:val="0"/>
              <w:spacing w:before="2" w:line="320" w:lineRule="exact"/>
              <w:ind w:left="51" w:right="51" w:firstLine="420" w:firstLineChars="200"/>
              <w:jc w:val="left"/>
              <w:textAlignment w:val="baseline"/>
              <w:rPr>
                <w:rFonts w:hint="eastAsia" w:ascii="宋体" w:hAnsi="宋体" w:cs="宋体"/>
                <w:snapToGrid w:val="0"/>
                <w:color w:val="000000"/>
                <w:spacing w:val="-6"/>
                <w:kern w:val="0"/>
                <w:szCs w:val="21"/>
              </w:rPr>
            </w:pPr>
            <w:r>
              <w:rPr>
                <w:rFonts w:hint="eastAsia" w:ascii="宋体" w:hAnsi="宋体" w:cs="宋体"/>
              </w:rPr>
              <w:t>3.</w:t>
            </w:r>
            <w:r>
              <w:rPr>
                <w:rFonts w:hint="eastAsia" w:ascii="宋体" w:hAnsi="宋体" w:cs="宋体"/>
                <w:snapToGrid w:val="0"/>
                <w:color w:val="000000"/>
                <w:spacing w:val="-6"/>
                <w:kern w:val="0"/>
                <w:szCs w:val="21"/>
              </w:rPr>
              <w:t>《</w:t>
            </w:r>
            <w:r>
              <w:rPr>
                <w:rFonts w:hint="eastAsia" w:ascii="宋体" w:hAnsi="宋体" w:cs="宋体"/>
                <w:snapToGrid w:val="0"/>
                <w:color w:val="000000"/>
                <w:spacing w:val="2"/>
                <w:kern w:val="0"/>
                <w:szCs w:val="21"/>
              </w:rPr>
              <w:t>河北省</w:t>
            </w:r>
            <w:r>
              <w:rPr>
                <w:rFonts w:hint="eastAsia" w:ascii="宋体" w:hAnsi="宋体" w:cs="宋体"/>
                <w:snapToGrid w:val="0"/>
                <w:color w:val="000000"/>
                <w:spacing w:val="-6"/>
                <w:kern w:val="0"/>
                <w:szCs w:val="21"/>
              </w:rPr>
              <w:t xml:space="preserve">环境保护公众参与条例》第四十条   </w:t>
            </w:r>
          </w:p>
          <w:p>
            <w:pPr>
              <w:kinsoku w:val="0"/>
              <w:autoSpaceDE w:val="0"/>
              <w:autoSpaceDN w:val="0"/>
              <w:adjustRightInd w:val="0"/>
              <w:snapToGrid w:val="0"/>
              <w:spacing w:before="2" w:line="320" w:lineRule="exact"/>
              <w:ind w:left="51" w:right="51" w:firstLine="396" w:firstLineChars="200"/>
              <w:jc w:val="left"/>
              <w:textAlignment w:val="baseline"/>
              <w:rPr>
                <w:rFonts w:hint="eastAsia" w:ascii="宋体" w:hAnsi="宋体" w:cs="宋体"/>
                <w:snapToGrid w:val="0"/>
                <w:color w:val="000000"/>
                <w:spacing w:val="-6"/>
                <w:kern w:val="0"/>
                <w:szCs w:val="21"/>
              </w:rPr>
            </w:pPr>
            <w:r>
              <w:rPr>
                <w:rFonts w:hint="eastAsia" w:ascii="宋体" w:hAnsi="宋体" w:cs="宋体"/>
                <w:snapToGrid w:val="0"/>
                <w:color w:val="000000"/>
                <w:spacing w:val="-6"/>
                <w:kern w:val="0"/>
                <w:szCs w:val="21"/>
              </w:rPr>
              <w:t>重点排污单位未依照本条例规定的方式公开企业环境信息的，由县级以上人民政府环境保护主管部门处四万元以上十万元以下罚款，并责令限期公开。逾期不公开的，可以按照原处罚数额按日连续处罚。</w:t>
            </w:r>
          </w:p>
          <w:p>
            <w:pPr>
              <w:kinsoku w:val="0"/>
              <w:autoSpaceDE w:val="0"/>
              <w:autoSpaceDN w:val="0"/>
              <w:adjustRightInd w:val="0"/>
              <w:snapToGrid w:val="0"/>
              <w:spacing w:before="2" w:line="320" w:lineRule="exact"/>
              <w:ind w:left="51" w:right="51"/>
              <w:jc w:val="left"/>
              <w:textAlignment w:val="baseline"/>
              <w:rPr>
                <w:rFonts w:hint="eastAsia" w:ascii="宋体" w:hAnsi="宋体" w:cs="宋体"/>
                <w:snapToGrid w:val="0"/>
                <w:color w:val="000000"/>
                <w:spacing w:val="-6"/>
                <w:kern w:val="0"/>
                <w:szCs w:val="21"/>
              </w:rPr>
            </w:pPr>
          </w:p>
          <w:p>
            <w:pPr>
              <w:kinsoku w:val="0"/>
              <w:autoSpaceDE w:val="0"/>
              <w:autoSpaceDN w:val="0"/>
              <w:adjustRightInd w:val="0"/>
              <w:snapToGrid w:val="0"/>
              <w:spacing w:before="2" w:line="320" w:lineRule="exact"/>
              <w:ind w:left="51" w:right="51" w:firstLine="420" w:firstLineChars="200"/>
              <w:jc w:val="left"/>
              <w:textAlignment w:val="baseline"/>
              <w:rPr>
                <w:rFonts w:hint="eastAsia" w:ascii="宋体" w:hAnsi="宋体" w:cs="宋体"/>
                <w:snapToGrid w:val="0"/>
                <w:color w:val="000000"/>
                <w:spacing w:val="-6"/>
                <w:kern w:val="0"/>
                <w:szCs w:val="21"/>
              </w:rPr>
            </w:pPr>
            <w:r>
              <w:rPr>
                <w:rFonts w:hint="eastAsia" w:ascii="宋体" w:hAnsi="宋体" w:cs="宋体"/>
              </w:rPr>
              <w:t>4.</w:t>
            </w:r>
            <w:r>
              <w:rPr>
                <w:rFonts w:hint="eastAsia" w:ascii="宋体" w:hAnsi="宋体" w:cs="宋体"/>
                <w:snapToGrid w:val="0"/>
                <w:color w:val="000000"/>
                <w:spacing w:val="-6"/>
                <w:kern w:val="0"/>
                <w:szCs w:val="21"/>
              </w:rPr>
              <w:t>《</w:t>
            </w:r>
            <w:r>
              <w:rPr>
                <w:rFonts w:hint="eastAsia" w:ascii="宋体" w:hAnsi="宋体" w:cs="宋体"/>
                <w:snapToGrid w:val="0"/>
                <w:color w:val="000000"/>
                <w:spacing w:val="2"/>
                <w:kern w:val="0"/>
                <w:szCs w:val="21"/>
              </w:rPr>
              <w:t>河北省</w:t>
            </w:r>
            <w:r>
              <w:rPr>
                <w:rFonts w:hint="eastAsia" w:ascii="宋体" w:hAnsi="宋体" w:cs="宋体"/>
                <w:snapToGrid w:val="0"/>
                <w:color w:val="000000"/>
                <w:spacing w:val="-6"/>
                <w:kern w:val="0"/>
                <w:szCs w:val="21"/>
              </w:rPr>
              <w:t xml:space="preserve">生态环境保护条例》第七十七条   </w:t>
            </w:r>
          </w:p>
          <w:p>
            <w:pPr>
              <w:kinsoku w:val="0"/>
              <w:autoSpaceDE w:val="0"/>
              <w:autoSpaceDN w:val="0"/>
              <w:adjustRightInd w:val="0"/>
              <w:snapToGrid w:val="0"/>
              <w:spacing w:before="2" w:line="320" w:lineRule="exact"/>
              <w:ind w:left="51" w:right="51" w:firstLine="396"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6"/>
                <w:kern w:val="0"/>
                <w:szCs w:val="21"/>
              </w:rPr>
              <w:t>违反本条例规定，重点排污单位未按照要求公开环境信息的，由生态环境主管部门责令公开，处十万元以下的罚款，并予以公告。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17</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三个月内初次发现易产生扬尘的物料未按规定采取抑尘措施，经责令改正后及时完成整改的</w:t>
            </w:r>
          </w:p>
        </w:tc>
        <w:tc>
          <w:tcPr>
            <w:tcW w:w="7939" w:type="dxa"/>
            <w:noWrap w:val="0"/>
            <w:vAlign w:val="top"/>
          </w:tcPr>
          <w:p>
            <w:pPr>
              <w:kinsoku w:val="0"/>
              <w:autoSpaceDE w:val="0"/>
              <w:autoSpaceDN w:val="0"/>
              <w:adjustRightInd w:val="0"/>
              <w:snapToGrid w:val="0"/>
              <w:spacing w:line="265" w:lineRule="exact"/>
              <w:ind w:left="45" w:firstLine="420" w:firstLineChars="200"/>
              <w:jc w:val="left"/>
              <w:textAlignment w:val="baseline"/>
              <w:rPr>
                <w:rFonts w:hint="eastAsia" w:ascii="宋体" w:hAnsi="宋体" w:cs="宋体"/>
                <w:snapToGrid w:val="0"/>
                <w:color w:val="000000"/>
                <w:kern w:val="0"/>
                <w:szCs w:val="21"/>
              </w:rPr>
            </w:pPr>
            <w:r>
              <w:rPr>
                <w:rFonts w:hint="eastAsia" w:ascii="宋体" w:hAnsi="宋体" w:cs="宋体"/>
              </w:rPr>
              <w:t>1.</w:t>
            </w:r>
            <w:r>
              <w:rPr>
                <w:rFonts w:hint="eastAsia" w:ascii="宋体" w:hAnsi="宋体" w:cs="宋体"/>
                <w:snapToGrid w:val="0"/>
                <w:color w:val="000000"/>
                <w:kern w:val="0"/>
                <w:szCs w:val="21"/>
              </w:rPr>
              <w:t>《中华人民共和国大气污染防治法》第一百一十七条</w:t>
            </w:r>
            <w:r>
              <w:rPr>
                <w:rFonts w:hint="eastAsia" w:ascii="宋体" w:hAnsi="宋体" w:cs="宋体"/>
                <w:snapToGrid w:val="0"/>
                <w:color w:val="000000"/>
                <w:kern w:val="0"/>
                <w:szCs w:val="21"/>
              </w:rPr>
              <w:tab/>
            </w:r>
          </w:p>
          <w:p>
            <w:pPr>
              <w:tabs>
                <w:tab w:val="left" w:pos="1731"/>
              </w:tabs>
              <w:kinsoku w:val="0"/>
              <w:autoSpaceDE w:val="0"/>
              <w:autoSpaceDN w:val="0"/>
              <w:adjustRightInd w:val="0"/>
              <w:snapToGrid w:val="0"/>
              <w:ind w:left="45" w:right="16"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违反本法规定</w:t>
            </w:r>
            <w:r>
              <w:rPr>
                <w:rFonts w:hint="eastAsia" w:ascii="宋体" w:hAnsi="宋体" w:cs="宋体"/>
                <w:snapToGrid w:val="0"/>
                <w:color w:val="000000"/>
                <w:spacing w:val="-25"/>
                <w:kern w:val="0"/>
                <w:szCs w:val="21"/>
              </w:rPr>
              <w:t>，</w:t>
            </w:r>
            <w:r>
              <w:rPr>
                <w:rFonts w:hint="eastAsia" w:ascii="宋体" w:hAnsi="宋体" w:cs="宋体"/>
                <w:snapToGrid w:val="0"/>
                <w:color w:val="000000"/>
                <w:kern w:val="0"/>
                <w:szCs w:val="21"/>
              </w:rPr>
              <w:t>有下列行为之一的</w:t>
            </w:r>
            <w:r>
              <w:rPr>
                <w:rFonts w:hint="eastAsia" w:ascii="宋体" w:hAnsi="宋体" w:cs="宋体"/>
                <w:snapToGrid w:val="0"/>
                <w:color w:val="000000"/>
                <w:spacing w:val="-25"/>
                <w:kern w:val="0"/>
                <w:szCs w:val="21"/>
              </w:rPr>
              <w:t>，</w:t>
            </w:r>
            <w:r>
              <w:rPr>
                <w:rFonts w:hint="eastAsia" w:ascii="宋体" w:hAnsi="宋体" w:cs="宋体"/>
                <w:snapToGrid w:val="0"/>
                <w:color w:val="000000"/>
                <w:kern w:val="0"/>
                <w:szCs w:val="21"/>
              </w:rPr>
              <w:t>由县级以上人民政府生态环境等主管部门按照职责责令改正，处一万元以上十万元以下的罚款；拒不改正的，责令停工整治或者停业整治：</w:t>
            </w:r>
          </w:p>
          <w:p>
            <w:pPr>
              <w:kinsoku w:val="0"/>
              <w:autoSpaceDE w:val="0"/>
              <w:autoSpaceDN w:val="0"/>
              <w:adjustRightInd w:val="0"/>
              <w:snapToGrid w:val="0"/>
              <w:spacing w:line="265" w:lineRule="exact"/>
              <w:ind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（一）未密闭煤炭、煤矸石、煤渣、煤灰、水泥、石灰、石膏、砂土等易产生扬尘的物料的；</w:t>
            </w:r>
          </w:p>
          <w:p>
            <w:pPr>
              <w:kinsoku w:val="0"/>
              <w:autoSpaceDE w:val="0"/>
              <w:autoSpaceDN w:val="0"/>
              <w:adjustRightInd w:val="0"/>
              <w:snapToGrid w:val="0"/>
              <w:spacing w:line="237" w:lineRule="auto"/>
              <w:ind w:left="48" w:right="28" w:firstLine="42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（二）对</w:t>
            </w:r>
            <w:r>
              <w:rPr>
                <w:rFonts w:hint="eastAsia" w:ascii="宋体" w:hAnsi="宋体" w:cs="宋体"/>
                <w:snapToGrid w:val="0"/>
                <w:color w:val="000000"/>
                <w:spacing w:val="-6"/>
                <w:kern w:val="0"/>
                <w:szCs w:val="21"/>
              </w:rPr>
              <w:t>不能密闭的易产生扬尘的物料，未设置不低于堆放物高度的严密围挡</w:t>
            </w:r>
            <w:r>
              <w:rPr>
                <w:rFonts w:hint="eastAsia" w:ascii="宋体" w:hAnsi="宋体" w:cs="宋体"/>
                <w:snapToGrid w:val="0"/>
                <w:color w:val="000000"/>
                <w:kern w:val="0"/>
                <w:szCs w:val="21"/>
              </w:rPr>
              <w:t>，或者未采取有效覆盖措</w:t>
            </w:r>
            <w:r>
              <w:rPr>
                <w:rFonts w:hint="eastAsia" w:ascii="宋体" w:hAnsi="宋体" w:cs="宋体"/>
                <w:snapToGrid w:val="0"/>
                <w:color w:val="000000"/>
                <w:spacing w:val="-2"/>
                <w:kern w:val="0"/>
                <w:szCs w:val="21"/>
              </w:rPr>
              <w:t>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18</w:t>
            </w:r>
          </w:p>
        </w:tc>
        <w:tc>
          <w:tcPr>
            <w:tcW w:w="5336" w:type="dxa"/>
            <w:noWrap w:val="0"/>
            <w:vAlign w:val="center"/>
          </w:tcPr>
          <w:p>
            <w:pPr>
              <w:widowControl/>
              <w:kinsoku w:val="0"/>
              <w:autoSpaceDE w:val="0"/>
              <w:autoSpaceDN w:val="0"/>
              <w:adjustRightInd w:val="0"/>
              <w:snapToGrid w:val="0"/>
              <w:spacing w:line="242" w:lineRule="auto"/>
              <w:ind w:left="50" w:right="29"/>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三个月内初次发现经监测超过许可浓度排放污染物，常规污染物单因子超标倍数小于等于0.1倍，或者pH值大于等于5且小于等于10的或者噪声超标在3分贝以内，24小时内完成整改并达标排放的</w:t>
            </w:r>
          </w:p>
        </w:tc>
        <w:tc>
          <w:tcPr>
            <w:tcW w:w="7939" w:type="dxa"/>
            <w:noWrap w:val="0"/>
            <w:vAlign w:val="top"/>
          </w:tcPr>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ascii="宋体" w:hAnsi="宋体" w:cs="宋体"/>
              </w:rPr>
              <w:t>1.</w:t>
            </w:r>
            <w:r>
              <w:rPr>
                <w:rFonts w:hint="eastAsia"/>
              </w:rPr>
              <w:t xml:space="preserve">《中华人民共和国大气污染防治法》第九十九条   </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insoku w:val="0"/>
              <w:autoSpaceDE w:val="0"/>
              <w:autoSpaceDN w:val="0"/>
              <w:adjustRightInd w:val="0"/>
              <w:snapToGrid w:val="0"/>
              <w:spacing w:before="30" w:line="300" w:lineRule="exact"/>
              <w:ind w:right="51"/>
              <w:jc w:val="left"/>
              <w:textAlignment w:val="baseline"/>
              <w:rPr>
                <w:rFonts w:hint="eastAsia" w:ascii="宋体" w:hAnsi="宋体" w:cs="宋体"/>
                <w:b/>
                <w:bCs/>
                <w:snapToGrid w:val="0"/>
                <w:color w:val="000000"/>
                <w:spacing w:val="2"/>
                <w:kern w:val="0"/>
                <w:szCs w:val="21"/>
              </w:rPr>
            </w:pPr>
            <w:r>
              <w:rPr>
                <w:rFonts w:hint="eastAsia" w:ascii="宋体" w:hAnsi="宋体" w:cs="宋体"/>
                <w:b/>
                <w:bCs/>
                <w:snapToGrid w:val="0"/>
                <w:color w:val="000000"/>
                <w:spacing w:val="2"/>
                <w:kern w:val="0"/>
                <w:szCs w:val="21"/>
              </w:rPr>
              <w:t>（只含本规定中对超标排放大气污染物的处罚）</w:t>
            </w:r>
          </w:p>
          <w:p>
            <w:pPr>
              <w:pStyle w:val="5"/>
              <w:rPr>
                <w:rFonts w:hint="eastAsia"/>
              </w:rPr>
            </w:pP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ascii="宋体" w:hAnsi="宋体" w:cs="宋体"/>
              </w:rPr>
              <w:t>2.</w:t>
            </w:r>
            <w:r>
              <w:rPr>
                <w:rFonts w:hint="eastAsia"/>
              </w:rPr>
              <w:t xml:space="preserve">《河北省大气污染防治条例》第七十八条   </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widowControl/>
              <w:kinsoku w:val="0"/>
              <w:autoSpaceDE w:val="0"/>
              <w:autoSpaceDN w:val="0"/>
              <w:snapToGrid w:val="0"/>
              <w:textAlignment w:val="baseline"/>
              <w:rPr>
                <w:rFonts w:hint="eastAsia"/>
              </w:rPr>
            </w:pPr>
            <w:r>
              <w:rPr>
                <w:rFonts w:hint="eastAsia" w:ascii="宋体" w:hAnsi="宋体" w:cs="宋体"/>
                <w:b/>
                <w:bCs/>
                <w:snapToGrid w:val="0"/>
                <w:color w:val="000000"/>
                <w:spacing w:val="2"/>
                <w:kern w:val="0"/>
                <w:szCs w:val="21"/>
              </w:rPr>
              <w:t>（只含本规定中对超标排放大气污染物的处罚）</w:t>
            </w:r>
          </w:p>
          <w:p>
            <w:pPr>
              <w:widowControl/>
              <w:kinsoku w:val="0"/>
              <w:autoSpaceDE w:val="0"/>
              <w:autoSpaceDN w:val="0"/>
              <w:snapToGrid w:val="0"/>
              <w:ind w:firstLine="420" w:firstLineChars="200"/>
              <w:textAlignment w:val="baseline"/>
              <w:rPr>
                <w:rFonts w:hint="eastAsia"/>
              </w:rPr>
            </w:pP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ascii="宋体" w:hAnsi="宋体" w:cs="宋体"/>
              </w:rPr>
              <w:t>3.</w:t>
            </w:r>
            <w:r>
              <w:rPr>
                <w:rFonts w:hint="eastAsia"/>
              </w:rPr>
              <w:t xml:space="preserve">《中华人民共和国水污染防治法》第八十三条 </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（二）超过水污染物排放标准或者超过重点水污染物排放总量控制指标排放水污染物的；</w:t>
            </w:r>
          </w:p>
          <w:p>
            <w:pPr>
              <w:kinsoku w:val="0"/>
              <w:autoSpaceDE w:val="0"/>
              <w:autoSpaceDN w:val="0"/>
              <w:adjustRightInd w:val="0"/>
              <w:snapToGrid w:val="0"/>
              <w:spacing w:before="30" w:line="300" w:lineRule="exact"/>
              <w:ind w:right="51"/>
              <w:jc w:val="left"/>
              <w:textAlignment w:val="baseline"/>
              <w:rPr>
                <w:rFonts w:hint="eastAsia" w:ascii="宋体" w:hAnsi="宋体" w:cs="宋体"/>
                <w:b/>
                <w:bCs/>
                <w:snapToGrid w:val="0"/>
                <w:color w:val="000000"/>
                <w:spacing w:val="2"/>
                <w:kern w:val="0"/>
                <w:szCs w:val="21"/>
              </w:rPr>
            </w:pPr>
            <w:r>
              <w:rPr>
                <w:rFonts w:hint="eastAsia" w:ascii="宋体" w:hAnsi="宋体" w:cs="宋体"/>
                <w:b/>
                <w:bCs/>
                <w:snapToGrid w:val="0"/>
                <w:color w:val="000000"/>
                <w:spacing w:val="2"/>
                <w:kern w:val="0"/>
                <w:szCs w:val="21"/>
              </w:rPr>
              <w:t>（只含本规定中对超标排放水污染物的处罚）</w:t>
            </w:r>
          </w:p>
          <w:p>
            <w:pPr>
              <w:widowControl/>
              <w:kinsoku w:val="0"/>
              <w:autoSpaceDE w:val="0"/>
              <w:autoSpaceDN w:val="0"/>
              <w:snapToGrid w:val="0"/>
              <w:ind w:firstLine="420" w:firstLineChars="200"/>
              <w:textAlignment w:val="baseline"/>
              <w:rPr>
                <w:rFonts w:hint="eastAsia"/>
              </w:rPr>
            </w:pP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ascii="宋体" w:hAnsi="宋体" w:cs="宋体"/>
              </w:rPr>
              <w:t>4.</w:t>
            </w:r>
            <w:r>
              <w:rPr>
                <w:rFonts w:hint="eastAsia"/>
              </w:rPr>
              <w:t xml:space="preserve">《河北省水污染防治条例》第七十条   </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违反本条例规定，有下列行为之一的，由环境保护主管部门责令改正或者责令限制生产、停产整治，并处二十万元以上一百万元以下的罚款；情节严重的，报经有批准权的人民政府批准，责令停业、关闭：</w:t>
            </w:r>
          </w:p>
          <w:p>
            <w:pPr>
              <w:widowControl/>
              <w:kinsoku w:val="0"/>
              <w:autoSpaceDE w:val="0"/>
              <w:autoSpaceDN w:val="0"/>
              <w:snapToGrid w:val="0"/>
              <w:ind w:firstLine="420" w:firstLineChars="200"/>
              <w:textAlignment w:val="baseline"/>
              <w:rPr>
                <w:rFonts w:hint="eastAsia"/>
              </w:rPr>
            </w:pPr>
            <w:r>
              <w:rPr>
                <w:rFonts w:hint="eastAsia"/>
              </w:rPr>
              <w:t>（一）超过水污染物排放标准或者超过重点水污染物排放总量控制指标排放水污染物的；</w:t>
            </w:r>
          </w:p>
          <w:p>
            <w:pPr>
              <w:kinsoku w:val="0"/>
              <w:autoSpaceDE w:val="0"/>
              <w:autoSpaceDN w:val="0"/>
              <w:adjustRightInd w:val="0"/>
              <w:snapToGrid w:val="0"/>
              <w:spacing w:before="30" w:line="300" w:lineRule="exact"/>
              <w:ind w:right="51"/>
              <w:jc w:val="left"/>
              <w:textAlignment w:val="baseline"/>
              <w:rPr>
                <w:rFonts w:hint="eastAsia" w:ascii="Times New Roman" w:hAnsi="Times New Roman"/>
              </w:rPr>
            </w:pPr>
            <w:r>
              <w:rPr>
                <w:rFonts w:hint="eastAsia" w:ascii="宋体" w:hAnsi="宋体" w:cs="宋体"/>
                <w:b/>
                <w:bCs/>
                <w:snapToGrid w:val="0"/>
                <w:color w:val="000000"/>
                <w:spacing w:val="2"/>
                <w:kern w:val="0"/>
                <w:szCs w:val="21"/>
              </w:rPr>
              <w:t>（只含本规定中对超标排放水污染物的处罚）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19</w:t>
            </w:r>
          </w:p>
        </w:tc>
        <w:tc>
          <w:tcPr>
            <w:tcW w:w="5336" w:type="dxa"/>
            <w:noWrap w:val="0"/>
            <w:vAlign w:val="center"/>
          </w:tcPr>
          <w:p>
            <w:pPr>
              <w:widowControl/>
              <w:kinsoku w:val="0"/>
              <w:autoSpaceDE w:val="0"/>
              <w:autoSpaceDN w:val="0"/>
              <w:adjustRightInd w:val="0"/>
              <w:snapToGrid w:val="0"/>
              <w:spacing w:line="242" w:lineRule="auto"/>
              <w:ind w:left="50" w:right="29"/>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三个月内初次发现产生含挥发性有机物废气的生产和服务活动，应当密闭而未密闭的行为，经现场检查指出后立即改正的</w:t>
            </w:r>
          </w:p>
        </w:tc>
        <w:tc>
          <w:tcPr>
            <w:tcW w:w="7939" w:type="dxa"/>
            <w:noWrap w:val="0"/>
            <w:vAlign w:val="top"/>
          </w:tcPr>
          <w:p>
            <w:pPr>
              <w:kinsoku w:val="0"/>
              <w:autoSpaceDE w:val="0"/>
              <w:autoSpaceDN w:val="0"/>
              <w:adjustRightInd w:val="0"/>
              <w:snapToGrid w:val="0"/>
              <w:spacing w:before="30" w:line="300" w:lineRule="exact"/>
              <w:ind w:left="51" w:right="51" w:firstLine="420" w:firstLineChars="200"/>
              <w:jc w:val="left"/>
              <w:textAlignment w:val="baseline"/>
              <w:rPr>
                <w:rFonts w:hint="eastAsia" w:ascii="Times New Roman" w:hAnsi="Times New Roman"/>
                <w:szCs w:val="22"/>
              </w:rPr>
            </w:pPr>
            <w:r>
              <w:rPr>
                <w:rFonts w:hint="eastAsia" w:ascii="宋体" w:hAnsi="宋体" w:cs="宋体"/>
              </w:rPr>
              <w:t>1.</w:t>
            </w:r>
            <w:r>
              <w:rPr>
                <w:rFonts w:hint="eastAsia" w:ascii="Times New Roman" w:hAnsi="Times New Roman"/>
                <w:szCs w:val="22"/>
              </w:rPr>
              <w:t>《中华人民共和国大气污染防治法》第一百零八条</w:t>
            </w:r>
            <w:r>
              <w:rPr>
                <w:rFonts w:hint="eastAsia" w:ascii="Times New Roman" w:hAnsi="Times New Roman"/>
                <w:szCs w:val="22"/>
              </w:rPr>
              <w:tab/>
            </w:r>
          </w:p>
          <w:p>
            <w:pPr>
              <w:kinsoku w:val="0"/>
              <w:autoSpaceDE w:val="0"/>
              <w:autoSpaceDN w:val="0"/>
              <w:adjustRightInd w:val="0"/>
              <w:snapToGrid w:val="0"/>
              <w:spacing w:before="30" w:line="300" w:lineRule="exact"/>
              <w:ind w:left="51" w:right="51" w:firstLine="420" w:firstLineChars="200"/>
              <w:jc w:val="left"/>
              <w:textAlignment w:val="baseline"/>
              <w:rPr>
                <w:rFonts w:hint="eastAsia" w:ascii="Times New Roman" w:hAnsi="Times New Roman"/>
                <w:szCs w:val="22"/>
              </w:rPr>
            </w:pPr>
            <w:r>
              <w:rPr>
                <w:rFonts w:hint="eastAsia" w:ascii="Times New Roman" w:hAnsi="Times New Roman"/>
                <w:szCs w:val="22"/>
              </w:rPr>
              <w:t>违反本法规定，有下列行为之一的，由县级以上人民政府生态环境主管部门责令改正，处二万元以上二十万元以下的罚款；拒不改正的，责令停产整治：</w:t>
            </w:r>
          </w:p>
          <w:p>
            <w:pPr>
              <w:kinsoku w:val="0"/>
              <w:autoSpaceDE w:val="0"/>
              <w:autoSpaceDN w:val="0"/>
              <w:adjustRightInd w:val="0"/>
              <w:snapToGrid w:val="0"/>
              <w:spacing w:before="1" w:line="242" w:lineRule="auto"/>
              <w:ind w:left="51" w:right="51" w:firstLine="42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（一）产生含挥发性有机物废气的生产和服务活动，未在密闭空间或者设备中进行，未按照规定安装使用污染防治设施，或者未采取减少废气排放措施的；</w:t>
            </w:r>
          </w:p>
          <w:p>
            <w:pPr>
              <w:kinsoku w:val="0"/>
              <w:autoSpaceDE w:val="0"/>
              <w:autoSpaceDN w:val="0"/>
              <w:adjustRightInd w:val="0"/>
              <w:snapToGrid w:val="0"/>
              <w:spacing w:before="4" w:line="242" w:lineRule="auto"/>
              <w:ind w:left="51" w:right="51" w:firstLine="42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    </w:t>
            </w:r>
          </w:p>
          <w:p>
            <w:pPr>
              <w:kinsoku w:val="0"/>
              <w:autoSpaceDE w:val="0"/>
              <w:autoSpaceDN w:val="0"/>
              <w:adjustRightInd w:val="0"/>
              <w:snapToGrid w:val="0"/>
              <w:spacing w:before="30" w:line="300" w:lineRule="exact"/>
              <w:ind w:left="51" w:right="51" w:firstLine="420" w:firstLineChars="200"/>
              <w:jc w:val="left"/>
              <w:textAlignment w:val="baseline"/>
              <w:rPr>
                <w:rFonts w:hint="eastAsia" w:ascii="Times New Roman" w:hAnsi="Times New Roman"/>
                <w:szCs w:val="22"/>
              </w:rPr>
            </w:pPr>
            <w:r>
              <w:rPr>
                <w:rFonts w:hint="eastAsia" w:ascii="宋体" w:hAnsi="宋体" w:cs="宋体"/>
              </w:rPr>
              <w:t>2.</w:t>
            </w:r>
            <w:r>
              <w:rPr>
                <w:rFonts w:hint="eastAsia" w:ascii="Times New Roman" w:hAnsi="Times New Roman"/>
                <w:szCs w:val="22"/>
              </w:rPr>
              <w:t>《河北省大气污染防治条例》第八十三条</w:t>
            </w:r>
          </w:p>
          <w:p>
            <w:pPr>
              <w:kinsoku w:val="0"/>
              <w:autoSpaceDE w:val="0"/>
              <w:autoSpaceDN w:val="0"/>
              <w:adjustRightInd w:val="0"/>
              <w:snapToGrid w:val="0"/>
              <w:spacing w:before="30" w:line="30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Times New Roman" w:hAnsi="Times New Roman"/>
                <w:szCs w:val="22"/>
              </w:rPr>
              <w:t>违反本条例规定，有下列行为之一的，由县级以上人民政府环境保护主管部门责令改正，处二万元以上五万元以下罚款；情节较重的，处五万元以上十万元</w:t>
            </w:r>
            <w:r>
              <w:rPr>
                <w:rFonts w:hint="eastAsia" w:ascii="宋体" w:hAnsi="宋体" w:cs="宋体"/>
                <w:snapToGrid w:val="0"/>
                <w:color w:val="000000"/>
                <w:kern w:val="0"/>
                <w:szCs w:val="21"/>
              </w:rPr>
              <w:t>以下罚款；情节严重的，处十万元以上二十万元以下罚款；拒不改正的，责令停产整治或者报经有批准权的人民政府批准，责令停业、关闭：</w:t>
            </w:r>
          </w:p>
          <w:p>
            <w:pPr>
              <w:kinsoku w:val="0"/>
              <w:autoSpaceDE w:val="0"/>
              <w:autoSpaceDN w:val="0"/>
              <w:adjustRightInd w:val="0"/>
              <w:snapToGrid w:val="0"/>
              <w:spacing w:before="4" w:line="251" w:lineRule="exact"/>
              <w:ind w:left="51" w:right="51" w:firstLine="420"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kern w:val="0"/>
                <w:szCs w:val="21"/>
              </w:rPr>
              <w:t>（一）产生含挥发性有机物废气的生产和服务活动，未在密闭空间或者设备中进行，未按照规定安装、使用污染防治设施，或者未采取减少废气排放措施的；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20</w:t>
            </w:r>
          </w:p>
        </w:tc>
        <w:tc>
          <w:tcPr>
            <w:tcW w:w="5336" w:type="dxa"/>
            <w:noWrap w:val="0"/>
            <w:vAlign w:val="center"/>
          </w:tcPr>
          <w:p>
            <w:pPr>
              <w:widowControl/>
              <w:kinsoku w:val="0"/>
              <w:autoSpaceDE w:val="0"/>
              <w:autoSpaceDN w:val="0"/>
              <w:adjustRightInd w:val="0"/>
              <w:snapToGrid w:val="0"/>
              <w:spacing w:line="242" w:lineRule="auto"/>
              <w:ind w:left="50" w:right="29"/>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三个月内初次发现自动监测设备故障超6个小时，按规定正常运营维护但未采取手工监测，经责令改正后及时改正，且污染物达标排放的</w:t>
            </w:r>
          </w:p>
        </w:tc>
        <w:tc>
          <w:tcPr>
            <w:tcW w:w="7939" w:type="dxa"/>
            <w:noWrap w:val="0"/>
            <w:vAlign w:val="top"/>
          </w:tcPr>
          <w:p>
            <w:pPr>
              <w:widowControl/>
              <w:kinsoku w:val="0"/>
              <w:autoSpaceDE w:val="0"/>
              <w:autoSpaceDN w:val="0"/>
              <w:adjustRightInd w:val="0"/>
              <w:snapToGrid w:val="0"/>
              <w:spacing w:line="243" w:lineRule="auto"/>
              <w:ind w:right="28" w:firstLine="420" w:firstLineChars="200"/>
              <w:textAlignment w:val="baseline"/>
              <w:rPr>
                <w:rFonts w:hint="eastAsia" w:ascii="宋体" w:hAnsi="宋体" w:cs="宋体"/>
                <w:snapToGrid w:val="0"/>
                <w:color w:val="000000"/>
                <w:spacing w:val="2"/>
                <w:kern w:val="0"/>
                <w:szCs w:val="21"/>
              </w:rPr>
            </w:pPr>
            <w:r>
              <w:rPr>
                <w:rFonts w:hint="eastAsia" w:ascii="宋体" w:hAnsi="宋体" w:cs="宋体"/>
              </w:rPr>
              <w:t>1.</w:t>
            </w:r>
            <w:r>
              <w:rPr>
                <w:rFonts w:hint="eastAsia" w:ascii="宋体" w:hAnsi="宋体" w:cs="宋体"/>
                <w:snapToGrid w:val="0"/>
                <w:color w:val="000000"/>
                <w:spacing w:val="2"/>
                <w:kern w:val="0"/>
                <w:szCs w:val="21"/>
              </w:rPr>
              <w:t>《</w:t>
            </w:r>
            <w:r>
              <w:rPr>
                <w:rFonts w:hint="eastAsia" w:ascii="宋体" w:hAnsi="宋体" w:cs="宋体"/>
                <w:snapToGrid w:val="0"/>
                <w:color w:val="000000"/>
                <w:spacing w:val="2"/>
                <w:kern w:val="0"/>
                <w:szCs w:val="21"/>
              </w:rPr>
              <w:fldChar w:fldCharType="begin"/>
            </w:r>
            <w:r>
              <w:rPr>
                <w:rFonts w:hint="eastAsia" w:ascii="宋体" w:hAnsi="宋体" w:cs="宋体"/>
                <w:snapToGrid w:val="0"/>
                <w:color w:val="000000"/>
                <w:spacing w:val="2"/>
                <w:kern w:val="0"/>
                <w:szCs w:val="21"/>
              </w:rPr>
              <w:instrText xml:space="preserve"> HYPERLINK "http://www.law-lib.com/law/law_view.asp?id=712131" \o "排污许可管理条例" \t "http://www.law-lib.com/law/_blank" </w:instrText>
            </w:r>
            <w:r>
              <w:rPr>
                <w:rFonts w:hint="eastAsia" w:ascii="宋体" w:hAnsi="宋体" w:cs="宋体"/>
                <w:snapToGrid w:val="0"/>
                <w:color w:val="000000"/>
                <w:spacing w:val="2"/>
                <w:kern w:val="0"/>
                <w:szCs w:val="21"/>
              </w:rPr>
              <w:fldChar w:fldCharType="separate"/>
            </w:r>
            <w:r>
              <w:rPr>
                <w:rFonts w:hint="eastAsia" w:ascii="宋体" w:hAnsi="宋体" w:cs="宋体"/>
                <w:snapToGrid w:val="0"/>
                <w:color w:val="000000"/>
                <w:spacing w:val="2"/>
                <w:kern w:val="0"/>
                <w:szCs w:val="21"/>
              </w:rPr>
              <w:t>排污许可管理条例</w:t>
            </w:r>
            <w:r>
              <w:rPr>
                <w:rFonts w:hint="eastAsia" w:ascii="宋体" w:hAnsi="宋体" w:cs="宋体"/>
                <w:snapToGrid w:val="0"/>
                <w:color w:val="000000"/>
                <w:spacing w:val="2"/>
                <w:kern w:val="0"/>
                <w:szCs w:val="21"/>
              </w:rPr>
              <w:fldChar w:fldCharType="end"/>
            </w:r>
            <w:r>
              <w:rPr>
                <w:rFonts w:hint="eastAsia" w:ascii="宋体" w:hAnsi="宋体" w:cs="宋体"/>
                <w:snapToGrid w:val="0"/>
                <w:color w:val="000000"/>
                <w:spacing w:val="2"/>
                <w:kern w:val="0"/>
                <w:szCs w:val="21"/>
              </w:rPr>
              <w:t xml:space="preserve">》第三十六条   </w:t>
            </w:r>
          </w:p>
          <w:p>
            <w:pPr>
              <w:widowControl/>
              <w:kinsoku w:val="0"/>
              <w:autoSpaceDE w:val="0"/>
              <w:autoSpaceDN w:val="0"/>
              <w:adjustRightInd w:val="0"/>
              <w:snapToGrid w:val="0"/>
              <w:spacing w:line="243" w:lineRule="auto"/>
              <w:ind w:right="28" w:firstLine="444"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6"/>
                <w:kern w:val="0"/>
                <w:szCs w:val="21"/>
              </w:rPr>
              <w:t>违反本条例规定，排污单位有下列行为之一的，由生态环境主管部门责令改正</w:t>
            </w:r>
            <w:r>
              <w:rPr>
                <w:rFonts w:hint="eastAsia" w:ascii="宋体" w:hAnsi="宋体" w:cs="宋体"/>
                <w:snapToGrid w:val="0"/>
                <w:color w:val="000000"/>
                <w:spacing w:val="2"/>
                <w:kern w:val="0"/>
                <w:szCs w:val="21"/>
              </w:rPr>
              <w:t>，处2万元以上20万元以下的罚款；拒不改正的，责令停产整治：</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（四）未按照排污许可证规定安装、使用污染物排放自动监测设备并与生态环境主管部门的监控设备联网，或者未保证污染物排放自动监测设备正常运行。</w:t>
            </w:r>
          </w:p>
          <w:p>
            <w:pPr>
              <w:kinsoku w:val="0"/>
              <w:autoSpaceDE w:val="0"/>
              <w:autoSpaceDN w:val="0"/>
              <w:adjustRightInd w:val="0"/>
              <w:snapToGrid w:val="0"/>
              <w:ind w:firstLine="420" w:firstLineChars="200"/>
              <w:textAlignment w:val="baseline"/>
              <w:rPr>
                <w:rFonts w:hint="eastAsia" w:ascii="Arial" w:hAnsi="Arial" w:eastAsia="Arial" w:cs="Arial"/>
                <w:snapToGrid w:val="0"/>
                <w:color w:val="000000"/>
                <w:kern w:val="0"/>
                <w:szCs w:val="21"/>
              </w:rPr>
            </w:pPr>
            <w:r>
              <w:rPr>
                <w:rFonts w:hint="eastAsia" w:ascii="宋体" w:hAnsi="宋体" w:cs="宋体"/>
              </w:rPr>
              <w:t>2.</w:t>
            </w:r>
            <w:r>
              <w:rPr>
                <w:rFonts w:hint="eastAsia" w:ascii="Arial" w:hAnsi="Arial" w:eastAsia="Arial" w:cs="Arial"/>
                <w:snapToGrid w:val="0"/>
                <w:color w:val="000000"/>
                <w:kern w:val="0"/>
                <w:szCs w:val="21"/>
              </w:rPr>
              <w:t xml:space="preserve">《中华人民共和国水污染防治法》第八十二条 </w:t>
            </w:r>
          </w:p>
          <w:p>
            <w:pPr>
              <w:kinsoku w:val="0"/>
              <w:autoSpaceDE w:val="0"/>
              <w:autoSpaceDN w:val="0"/>
              <w:adjustRightInd w:val="0"/>
              <w:snapToGrid w:val="0"/>
              <w:ind w:firstLine="420" w:firstLineChars="200"/>
              <w:textAlignment w:val="baseline"/>
              <w:rPr>
                <w:rFonts w:hint="eastAsia" w:ascii="Arial" w:hAnsi="Arial" w:cs="Arial"/>
                <w:snapToGrid w:val="0"/>
                <w:color w:val="000000"/>
                <w:kern w:val="0"/>
                <w:szCs w:val="21"/>
              </w:rPr>
            </w:pPr>
            <w:r>
              <w:rPr>
                <w:rFonts w:hint="eastAsia" w:ascii="Arial" w:hAnsi="Arial" w:eastAsia="Arial" w:cs="Arial"/>
                <w:snapToGrid w:val="0"/>
                <w:color w:val="000000"/>
                <w:kern w:val="0"/>
                <w:szCs w:val="21"/>
              </w:rPr>
              <w:t>违反本法规定，有下列行为之一的，由县级以上人民政府环境保护主管部门责令限期改正，处二万元以上二十万元以下的罚款；逾期不改正的，责令停产整治：</w:t>
            </w:r>
          </w:p>
          <w:p>
            <w:pPr>
              <w:kinsoku w:val="0"/>
              <w:autoSpaceDE w:val="0"/>
              <w:autoSpaceDN w:val="0"/>
              <w:adjustRightInd w:val="0"/>
              <w:snapToGrid w:val="0"/>
              <w:spacing w:line="242" w:lineRule="auto"/>
              <w:ind w:left="50" w:right="29" w:firstLine="420" w:firstLineChars="200"/>
              <w:textAlignment w:val="baseline"/>
              <w:rPr>
                <w:rFonts w:hint="eastAsia" w:ascii="宋体" w:hAnsi="宋体" w:cs="宋体"/>
                <w:snapToGrid w:val="0"/>
                <w:color w:val="000000"/>
                <w:spacing w:val="2"/>
                <w:kern w:val="0"/>
                <w:szCs w:val="21"/>
              </w:rPr>
            </w:pPr>
            <w:r>
              <w:rPr>
                <w:rFonts w:hint="eastAsia" w:ascii="Arial" w:hAnsi="Arial" w:eastAsia="Arial" w:cs="Arial"/>
                <w:snapToGrid w:val="0"/>
                <w:color w:val="000000"/>
                <w:kern w:val="0"/>
                <w:szCs w:val="21"/>
              </w:rPr>
              <w:t>（二）未按照规定安装水污染物排放自动监测设备，未按照规定与环境保护主管部门的监控设备联网，或者未保证监测设备正常运行的</w:t>
            </w:r>
            <w:r>
              <w:rPr>
                <w:rFonts w:hint="eastAsia" w:ascii="宋体" w:hAnsi="宋体" w:cs="宋体"/>
                <w:snapToGrid w:val="0"/>
                <w:color w:val="000000"/>
                <w:spacing w:val="2"/>
                <w:kern w:val="0"/>
                <w:szCs w:val="21"/>
              </w:rPr>
              <w:t>；</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p>
          <w:p>
            <w:pPr>
              <w:kinsoku w:val="0"/>
              <w:autoSpaceDE w:val="0"/>
              <w:autoSpaceDN w:val="0"/>
              <w:adjustRightInd w:val="0"/>
              <w:snapToGrid w:val="0"/>
              <w:ind w:firstLine="420" w:firstLineChars="200"/>
              <w:textAlignment w:val="baseline"/>
              <w:rPr>
                <w:rFonts w:hint="eastAsia" w:ascii="Arial" w:hAnsi="Arial" w:eastAsia="Arial" w:cs="Arial"/>
                <w:snapToGrid w:val="0"/>
                <w:color w:val="000000"/>
                <w:kern w:val="0"/>
                <w:szCs w:val="21"/>
              </w:rPr>
            </w:pPr>
            <w:r>
              <w:rPr>
                <w:rFonts w:hint="eastAsia" w:ascii="宋体" w:hAnsi="宋体" w:cs="宋体"/>
              </w:rPr>
              <w:t>3.</w:t>
            </w:r>
            <w:r>
              <w:rPr>
                <w:rFonts w:hint="eastAsia" w:ascii="Arial" w:hAnsi="Arial" w:eastAsia="Arial" w:cs="Arial"/>
                <w:snapToGrid w:val="0"/>
                <w:color w:val="000000"/>
                <w:kern w:val="0"/>
                <w:szCs w:val="21"/>
              </w:rPr>
              <w:t>《</w:t>
            </w:r>
            <w:r>
              <w:rPr>
                <w:rFonts w:hint="eastAsia" w:ascii="宋体" w:hAnsi="宋体" w:cs="宋体"/>
                <w:snapToGrid w:val="0"/>
                <w:color w:val="000000"/>
                <w:kern w:val="0"/>
                <w:szCs w:val="21"/>
              </w:rPr>
              <w:t>河北省</w:t>
            </w:r>
            <w:r>
              <w:rPr>
                <w:rFonts w:hint="eastAsia" w:ascii="Arial" w:hAnsi="Arial" w:eastAsia="Arial" w:cs="Arial"/>
                <w:snapToGrid w:val="0"/>
                <w:color w:val="000000"/>
                <w:kern w:val="0"/>
                <w:szCs w:val="21"/>
              </w:rPr>
              <w:t xml:space="preserve">水污染防治条例》第七十二条 </w:t>
            </w:r>
          </w:p>
          <w:p>
            <w:pPr>
              <w:kinsoku w:val="0"/>
              <w:autoSpaceDE w:val="0"/>
              <w:autoSpaceDN w:val="0"/>
              <w:adjustRightInd w:val="0"/>
              <w:snapToGrid w:val="0"/>
              <w:ind w:firstLine="420" w:firstLineChars="200"/>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违反本条例规定，有下列行为之一的，由环境保护主管部门责令限期改正，处三万元以上十万元以下的罚款；情节较重的，处十万元以上二十万元以下的罚款；逾期不改正的，责令停产整治：</w:t>
            </w:r>
          </w:p>
          <w:p>
            <w:pPr>
              <w:kinsoku w:val="0"/>
              <w:autoSpaceDE w:val="0"/>
              <w:autoSpaceDN w:val="0"/>
              <w:adjustRightInd w:val="0"/>
              <w:snapToGrid w:val="0"/>
              <w:ind w:firstLine="420" w:firstLineChars="200"/>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（二）未按照规定安装水污染物排放自动监测设备，未按照规定与环境保护主管部门的监控设备联网，或者未保证监测设备正常运行的；</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p>
          <w:p>
            <w:pPr>
              <w:kinsoku w:val="0"/>
              <w:autoSpaceDE w:val="0"/>
              <w:autoSpaceDN w:val="0"/>
              <w:adjustRightInd w:val="0"/>
              <w:snapToGrid w:val="0"/>
              <w:spacing w:line="242" w:lineRule="auto"/>
              <w:ind w:left="50" w:right="29" w:firstLine="420" w:firstLineChars="200"/>
              <w:textAlignment w:val="baseline"/>
              <w:rPr>
                <w:rFonts w:hint="eastAsia" w:ascii="宋体" w:hAnsi="宋体" w:cs="宋体"/>
                <w:snapToGrid w:val="0"/>
                <w:color w:val="000000"/>
                <w:spacing w:val="2"/>
                <w:kern w:val="0"/>
                <w:szCs w:val="21"/>
              </w:rPr>
            </w:pPr>
            <w:r>
              <w:rPr>
                <w:rFonts w:hint="eastAsia" w:ascii="宋体" w:hAnsi="宋体" w:cs="宋体"/>
              </w:rPr>
              <w:t>4.</w:t>
            </w:r>
            <w:r>
              <w:rPr>
                <w:rFonts w:hint="eastAsia" w:ascii="宋体" w:hAnsi="宋体" w:cs="宋体"/>
                <w:snapToGrid w:val="0"/>
                <w:color w:val="000000"/>
                <w:spacing w:val="2"/>
                <w:kern w:val="0"/>
                <w:szCs w:val="21"/>
              </w:rPr>
              <w:t>《</w:t>
            </w:r>
            <w:r>
              <w:rPr>
                <w:rFonts w:hint="eastAsia" w:ascii="宋体" w:hAnsi="宋体" w:cs="宋体"/>
                <w:snapToGrid w:val="0"/>
                <w:color w:val="000000"/>
                <w:spacing w:val="2"/>
                <w:kern w:val="0"/>
                <w:szCs w:val="21"/>
              </w:rPr>
              <w:fldChar w:fldCharType="begin"/>
            </w:r>
            <w:r>
              <w:rPr>
                <w:rFonts w:hint="eastAsia" w:ascii="宋体" w:hAnsi="宋体" w:cs="宋体"/>
                <w:snapToGrid w:val="0"/>
                <w:color w:val="000000"/>
                <w:spacing w:val="2"/>
                <w:kern w:val="0"/>
                <w:szCs w:val="21"/>
              </w:rPr>
              <w:instrText xml:space="preserve"> HYPERLINK "http://www.law-lib.com/law/law_view.asp?id=686470" \o "中华人民共和国大气污染防治法" \t "http://www.law-lib.com/law/_blank" </w:instrText>
            </w:r>
            <w:r>
              <w:rPr>
                <w:rFonts w:hint="eastAsia" w:ascii="宋体" w:hAnsi="宋体" w:cs="宋体"/>
                <w:snapToGrid w:val="0"/>
                <w:color w:val="000000"/>
                <w:spacing w:val="2"/>
                <w:kern w:val="0"/>
                <w:szCs w:val="21"/>
              </w:rPr>
              <w:fldChar w:fldCharType="separate"/>
            </w:r>
            <w:r>
              <w:rPr>
                <w:rFonts w:hint="eastAsia" w:ascii="宋体" w:hAnsi="宋体" w:cs="宋体"/>
                <w:snapToGrid w:val="0"/>
                <w:color w:val="000000"/>
                <w:spacing w:val="2"/>
                <w:kern w:val="0"/>
                <w:szCs w:val="21"/>
              </w:rPr>
              <w:t>中华人民共和国大气污染防治法</w:t>
            </w:r>
            <w:r>
              <w:rPr>
                <w:rFonts w:hint="eastAsia" w:ascii="宋体" w:hAnsi="宋体" w:cs="宋体"/>
                <w:snapToGrid w:val="0"/>
                <w:color w:val="000000"/>
                <w:spacing w:val="2"/>
                <w:kern w:val="0"/>
                <w:szCs w:val="21"/>
              </w:rPr>
              <w:fldChar w:fldCharType="end"/>
            </w:r>
            <w:r>
              <w:rPr>
                <w:rFonts w:hint="eastAsia" w:ascii="宋体" w:hAnsi="宋体" w:cs="宋体"/>
                <w:snapToGrid w:val="0"/>
                <w:color w:val="000000"/>
                <w:spacing w:val="2"/>
                <w:kern w:val="0"/>
                <w:szCs w:val="21"/>
              </w:rPr>
              <w:t xml:space="preserve">》第一百条   </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违反本法规定，有下列行为之一的，由县级以上人民政府生态环境主管部门责令改正，处二万元以上二十万元以下的罚款；拒不改正的，责令停产整治：</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（三）未按照规定安装、使用大气污染物排放自动监测设备或者未按照规定与生态环境主管部门的监控设备联网，并保证监测设备正常运行的。</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p>
          <w:p>
            <w:pPr>
              <w:kinsoku w:val="0"/>
              <w:autoSpaceDE w:val="0"/>
              <w:autoSpaceDN w:val="0"/>
              <w:adjustRightInd w:val="0"/>
              <w:snapToGrid w:val="0"/>
              <w:spacing w:line="242" w:lineRule="auto"/>
              <w:ind w:left="50" w:right="29" w:firstLine="420" w:firstLineChars="200"/>
              <w:textAlignment w:val="baseline"/>
              <w:rPr>
                <w:rFonts w:hint="eastAsia" w:ascii="宋体" w:hAnsi="宋体" w:cs="宋体"/>
                <w:snapToGrid w:val="0"/>
                <w:color w:val="000000"/>
                <w:spacing w:val="2"/>
                <w:kern w:val="0"/>
                <w:szCs w:val="21"/>
              </w:rPr>
            </w:pPr>
            <w:r>
              <w:rPr>
                <w:rFonts w:hint="eastAsia" w:ascii="宋体" w:hAnsi="宋体" w:cs="宋体"/>
              </w:rPr>
              <w:t>5.</w:t>
            </w:r>
            <w:r>
              <w:rPr>
                <w:rFonts w:hint="eastAsia" w:ascii="宋体" w:hAnsi="宋体" w:cs="宋体"/>
                <w:snapToGrid w:val="0"/>
                <w:color w:val="000000"/>
                <w:spacing w:val="2"/>
                <w:kern w:val="0"/>
                <w:szCs w:val="21"/>
              </w:rPr>
              <w:t xml:space="preserve">《河北省大气污染防治条例》第七十九条 </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kinsoku w:val="0"/>
              <w:autoSpaceDE w:val="0"/>
              <w:autoSpaceDN w:val="0"/>
              <w:adjustRightInd w:val="0"/>
              <w:snapToGrid w:val="0"/>
              <w:spacing w:line="242" w:lineRule="auto"/>
              <w:ind w:left="50" w:right="29" w:firstLine="428" w:firstLineChars="200"/>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（二）未按照规定安装大气污染物排放自动监测、监控等设备或者未按照规定与环境保护主管部门的监控设备联网，并保证监测设备正常运行的；</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p>
          <w:p>
            <w:pPr>
              <w:kinsoku w:val="0"/>
              <w:autoSpaceDE w:val="0"/>
              <w:autoSpaceDN w:val="0"/>
              <w:adjustRightInd w:val="0"/>
              <w:snapToGrid w:val="0"/>
              <w:spacing w:line="242" w:lineRule="auto"/>
              <w:ind w:left="50" w:right="29" w:firstLine="420" w:firstLineChars="200"/>
              <w:textAlignment w:val="baseline"/>
              <w:rPr>
                <w:rFonts w:hint="eastAsia" w:ascii="宋体" w:hAnsi="宋体" w:cs="宋体"/>
                <w:snapToGrid w:val="0"/>
                <w:color w:val="000000"/>
                <w:spacing w:val="2"/>
                <w:kern w:val="0"/>
                <w:szCs w:val="21"/>
              </w:rPr>
            </w:pPr>
            <w:r>
              <w:rPr>
                <w:rFonts w:hint="eastAsia" w:ascii="宋体" w:hAnsi="宋体" w:cs="宋体"/>
              </w:rPr>
              <w:t>6.《</w:t>
            </w:r>
            <w:r>
              <w:rPr>
                <w:rFonts w:hint="eastAsia" w:ascii="宋体" w:hAnsi="宋体" w:cs="宋体"/>
                <w:snapToGrid w:val="0"/>
                <w:color w:val="000000"/>
                <w:spacing w:val="2"/>
                <w:kern w:val="0"/>
                <w:szCs w:val="21"/>
              </w:rPr>
              <w:t>河北省</w:t>
            </w:r>
            <w:r>
              <w:rPr>
                <w:rFonts w:ascii="宋体" w:hAnsi="宋体" w:cs="宋体"/>
                <w:snapToGrid w:val="0"/>
                <w:color w:val="000000"/>
                <w:spacing w:val="2"/>
                <w:kern w:val="0"/>
                <w:szCs w:val="21"/>
              </w:rPr>
              <w:t>生态环境保护条例》第七十二条</w:t>
            </w:r>
            <w:r>
              <w:rPr>
                <w:rFonts w:hint="eastAsia" w:ascii="宋体" w:hAnsi="宋体" w:cs="宋体"/>
                <w:snapToGrid w:val="0"/>
                <w:color w:val="000000"/>
                <w:spacing w:val="2"/>
                <w:kern w:val="0"/>
                <w:szCs w:val="21"/>
              </w:rPr>
              <w:t xml:space="preserve"> </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r>
              <w:rPr>
                <w:rFonts w:ascii="宋体" w:hAnsi="宋体" w:cs="宋体"/>
                <w:snapToGrid w:val="0"/>
                <w:color w:val="000000"/>
                <w:spacing w:val="2"/>
                <w:kern w:val="0"/>
                <w:szCs w:val="21"/>
              </w:rPr>
              <w:t>违反本条例规定，重点排污单位有下列行为之一的，由生态环境主管部门责令改正，处二万元以上二十万元以下的罚款；拒不改正的，责令停产整治：</w:t>
            </w:r>
          </w:p>
          <w:p>
            <w:pPr>
              <w:widowControl/>
              <w:kinsoku w:val="0"/>
              <w:autoSpaceDE w:val="0"/>
              <w:autoSpaceDN w:val="0"/>
              <w:adjustRightInd w:val="0"/>
              <w:snapToGrid w:val="0"/>
              <w:ind w:firstLine="420" w:firstLineChars="200"/>
              <w:jc w:val="left"/>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（二）不正常运行自动监测设备的；</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p>
          <w:p>
            <w:pPr>
              <w:kinsoku w:val="0"/>
              <w:autoSpaceDE w:val="0"/>
              <w:autoSpaceDN w:val="0"/>
              <w:adjustRightInd w:val="0"/>
              <w:snapToGrid w:val="0"/>
              <w:spacing w:line="242" w:lineRule="auto"/>
              <w:ind w:left="50" w:right="29" w:firstLine="420" w:firstLineChars="200"/>
              <w:textAlignment w:val="baseline"/>
              <w:rPr>
                <w:rFonts w:hint="eastAsia" w:ascii="宋体" w:hAnsi="宋体" w:cs="宋体"/>
                <w:snapToGrid w:val="0"/>
                <w:color w:val="000000"/>
                <w:spacing w:val="2"/>
                <w:kern w:val="0"/>
                <w:szCs w:val="21"/>
              </w:rPr>
            </w:pPr>
            <w:r>
              <w:rPr>
                <w:rFonts w:hint="eastAsia" w:ascii="宋体" w:hAnsi="宋体" w:cs="宋体"/>
              </w:rPr>
              <w:t>7.</w:t>
            </w:r>
            <w:r>
              <w:rPr>
                <w:rFonts w:ascii="宋体" w:hAnsi="宋体" w:cs="宋体"/>
                <w:snapToGrid w:val="0"/>
                <w:color w:val="000000"/>
                <w:spacing w:val="2"/>
                <w:kern w:val="0"/>
                <w:szCs w:val="21"/>
              </w:rPr>
              <w:t>《</w:t>
            </w:r>
            <w:r>
              <w:rPr>
                <w:rFonts w:hint="eastAsia" w:ascii="宋体" w:hAnsi="宋体" w:cs="宋体"/>
                <w:snapToGrid w:val="0"/>
                <w:color w:val="000000"/>
                <w:spacing w:val="2"/>
                <w:kern w:val="0"/>
                <w:szCs w:val="21"/>
              </w:rPr>
              <w:t>河北省</w:t>
            </w:r>
            <w:r>
              <w:rPr>
                <w:rFonts w:ascii="宋体" w:hAnsi="宋体" w:cs="宋体"/>
                <w:snapToGrid w:val="0"/>
                <w:color w:val="000000"/>
                <w:spacing w:val="2"/>
                <w:kern w:val="0"/>
                <w:szCs w:val="21"/>
              </w:rPr>
              <w:t>扬尘污染防治办法》第四十三条</w:t>
            </w:r>
            <w:r>
              <w:rPr>
                <w:rFonts w:hint="eastAsia" w:ascii="宋体" w:hAnsi="宋体" w:cs="宋体"/>
                <w:snapToGrid w:val="0"/>
                <w:color w:val="000000"/>
                <w:spacing w:val="2"/>
                <w:kern w:val="0"/>
                <w:szCs w:val="21"/>
              </w:rPr>
              <w:t xml:space="preserve"> </w:t>
            </w:r>
          </w:p>
          <w:p>
            <w:pPr>
              <w:kinsoku w:val="0"/>
              <w:autoSpaceDE w:val="0"/>
              <w:autoSpaceDN w:val="0"/>
              <w:adjustRightInd w:val="0"/>
              <w:snapToGrid w:val="0"/>
              <w:spacing w:line="242" w:lineRule="auto"/>
              <w:ind w:left="50" w:right="29" w:firstLine="428" w:firstLineChars="200"/>
              <w:textAlignment w:val="baseline"/>
              <w:rPr>
                <w:rFonts w:ascii="宋体" w:hAnsi="宋体" w:cs="宋体"/>
                <w:snapToGrid w:val="0"/>
                <w:color w:val="000000"/>
                <w:spacing w:val="2"/>
                <w:kern w:val="0"/>
                <w:szCs w:val="21"/>
              </w:rPr>
            </w:pPr>
            <w:r>
              <w:rPr>
                <w:rFonts w:ascii="宋体" w:hAnsi="宋体" w:cs="宋体"/>
                <w:snapToGrid w:val="0"/>
                <w:color w:val="000000"/>
                <w:spacing w:val="2"/>
                <w:kern w:val="0"/>
                <w:szCs w:val="21"/>
              </w:rPr>
              <w:t>违反本办法规定，被确定为重点扬尘污染源的企业事业单位和其他生产经营者</w:t>
            </w:r>
            <w:r>
              <w:rPr>
                <w:rFonts w:ascii="宋体" w:hAnsi="宋体" w:cs="宋体"/>
                <w:snapToGrid w:val="0"/>
                <w:color w:val="000000"/>
                <w:spacing w:val="6"/>
                <w:kern w:val="0"/>
                <w:szCs w:val="21"/>
              </w:rPr>
              <w:t>有下列行为之一的，由监督管理部门责令限期改正，处二万元以上五万元以下罚款</w:t>
            </w:r>
            <w:r>
              <w:rPr>
                <w:rFonts w:ascii="宋体" w:hAnsi="宋体" w:cs="宋体"/>
                <w:snapToGrid w:val="0"/>
                <w:color w:val="000000"/>
                <w:spacing w:val="2"/>
                <w:kern w:val="0"/>
                <w:szCs w:val="21"/>
              </w:rPr>
              <w:t>；情节较重的，处五万元以上十万元以下罚款；情节严重的，处十万元以上二十万元以下罚款；拒不改正的，责令停工停产整治：</w:t>
            </w:r>
          </w:p>
          <w:p>
            <w:pPr>
              <w:kinsoku w:val="0"/>
              <w:autoSpaceDE w:val="0"/>
              <w:autoSpaceDN w:val="0"/>
              <w:adjustRightInd w:val="0"/>
              <w:snapToGrid w:val="0"/>
              <w:spacing w:line="237" w:lineRule="auto"/>
              <w:ind w:left="45" w:right="45" w:firstLine="428" w:firstLineChars="200"/>
              <w:jc w:val="left"/>
              <w:textAlignment w:val="baseline"/>
              <w:rPr>
                <w:rFonts w:hint="eastAsia" w:ascii="宋体" w:hAnsi="宋体" w:cs="宋体"/>
                <w:snapToGrid w:val="0"/>
                <w:color w:val="000000"/>
                <w:spacing w:val="2"/>
                <w:kern w:val="0"/>
                <w:szCs w:val="21"/>
              </w:rPr>
            </w:pPr>
            <w:r>
              <w:rPr>
                <w:rFonts w:ascii="宋体" w:hAnsi="宋体" w:cs="宋体"/>
                <w:snapToGrid w:val="0"/>
                <w:color w:val="000000"/>
                <w:spacing w:val="2"/>
                <w:kern w:val="0"/>
                <w:szCs w:val="21"/>
              </w:rPr>
              <w:t>（一）未按照规定安装、使用扬尘污染物在线监测设备或者未按照规定与生态环境主管部门的监控设备联网，并保证监测设备正常运行的；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21</w:t>
            </w:r>
          </w:p>
        </w:tc>
        <w:tc>
          <w:tcPr>
            <w:tcW w:w="5336" w:type="dxa"/>
            <w:noWrap w:val="0"/>
            <w:vAlign w:val="center"/>
          </w:tcPr>
          <w:p>
            <w:pPr>
              <w:widowControl/>
              <w:kinsoku w:val="0"/>
              <w:autoSpaceDE w:val="0"/>
              <w:autoSpaceDN w:val="0"/>
              <w:adjustRightInd w:val="0"/>
              <w:snapToGrid w:val="0"/>
              <w:spacing w:line="243" w:lineRule="auto"/>
              <w:ind w:left="19" w:leftChars="9" w:right="10" w:rightChars="5"/>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三个月内初次发现因突发故障等非主观故意因素导致</w:t>
            </w:r>
            <w:r>
              <w:rPr>
                <w:rFonts w:hint="eastAsia" w:ascii="宋体" w:hAnsi="宋体" w:cs="宋体"/>
                <w:snapToGrid w:val="0"/>
                <w:color w:val="000000"/>
                <w:spacing w:val="6"/>
                <w:kern w:val="0"/>
                <w:szCs w:val="21"/>
              </w:rPr>
              <w:t>污染防治设施不正常运行，24小时内及时报告并采取停</w:t>
            </w:r>
            <w:r>
              <w:rPr>
                <w:rFonts w:hint="eastAsia" w:ascii="宋体" w:hAnsi="宋体" w:cs="宋体"/>
                <w:snapToGrid w:val="0"/>
                <w:color w:val="000000"/>
                <w:spacing w:val="2"/>
                <w:kern w:val="0"/>
                <w:szCs w:val="21"/>
              </w:rPr>
              <w:t>、限产措施减少污染物排放，且已联网的在线监控企业日均值未超标的</w:t>
            </w:r>
          </w:p>
        </w:tc>
        <w:tc>
          <w:tcPr>
            <w:tcW w:w="7939" w:type="dxa"/>
            <w:noWrap w:val="0"/>
            <w:vAlign w:val="top"/>
          </w:tcPr>
          <w:p>
            <w:pPr>
              <w:kinsoku w:val="0"/>
              <w:autoSpaceDE w:val="0"/>
              <w:autoSpaceDN w:val="0"/>
              <w:adjustRightInd w:val="0"/>
              <w:snapToGrid w:val="0"/>
              <w:spacing w:line="27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宋体" w:hAnsi="宋体" w:cs="宋体"/>
              </w:rPr>
              <w:t>1.</w:t>
            </w:r>
            <w:r>
              <w:rPr>
                <w:rFonts w:hint="eastAsia" w:ascii="宋体" w:hAnsi="宋体" w:cs="宋体"/>
                <w:snapToGrid w:val="0"/>
                <w:color w:val="000000"/>
                <w:kern w:val="0"/>
                <w:szCs w:val="21"/>
              </w:rPr>
              <w:t>《中华人民共和国水污染防治法》</w:t>
            </w:r>
          </w:p>
          <w:p>
            <w:pPr>
              <w:kinsoku w:val="0"/>
              <w:autoSpaceDE w:val="0"/>
              <w:autoSpaceDN w:val="0"/>
              <w:adjustRightInd w:val="0"/>
              <w:snapToGrid w:val="0"/>
              <w:spacing w:before="6" w:line="270" w:lineRule="exact"/>
              <w:ind w:left="51" w:right="51"/>
              <w:jc w:val="left"/>
              <w:textAlignment w:val="baseline"/>
              <w:rPr>
                <w:rFonts w:hint="eastAsia" w:ascii="宋体" w:hAnsi="宋体" w:cs="宋体"/>
                <w:snapToGrid w:val="0"/>
                <w:color w:val="000000"/>
                <w:spacing w:val="-1"/>
                <w:kern w:val="0"/>
                <w:szCs w:val="21"/>
              </w:rPr>
            </w:pPr>
            <w:r>
              <w:rPr>
                <w:rFonts w:hint="eastAsia" w:ascii="宋体" w:hAnsi="宋体" w:cs="宋体"/>
                <w:snapToGrid w:val="0"/>
                <w:color w:val="000000"/>
                <w:spacing w:val="-1"/>
                <w:kern w:val="0"/>
                <w:szCs w:val="21"/>
              </w:rPr>
              <w:t>第八十三条   违反本法规定，有下列行为之一的，由县级以上人民政府环境保护主</w:t>
            </w:r>
            <w:r>
              <w:rPr>
                <w:rFonts w:hint="eastAsia" w:ascii="宋体" w:hAnsi="宋体" w:cs="宋体"/>
                <w:snapToGrid w:val="0"/>
                <w:color w:val="000000"/>
                <w:spacing w:val="6"/>
                <w:kern w:val="0"/>
                <w:szCs w:val="21"/>
              </w:rPr>
              <w:t>管部门责令改正或者责令限制生产、停产整治，并处十万元以上一百万元以下的罚款</w:t>
            </w:r>
            <w:r>
              <w:rPr>
                <w:rFonts w:hint="eastAsia" w:ascii="宋体" w:hAnsi="宋体" w:cs="宋体"/>
                <w:snapToGrid w:val="0"/>
                <w:color w:val="000000"/>
                <w:spacing w:val="-1"/>
                <w:kern w:val="0"/>
                <w:szCs w:val="21"/>
              </w:rPr>
              <w:t>；情节严重的，报经有批准权的人民政府批准，责令停业、关闭：</w:t>
            </w:r>
          </w:p>
          <w:p>
            <w:pPr>
              <w:kinsoku w:val="0"/>
              <w:autoSpaceDE w:val="0"/>
              <w:autoSpaceDN w:val="0"/>
              <w:adjustRightInd w:val="0"/>
              <w:snapToGrid w:val="0"/>
              <w:spacing w:line="270" w:lineRule="exact"/>
              <w:ind w:left="51" w:right="51" w:firstLine="416"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spacing w:val="-1"/>
                <w:kern w:val="0"/>
                <w:szCs w:val="21"/>
              </w:rPr>
              <w:t>（三</w:t>
            </w:r>
            <w:r>
              <w:rPr>
                <w:rFonts w:hint="eastAsia" w:ascii="宋体" w:hAnsi="宋体" w:cs="宋体"/>
                <w:snapToGrid w:val="0"/>
                <w:color w:val="000000"/>
                <w:kern w:val="0"/>
                <w:szCs w:val="21"/>
              </w:rPr>
              <w:t>）利用渗井、渗坑、裂隙、溶洞，私设暗管，篡改、伪造监测数据，或者不正常运行水污染防治设施等逃避监管的方式排放水污染物的；</w:t>
            </w:r>
            <w:r>
              <w:rPr>
                <w:rFonts w:hint="eastAsia" w:ascii="宋体" w:hAnsi="宋体" w:cs="宋体"/>
                <w:b/>
                <w:bCs/>
                <w:snapToGrid w:val="0"/>
                <w:color w:val="000000"/>
                <w:kern w:val="0"/>
                <w:szCs w:val="21"/>
              </w:rPr>
              <w:t>（只含本规定中对不正常运行水污染防治设施的处罚）</w:t>
            </w:r>
          </w:p>
          <w:p>
            <w:pPr>
              <w:widowControl/>
              <w:kinsoku w:val="0"/>
              <w:autoSpaceDE w:val="0"/>
              <w:autoSpaceDN w:val="0"/>
              <w:adjustRightInd w:val="0"/>
              <w:snapToGrid w:val="0"/>
              <w:jc w:val="left"/>
              <w:textAlignment w:val="baseline"/>
              <w:rPr>
                <w:rFonts w:hint="eastAsia" w:ascii="宋体" w:hAnsi="宋体" w:cs="宋体"/>
                <w:snapToGrid w:val="0"/>
                <w:color w:val="000000"/>
                <w:kern w:val="0"/>
                <w:szCs w:val="21"/>
              </w:rPr>
            </w:pPr>
          </w:p>
          <w:p>
            <w:pPr>
              <w:kinsoku w:val="0"/>
              <w:autoSpaceDE w:val="0"/>
              <w:autoSpaceDN w:val="0"/>
              <w:adjustRightInd w:val="0"/>
              <w:snapToGrid w:val="0"/>
              <w:spacing w:line="27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宋体" w:hAnsi="宋体" w:cs="宋体"/>
              </w:rPr>
              <w:t>2.</w:t>
            </w:r>
            <w:r>
              <w:rPr>
                <w:rFonts w:hint="eastAsia" w:ascii="宋体" w:hAnsi="宋体" w:cs="宋体"/>
                <w:snapToGrid w:val="0"/>
                <w:color w:val="000000"/>
                <w:kern w:val="0"/>
                <w:szCs w:val="21"/>
              </w:rPr>
              <w:t>《河北省水污染防治条例》</w:t>
            </w:r>
          </w:p>
          <w:p>
            <w:pPr>
              <w:kinsoku w:val="0"/>
              <w:autoSpaceDE w:val="0"/>
              <w:autoSpaceDN w:val="0"/>
              <w:adjustRightInd w:val="0"/>
              <w:snapToGrid w:val="0"/>
              <w:spacing w:line="270" w:lineRule="exact"/>
              <w:ind w:left="51" w:right="51"/>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第七十条   违反本条例规定，有下列行为之一的，由环境保护主管部门责令改正或</w:t>
            </w:r>
            <w:r>
              <w:rPr>
                <w:rFonts w:hint="eastAsia" w:ascii="宋体" w:hAnsi="宋体" w:cs="宋体"/>
                <w:snapToGrid w:val="0"/>
                <w:color w:val="000000"/>
                <w:spacing w:val="-6"/>
                <w:kern w:val="0"/>
                <w:szCs w:val="21"/>
              </w:rPr>
              <w:t>者责令限制生产、停产整治，并处二十万元以上一百万元以下的罚款；情节严重的</w:t>
            </w:r>
            <w:r>
              <w:rPr>
                <w:rFonts w:hint="eastAsia" w:ascii="宋体" w:hAnsi="宋体" w:cs="宋体"/>
                <w:snapToGrid w:val="0"/>
                <w:color w:val="000000"/>
                <w:kern w:val="0"/>
                <w:szCs w:val="21"/>
              </w:rPr>
              <w:t>，报经有批准权的人民政府批准，责令停业、关闭：</w:t>
            </w:r>
          </w:p>
          <w:p>
            <w:pPr>
              <w:kinsoku w:val="0"/>
              <w:autoSpaceDE w:val="0"/>
              <w:autoSpaceDN w:val="0"/>
              <w:adjustRightInd w:val="0"/>
              <w:snapToGrid w:val="0"/>
              <w:spacing w:line="27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（三）利用渗井、渗坑、裂隙、溶洞，私设暗管，篡改、伪造监测数据，或者不正常运行水污染防治设施等逃避监管的方式排放水污染物的；</w:t>
            </w:r>
            <w:r>
              <w:rPr>
                <w:rFonts w:hint="eastAsia" w:ascii="宋体" w:hAnsi="宋体" w:cs="宋体"/>
                <w:b/>
                <w:bCs/>
                <w:snapToGrid w:val="0"/>
                <w:color w:val="000000"/>
                <w:kern w:val="0"/>
                <w:szCs w:val="21"/>
              </w:rPr>
              <w:t>（只含本规定中对不正常运行水污染防治设施的处罚）</w:t>
            </w:r>
          </w:p>
          <w:p>
            <w:pPr>
              <w:widowControl/>
              <w:kinsoku w:val="0"/>
              <w:autoSpaceDE w:val="0"/>
              <w:autoSpaceDN w:val="0"/>
              <w:adjustRightInd w:val="0"/>
              <w:snapToGrid w:val="0"/>
              <w:jc w:val="left"/>
              <w:textAlignment w:val="baseline"/>
              <w:rPr>
                <w:rFonts w:hint="eastAsia" w:ascii="宋体" w:hAnsi="宋体" w:cs="宋体"/>
                <w:snapToGrid w:val="0"/>
                <w:color w:val="000000"/>
                <w:kern w:val="0"/>
                <w:szCs w:val="21"/>
              </w:rPr>
            </w:pPr>
          </w:p>
          <w:p>
            <w:pPr>
              <w:widowControl/>
              <w:kinsoku w:val="0"/>
              <w:autoSpaceDE w:val="0"/>
              <w:autoSpaceDN w:val="0"/>
              <w:adjustRightInd w:val="0"/>
              <w:snapToGrid w:val="0"/>
              <w:ind w:firstLine="420" w:firstLineChars="200"/>
              <w:jc w:val="left"/>
              <w:textAlignment w:val="baseline"/>
              <w:rPr>
                <w:rFonts w:hint="eastAsia" w:ascii="Arial" w:hAnsi="Arial" w:eastAsia="Arial" w:cs="Arial"/>
                <w:snapToGrid w:val="0"/>
                <w:color w:val="000000"/>
                <w:kern w:val="0"/>
                <w:szCs w:val="21"/>
              </w:rPr>
            </w:pPr>
            <w:r>
              <w:rPr>
                <w:rFonts w:hint="eastAsia" w:ascii="宋体" w:hAnsi="宋体" w:cs="宋体"/>
              </w:rPr>
              <w:t>3.</w:t>
            </w:r>
            <w:r>
              <w:rPr>
                <w:rFonts w:hint="eastAsia" w:ascii="Arial" w:hAnsi="Arial" w:eastAsia="Arial" w:cs="Arial"/>
                <w:snapToGrid w:val="0"/>
                <w:color w:val="000000"/>
                <w:kern w:val="0"/>
                <w:szCs w:val="21"/>
              </w:rPr>
              <w:t>《中华人民共和国大气污染防治法》第九十九条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kinsoku w:val="0"/>
              <w:autoSpaceDE w:val="0"/>
              <w:autoSpaceDN w:val="0"/>
              <w:adjustRightInd w:val="0"/>
              <w:snapToGrid w:val="0"/>
              <w:ind w:firstLine="420" w:firstLineChars="200"/>
              <w:jc w:val="left"/>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（三）通过逃避监管的方式排放大气污染物。</w:t>
            </w:r>
          </w:p>
          <w:p>
            <w:pPr>
              <w:widowControl/>
              <w:kinsoku w:val="0"/>
              <w:autoSpaceDE w:val="0"/>
              <w:autoSpaceDN w:val="0"/>
              <w:adjustRightInd w:val="0"/>
              <w:snapToGrid w:val="0"/>
              <w:jc w:val="left"/>
              <w:textAlignment w:val="baseline"/>
              <w:rPr>
                <w:rFonts w:hint="eastAsia" w:ascii="宋体" w:hAnsi="宋体" w:cs="宋体"/>
                <w:snapToGrid w:val="0"/>
                <w:color w:val="000000"/>
                <w:kern w:val="0"/>
                <w:szCs w:val="21"/>
              </w:rPr>
            </w:pPr>
            <w:r>
              <w:rPr>
                <w:rFonts w:hint="eastAsia" w:ascii="宋体" w:hAnsi="宋体" w:cs="宋体"/>
                <w:b/>
                <w:bCs/>
                <w:snapToGrid w:val="0"/>
                <w:color w:val="000000"/>
                <w:kern w:val="0"/>
                <w:szCs w:val="21"/>
              </w:rPr>
              <w:t>（只含本规定中对不正常运行大气污染防治设施的处罚）</w:t>
            </w:r>
          </w:p>
          <w:p>
            <w:pPr>
              <w:pStyle w:val="5"/>
              <w:rPr>
                <w:rFonts w:hint="eastAsia"/>
              </w:rPr>
            </w:pPr>
          </w:p>
          <w:p>
            <w:pPr>
              <w:widowControl/>
              <w:kinsoku w:val="0"/>
              <w:autoSpaceDE w:val="0"/>
              <w:autoSpaceDN w:val="0"/>
              <w:adjustRightInd w:val="0"/>
              <w:snapToGrid w:val="0"/>
              <w:ind w:firstLine="420" w:firstLineChars="200"/>
              <w:jc w:val="left"/>
              <w:textAlignment w:val="baseline"/>
              <w:rPr>
                <w:rFonts w:hint="eastAsia" w:ascii="Arial" w:hAnsi="Arial" w:eastAsia="Arial" w:cs="Arial"/>
                <w:snapToGrid w:val="0"/>
                <w:color w:val="000000"/>
                <w:kern w:val="0"/>
                <w:szCs w:val="21"/>
              </w:rPr>
            </w:pPr>
            <w:r>
              <w:rPr>
                <w:rFonts w:hint="eastAsia" w:ascii="宋体" w:hAnsi="宋体" w:cs="宋体"/>
              </w:rPr>
              <w:t>4.</w:t>
            </w:r>
            <w:r>
              <w:rPr>
                <w:rFonts w:hint="eastAsia" w:ascii="Arial" w:hAnsi="Arial" w:eastAsia="Arial" w:cs="Arial"/>
                <w:snapToGrid w:val="0"/>
                <w:color w:val="000000"/>
                <w:kern w:val="0"/>
                <w:szCs w:val="21"/>
              </w:rPr>
              <w:t>《</w:t>
            </w:r>
            <w:r>
              <w:rPr>
                <w:rFonts w:hint="eastAsia" w:ascii="宋体" w:hAnsi="宋体" w:cs="宋体"/>
                <w:snapToGrid w:val="0"/>
                <w:color w:val="000000"/>
                <w:kern w:val="0"/>
                <w:szCs w:val="21"/>
              </w:rPr>
              <w:t>河北省</w:t>
            </w:r>
            <w:r>
              <w:rPr>
                <w:rFonts w:hint="eastAsia" w:ascii="Arial" w:hAnsi="Arial" w:eastAsia="Arial" w:cs="Arial"/>
                <w:snapToGrid w:val="0"/>
                <w:color w:val="000000"/>
                <w:kern w:val="0"/>
                <w:szCs w:val="21"/>
              </w:rPr>
              <w:t>大气污染防治条例》第七十八条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widowControl/>
              <w:kinsoku w:val="0"/>
              <w:autoSpaceDE w:val="0"/>
              <w:autoSpaceDN w:val="0"/>
              <w:adjustRightInd w:val="0"/>
              <w:snapToGrid w:val="0"/>
              <w:ind w:firstLine="420" w:firstLineChars="200"/>
              <w:jc w:val="left"/>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（三）通过偷排、偷放等逃避监管的方式排放大气污染物的。</w:t>
            </w:r>
          </w:p>
          <w:p>
            <w:pPr>
              <w:widowControl/>
              <w:kinsoku w:val="0"/>
              <w:autoSpaceDE w:val="0"/>
              <w:autoSpaceDN w:val="0"/>
              <w:adjustRightInd w:val="0"/>
              <w:snapToGrid w:val="0"/>
              <w:jc w:val="left"/>
              <w:textAlignment w:val="baseline"/>
              <w:rPr>
                <w:rFonts w:hint="eastAsia" w:ascii="Arial" w:hAnsi="Arial" w:eastAsia="仿宋_GB2312" w:cs="Arial"/>
                <w:snapToGrid w:val="0"/>
                <w:color w:val="000000"/>
                <w:kern w:val="0"/>
                <w:szCs w:val="21"/>
              </w:rPr>
            </w:pPr>
            <w:r>
              <w:rPr>
                <w:rFonts w:hint="eastAsia" w:ascii="宋体" w:hAnsi="宋体" w:cs="宋体"/>
                <w:b/>
                <w:bCs/>
                <w:snapToGrid w:val="0"/>
                <w:color w:val="000000"/>
                <w:kern w:val="0"/>
                <w:szCs w:val="21"/>
              </w:rPr>
              <w:t>（只含本规定中对不正常运行大气污染防治设施的处罚）</w:t>
            </w:r>
          </w:p>
          <w:p>
            <w:pPr>
              <w:kinsoku w:val="0"/>
              <w:autoSpaceDE w:val="0"/>
              <w:autoSpaceDN w:val="0"/>
              <w:adjustRightInd w:val="0"/>
              <w:snapToGrid w:val="0"/>
              <w:spacing w:after="120"/>
              <w:jc w:val="left"/>
              <w:textAlignment w:val="baseline"/>
              <w:rPr>
                <w:rFonts w:hint="eastAsia" w:ascii="宋体" w:hAnsi="宋体" w:cs="宋体"/>
                <w:snapToGrid w:val="0"/>
                <w:color w:val="000000"/>
                <w:kern w:val="0"/>
                <w:szCs w:val="21"/>
              </w:rPr>
            </w:pPr>
          </w:p>
          <w:p>
            <w:pPr>
              <w:widowControl/>
              <w:kinsoku w:val="0"/>
              <w:autoSpaceDE w:val="0"/>
              <w:autoSpaceDN w:val="0"/>
              <w:adjustRightInd w:val="0"/>
              <w:snapToGrid w:val="0"/>
              <w:ind w:firstLine="420" w:firstLineChars="200"/>
              <w:jc w:val="left"/>
              <w:textAlignment w:val="baseline"/>
              <w:rPr>
                <w:rFonts w:hint="eastAsia" w:ascii="宋体" w:hAnsi="宋体" w:cs="宋体"/>
                <w:snapToGrid w:val="0"/>
                <w:color w:val="000000"/>
                <w:kern w:val="0"/>
                <w:szCs w:val="21"/>
              </w:rPr>
            </w:pPr>
            <w:r>
              <w:rPr>
                <w:rFonts w:hint="eastAsia" w:ascii="宋体" w:hAnsi="宋体" w:cs="宋体"/>
              </w:rPr>
              <w:t>5.</w:t>
            </w:r>
            <w:r>
              <w:rPr>
                <w:rFonts w:hint="eastAsia" w:ascii="宋体" w:hAnsi="宋体" w:cs="宋体"/>
                <w:snapToGrid w:val="0"/>
                <w:color w:val="000000"/>
                <w:kern w:val="0"/>
                <w:szCs w:val="21"/>
              </w:rPr>
              <w:t>《排污许可管理条例》第四十四条 排污单位有下列行为之一，尚不构成犯罪的，除依照本条例规定予以处罚外，对其直接负责的主管人员和其他直接责任人员，依照《中华人民共和国</w:t>
            </w:r>
            <w:r>
              <w:rPr>
                <w:rFonts w:hint="eastAsia" w:ascii="宋体" w:hAnsi="宋体" w:cs="宋体"/>
                <w:snapToGrid w:val="0"/>
                <w:color w:val="000000"/>
                <w:kern w:val="0"/>
                <w:szCs w:val="21"/>
              </w:rPr>
              <w:fldChar w:fldCharType="begin"/>
            </w:r>
            <w:r>
              <w:rPr>
                <w:rFonts w:hint="eastAsia" w:ascii="宋体" w:hAnsi="宋体" w:cs="宋体"/>
                <w:snapToGrid w:val="0"/>
                <w:color w:val="000000"/>
                <w:kern w:val="0"/>
                <w:szCs w:val="21"/>
              </w:rPr>
              <w:instrText xml:space="preserve"> HYPERLINK "http://law1.law-star.com/law?fn=A33087232FE82104274B1BC4CF54BD28&amp;dbt=chl" \t "http://law1.law-star.com/_blank" </w:instrText>
            </w:r>
            <w:r>
              <w:rPr>
                <w:rFonts w:hint="eastAsia" w:ascii="宋体" w:hAnsi="宋体" w:cs="宋体"/>
                <w:snapToGrid w:val="0"/>
                <w:color w:val="000000"/>
                <w:kern w:val="0"/>
                <w:szCs w:val="21"/>
              </w:rPr>
              <w:fldChar w:fldCharType="separate"/>
            </w:r>
            <w:r>
              <w:rPr>
                <w:rFonts w:hint="eastAsia" w:ascii="宋体" w:hAnsi="宋体" w:cs="宋体"/>
                <w:snapToGrid w:val="0"/>
                <w:color w:val="000000"/>
                <w:kern w:val="0"/>
                <w:szCs w:val="21"/>
              </w:rPr>
              <w:t>环境保护法</w:t>
            </w:r>
            <w:r>
              <w:rPr>
                <w:rFonts w:hint="eastAsia" w:ascii="宋体" w:hAnsi="宋体" w:cs="宋体"/>
                <w:snapToGrid w:val="0"/>
                <w:color w:val="000000"/>
                <w:kern w:val="0"/>
                <w:szCs w:val="21"/>
              </w:rPr>
              <w:fldChar w:fldCharType="end"/>
            </w:r>
            <w:r>
              <w:rPr>
                <w:rFonts w:hint="eastAsia" w:ascii="宋体" w:hAnsi="宋体" w:cs="宋体"/>
                <w:snapToGrid w:val="0"/>
                <w:color w:val="000000"/>
                <w:kern w:val="0"/>
                <w:szCs w:val="21"/>
              </w:rPr>
              <w:t>》的规定处以拘留：</w:t>
            </w:r>
          </w:p>
          <w:p>
            <w:pPr>
              <w:widowControl/>
              <w:kinsoku w:val="0"/>
              <w:autoSpaceDE w:val="0"/>
              <w:autoSpaceDN w:val="0"/>
              <w:adjustRightInd w:val="0"/>
              <w:snapToGrid w:val="0"/>
              <w:ind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（二）通过暗管、渗井、渗坑、灌注或者篡改、伪造监测数据，或者不正常运行污染防治设施等逃避监管的方式违法排放污染物。</w:t>
            </w:r>
          </w:p>
          <w:p>
            <w:pPr>
              <w:widowControl/>
              <w:kinsoku w:val="0"/>
              <w:autoSpaceDE w:val="0"/>
              <w:autoSpaceDN w:val="0"/>
              <w:adjustRightInd w:val="0"/>
              <w:snapToGrid w:val="0"/>
              <w:jc w:val="left"/>
              <w:textAlignment w:val="baseline"/>
              <w:rPr>
                <w:rFonts w:hint="eastAsia" w:ascii="宋体" w:hAnsi="宋体" w:cs="宋体"/>
                <w:snapToGrid w:val="0"/>
                <w:color w:val="000000"/>
                <w:spacing w:val="2"/>
                <w:kern w:val="0"/>
                <w:szCs w:val="21"/>
              </w:rPr>
            </w:pPr>
            <w:r>
              <w:rPr>
                <w:rFonts w:hint="eastAsia" w:ascii="宋体" w:hAnsi="宋体" w:cs="宋体"/>
                <w:b/>
                <w:bCs/>
                <w:snapToGrid w:val="0"/>
                <w:color w:val="000000"/>
                <w:kern w:val="0"/>
                <w:szCs w:val="21"/>
              </w:rPr>
              <w:t>（只含本规定中对不正常运行污染防治设施的处罚）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22</w:t>
            </w:r>
          </w:p>
        </w:tc>
        <w:tc>
          <w:tcPr>
            <w:tcW w:w="5336" w:type="dxa"/>
            <w:noWrap w:val="0"/>
            <w:vAlign w:val="center"/>
          </w:tcPr>
          <w:p>
            <w:pPr>
              <w:widowControl/>
              <w:kinsoku w:val="0"/>
              <w:autoSpaceDE w:val="0"/>
              <w:autoSpaceDN w:val="0"/>
              <w:adjustRightInd w:val="0"/>
              <w:snapToGrid w:val="0"/>
              <w:spacing w:line="243" w:lineRule="auto"/>
              <w:ind w:left="51" w:right="28"/>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三个月内初次发现未按规范记录危险废物管理纸质台账，但已按要求在唐山市固体废物管理信息系统中申报了危险废物的种类、产生量、流向、贮存、处置等有关资料，且当日改正的</w:t>
            </w:r>
          </w:p>
        </w:tc>
        <w:tc>
          <w:tcPr>
            <w:tcW w:w="7939" w:type="dxa"/>
            <w:noWrap w:val="0"/>
            <w:vAlign w:val="top"/>
          </w:tcPr>
          <w:p>
            <w:pPr>
              <w:kinsoku w:val="0"/>
              <w:autoSpaceDE w:val="0"/>
              <w:autoSpaceDN w:val="0"/>
              <w:adjustRightInd w:val="0"/>
              <w:snapToGrid w:val="0"/>
              <w:spacing w:line="27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宋体" w:hAnsi="宋体" w:cs="宋体"/>
              </w:rPr>
              <w:t>1.</w:t>
            </w:r>
            <w:r>
              <w:rPr>
                <w:rFonts w:hint="eastAsia" w:ascii="宋体" w:hAnsi="宋体" w:cs="宋体"/>
                <w:snapToGrid w:val="0"/>
                <w:color w:val="000000"/>
                <w:kern w:val="0"/>
                <w:szCs w:val="21"/>
              </w:rPr>
              <w:t>《中华人民共和国</w:t>
            </w:r>
            <w:r>
              <w:rPr>
                <w:rFonts w:hint="eastAsia" w:ascii="宋体" w:hAnsi="宋体" w:cs="宋体"/>
                <w:snapToGrid w:val="0"/>
                <w:color w:val="000000"/>
                <w:kern w:val="0"/>
                <w:szCs w:val="21"/>
              </w:rPr>
              <w:fldChar w:fldCharType="begin"/>
            </w:r>
            <w:r>
              <w:rPr>
                <w:rFonts w:hint="eastAsia" w:ascii="宋体" w:hAnsi="宋体" w:cs="宋体"/>
                <w:snapToGrid w:val="0"/>
                <w:color w:val="000000"/>
                <w:kern w:val="0"/>
                <w:szCs w:val="21"/>
              </w:rPr>
              <w:instrText xml:space="preserve"> HYPERLINK "http://law1.law-star.com/law?fn=AF61FE9E4FB1BC9B3FCFCFCC3AAD5225&amp;dbt=chl" \t "http://law1.law-star.com/_blank" </w:instrText>
            </w:r>
            <w:r>
              <w:rPr>
                <w:rFonts w:hint="eastAsia" w:ascii="宋体" w:hAnsi="宋体" w:cs="宋体"/>
                <w:snapToGrid w:val="0"/>
                <w:color w:val="000000"/>
                <w:kern w:val="0"/>
                <w:szCs w:val="21"/>
              </w:rPr>
              <w:fldChar w:fldCharType="separate"/>
            </w:r>
            <w:r>
              <w:rPr>
                <w:rFonts w:hint="eastAsia" w:ascii="宋体" w:hAnsi="宋体" w:cs="宋体"/>
                <w:snapToGrid w:val="0"/>
                <w:color w:val="000000"/>
                <w:kern w:val="0"/>
                <w:szCs w:val="21"/>
              </w:rPr>
              <w:t>固体废物污染环境防治法</w:t>
            </w:r>
            <w:r>
              <w:rPr>
                <w:rFonts w:hint="eastAsia" w:ascii="宋体" w:hAnsi="宋体" w:cs="宋体"/>
                <w:snapToGrid w:val="0"/>
                <w:color w:val="000000"/>
                <w:kern w:val="0"/>
                <w:szCs w:val="21"/>
              </w:rPr>
              <w:fldChar w:fldCharType="end"/>
            </w:r>
            <w:r>
              <w:rPr>
                <w:rFonts w:hint="eastAsia" w:ascii="宋体" w:hAnsi="宋体" w:cs="宋体"/>
                <w:snapToGrid w:val="0"/>
                <w:color w:val="000000"/>
                <w:kern w:val="0"/>
                <w:szCs w:val="21"/>
              </w:rPr>
              <w:t>》第一百一十二条 </w:t>
            </w:r>
          </w:p>
          <w:p>
            <w:pPr>
              <w:kinsoku w:val="0"/>
              <w:autoSpaceDE w:val="0"/>
              <w:autoSpaceDN w:val="0"/>
              <w:adjustRightInd w:val="0"/>
              <w:snapToGrid w:val="0"/>
              <w:spacing w:line="270" w:lineRule="exact"/>
              <w:ind w:left="51" w:right="51" w:firstLine="420" w:firstLineChars="200"/>
              <w:jc w:val="left"/>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违反本法规定，有下列行为之一，由生态环境主管部门责令改正，处以罚款，没收违法所得；情节严重的，报经有批准权的人民政府批准，可以责令停业或者关闭：</w:t>
            </w:r>
          </w:p>
          <w:p>
            <w:pPr>
              <w:kinsoku w:val="0"/>
              <w:autoSpaceDE w:val="0"/>
              <w:autoSpaceDN w:val="0"/>
              <w:adjustRightInd w:val="0"/>
              <w:snapToGrid w:val="0"/>
              <w:spacing w:line="270" w:lineRule="exact"/>
              <w:ind w:left="51" w:right="51" w:firstLine="420" w:firstLineChars="20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kern w:val="0"/>
                <w:szCs w:val="21"/>
              </w:rPr>
              <w:t>（十三）未按照国家有关规定建立危险废物管理台账并如实记录的。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23</w:t>
            </w:r>
          </w:p>
        </w:tc>
        <w:tc>
          <w:tcPr>
            <w:tcW w:w="5336" w:type="dxa"/>
            <w:noWrap w:val="0"/>
            <w:vAlign w:val="center"/>
          </w:tcPr>
          <w:p>
            <w:pPr>
              <w:widowControl/>
              <w:kinsoku w:val="0"/>
              <w:autoSpaceDE w:val="0"/>
              <w:autoSpaceDN w:val="0"/>
              <w:adjustRightInd w:val="0"/>
              <w:snapToGrid w:val="0"/>
              <w:spacing w:line="243" w:lineRule="auto"/>
              <w:ind w:left="51" w:right="28"/>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三个月内初次发现未按规定贮存工业固体废物，经责令改正后及时完成整改的</w:t>
            </w:r>
          </w:p>
        </w:tc>
        <w:tc>
          <w:tcPr>
            <w:tcW w:w="7939" w:type="dxa"/>
            <w:noWrap w:val="0"/>
            <w:vAlign w:val="top"/>
          </w:tcPr>
          <w:p>
            <w:pPr>
              <w:kinsoku w:val="0"/>
              <w:autoSpaceDE w:val="0"/>
              <w:autoSpaceDN w:val="0"/>
              <w:adjustRightInd w:val="0"/>
              <w:snapToGrid w:val="0"/>
              <w:spacing w:before="2" w:line="250" w:lineRule="exact"/>
              <w:ind w:left="57" w:right="23" w:firstLine="420" w:firstLineChars="200"/>
              <w:jc w:val="left"/>
              <w:textAlignment w:val="baseline"/>
              <w:rPr>
                <w:rFonts w:hint="eastAsia" w:ascii="宋体" w:hAnsi="宋体" w:cs="宋体"/>
                <w:snapToGrid w:val="0"/>
                <w:color w:val="000000"/>
                <w:spacing w:val="-6"/>
                <w:kern w:val="0"/>
                <w:szCs w:val="21"/>
              </w:rPr>
            </w:pPr>
            <w:r>
              <w:rPr>
                <w:rFonts w:hint="eastAsia" w:ascii="宋体" w:hAnsi="宋体" w:cs="宋体"/>
              </w:rPr>
              <w:t>1.</w:t>
            </w:r>
            <w:r>
              <w:rPr>
                <w:rFonts w:hint="eastAsia" w:ascii="宋体" w:hAnsi="宋体" w:cs="宋体"/>
                <w:snapToGrid w:val="0"/>
                <w:color w:val="000000"/>
                <w:kern w:val="0"/>
                <w:szCs w:val="21"/>
              </w:rPr>
              <w:t>《中华人民共和国固体废物污染环境防治法》</w:t>
            </w:r>
            <w:r>
              <w:rPr>
                <w:rFonts w:hint="eastAsia" w:ascii="宋体" w:hAnsi="宋体" w:cs="宋体"/>
                <w:snapToGrid w:val="0"/>
                <w:color w:val="000000"/>
                <w:spacing w:val="-6"/>
                <w:kern w:val="0"/>
                <w:szCs w:val="21"/>
              </w:rPr>
              <w:t xml:space="preserve">第一百零二条   </w:t>
            </w:r>
          </w:p>
          <w:p>
            <w:pPr>
              <w:kinsoku w:val="0"/>
              <w:autoSpaceDE w:val="0"/>
              <w:autoSpaceDN w:val="0"/>
              <w:adjustRightInd w:val="0"/>
              <w:snapToGrid w:val="0"/>
              <w:spacing w:before="2" w:line="250" w:lineRule="exact"/>
              <w:ind w:left="57" w:right="23" w:firstLine="396" w:firstLineChars="200"/>
              <w:jc w:val="left"/>
              <w:textAlignment w:val="baseline"/>
              <w:rPr>
                <w:rFonts w:hint="eastAsia" w:ascii="宋体" w:hAnsi="宋体" w:cs="宋体"/>
                <w:snapToGrid w:val="0"/>
                <w:color w:val="000000"/>
                <w:spacing w:val="-6"/>
                <w:kern w:val="0"/>
                <w:szCs w:val="21"/>
              </w:rPr>
            </w:pPr>
            <w:r>
              <w:rPr>
                <w:rFonts w:hint="eastAsia" w:ascii="宋体" w:hAnsi="宋体" w:cs="宋体"/>
                <w:snapToGrid w:val="0"/>
                <w:color w:val="000000"/>
                <w:spacing w:val="-6"/>
                <w:kern w:val="0"/>
                <w:szCs w:val="21"/>
              </w:rPr>
              <w:t>违反本法规定，有下列行为之一，由生态环境主管部门责令改正，处以罚款，没收违法所得；情节严重的，报经有批准权的人民政府批准，可以责令停业或者关闭：</w:t>
            </w:r>
          </w:p>
          <w:p>
            <w:pPr>
              <w:kinsoku w:val="0"/>
              <w:autoSpaceDE w:val="0"/>
              <w:autoSpaceDN w:val="0"/>
              <w:adjustRightInd w:val="0"/>
              <w:snapToGrid w:val="0"/>
              <w:spacing w:before="2" w:line="250" w:lineRule="exact"/>
              <w:ind w:left="57" w:right="23" w:firstLine="396" w:firstLineChars="200"/>
              <w:jc w:val="left"/>
              <w:textAlignment w:val="baseline"/>
              <w:rPr>
                <w:rFonts w:hint="eastAsia" w:ascii="宋体" w:hAnsi="宋体" w:cs="宋体"/>
                <w:snapToGrid w:val="0"/>
                <w:color w:val="000000"/>
                <w:spacing w:val="-6"/>
                <w:kern w:val="0"/>
                <w:szCs w:val="21"/>
              </w:rPr>
            </w:pPr>
            <w:r>
              <w:rPr>
                <w:rFonts w:hint="eastAsia" w:ascii="宋体" w:hAnsi="宋体" w:cs="宋体"/>
                <w:snapToGrid w:val="0"/>
                <w:color w:val="000000"/>
                <w:spacing w:val="-6"/>
                <w:kern w:val="0"/>
                <w:szCs w:val="21"/>
              </w:rPr>
              <w:t>（十）贮存工业固体废物未采取符合国家环境保护标准的防护措施的；</w:t>
            </w:r>
          </w:p>
          <w:p>
            <w:pPr>
              <w:widowControl/>
              <w:kinsoku w:val="0"/>
              <w:autoSpaceDE w:val="0"/>
              <w:autoSpaceDN w:val="0"/>
              <w:adjustRightInd w:val="0"/>
              <w:snapToGrid w:val="0"/>
              <w:jc w:val="left"/>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6"/>
                <w:kern w:val="0"/>
                <w:szCs w:val="21"/>
              </w:rPr>
              <w:t>有</w:t>
            </w:r>
            <w:r>
              <w:rPr>
                <w:rFonts w:hint="eastAsia" w:ascii="宋体" w:hAnsi="宋体" w:cs="宋体"/>
                <w:snapToGrid w:val="0"/>
                <w:color w:val="000000"/>
                <w:spacing w:val="6"/>
                <w:kern w:val="0"/>
                <w:szCs w:val="21"/>
              </w:rPr>
              <w:t>前款第二项、第三项、第四项、第五项、第六项、第九项、第十项、第十一项行为之一</w:t>
            </w:r>
            <w:r>
              <w:rPr>
                <w:rFonts w:hint="eastAsia" w:ascii="宋体" w:hAnsi="宋体" w:cs="宋体"/>
                <w:snapToGrid w:val="0"/>
                <w:color w:val="000000"/>
                <w:spacing w:val="-6"/>
                <w:kern w:val="0"/>
                <w:szCs w:val="21"/>
              </w:rPr>
              <w:t>，处十万元以上一百万元以下的罚款；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24</w:t>
            </w:r>
          </w:p>
        </w:tc>
        <w:tc>
          <w:tcPr>
            <w:tcW w:w="5336" w:type="dxa"/>
            <w:noWrap w:val="0"/>
            <w:vAlign w:val="center"/>
          </w:tcPr>
          <w:p>
            <w:pPr>
              <w:widowControl/>
              <w:kinsoku w:val="0"/>
              <w:autoSpaceDE w:val="0"/>
              <w:autoSpaceDN w:val="0"/>
              <w:adjustRightInd w:val="0"/>
              <w:snapToGrid w:val="0"/>
              <w:spacing w:line="243" w:lineRule="auto"/>
              <w:ind w:left="51" w:right="28"/>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六个月内初次发现经监测超过许可浓度排放污染物，常规污染物单因子超标倍数小于等于0.2倍，或者噪声超标在5分贝以内，24小时内完成整改并达标排放的</w:t>
            </w:r>
          </w:p>
        </w:tc>
        <w:tc>
          <w:tcPr>
            <w:tcW w:w="7939" w:type="dxa"/>
            <w:noWrap w:val="0"/>
            <w:vAlign w:val="top"/>
          </w:tcPr>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ascii="宋体" w:hAnsi="宋体" w:cs="宋体"/>
              </w:rPr>
              <w:t>1.</w:t>
            </w:r>
            <w:r>
              <w:rPr>
                <w:rFonts w:hint="eastAsia"/>
              </w:rPr>
              <w:t xml:space="preserve">《中华人民共和国大气污染防治法》第九十九条   </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insoku w:val="0"/>
              <w:autoSpaceDE w:val="0"/>
              <w:autoSpaceDN w:val="0"/>
              <w:adjustRightInd w:val="0"/>
              <w:snapToGrid w:val="0"/>
              <w:spacing w:before="30" w:line="300" w:lineRule="exact"/>
              <w:ind w:right="51"/>
              <w:jc w:val="left"/>
              <w:textAlignment w:val="baseline"/>
              <w:rPr>
                <w:rFonts w:hint="eastAsia" w:ascii="宋体" w:hAnsi="宋体" w:cs="宋体"/>
                <w:b/>
                <w:bCs/>
                <w:snapToGrid w:val="0"/>
                <w:color w:val="000000"/>
                <w:spacing w:val="2"/>
                <w:kern w:val="0"/>
                <w:szCs w:val="21"/>
              </w:rPr>
            </w:pPr>
            <w:r>
              <w:rPr>
                <w:rFonts w:hint="eastAsia" w:ascii="宋体" w:hAnsi="宋体" w:cs="宋体"/>
                <w:b/>
                <w:bCs/>
                <w:snapToGrid w:val="0"/>
                <w:color w:val="000000"/>
                <w:spacing w:val="2"/>
                <w:kern w:val="0"/>
                <w:szCs w:val="21"/>
              </w:rPr>
              <w:t>（只含本规定中对超标排放大气污染物的处罚）</w:t>
            </w:r>
          </w:p>
          <w:p>
            <w:pPr>
              <w:pStyle w:val="5"/>
              <w:rPr>
                <w:rFonts w:hint="eastAsia"/>
              </w:rPr>
            </w:pP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ascii="宋体" w:hAnsi="宋体" w:cs="宋体"/>
              </w:rPr>
              <w:t>2.</w:t>
            </w:r>
            <w:r>
              <w:rPr>
                <w:rFonts w:hint="eastAsia"/>
              </w:rPr>
              <w:t xml:space="preserve">《河北省大气污染防治条例》第七十八条   </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widowControl/>
              <w:kinsoku w:val="0"/>
              <w:autoSpaceDE w:val="0"/>
              <w:autoSpaceDN w:val="0"/>
              <w:snapToGrid w:val="0"/>
              <w:textAlignment w:val="baseline"/>
              <w:rPr>
                <w:rFonts w:hint="eastAsia"/>
              </w:rPr>
            </w:pPr>
            <w:r>
              <w:rPr>
                <w:rFonts w:hint="eastAsia" w:ascii="宋体" w:hAnsi="宋体" w:cs="宋体"/>
                <w:b/>
                <w:bCs/>
                <w:snapToGrid w:val="0"/>
                <w:color w:val="000000"/>
                <w:spacing w:val="2"/>
                <w:kern w:val="0"/>
                <w:szCs w:val="21"/>
              </w:rPr>
              <w:t>（只含本规定中对超标排放大气污染物的处罚）</w:t>
            </w:r>
          </w:p>
          <w:p>
            <w:pPr>
              <w:widowControl/>
              <w:kinsoku w:val="0"/>
              <w:autoSpaceDE w:val="0"/>
              <w:autoSpaceDN w:val="0"/>
              <w:snapToGrid w:val="0"/>
              <w:ind w:firstLine="420" w:firstLineChars="200"/>
              <w:textAlignment w:val="baseline"/>
              <w:rPr>
                <w:rFonts w:hint="eastAsia"/>
              </w:rPr>
            </w:pP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ascii="宋体" w:hAnsi="宋体" w:cs="宋体"/>
              </w:rPr>
              <w:t>3.</w:t>
            </w:r>
            <w:r>
              <w:rPr>
                <w:rFonts w:hint="eastAsia"/>
              </w:rPr>
              <w:t xml:space="preserve">《中华人民共和国水污染防治法》第八十三条 </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（二）超过水污染物排放标准或者超过重点水污染物排放总量控制指标排放水污染物的；</w:t>
            </w:r>
          </w:p>
          <w:p>
            <w:pPr>
              <w:kinsoku w:val="0"/>
              <w:autoSpaceDE w:val="0"/>
              <w:autoSpaceDN w:val="0"/>
              <w:adjustRightInd w:val="0"/>
              <w:snapToGrid w:val="0"/>
              <w:spacing w:before="30" w:line="300" w:lineRule="exact"/>
              <w:ind w:right="51"/>
              <w:jc w:val="left"/>
              <w:textAlignment w:val="baseline"/>
              <w:rPr>
                <w:rFonts w:hint="eastAsia" w:ascii="宋体" w:hAnsi="宋体" w:cs="宋体"/>
                <w:b/>
                <w:bCs/>
                <w:snapToGrid w:val="0"/>
                <w:color w:val="000000"/>
                <w:spacing w:val="2"/>
                <w:kern w:val="0"/>
                <w:szCs w:val="21"/>
              </w:rPr>
            </w:pPr>
            <w:r>
              <w:rPr>
                <w:rFonts w:hint="eastAsia" w:ascii="宋体" w:hAnsi="宋体" w:cs="宋体"/>
                <w:b/>
                <w:bCs/>
                <w:snapToGrid w:val="0"/>
                <w:color w:val="000000"/>
                <w:spacing w:val="2"/>
                <w:kern w:val="0"/>
                <w:szCs w:val="21"/>
              </w:rPr>
              <w:t>（只含本规定中对超标排放水污染物的处罚）</w:t>
            </w:r>
          </w:p>
          <w:p>
            <w:pPr>
              <w:widowControl/>
              <w:kinsoku w:val="0"/>
              <w:autoSpaceDE w:val="0"/>
              <w:autoSpaceDN w:val="0"/>
              <w:snapToGrid w:val="0"/>
              <w:ind w:firstLine="420" w:firstLineChars="200"/>
              <w:textAlignment w:val="baseline"/>
              <w:rPr>
                <w:rFonts w:hint="eastAsia"/>
              </w:rPr>
            </w:pP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ascii="宋体" w:hAnsi="宋体" w:cs="宋体"/>
              </w:rPr>
              <w:t>4.</w:t>
            </w:r>
            <w:r>
              <w:rPr>
                <w:rFonts w:hint="eastAsia"/>
              </w:rPr>
              <w:t xml:space="preserve">《河北省水污染防治条例》第七十条   </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违反本条例规定，有下列行为之一的，由环境保护主管部门责令改正或者责令限制生产、停产整治，并处二十万元以上一百万元以下的罚款；情节严重的，报经有批准权的人民政府批准，责令停业、关闭：</w:t>
            </w:r>
          </w:p>
          <w:p>
            <w:pPr>
              <w:widowControl/>
              <w:kinsoku w:val="0"/>
              <w:autoSpaceDE w:val="0"/>
              <w:autoSpaceDN w:val="0"/>
              <w:snapToGrid w:val="0"/>
              <w:ind w:firstLine="420" w:firstLineChars="200"/>
              <w:textAlignment w:val="baseline"/>
              <w:rPr>
                <w:rFonts w:hint="eastAsia"/>
              </w:rPr>
            </w:pPr>
            <w:r>
              <w:rPr>
                <w:rFonts w:hint="eastAsia"/>
              </w:rPr>
              <w:t>（一）超过水污染物排放标准或者超过重点水污染物排放总量控制指标排放水污染物的；</w:t>
            </w:r>
          </w:p>
          <w:p>
            <w:pPr>
              <w:kinsoku w:val="0"/>
              <w:autoSpaceDE w:val="0"/>
              <w:autoSpaceDN w:val="0"/>
              <w:adjustRightInd w:val="0"/>
              <w:snapToGrid w:val="0"/>
              <w:spacing w:before="30" w:line="300" w:lineRule="exact"/>
              <w:ind w:right="51"/>
              <w:jc w:val="left"/>
              <w:textAlignment w:val="baseline"/>
              <w:rPr>
                <w:rFonts w:hint="eastAsia" w:ascii="Times New Roman" w:hAnsi="Times New Roman"/>
              </w:rPr>
            </w:pPr>
            <w:r>
              <w:rPr>
                <w:rFonts w:hint="eastAsia" w:ascii="宋体" w:hAnsi="宋体" w:cs="宋体"/>
                <w:b/>
                <w:bCs/>
                <w:snapToGrid w:val="0"/>
                <w:color w:val="000000"/>
                <w:spacing w:val="2"/>
                <w:kern w:val="0"/>
                <w:szCs w:val="21"/>
              </w:rPr>
              <w:t>（只含本规定中对超标排放水污染物的处罚）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25</w:t>
            </w:r>
          </w:p>
        </w:tc>
        <w:tc>
          <w:tcPr>
            <w:tcW w:w="5336" w:type="dxa"/>
            <w:noWrap w:val="0"/>
            <w:vAlign w:val="center"/>
          </w:tcPr>
          <w:p>
            <w:pPr>
              <w:widowControl/>
              <w:kinsoku w:val="0"/>
              <w:autoSpaceDE w:val="0"/>
              <w:autoSpaceDN w:val="0"/>
              <w:adjustRightInd w:val="0"/>
              <w:snapToGrid w:val="0"/>
              <w:spacing w:line="243" w:lineRule="auto"/>
              <w:ind w:left="51" w:right="28"/>
              <w:textAlignment w:val="baseline"/>
              <w:rPr>
                <w:rFonts w:hint="eastAsia" w:ascii="宋体" w:hAnsi="宋体" w:cs="宋体"/>
                <w:snapToGrid w:val="0"/>
                <w:color w:val="000000"/>
                <w:kern w:val="0"/>
                <w:szCs w:val="21"/>
              </w:rPr>
            </w:pPr>
            <w:r>
              <w:rPr>
                <w:rFonts w:hint="eastAsia" w:ascii="宋体" w:hAnsi="宋体" w:cs="宋体"/>
                <w:snapToGrid w:val="0"/>
                <w:color w:val="000000"/>
                <w:spacing w:val="2"/>
                <w:kern w:val="0"/>
                <w:szCs w:val="21"/>
              </w:rPr>
              <w:t>一年内初次发现经监测超过许可浓度排放污染物，常规污染物单因子超标倍数小于等于0.3倍，24小时内完成整改并达标排放的</w:t>
            </w:r>
          </w:p>
        </w:tc>
        <w:tc>
          <w:tcPr>
            <w:tcW w:w="7939" w:type="dxa"/>
            <w:noWrap w:val="0"/>
            <w:vAlign w:val="top"/>
          </w:tcPr>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ascii="宋体" w:hAnsi="宋体" w:cs="宋体"/>
              </w:rPr>
              <w:t>1.</w:t>
            </w:r>
            <w:r>
              <w:rPr>
                <w:rFonts w:hint="eastAsia"/>
              </w:rPr>
              <w:t xml:space="preserve">《中华人民共和国大气污染防治法》第九十九条   </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insoku w:val="0"/>
              <w:autoSpaceDE w:val="0"/>
              <w:autoSpaceDN w:val="0"/>
              <w:adjustRightInd w:val="0"/>
              <w:snapToGrid w:val="0"/>
              <w:spacing w:before="30" w:line="300" w:lineRule="exact"/>
              <w:ind w:right="51"/>
              <w:jc w:val="left"/>
              <w:textAlignment w:val="baseline"/>
              <w:rPr>
                <w:rFonts w:hint="eastAsia" w:ascii="宋体" w:hAnsi="宋体" w:cs="宋体"/>
                <w:b/>
                <w:bCs/>
                <w:snapToGrid w:val="0"/>
                <w:color w:val="000000"/>
                <w:spacing w:val="2"/>
                <w:kern w:val="0"/>
                <w:szCs w:val="21"/>
              </w:rPr>
            </w:pPr>
            <w:r>
              <w:rPr>
                <w:rFonts w:hint="eastAsia" w:ascii="宋体" w:hAnsi="宋体" w:cs="宋体"/>
                <w:b/>
                <w:bCs/>
                <w:snapToGrid w:val="0"/>
                <w:color w:val="000000"/>
                <w:spacing w:val="2"/>
                <w:kern w:val="0"/>
                <w:szCs w:val="21"/>
              </w:rPr>
              <w:t>（只含本规定中对超标排放大气污染物的处罚）</w:t>
            </w:r>
          </w:p>
          <w:p>
            <w:pPr>
              <w:pStyle w:val="5"/>
              <w:rPr>
                <w:rFonts w:hint="eastAsia"/>
              </w:rPr>
            </w:pP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ascii="宋体" w:hAnsi="宋体" w:cs="宋体"/>
              </w:rPr>
              <w:t>2.</w:t>
            </w:r>
            <w:r>
              <w:rPr>
                <w:rFonts w:hint="eastAsia"/>
              </w:rPr>
              <w:t xml:space="preserve">《河北省大气污染防治条例》第七十八条   </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55"/>
              <w:widowControl/>
              <w:kinsoku w:val="0"/>
              <w:autoSpaceDE w:val="0"/>
              <w:autoSpaceDN w:val="0"/>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widowControl/>
              <w:kinsoku w:val="0"/>
              <w:autoSpaceDE w:val="0"/>
              <w:autoSpaceDN w:val="0"/>
              <w:snapToGrid w:val="0"/>
              <w:textAlignment w:val="baseline"/>
              <w:rPr>
                <w:rFonts w:hint="eastAsia"/>
              </w:rPr>
            </w:pPr>
            <w:r>
              <w:rPr>
                <w:rFonts w:hint="eastAsia" w:ascii="宋体" w:hAnsi="宋体" w:cs="宋体"/>
                <w:b/>
                <w:bCs/>
                <w:snapToGrid w:val="0"/>
                <w:color w:val="000000"/>
                <w:spacing w:val="2"/>
                <w:kern w:val="0"/>
                <w:szCs w:val="21"/>
              </w:rPr>
              <w:t>（只含本规定中对超标排放大气污染物的处罚）</w:t>
            </w:r>
          </w:p>
          <w:p>
            <w:pPr>
              <w:widowControl/>
              <w:kinsoku w:val="0"/>
              <w:autoSpaceDE w:val="0"/>
              <w:autoSpaceDN w:val="0"/>
              <w:snapToGrid w:val="0"/>
              <w:ind w:firstLine="420" w:firstLineChars="200"/>
              <w:textAlignment w:val="baseline"/>
              <w:rPr>
                <w:rFonts w:hint="eastAsia"/>
              </w:rPr>
            </w:pP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ascii="宋体" w:hAnsi="宋体" w:cs="宋体"/>
              </w:rPr>
              <w:t>3.</w:t>
            </w:r>
            <w:r>
              <w:rPr>
                <w:rFonts w:hint="eastAsia"/>
              </w:rPr>
              <w:t xml:space="preserve">《中华人民共和国水污染防治法》第八十三条 </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（二）超过水污染物排放标准或者超过重点水污染物排放总量控制指标排放水污染物的；</w:t>
            </w:r>
          </w:p>
          <w:p>
            <w:pPr>
              <w:kinsoku w:val="0"/>
              <w:autoSpaceDE w:val="0"/>
              <w:autoSpaceDN w:val="0"/>
              <w:adjustRightInd w:val="0"/>
              <w:snapToGrid w:val="0"/>
              <w:spacing w:before="30" w:line="300" w:lineRule="exact"/>
              <w:ind w:right="51"/>
              <w:jc w:val="left"/>
              <w:textAlignment w:val="baseline"/>
              <w:rPr>
                <w:rFonts w:hint="eastAsia" w:ascii="宋体" w:hAnsi="宋体" w:cs="宋体"/>
                <w:b/>
                <w:bCs/>
                <w:snapToGrid w:val="0"/>
                <w:color w:val="000000"/>
                <w:spacing w:val="2"/>
                <w:kern w:val="0"/>
                <w:szCs w:val="21"/>
              </w:rPr>
            </w:pPr>
            <w:r>
              <w:rPr>
                <w:rFonts w:hint="eastAsia" w:ascii="宋体" w:hAnsi="宋体" w:cs="宋体"/>
                <w:b/>
                <w:bCs/>
                <w:snapToGrid w:val="0"/>
                <w:color w:val="000000"/>
                <w:spacing w:val="2"/>
                <w:kern w:val="0"/>
                <w:szCs w:val="21"/>
              </w:rPr>
              <w:t>（只含本规定中对超标排放水污染物的处罚）</w:t>
            </w:r>
          </w:p>
          <w:p>
            <w:pPr>
              <w:widowControl/>
              <w:kinsoku w:val="0"/>
              <w:autoSpaceDE w:val="0"/>
              <w:autoSpaceDN w:val="0"/>
              <w:snapToGrid w:val="0"/>
              <w:ind w:firstLine="420" w:firstLineChars="200"/>
              <w:textAlignment w:val="baseline"/>
              <w:rPr>
                <w:rFonts w:hint="eastAsia"/>
              </w:rPr>
            </w:pP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ascii="宋体" w:hAnsi="宋体" w:cs="宋体"/>
              </w:rPr>
              <w:t>4.</w:t>
            </w:r>
            <w:r>
              <w:rPr>
                <w:rFonts w:hint="eastAsia"/>
              </w:rPr>
              <w:t xml:space="preserve">《河北省水污染防治条例》第七十条   </w:t>
            </w:r>
          </w:p>
          <w:p>
            <w:pPr>
              <w:pStyle w:val="55"/>
              <w:widowControl/>
              <w:kinsoku w:val="0"/>
              <w:autoSpaceDE w:val="0"/>
              <w:autoSpaceDN w:val="0"/>
              <w:snapToGrid w:val="0"/>
              <w:spacing w:line="270" w:lineRule="exact"/>
              <w:ind w:left="51" w:right="51" w:firstLine="420" w:firstLineChars="200"/>
              <w:textAlignment w:val="baseline"/>
              <w:rPr>
                <w:rFonts w:hint="eastAsia"/>
              </w:rPr>
            </w:pPr>
            <w:r>
              <w:rPr>
                <w:rFonts w:hint="eastAsia"/>
              </w:rPr>
              <w:t>违反本条例规定，有下列行为之一的，由环境保护主管部门责令改正或者责令限制生产、停产整治，并处二十万元以上一百万元以下的罚款；情节严重的，报经有批准权的人民政府批准，责令停业、关闭：</w:t>
            </w:r>
          </w:p>
          <w:p>
            <w:pPr>
              <w:widowControl/>
              <w:kinsoku w:val="0"/>
              <w:autoSpaceDE w:val="0"/>
              <w:autoSpaceDN w:val="0"/>
              <w:snapToGrid w:val="0"/>
              <w:ind w:firstLine="420" w:firstLineChars="200"/>
              <w:textAlignment w:val="baseline"/>
              <w:rPr>
                <w:rFonts w:hint="eastAsia"/>
              </w:rPr>
            </w:pPr>
            <w:r>
              <w:rPr>
                <w:rFonts w:hint="eastAsia"/>
              </w:rPr>
              <w:t>（一）超过水污染物排放标准或者超过重点水污染物排放总量控制指标排放水污染物的；</w:t>
            </w:r>
          </w:p>
          <w:p>
            <w:pPr>
              <w:widowControl/>
              <w:kinsoku w:val="0"/>
              <w:autoSpaceDE w:val="0"/>
              <w:autoSpaceDN w:val="0"/>
              <w:adjustRightInd w:val="0"/>
              <w:snapToGrid w:val="0"/>
              <w:jc w:val="left"/>
              <w:textAlignment w:val="baseline"/>
              <w:rPr>
                <w:rFonts w:hint="eastAsia" w:ascii="宋体" w:hAnsi="宋体" w:cs="宋体"/>
                <w:snapToGrid w:val="0"/>
                <w:color w:val="000000"/>
                <w:spacing w:val="2"/>
                <w:kern w:val="0"/>
                <w:szCs w:val="21"/>
              </w:rPr>
            </w:pPr>
            <w:r>
              <w:rPr>
                <w:rFonts w:hint="eastAsia" w:ascii="宋体" w:hAnsi="宋体" w:cs="宋体"/>
                <w:b/>
                <w:bCs/>
                <w:snapToGrid w:val="0"/>
                <w:color w:val="000000"/>
                <w:spacing w:val="2"/>
                <w:kern w:val="0"/>
                <w:szCs w:val="21"/>
              </w:rPr>
              <w:t>（只含本规定中对超标排放水污染物的处罚）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widowControl/>
              <w:kinsoku w:val="0"/>
              <w:autoSpaceDE w:val="0"/>
              <w:autoSpaceDN w:val="0"/>
              <w:adjustRightInd w:val="0"/>
              <w:snapToGrid w:val="0"/>
              <w:spacing w:before="91" w:line="186" w:lineRule="auto"/>
              <w:jc w:val="center"/>
              <w:textAlignment w:val="baseline"/>
              <w:rPr>
                <w:rFonts w:ascii="宋体" w:hAnsi="宋体" w:cs="宋体"/>
                <w:snapToGrid w:val="0"/>
                <w:color w:val="000000"/>
                <w:kern w:val="0"/>
                <w:szCs w:val="21"/>
              </w:rPr>
            </w:pPr>
            <w:r>
              <w:rPr>
                <w:rFonts w:hint="eastAsia" w:ascii="宋体" w:hAnsi="宋体" w:cs="宋体"/>
                <w:snapToGrid w:val="0"/>
                <w:color w:val="000000"/>
                <w:kern w:val="0"/>
                <w:szCs w:val="21"/>
              </w:rPr>
              <w:t>26</w:t>
            </w:r>
          </w:p>
        </w:tc>
        <w:tc>
          <w:tcPr>
            <w:tcW w:w="5336" w:type="dxa"/>
            <w:noWrap w:val="0"/>
            <w:vAlign w:val="center"/>
          </w:tcPr>
          <w:p>
            <w:pPr>
              <w:widowControl/>
              <w:kinsoku w:val="0"/>
              <w:autoSpaceDE w:val="0"/>
              <w:autoSpaceDN w:val="0"/>
              <w:adjustRightInd w:val="0"/>
              <w:snapToGrid w:val="0"/>
              <w:spacing w:line="243" w:lineRule="auto"/>
              <w:ind w:right="28"/>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其他违法行为轻微并及时纠正，没有造成环境污染后果的情形，不予行政处罚</w:t>
            </w:r>
          </w:p>
          <w:p>
            <w:pPr>
              <w:widowControl/>
              <w:kinsoku w:val="0"/>
              <w:autoSpaceDE w:val="0"/>
              <w:autoSpaceDN w:val="0"/>
              <w:adjustRightInd w:val="0"/>
              <w:snapToGrid w:val="0"/>
              <w:spacing w:line="243" w:lineRule="auto"/>
              <w:ind w:right="28"/>
              <w:textAlignment w:val="baseline"/>
              <w:rPr>
                <w:rFonts w:hint="eastAsia" w:ascii="宋体" w:hAnsi="宋体" w:cs="宋体"/>
                <w:snapToGrid w:val="0"/>
                <w:color w:val="000000"/>
                <w:spacing w:val="2"/>
                <w:kern w:val="0"/>
                <w:szCs w:val="21"/>
              </w:rPr>
            </w:pPr>
            <w:r>
              <w:rPr>
                <w:rFonts w:hint="eastAsia" w:ascii="宋体" w:hAnsi="宋体" w:cs="宋体"/>
                <w:snapToGrid w:val="0"/>
                <w:color w:val="000000"/>
                <w:spacing w:val="2"/>
                <w:kern w:val="0"/>
                <w:szCs w:val="21"/>
              </w:rPr>
              <w:t>其他初次违法且危害后果轻微并及时改正的情形，可以不予行政处罚</w:t>
            </w:r>
          </w:p>
        </w:tc>
        <w:tc>
          <w:tcPr>
            <w:tcW w:w="7939" w:type="dxa"/>
            <w:noWrap w:val="0"/>
            <w:vAlign w:val="top"/>
          </w:tcPr>
          <w:p>
            <w:pPr>
              <w:widowControl/>
              <w:kinsoku w:val="0"/>
              <w:autoSpaceDE w:val="0"/>
              <w:autoSpaceDN w:val="0"/>
              <w:adjustRightInd w:val="0"/>
              <w:snapToGrid w:val="0"/>
              <w:jc w:val="left"/>
              <w:textAlignment w:val="baseline"/>
              <w:rPr>
                <w:rFonts w:hint="eastAsia" w:ascii="宋体" w:hAnsi="宋体" w:cs="宋体"/>
                <w:b/>
                <w:bCs/>
                <w:snapToGrid w:val="0"/>
                <w:color w:val="000000"/>
                <w:spacing w:val="2"/>
                <w:kern w:val="0"/>
                <w:szCs w:val="21"/>
              </w:rPr>
            </w:pPr>
          </w:p>
        </w:tc>
      </w:tr>
    </w:tbl>
    <w:p>
      <w:pPr>
        <w:spacing w:line="600" w:lineRule="exact"/>
        <w:jc w:val="center"/>
        <w:rPr>
          <w:rFonts w:ascii="方正小标宋_GBK" w:hAnsi="方正小标宋_GBK" w:eastAsia="方正小标宋_GBK" w:cs="方正小标宋_GBK"/>
          <w:color w:val="000000"/>
          <w:kern w:val="0"/>
          <w:sz w:val="44"/>
          <w:szCs w:val="44"/>
        </w:rPr>
      </w:pPr>
      <w:r>
        <w:br w:type="page"/>
      </w:r>
      <w:r>
        <w:rPr>
          <w:rFonts w:hint="eastAsia" w:ascii="方正小标宋简体" w:hAnsi="方正小标宋简体" w:eastAsia="方正小标宋简体" w:cs="方正小标宋简体"/>
          <w:color w:val="000000"/>
          <w:kern w:val="0"/>
          <w:sz w:val="44"/>
          <w:szCs w:val="44"/>
        </w:rPr>
        <w:t>唐山市生态环境不予行政强制事项清单</w:t>
      </w:r>
    </w:p>
    <w:tbl>
      <w:tblPr>
        <w:tblStyle w:val="9"/>
        <w:tblW w:w="0" w:type="auto"/>
        <w:jc w:val="center"/>
        <w:tblLayout w:type="fixed"/>
        <w:tblCellMar>
          <w:top w:w="0" w:type="dxa"/>
          <w:left w:w="108" w:type="dxa"/>
          <w:bottom w:w="0" w:type="dxa"/>
          <w:right w:w="108" w:type="dxa"/>
        </w:tblCellMar>
      </w:tblPr>
      <w:tblGrid>
        <w:gridCol w:w="417"/>
        <w:gridCol w:w="1729"/>
        <w:gridCol w:w="3747"/>
        <w:gridCol w:w="3440"/>
        <w:gridCol w:w="2400"/>
        <w:gridCol w:w="2439"/>
      </w:tblGrid>
      <w:tr>
        <w:tblPrEx>
          <w:tblCellMar>
            <w:top w:w="0" w:type="dxa"/>
            <w:left w:w="108" w:type="dxa"/>
            <w:bottom w:w="0" w:type="dxa"/>
            <w:right w:w="108" w:type="dxa"/>
          </w:tblCellMar>
        </w:tblPrEx>
        <w:trPr>
          <w:trHeight w:val="620" w:hRule="atLeast"/>
          <w:tblHeader/>
          <w:jc w:val="center"/>
        </w:trPr>
        <w:tc>
          <w:tcPr>
            <w:tcW w:w="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rPr>
              <w:t>序号</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20"/>
                <w:szCs w:val="20"/>
              </w:rPr>
            </w:pPr>
            <w:r>
              <w:rPr>
                <w:rFonts w:hint="eastAsia" w:ascii="黑体" w:hAnsi="宋体" w:eastAsia="黑体" w:cs="黑体"/>
                <w:b/>
                <w:bCs/>
                <w:color w:val="000000"/>
                <w:kern w:val="0"/>
                <w:sz w:val="20"/>
                <w:szCs w:val="20"/>
              </w:rPr>
              <w:t>强制事项</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20"/>
                <w:szCs w:val="20"/>
              </w:rPr>
            </w:pPr>
            <w:r>
              <w:rPr>
                <w:rFonts w:hint="eastAsia" w:ascii="黑体" w:hAnsi="宋体" w:eastAsia="黑体" w:cs="黑体"/>
                <w:b/>
                <w:bCs/>
                <w:color w:val="000000"/>
                <w:kern w:val="0"/>
                <w:sz w:val="20"/>
                <w:szCs w:val="20"/>
              </w:rPr>
              <w:t>法 定 依 据</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20"/>
                <w:szCs w:val="20"/>
              </w:rPr>
            </w:pPr>
            <w:r>
              <w:rPr>
                <w:rFonts w:hint="eastAsia" w:ascii="黑体" w:hAnsi="宋体" w:eastAsia="黑体" w:cs="黑体"/>
                <w:b/>
                <w:bCs/>
                <w:color w:val="000000"/>
                <w:kern w:val="0"/>
                <w:sz w:val="20"/>
                <w:szCs w:val="20"/>
              </w:rPr>
              <w:t>适用条件</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强制方式</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color w:val="000000"/>
                <w:kern w:val="0"/>
                <w:sz w:val="20"/>
                <w:szCs w:val="20"/>
              </w:rPr>
            </w:pPr>
            <w:r>
              <w:rPr>
                <w:rFonts w:hint="eastAsia" w:ascii="黑体" w:hAnsi="宋体" w:eastAsia="黑体" w:cs="黑体"/>
                <w:b/>
                <w:bCs/>
                <w:color w:val="000000"/>
                <w:kern w:val="0"/>
                <w:sz w:val="20"/>
                <w:szCs w:val="20"/>
              </w:rPr>
              <w:t>强制权限</w:t>
            </w:r>
          </w:p>
        </w:tc>
      </w:tr>
      <w:tr>
        <w:tblPrEx>
          <w:tblCellMar>
            <w:top w:w="0" w:type="dxa"/>
            <w:left w:w="108" w:type="dxa"/>
            <w:bottom w:w="0" w:type="dxa"/>
            <w:right w:w="108" w:type="dxa"/>
          </w:tblCellMar>
        </w:tblPrEx>
        <w:trPr>
          <w:trHeight w:val="2907" w:hRule="atLeast"/>
          <w:jc w:val="center"/>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对违法收集、贮存、运输、利用、处置的固体废物及设施、设备、场所、工具、物品的行政强制</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《中华人民共和国固体废物污染环境防治法》（2020年4月29日修订，2020年9月1日实施）第二十七条 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可能但尚未造成环境严重污染，限期内及时改正违法行为，且符合以下情形之一的，不予实施查封、扣押:(1)涉及固体废物属于危险废物数量小于0.1吨或者危险废物独立包装小于等于2个的;(2)涉及固体废物属于一般工业固体废物且涉及量5吨以下的。</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查封、扣押</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省级,市级,县级</w:t>
            </w:r>
          </w:p>
        </w:tc>
      </w:tr>
      <w:tr>
        <w:tblPrEx>
          <w:tblCellMar>
            <w:top w:w="0" w:type="dxa"/>
            <w:left w:w="108" w:type="dxa"/>
            <w:bottom w:w="0" w:type="dxa"/>
            <w:right w:w="108" w:type="dxa"/>
          </w:tblCellMar>
        </w:tblPrEx>
        <w:trPr>
          <w:trHeight w:val="2557" w:hRule="atLeast"/>
          <w:jc w:val="center"/>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对违法排放大气污染物，造成或者可能造成严重大气污染，或者有关证据可能灭失或者被隐匿的行政强制</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华人民共和国大气污染防治法》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可能但尚未造成环境严重污染，立即停止违法行为，且同时满足以下条件的，不予实施查封、扣押:</w:t>
            </w:r>
          </w:p>
          <w:p>
            <w:pPr>
              <w:widowControl/>
              <w:jc w:val="left"/>
              <w:textAlignment w:val="center"/>
              <w:rPr>
                <w:rStyle w:val="26"/>
                <w:rFonts w:hint="default"/>
              </w:rPr>
            </w:pPr>
            <w:r>
              <w:rPr>
                <w:rStyle w:val="26"/>
                <w:rFonts w:hint="default"/>
              </w:rPr>
              <w:t>(1)排放的污染物不属于有毒有害物质;</w:t>
            </w:r>
          </w:p>
          <w:p>
            <w:pPr>
              <w:widowControl/>
              <w:jc w:val="left"/>
              <w:textAlignment w:val="center"/>
              <w:rPr>
                <w:rStyle w:val="26"/>
                <w:rFonts w:hint="default"/>
              </w:rPr>
            </w:pPr>
            <w:r>
              <w:rPr>
                <w:rStyle w:val="26"/>
                <w:rFonts w:hint="default"/>
              </w:rPr>
              <w:t>(2)按相关规定已依法办理环评手续;</w:t>
            </w:r>
          </w:p>
          <w:p>
            <w:pPr>
              <w:widowControl/>
              <w:jc w:val="left"/>
              <w:textAlignment w:val="center"/>
              <w:rPr>
                <w:rFonts w:hint="eastAsia" w:ascii="宋体" w:hAnsi="宋体" w:cs="宋体"/>
                <w:color w:val="000000"/>
                <w:sz w:val="20"/>
                <w:szCs w:val="20"/>
              </w:rPr>
            </w:pPr>
            <w:r>
              <w:rPr>
                <w:rStyle w:val="26"/>
                <w:rFonts w:hint="default"/>
              </w:rPr>
              <w:t>(3)排放污染物所在区域不属于限批区、环境敏感区或特别控制区。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查封、扣押</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省级,市级</w:t>
            </w:r>
          </w:p>
        </w:tc>
      </w:tr>
      <w:tr>
        <w:tblPrEx>
          <w:tblCellMar>
            <w:top w:w="0" w:type="dxa"/>
            <w:left w:w="108" w:type="dxa"/>
            <w:bottom w:w="0" w:type="dxa"/>
            <w:right w:w="108" w:type="dxa"/>
          </w:tblCellMar>
        </w:tblPrEx>
        <w:trPr>
          <w:trHeight w:val="2249" w:hRule="atLeast"/>
          <w:jc w:val="center"/>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3</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对违法排放污染物造成或者可能造成严重污染的行政强制</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可能但尚未造成环境严重污染，立即停止违法行为，且同时满足以下条件的，不予实施查封、扣押:</w:t>
            </w:r>
          </w:p>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(1)排放的污染物不属于有毒有害物质;</w:t>
            </w:r>
          </w:p>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(2)按相关规定已依法办理环评手续;</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(3)排放污染物所在区域不属于限批区、环境敏感区或特别控制区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查封、扣押</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省级,市级</w:t>
            </w:r>
          </w:p>
        </w:tc>
      </w:tr>
      <w:tr>
        <w:tblPrEx>
          <w:tblCellMar>
            <w:top w:w="0" w:type="dxa"/>
            <w:left w:w="108" w:type="dxa"/>
            <w:bottom w:w="0" w:type="dxa"/>
            <w:right w:w="108" w:type="dxa"/>
          </w:tblCellMar>
        </w:tblPrEx>
        <w:trPr>
          <w:trHeight w:val="1988" w:hRule="atLeast"/>
          <w:jc w:val="center"/>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4</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对违法生产、销售、使用进出口的消耗臭氧层物质的单位及其生产设备、设施、原料及产品的行政强制（情节）</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消耗臭氧层物质管理条例》（2010年6月1日实施）第二十六条第一款第五项：县级以上人民政府环境保护主管部门和其他有关部门进行监督检查,有权采取下列措施:(五)扣押、查封违法生产、销售、使用、进出口的消耗臭氧层物质及其生产设备、设施、原料及产品。</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未造成危害后果，且立即改正或者在责令限期内改正</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查封、扣押</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省级,市级</w:t>
            </w:r>
          </w:p>
        </w:tc>
      </w:tr>
      <w:tr>
        <w:tblPrEx>
          <w:tblCellMar>
            <w:top w:w="0" w:type="dxa"/>
            <w:left w:w="108" w:type="dxa"/>
            <w:bottom w:w="0" w:type="dxa"/>
            <w:right w:w="108" w:type="dxa"/>
          </w:tblCellMar>
        </w:tblPrEx>
        <w:trPr>
          <w:trHeight w:val="1557" w:hRule="atLeast"/>
          <w:jc w:val="center"/>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5</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对涉嫌违反《医疗废物管理条例》规定的场所、设备、运输工具和物品的行政强制</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《医疗废物管理条例》第三十九条第四项：卫生行政主管部门、环境保护行政主管部门履行监督检查职责时,有权采取下列措施:(四)查封或者暂扣涉嫌违反本条例规定的场所、设备、运输工具和物品。</w:t>
            </w:r>
          </w:p>
        </w:tc>
        <w:tc>
          <w:tcPr>
            <w:tcW w:w="3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未造成危害后果，且立即改正或者在责令限期内改正</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查封、扣押</w:t>
            </w:r>
          </w:p>
        </w:tc>
        <w:tc>
          <w:tcPr>
            <w:tcW w:w="2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省级,市级，县级</w:t>
            </w:r>
          </w:p>
        </w:tc>
      </w:tr>
    </w:tbl>
    <w:p>
      <w:pPr>
        <w:sectPr>
          <w:footerReference r:id="rId5" w:type="default"/>
          <w:pgSz w:w="16838" w:h="11906" w:orient="landscape"/>
          <w:pgMar w:top="1417" w:right="1429" w:bottom="1417" w:left="1247" w:header="0" w:footer="958" w:gutter="0"/>
          <w:pgNumType w:fmt="numberInDash"/>
          <w:cols w:space="720" w:num="1"/>
          <w:docGrid w:linePitch="312" w:charSpace="0"/>
        </w:sectPr>
      </w:pPr>
    </w:p>
    <w:p>
      <w:pPr>
        <w:rPr>
          <w:rFonts w:ascii="Times New Roman" w:hAnsi="Times New Roman"/>
          <w:szCs w:val="20"/>
        </w:rPr>
      </w:pPr>
    </w:p>
    <w:sectPr>
      <w:footerReference r:id="rId6" w:type="default"/>
      <w:pgSz w:w="11906" w:h="16838"/>
      <w:pgMar w:top="1429" w:right="1417" w:bottom="1247" w:left="1417" w:header="0" w:footer="958" w:gutter="0"/>
      <w:pgNumType w:fmt="numberInDash"/>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sz w:val="24"/>
                            </w:rPr>
                          </w:pPr>
                          <w:r>
                            <w:rPr>
                              <w:sz w:val="24"/>
                            </w:rPr>
                            <w:fldChar w:fldCharType="begin"/>
                          </w:r>
                          <w:r>
                            <w:rPr>
                              <w:sz w:val="24"/>
                            </w:rPr>
                            <w:instrText xml:space="preserve"> PAGE  \* MERGEFORMAT </w:instrText>
                          </w:r>
                          <w:r>
                            <w:rPr>
                              <w:sz w:val="24"/>
                            </w:rPr>
                            <w:fldChar w:fldCharType="separate"/>
                          </w:r>
                          <w:r>
                            <w:rPr>
                              <w:sz w:val="24"/>
                            </w:rPr>
                            <w:t>- 9 -</w:t>
                          </w:r>
                          <w:r>
                            <w:rPr>
                              <w:sz w:val="24"/>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M7g/TAQAApA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Swvkz69hxrT7j0mxuGTG3Br5nvAy0R7kMGkLxIiGEd1j2d1xRAJT4+qZVWVGOIYmx3EL56e&#10;+wDxVjhDktHQgOPLqrLDZ4hj6pySqll3o7TOI9SW9Ih6VX24yi/OIUTXFoskFmO3yYrDdpiobV17&#10;RGY97kBDLa48JfrOosRpXWYjzMZ2NvY+qF2X9ym1Av7jPmI7uctUYYSdCuPwMs9p0dJ2PPdz1tPP&#10;tf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9M7g/TAQAApAMAAA4AAAAAAAAAAQAgAAAA&#10;IgEAAGRycy9lMm9Eb2MueG1sUEsFBgAAAAAGAAYAWQEAAGcFAAAAAA==&#10;">
              <v:fill on="f" focussize="0,0"/>
              <v:stroke on="f" weight="1.25pt"/>
              <v:imagedata o:title=""/>
              <o:lock v:ext="edit" aspectratio="f"/>
              <v:textbox inset="0mm,0mm,0mm,0mm" style="mso-fit-shape-to-text:t;">
                <w:txbxContent>
                  <w:p>
                    <w:pPr>
                      <w:pStyle w:val="7"/>
                      <w:rPr>
                        <w:sz w:val="24"/>
                      </w:rPr>
                    </w:pPr>
                    <w:r>
                      <w:rPr>
                        <w:sz w:val="24"/>
                      </w:rPr>
                      <w:fldChar w:fldCharType="begin"/>
                    </w:r>
                    <w:r>
                      <w:rPr>
                        <w:sz w:val="24"/>
                      </w:rPr>
                      <w:instrText xml:space="preserve"> PAGE  \* MERGEFORMAT </w:instrText>
                    </w:r>
                    <w:r>
                      <w:rPr>
                        <w:sz w:val="24"/>
                      </w:rPr>
                      <w:fldChar w:fldCharType="separate"/>
                    </w:r>
                    <w:r>
                      <w:rPr>
                        <w:sz w:val="24"/>
                      </w:rPr>
                      <w:t>- 9 -</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92405"/>
              <wp:effectExtent l="0" t="0" r="0" b="0"/>
              <wp:wrapNone/>
              <wp:docPr id="4" name="文本框 24"/>
              <wp:cNvGraphicFramePr/>
              <a:graphic xmlns:a="http://schemas.openxmlformats.org/drawingml/2006/main">
                <a:graphicData uri="http://schemas.microsoft.com/office/word/2010/wordprocessingShape">
                  <wps:wsp>
                    <wps:cNvSpPr txBox="1"/>
                    <wps:spPr>
                      <a:xfrm>
                        <a:off x="0" y="0"/>
                        <a:ext cx="459105" cy="192405"/>
                      </a:xfrm>
                      <a:prstGeom prst="rect">
                        <a:avLst/>
                      </a:prstGeom>
                      <a:noFill/>
                      <a:ln w="15875">
                        <a:noFill/>
                      </a:ln>
                    </wps:spPr>
                    <wps:txbx>
                      <w:txbxContent>
                        <w:p>
                          <w:pPr>
                            <w:pStyle w:val="7"/>
                            <w:rPr>
                              <w:sz w:val="24"/>
                            </w:rPr>
                          </w:pPr>
                          <w:r>
                            <w:rPr>
                              <w:sz w:val="24"/>
                            </w:rPr>
                            <w:fldChar w:fldCharType="begin"/>
                          </w:r>
                          <w:r>
                            <w:rPr>
                              <w:sz w:val="24"/>
                            </w:rPr>
                            <w:instrText xml:space="preserve"> PAGE  \* MERGEFORMAT </w:instrText>
                          </w:r>
                          <w:r>
                            <w:rPr>
                              <w:sz w:val="24"/>
                            </w:rPr>
                            <w:fldChar w:fldCharType="separate"/>
                          </w:r>
                          <w:r>
                            <w:rPr>
                              <w:sz w:val="24"/>
                            </w:rPr>
                            <w:t>- 300 -</w:t>
                          </w:r>
                          <w:r>
                            <w:rPr>
                              <w:sz w:val="24"/>
                            </w:rPr>
                            <w:fldChar w:fldCharType="end"/>
                          </w:r>
                        </w:p>
                      </w:txbxContent>
                    </wps:txbx>
                    <wps:bodyPr wrap="square" lIns="0" tIns="0" rIns="0" bIns="0" upright="0"/>
                  </wps:wsp>
                </a:graphicData>
              </a:graphic>
            </wp:anchor>
          </w:drawing>
        </mc:Choice>
        <mc:Fallback>
          <w:pict>
            <v:shape id="文本框 24" o:spid="_x0000_s1026" o:spt="202" type="#_x0000_t202" style="position:absolute;left:0pt;margin-top:0pt;height:15.15pt;width:36.15pt;mso-position-horizontal:center;mso-position-horizontal-relative:margin;z-index:251662336;mso-width-relative:page;mso-height-relative:page;" filled="f" stroked="f" coordsize="21600,21600" o:gfxdata="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Y86D1AAAAAMBAAAPAAAAAAAAAAEAIAAAACIAAABkcnMv&#10;ZG93bnJldi54bWxQSwECFAAUAAAACACHTuJAuTj0YM4BAACKAwAADgAAAAAAAAABACAAAAAjAQAA&#10;ZHJzL2Uyb0RvYy54bWxQSwUGAAAAAAYABgBZAQAAYwUAAAAA&#10;">
              <v:fill on="f" focussize="0,0"/>
              <v:stroke on="f" weight="1.25pt"/>
              <v:imagedata o:title=""/>
              <o:lock v:ext="edit" aspectratio="f"/>
              <v:textbox inset="0mm,0mm,0mm,0mm">
                <w:txbxContent>
                  <w:p>
                    <w:pPr>
                      <w:pStyle w:val="7"/>
                      <w:rPr>
                        <w:sz w:val="24"/>
                      </w:rPr>
                    </w:pPr>
                    <w:r>
                      <w:rPr>
                        <w:sz w:val="24"/>
                      </w:rPr>
                      <w:fldChar w:fldCharType="begin"/>
                    </w:r>
                    <w:r>
                      <w:rPr>
                        <w:sz w:val="24"/>
                      </w:rPr>
                      <w:instrText xml:space="preserve"> PAGE  \* MERGEFORMAT </w:instrText>
                    </w:r>
                    <w:r>
                      <w:rPr>
                        <w:sz w:val="24"/>
                      </w:rPr>
                      <w:fldChar w:fldCharType="separate"/>
                    </w:r>
                    <w:r>
                      <w:rPr>
                        <w:sz w:val="24"/>
                      </w:rPr>
                      <w:t>- 300 -</w:t>
                    </w:r>
                    <w:r>
                      <w:rPr>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sz w:val="24"/>
                            </w:rPr>
                          </w:pPr>
                          <w:r>
                            <w:rPr>
                              <w:sz w:val="24"/>
                            </w:rPr>
                            <w:fldChar w:fldCharType="begin"/>
                          </w:r>
                          <w:r>
                            <w:rPr>
                              <w:sz w:val="24"/>
                            </w:rPr>
                            <w:instrText xml:space="preserve"> PAGE  \* MERGEFORMAT </w:instrText>
                          </w:r>
                          <w:r>
                            <w:rPr>
                              <w:sz w:val="24"/>
                            </w:rPr>
                            <w:fldChar w:fldCharType="separate"/>
                          </w:r>
                          <w:r>
                            <w:rPr>
                              <w:sz w:val="24"/>
                            </w:rPr>
                            <w:t>- 317 -</w:t>
                          </w:r>
                          <w:r>
                            <w:rPr>
                              <w:sz w:val="24"/>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wFCHSAQAApA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tV0qf3UGPavcfEOHx0A27NfA94mWgPMpj0RUIE46ju6aKuGCLh6VG1rKoSQxxjs4P4xeNz&#10;HyDeCWdIMhoacHxZVXb8DHFMnVNSNetuldZ5hNqSHlFX1ftVfnEJIbq2WCSxGLtNVhx2w0Rt59oT&#10;MutxBxpqceUp0Z8sSpzWZTbCbOxm4+CD2nd5n1Ir4D8cIraTu0wVRtipMA4v85wWLW3HUz9nPf5c&#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PAUIdIBAACkAwAADgAAAAAAAAABACAAAAAi&#10;AQAAZHJzL2Uyb0RvYy54bWxQSwUGAAAAAAYABgBZAQAAZgUAAAAA&#10;">
              <v:fill on="f" focussize="0,0"/>
              <v:stroke on="f" weight="1.25pt"/>
              <v:imagedata o:title=""/>
              <o:lock v:ext="edit" aspectratio="f"/>
              <v:textbox inset="0mm,0mm,0mm,0mm" style="mso-fit-shape-to-text:t;">
                <w:txbxContent>
                  <w:p>
                    <w:pPr>
                      <w:pStyle w:val="7"/>
                      <w:rPr>
                        <w:sz w:val="24"/>
                      </w:rPr>
                    </w:pPr>
                    <w:r>
                      <w:rPr>
                        <w:sz w:val="24"/>
                      </w:rPr>
                      <w:fldChar w:fldCharType="begin"/>
                    </w:r>
                    <w:r>
                      <w:rPr>
                        <w:sz w:val="24"/>
                      </w:rPr>
                      <w:instrText xml:space="preserve"> PAGE  \* MERGEFORMAT </w:instrText>
                    </w:r>
                    <w:r>
                      <w:rPr>
                        <w:sz w:val="24"/>
                      </w:rPr>
                      <w:fldChar w:fldCharType="separate"/>
                    </w:r>
                    <w:r>
                      <w:rPr>
                        <w:sz w:val="24"/>
                      </w:rPr>
                      <w:t>- 317 -</w:t>
                    </w:r>
                    <w:r>
                      <w:rPr>
                        <w:sz w:val="24"/>
                      </w:rPr>
                      <w:fldChar w:fldCharType="end"/>
                    </w:r>
                  </w:p>
                </w:txbxContent>
              </v:textbox>
            </v:shape>
          </w:pict>
        </mc:Fallback>
      </mc:AlternateContent>
    </w:r>
    <w:r>
      <w:rPr>
        <w:rFonts w:ascii="Times New Roman" w:hAnsi="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QJd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y&#10;d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ZAl2yQEAAJo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- 317 -</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t0dvTAQAApA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eUq6dN7qDHtyWNiHN67Abdmvge8TLQHGUz6IiGCcVT3dFFXDJHw9KhaVlWJIY6x2UH84vm5&#10;DxAfhDMkGQ0NOL6sKjt+gDimzimpmnX3Sus8Qm1Jj6i31dv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Mt0dvTAQAApAMAAA4AAAAAAAAAAQAgAAAA&#10;IgEAAGRycy9lMm9Eb2MueG1sUEsFBgAAAAAGAAYAWQEAAGc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- 317 -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525C"/>
    <w:multiLevelType w:val="singleLevel"/>
    <w:tmpl w:val="825E525C"/>
    <w:lvl w:ilvl="0" w:tentative="0">
      <w:start w:val="1"/>
      <w:numFmt w:val="chineseCounting"/>
      <w:suff w:val="nothing"/>
      <w:lvlText w:val="（%1）"/>
      <w:lvlJc w:val="left"/>
      <w:rPr>
        <w:rFonts w:hint="eastAsia"/>
      </w:rPr>
    </w:lvl>
  </w:abstractNum>
  <w:abstractNum w:abstractNumId="1">
    <w:nsid w:val="9A9F8127"/>
    <w:multiLevelType w:val="singleLevel"/>
    <w:tmpl w:val="9A9F8127"/>
    <w:lvl w:ilvl="0" w:tentative="0">
      <w:start w:val="1"/>
      <w:numFmt w:val="chineseCounting"/>
      <w:suff w:val="nothing"/>
      <w:lvlText w:val="（%1）"/>
      <w:lvlJc w:val="left"/>
      <w:rPr>
        <w:rFonts w:hint="eastAsia"/>
      </w:rPr>
    </w:lvl>
  </w:abstractNum>
  <w:abstractNum w:abstractNumId="2">
    <w:nsid w:val="A9A4D17D"/>
    <w:multiLevelType w:val="singleLevel"/>
    <w:tmpl w:val="A9A4D17D"/>
    <w:lvl w:ilvl="0" w:tentative="0">
      <w:start w:val="3"/>
      <w:numFmt w:val="chineseCounting"/>
      <w:suff w:val="nothing"/>
      <w:lvlText w:val="（%1）"/>
      <w:lvlJc w:val="left"/>
      <w:rPr>
        <w:rFonts w:hint="eastAsia"/>
      </w:rPr>
    </w:lvl>
  </w:abstractNum>
  <w:abstractNum w:abstractNumId="3">
    <w:nsid w:val="CAC73B31"/>
    <w:multiLevelType w:val="singleLevel"/>
    <w:tmpl w:val="CAC73B31"/>
    <w:lvl w:ilvl="0" w:tentative="0">
      <w:start w:val="1"/>
      <w:numFmt w:val="chineseCounting"/>
      <w:suff w:val="nothing"/>
      <w:lvlText w:val="（%1）"/>
      <w:lvlJc w:val="left"/>
      <w:rPr>
        <w:rFonts w:hint="eastAsia"/>
      </w:rPr>
    </w:lvl>
  </w:abstractNum>
  <w:abstractNum w:abstractNumId="4">
    <w:nsid w:val="D499FF72"/>
    <w:multiLevelType w:val="singleLevel"/>
    <w:tmpl w:val="D499FF72"/>
    <w:lvl w:ilvl="0" w:tentative="0">
      <w:start w:val="2"/>
      <w:numFmt w:val="chineseCounting"/>
      <w:suff w:val="nothing"/>
      <w:lvlText w:val="（%1）"/>
      <w:lvlJc w:val="left"/>
      <w:rPr>
        <w:rFonts w:hint="eastAsia"/>
      </w:rPr>
    </w:lvl>
  </w:abstractNum>
  <w:abstractNum w:abstractNumId="5">
    <w:nsid w:val="EB64F11D"/>
    <w:multiLevelType w:val="singleLevel"/>
    <w:tmpl w:val="EB64F11D"/>
    <w:lvl w:ilvl="0" w:tentative="0">
      <w:start w:val="13"/>
      <w:numFmt w:val="chineseCounting"/>
      <w:suff w:val="space"/>
      <w:lvlText w:val="第%1条"/>
      <w:lvlJc w:val="left"/>
      <w:rPr>
        <w:rFonts w:hint="eastAsia"/>
        <w:b/>
      </w:rPr>
    </w:lvl>
  </w:abstractNum>
  <w:abstractNum w:abstractNumId="6">
    <w:nsid w:val="F4AB85C1"/>
    <w:multiLevelType w:val="singleLevel"/>
    <w:tmpl w:val="F4AB85C1"/>
    <w:lvl w:ilvl="0" w:tentative="0">
      <w:start w:val="3"/>
      <w:numFmt w:val="chineseCounting"/>
      <w:suff w:val="nothing"/>
      <w:lvlText w:val="（%1）"/>
      <w:lvlJc w:val="left"/>
      <w:rPr>
        <w:rFonts w:hint="eastAsia"/>
      </w:rPr>
    </w:lvl>
  </w:abstractNum>
  <w:abstractNum w:abstractNumId="7">
    <w:nsid w:val="00000000"/>
    <w:multiLevelType w:val="singleLevel"/>
    <w:tmpl w:val="00000000"/>
    <w:lvl w:ilvl="0" w:tentative="0">
      <w:start w:val="1"/>
      <w:numFmt w:val="chineseCounting"/>
      <w:suff w:val="nothing"/>
      <w:lvlText w:val="（%1）"/>
      <w:lvlJc w:val="left"/>
      <w:rPr>
        <w:rFonts w:hint="eastAsia"/>
      </w:rPr>
    </w:lvl>
  </w:abstractNum>
  <w:abstractNum w:abstractNumId="8">
    <w:nsid w:val="00000001"/>
    <w:multiLevelType w:val="singleLevel"/>
    <w:tmpl w:val="00000001"/>
    <w:lvl w:ilvl="0" w:tentative="0">
      <w:start w:val="1"/>
      <w:numFmt w:val="chineseCounting"/>
      <w:suff w:val="nothing"/>
      <w:lvlText w:val="（%1）"/>
      <w:lvlJc w:val="left"/>
      <w:rPr>
        <w:rFonts w:hint="eastAsia"/>
      </w:rPr>
    </w:lvl>
  </w:abstractNum>
  <w:abstractNum w:abstractNumId="9">
    <w:nsid w:val="042E86C2"/>
    <w:multiLevelType w:val="singleLevel"/>
    <w:tmpl w:val="042E86C2"/>
    <w:lvl w:ilvl="0" w:tentative="0">
      <w:start w:val="1"/>
      <w:numFmt w:val="chineseCounting"/>
      <w:suff w:val="nothing"/>
      <w:lvlText w:val="（%1）"/>
      <w:lvlJc w:val="left"/>
      <w:rPr>
        <w:rFonts w:hint="eastAsia"/>
      </w:rPr>
    </w:lvl>
  </w:abstractNum>
  <w:abstractNum w:abstractNumId="10">
    <w:nsid w:val="269273DA"/>
    <w:multiLevelType w:val="singleLevel"/>
    <w:tmpl w:val="269273DA"/>
    <w:lvl w:ilvl="0" w:tentative="0">
      <w:start w:val="6"/>
      <w:numFmt w:val="chineseCounting"/>
      <w:suff w:val="nothing"/>
      <w:lvlText w:val="（%1）"/>
      <w:lvlJc w:val="left"/>
      <w:rPr>
        <w:rFonts w:hint="eastAsia"/>
      </w:rPr>
    </w:lvl>
  </w:abstractNum>
  <w:num w:numId="1">
    <w:abstractNumId w:val="9"/>
  </w:num>
  <w:num w:numId="2">
    <w:abstractNumId w:val="6"/>
  </w:num>
  <w:num w:numId="3">
    <w:abstractNumId w:val="4"/>
  </w:num>
  <w:num w:numId="4">
    <w:abstractNumId w:val="2"/>
  </w:num>
  <w:num w:numId="5">
    <w:abstractNumId w:val="0"/>
  </w:num>
  <w:num w:numId="6">
    <w:abstractNumId w:val="1"/>
  </w:num>
  <w:num w:numId="7">
    <w:abstractNumId w:val="10"/>
  </w:num>
  <w:num w:numId="8">
    <w:abstractNumId w:val="3"/>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rawingGridHorizontalSpacing w:val="210"/>
  <w:drawingGridVerticalSpacing w:val="-7946"/>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TJlOWRhZDhiMTdjZmY3YTg4ZjM5MmEwNWUyODQifQ=="/>
  </w:docVars>
  <w:rsids>
    <w:rsidRoot w:val="00172A27"/>
    <w:rsid w:val="0001571E"/>
    <w:rsid w:val="00022B49"/>
    <w:rsid w:val="0002721C"/>
    <w:rsid w:val="00032291"/>
    <w:rsid w:val="00033F07"/>
    <w:rsid w:val="000457C7"/>
    <w:rsid w:val="00054EE2"/>
    <w:rsid w:val="000665B0"/>
    <w:rsid w:val="000D74AF"/>
    <w:rsid w:val="000E121D"/>
    <w:rsid w:val="0015191E"/>
    <w:rsid w:val="00160AE7"/>
    <w:rsid w:val="00196A73"/>
    <w:rsid w:val="001C1AE5"/>
    <w:rsid w:val="001C57BA"/>
    <w:rsid w:val="001E1F9B"/>
    <w:rsid w:val="001F15E5"/>
    <w:rsid w:val="00210F73"/>
    <w:rsid w:val="00212AFF"/>
    <w:rsid w:val="00225EBA"/>
    <w:rsid w:val="00276FCD"/>
    <w:rsid w:val="002807B7"/>
    <w:rsid w:val="002A75CA"/>
    <w:rsid w:val="002B1840"/>
    <w:rsid w:val="002F4018"/>
    <w:rsid w:val="00344AA4"/>
    <w:rsid w:val="00346FA7"/>
    <w:rsid w:val="003541E9"/>
    <w:rsid w:val="0035516D"/>
    <w:rsid w:val="003611FF"/>
    <w:rsid w:val="00387CB8"/>
    <w:rsid w:val="003B3381"/>
    <w:rsid w:val="003D1171"/>
    <w:rsid w:val="00471C12"/>
    <w:rsid w:val="00495BB1"/>
    <w:rsid w:val="004B08F7"/>
    <w:rsid w:val="004D4F35"/>
    <w:rsid w:val="004D65C1"/>
    <w:rsid w:val="004F762D"/>
    <w:rsid w:val="00510202"/>
    <w:rsid w:val="005225D8"/>
    <w:rsid w:val="00545897"/>
    <w:rsid w:val="0055081E"/>
    <w:rsid w:val="005F3579"/>
    <w:rsid w:val="006163A0"/>
    <w:rsid w:val="0064340C"/>
    <w:rsid w:val="006557D5"/>
    <w:rsid w:val="006654FB"/>
    <w:rsid w:val="00665CCD"/>
    <w:rsid w:val="006B1C97"/>
    <w:rsid w:val="006B4BBB"/>
    <w:rsid w:val="006C1CC0"/>
    <w:rsid w:val="006C3F38"/>
    <w:rsid w:val="006D528B"/>
    <w:rsid w:val="006F5C4C"/>
    <w:rsid w:val="0070735D"/>
    <w:rsid w:val="007129B4"/>
    <w:rsid w:val="00723FAA"/>
    <w:rsid w:val="00731A06"/>
    <w:rsid w:val="00733CA9"/>
    <w:rsid w:val="007951CB"/>
    <w:rsid w:val="00795565"/>
    <w:rsid w:val="007A5943"/>
    <w:rsid w:val="007B0D08"/>
    <w:rsid w:val="007C39F7"/>
    <w:rsid w:val="007C6DF0"/>
    <w:rsid w:val="007F7604"/>
    <w:rsid w:val="008003AB"/>
    <w:rsid w:val="008006BB"/>
    <w:rsid w:val="00802889"/>
    <w:rsid w:val="00821957"/>
    <w:rsid w:val="008647A3"/>
    <w:rsid w:val="009125B9"/>
    <w:rsid w:val="00967072"/>
    <w:rsid w:val="0098451A"/>
    <w:rsid w:val="00996CE5"/>
    <w:rsid w:val="009A157F"/>
    <w:rsid w:val="009A18B2"/>
    <w:rsid w:val="009A7C46"/>
    <w:rsid w:val="009B689D"/>
    <w:rsid w:val="009D12EF"/>
    <w:rsid w:val="009E003C"/>
    <w:rsid w:val="009E222B"/>
    <w:rsid w:val="009E5667"/>
    <w:rsid w:val="009E79D5"/>
    <w:rsid w:val="009F6F1B"/>
    <w:rsid w:val="00A1119B"/>
    <w:rsid w:val="00A257EB"/>
    <w:rsid w:val="00A4569D"/>
    <w:rsid w:val="00A46850"/>
    <w:rsid w:val="00A76CE5"/>
    <w:rsid w:val="00A82761"/>
    <w:rsid w:val="00A85876"/>
    <w:rsid w:val="00AE2729"/>
    <w:rsid w:val="00AE79BA"/>
    <w:rsid w:val="00AF23A6"/>
    <w:rsid w:val="00B0214F"/>
    <w:rsid w:val="00B14967"/>
    <w:rsid w:val="00B16E78"/>
    <w:rsid w:val="00B30F3F"/>
    <w:rsid w:val="00B361E1"/>
    <w:rsid w:val="00B4221A"/>
    <w:rsid w:val="00B62EB5"/>
    <w:rsid w:val="00B64D52"/>
    <w:rsid w:val="00B707A0"/>
    <w:rsid w:val="00BA374D"/>
    <w:rsid w:val="00BF6E08"/>
    <w:rsid w:val="00C02A28"/>
    <w:rsid w:val="00C13948"/>
    <w:rsid w:val="00C47A6F"/>
    <w:rsid w:val="00C56118"/>
    <w:rsid w:val="00C9728E"/>
    <w:rsid w:val="00CA5B1A"/>
    <w:rsid w:val="00CE7C94"/>
    <w:rsid w:val="00CE7EAF"/>
    <w:rsid w:val="00D22870"/>
    <w:rsid w:val="00D3788A"/>
    <w:rsid w:val="00D406FA"/>
    <w:rsid w:val="00D53B75"/>
    <w:rsid w:val="00D54879"/>
    <w:rsid w:val="00D6408C"/>
    <w:rsid w:val="00D6532E"/>
    <w:rsid w:val="00D9518F"/>
    <w:rsid w:val="00DA4127"/>
    <w:rsid w:val="00DB64F0"/>
    <w:rsid w:val="00DC3DEA"/>
    <w:rsid w:val="00DF6CCA"/>
    <w:rsid w:val="00E01C6C"/>
    <w:rsid w:val="00E22DF7"/>
    <w:rsid w:val="00E509D3"/>
    <w:rsid w:val="00E50B09"/>
    <w:rsid w:val="00E83194"/>
    <w:rsid w:val="00EA4FD1"/>
    <w:rsid w:val="00ED0043"/>
    <w:rsid w:val="00EE47CB"/>
    <w:rsid w:val="00EE62EC"/>
    <w:rsid w:val="00EE648D"/>
    <w:rsid w:val="00F04498"/>
    <w:rsid w:val="00F05B4B"/>
    <w:rsid w:val="00F4419A"/>
    <w:rsid w:val="00F60C91"/>
    <w:rsid w:val="00F708A7"/>
    <w:rsid w:val="00F92363"/>
    <w:rsid w:val="00FA5352"/>
    <w:rsid w:val="00FB0FDE"/>
    <w:rsid w:val="00FB7ABA"/>
    <w:rsid w:val="00FC28D2"/>
    <w:rsid w:val="00FC2942"/>
    <w:rsid w:val="00FC6791"/>
    <w:rsid w:val="00FC6A08"/>
    <w:rsid w:val="00FE1E06"/>
    <w:rsid w:val="0138268E"/>
    <w:rsid w:val="01511039"/>
    <w:rsid w:val="01723D6D"/>
    <w:rsid w:val="0178366D"/>
    <w:rsid w:val="018E1CDD"/>
    <w:rsid w:val="01944FA6"/>
    <w:rsid w:val="01A52CC1"/>
    <w:rsid w:val="01BA5B42"/>
    <w:rsid w:val="01BB1D95"/>
    <w:rsid w:val="01D47F8D"/>
    <w:rsid w:val="01DA571A"/>
    <w:rsid w:val="01E470B7"/>
    <w:rsid w:val="01EC1A09"/>
    <w:rsid w:val="01F5506C"/>
    <w:rsid w:val="0202280D"/>
    <w:rsid w:val="02066DE4"/>
    <w:rsid w:val="021F2ECB"/>
    <w:rsid w:val="023F543E"/>
    <w:rsid w:val="02521EB3"/>
    <w:rsid w:val="02660244"/>
    <w:rsid w:val="026C099B"/>
    <w:rsid w:val="02712016"/>
    <w:rsid w:val="0277301A"/>
    <w:rsid w:val="02780F95"/>
    <w:rsid w:val="029A6A52"/>
    <w:rsid w:val="029E0CDB"/>
    <w:rsid w:val="02B62AFF"/>
    <w:rsid w:val="02E803B0"/>
    <w:rsid w:val="032B6341"/>
    <w:rsid w:val="032C40D4"/>
    <w:rsid w:val="03350E4E"/>
    <w:rsid w:val="035C23B5"/>
    <w:rsid w:val="037168C2"/>
    <w:rsid w:val="03736DD9"/>
    <w:rsid w:val="0383489D"/>
    <w:rsid w:val="03871074"/>
    <w:rsid w:val="039A0E74"/>
    <w:rsid w:val="039C3736"/>
    <w:rsid w:val="03A44782"/>
    <w:rsid w:val="03BB42DE"/>
    <w:rsid w:val="03CB0448"/>
    <w:rsid w:val="03D47F0B"/>
    <w:rsid w:val="03EE1902"/>
    <w:rsid w:val="03FD0897"/>
    <w:rsid w:val="042F016D"/>
    <w:rsid w:val="04417781"/>
    <w:rsid w:val="0459572E"/>
    <w:rsid w:val="046B0594"/>
    <w:rsid w:val="0493460E"/>
    <w:rsid w:val="04957B11"/>
    <w:rsid w:val="04960465"/>
    <w:rsid w:val="04993F99"/>
    <w:rsid w:val="04E43113"/>
    <w:rsid w:val="04EC6DB7"/>
    <w:rsid w:val="04EF521A"/>
    <w:rsid w:val="050F19D9"/>
    <w:rsid w:val="05212F78"/>
    <w:rsid w:val="052C0FF0"/>
    <w:rsid w:val="05405A2B"/>
    <w:rsid w:val="058B6DA4"/>
    <w:rsid w:val="059F4C40"/>
    <w:rsid w:val="05B24A66"/>
    <w:rsid w:val="05D45367"/>
    <w:rsid w:val="05DC7D9C"/>
    <w:rsid w:val="05E07B33"/>
    <w:rsid w:val="05E46539"/>
    <w:rsid w:val="05ED59BF"/>
    <w:rsid w:val="05F11FCC"/>
    <w:rsid w:val="05FD257D"/>
    <w:rsid w:val="06067C11"/>
    <w:rsid w:val="060939C4"/>
    <w:rsid w:val="06222E5C"/>
    <w:rsid w:val="06572FF5"/>
    <w:rsid w:val="066151EB"/>
    <w:rsid w:val="066E2C1A"/>
    <w:rsid w:val="06780FAB"/>
    <w:rsid w:val="0683733C"/>
    <w:rsid w:val="068560C3"/>
    <w:rsid w:val="06A54997"/>
    <w:rsid w:val="06B3208A"/>
    <w:rsid w:val="06C30126"/>
    <w:rsid w:val="06D47362"/>
    <w:rsid w:val="06DE7A03"/>
    <w:rsid w:val="06E71527"/>
    <w:rsid w:val="06EC34E9"/>
    <w:rsid w:val="06F6767B"/>
    <w:rsid w:val="07146C2B"/>
    <w:rsid w:val="072F2CD8"/>
    <w:rsid w:val="075220F4"/>
    <w:rsid w:val="07621864"/>
    <w:rsid w:val="076766B5"/>
    <w:rsid w:val="079E0D8E"/>
    <w:rsid w:val="07B92C3C"/>
    <w:rsid w:val="07CB0958"/>
    <w:rsid w:val="07CC37F1"/>
    <w:rsid w:val="07D25D65"/>
    <w:rsid w:val="07E61182"/>
    <w:rsid w:val="0805021A"/>
    <w:rsid w:val="0844151C"/>
    <w:rsid w:val="08466C6B"/>
    <w:rsid w:val="084A6CA8"/>
    <w:rsid w:val="08822685"/>
    <w:rsid w:val="088A5513"/>
    <w:rsid w:val="08B22D28"/>
    <w:rsid w:val="08B408D6"/>
    <w:rsid w:val="08BC6FCD"/>
    <w:rsid w:val="08C068E7"/>
    <w:rsid w:val="08C37623"/>
    <w:rsid w:val="09352129"/>
    <w:rsid w:val="094D77D0"/>
    <w:rsid w:val="095C12C6"/>
    <w:rsid w:val="096B2603"/>
    <w:rsid w:val="0975561D"/>
    <w:rsid w:val="09795C5D"/>
    <w:rsid w:val="098269A5"/>
    <w:rsid w:val="098F5CBA"/>
    <w:rsid w:val="099111BE"/>
    <w:rsid w:val="09A7642E"/>
    <w:rsid w:val="09C1778E"/>
    <w:rsid w:val="09D11FA7"/>
    <w:rsid w:val="0A0B6909"/>
    <w:rsid w:val="0A21365C"/>
    <w:rsid w:val="0A2E41FC"/>
    <w:rsid w:val="0A2F3646"/>
    <w:rsid w:val="0A3F25D0"/>
    <w:rsid w:val="0A611896"/>
    <w:rsid w:val="0A696CA3"/>
    <w:rsid w:val="0A6B4162"/>
    <w:rsid w:val="0A6F0BAC"/>
    <w:rsid w:val="0A7A49BE"/>
    <w:rsid w:val="0AA30C3D"/>
    <w:rsid w:val="0ABC5428"/>
    <w:rsid w:val="0AEA04F5"/>
    <w:rsid w:val="0AF33383"/>
    <w:rsid w:val="0B0D7A7F"/>
    <w:rsid w:val="0B14590B"/>
    <w:rsid w:val="0B1B4548"/>
    <w:rsid w:val="0B2B6D61"/>
    <w:rsid w:val="0B2C5A6D"/>
    <w:rsid w:val="0B4C0F74"/>
    <w:rsid w:val="0B5F5F36"/>
    <w:rsid w:val="0B7061D0"/>
    <w:rsid w:val="0B871679"/>
    <w:rsid w:val="0B950884"/>
    <w:rsid w:val="0BB7550F"/>
    <w:rsid w:val="0BD70E64"/>
    <w:rsid w:val="0BDD0D82"/>
    <w:rsid w:val="0BDD74DA"/>
    <w:rsid w:val="0C180F68"/>
    <w:rsid w:val="0C2A0BC2"/>
    <w:rsid w:val="0C5764CE"/>
    <w:rsid w:val="0C5B4ED4"/>
    <w:rsid w:val="0C6F215E"/>
    <w:rsid w:val="0C7D22BD"/>
    <w:rsid w:val="0CA20401"/>
    <w:rsid w:val="0CA75E50"/>
    <w:rsid w:val="0CAF41F5"/>
    <w:rsid w:val="0CD2185D"/>
    <w:rsid w:val="0CF86057"/>
    <w:rsid w:val="0D07056B"/>
    <w:rsid w:val="0D375B3C"/>
    <w:rsid w:val="0D3E6931"/>
    <w:rsid w:val="0D576071"/>
    <w:rsid w:val="0D5C5D7C"/>
    <w:rsid w:val="0D6C2793"/>
    <w:rsid w:val="0D8536BD"/>
    <w:rsid w:val="0D940AF3"/>
    <w:rsid w:val="0DAB5AFB"/>
    <w:rsid w:val="0DC3548D"/>
    <w:rsid w:val="0DC40C23"/>
    <w:rsid w:val="0DCE08EE"/>
    <w:rsid w:val="0DEE7869"/>
    <w:rsid w:val="0DF54C75"/>
    <w:rsid w:val="0E10726F"/>
    <w:rsid w:val="0E1C0BB0"/>
    <w:rsid w:val="0E3E7B9F"/>
    <w:rsid w:val="0E7427BD"/>
    <w:rsid w:val="0EA43B14"/>
    <w:rsid w:val="0EA61216"/>
    <w:rsid w:val="0EAA0C58"/>
    <w:rsid w:val="0ED33A0B"/>
    <w:rsid w:val="0EDB61ED"/>
    <w:rsid w:val="0EDE7171"/>
    <w:rsid w:val="0EE975B0"/>
    <w:rsid w:val="0F0D7CC0"/>
    <w:rsid w:val="0F15435F"/>
    <w:rsid w:val="0F195CD1"/>
    <w:rsid w:val="0F1A7320"/>
    <w:rsid w:val="0F326311"/>
    <w:rsid w:val="0F5613B9"/>
    <w:rsid w:val="0F601CC9"/>
    <w:rsid w:val="0F714162"/>
    <w:rsid w:val="0F872E91"/>
    <w:rsid w:val="0FA91530"/>
    <w:rsid w:val="0FBE5355"/>
    <w:rsid w:val="0FC72972"/>
    <w:rsid w:val="0FD26785"/>
    <w:rsid w:val="0FE205FC"/>
    <w:rsid w:val="0FE36A1F"/>
    <w:rsid w:val="0FEC34AB"/>
    <w:rsid w:val="102672D1"/>
    <w:rsid w:val="1056572D"/>
    <w:rsid w:val="106B2D27"/>
    <w:rsid w:val="10A15B58"/>
    <w:rsid w:val="10A741DE"/>
    <w:rsid w:val="10B03EAD"/>
    <w:rsid w:val="10CF7921"/>
    <w:rsid w:val="10E534FB"/>
    <w:rsid w:val="10EB7251"/>
    <w:rsid w:val="10F63064"/>
    <w:rsid w:val="11026E77"/>
    <w:rsid w:val="114C276E"/>
    <w:rsid w:val="114E5C71"/>
    <w:rsid w:val="11566504"/>
    <w:rsid w:val="115A5307"/>
    <w:rsid w:val="115D048A"/>
    <w:rsid w:val="1168106D"/>
    <w:rsid w:val="11720A6C"/>
    <w:rsid w:val="117E4227"/>
    <w:rsid w:val="11B02492"/>
    <w:rsid w:val="11B41AF1"/>
    <w:rsid w:val="11B4713C"/>
    <w:rsid w:val="11C37CF3"/>
    <w:rsid w:val="11EE558B"/>
    <w:rsid w:val="12111232"/>
    <w:rsid w:val="124A6E0E"/>
    <w:rsid w:val="124F6B19"/>
    <w:rsid w:val="12737FD2"/>
    <w:rsid w:val="128E407F"/>
    <w:rsid w:val="12905384"/>
    <w:rsid w:val="12946FF0"/>
    <w:rsid w:val="12A32D1F"/>
    <w:rsid w:val="12F96BB9"/>
    <w:rsid w:val="1307614E"/>
    <w:rsid w:val="13280927"/>
    <w:rsid w:val="133A54FA"/>
    <w:rsid w:val="134F44BD"/>
    <w:rsid w:val="136B5FEC"/>
    <w:rsid w:val="136B6737"/>
    <w:rsid w:val="13702473"/>
    <w:rsid w:val="13751DA3"/>
    <w:rsid w:val="13771DFE"/>
    <w:rsid w:val="13D9661F"/>
    <w:rsid w:val="13DF1129"/>
    <w:rsid w:val="13E968BA"/>
    <w:rsid w:val="13EB1DBD"/>
    <w:rsid w:val="13F45594"/>
    <w:rsid w:val="140A1D93"/>
    <w:rsid w:val="141E5A8F"/>
    <w:rsid w:val="144114C7"/>
    <w:rsid w:val="14534C64"/>
    <w:rsid w:val="146979FE"/>
    <w:rsid w:val="14773A8D"/>
    <w:rsid w:val="1495246B"/>
    <w:rsid w:val="149D3DDF"/>
    <w:rsid w:val="14A3534F"/>
    <w:rsid w:val="14D13334"/>
    <w:rsid w:val="14DB16C5"/>
    <w:rsid w:val="14FB7546"/>
    <w:rsid w:val="151F30B3"/>
    <w:rsid w:val="1537655C"/>
    <w:rsid w:val="154B51FC"/>
    <w:rsid w:val="15924BC6"/>
    <w:rsid w:val="15957E5F"/>
    <w:rsid w:val="159A07FF"/>
    <w:rsid w:val="15A10189"/>
    <w:rsid w:val="15B522D2"/>
    <w:rsid w:val="15C23765"/>
    <w:rsid w:val="15C420B8"/>
    <w:rsid w:val="15D5247F"/>
    <w:rsid w:val="15DF34F1"/>
    <w:rsid w:val="15E5170F"/>
    <w:rsid w:val="15F9568A"/>
    <w:rsid w:val="165B53CD"/>
    <w:rsid w:val="16757268"/>
    <w:rsid w:val="16791A96"/>
    <w:rsid w:val="167D19A5"/>
    <w:rsid w:val="16A257AE"/>
    <w:rsid w:val="16B21701"/>
    <w:rsid w:val="16B3627E"/>
    <w:rsid w:val="16B90C56"/>
    <w:rsid w:val="16D56CEF"/>
    <w:rsid w:val="16DC7F11"/>
    <w:rsid w:val="16FA1D66"/>
    <w:rsid w:val="16FC471D"/>
    <w:rsid w:val="17060D55"/>
    <w:rsid w:val="170767D7"/>
    <w:rsid w:val="17321E55"/>
    <w:rsid w:val="173405A0"/>
    <w:rsid w:val="17834787"/>
    <w:rsid w:val="17EA5D63"/>
    <w:rsid w:val="17F05E97"/>
    <w:rsid w:val="17FA788B"/>
    <w:rsid w:val="180715CC"/>
    <w:rsid w:val="180E1588"/>
    <w:rsid w:val="18240ACE"/>
    <w:rsid w:val="1824372C"/>
    <w:rsid w:val="182D2D36"/>
    <w:rsid w:val="183B75BC"/>
    <w:rsid w:val="183C0DD2"/>
    <w:rsid w:val="185276F3"/>
    <w:rsid w:val="18592901"/>
    <w:rsid w:val="188127C0"/>
    <w:rsid w:val="189A58E9"/>
    <w:rsid w:val="18A36CE7"/>
    <w:rsid w:val="18AB02C0"/>
    <w:rsid w:val="18D212C6"/>
    <w:rsid w:val="18DE63DD"/>
    <w:rsid w:val="18FD3358"/>
    <w:rsid w:val="1910462E"/>
    <w:rsid w:val="191A4F3D"/>
    <w:rsid w:val="191D5530"/>
    <w:rsid w:val="191E02D6"/>
    <w:rsid w:val="193A2057"/>
    <w:rsid w:val="193D41F8"/>
    <w:rsid w:val="19412BFE"/>
    <w:rsid w:val="194A7C8B"/>
    <w:rsid w:val="194C6A11"/>
    <w:rsid w:val="1952091A"/>
    <w:rsid w:val="195A487D"/>
    <w:rsid w:val="19602B8C"/>
    <w:rsid w:val="197D783D"/>
    <w:rsid w:val="19846B6B"/>
    <w:rsid w:val="19885571"/>
    <w:rsid w:val="198A21C9"/>
    <w:rsid w:val="198D3CB0"/>
    <w:rsid w:val="19B83B42"/>
    <w:rsid w:val="19CB4D61"/>
    <w:rsid w:val="19EF621A"/>
    <w:rsid w:val="19FD4B06"/>
    <w:rsid w:val="1A0119B8"/>
    <w:rsid w:val="1A114C29"/>
    <w:rsid w:val="1A426E9E"/>
    <w:rsid w:val="1A7E15C8"/>
    <w:rsid w:val="1A901DB7"/>
    <w:rsid w:val="1AB958E3"/>
    <w:rsid w:val="1AC629FA"/>
    <w:rsid w:val="1AD9749D"/>
    <w:rsid w:val="1AF45AC8"/>
    <w:rsid w:val="1AF61F4B"/>
    <w:rsid w:val="1AFE05D6"/>
    <w:rsid w:val="1B2C2F14"/>
    <w:rsid w:val="1B3F26C4"/>
    <w:rsid w:val="1B4545CD"/>
    <w:rsid w:val="1B47331B"/>
    <w:rsid w:val="1B666D00"/>
    <w:rsid w:val="1B702E93"/>
    <w:rsid w:val="1B7A1CF8"/>
    <w:rsid w:val="1B8E57F1"/>
    <w:rsid w:val="1B8F4723"/>
    <w:rsid w:val="1BF765EF"/>
    <w:rsid w:val="1C135F20"/>
    <w:rsid w:val="1C2361BA"/>
    <w:rsid w:val="1C23752C"/>
    <w:rsid w:val="1C540840"/>
    <w:rsid w:val="1C5E7298"/>
    <w:rsid w:val="1C72473B"/>
    <w:rsid w:val="1C962C76"/>
    <w:rsid w:val="1CBD317D"/>
    <w:rsid w:val="1CC47A8B"/>
    <w:rsid w:val="1CC777C3"/>
    <w:rsid w:val="1CD22912"/>
    <w:rsid w:val="1CD34CD9"/>
    <w:rsid w:val="1CF21D0A"/>
    <w:rsid w:val="1CF61604"/>
    <w:rsid w:val="1D1631C4"/>
    <w:rsid w:val="1D244AD1"/>
    <w:rsid w:val="1D3C6C87"/>
    <w:rsid w:val="1D472A99"/>
    <w:rsid w:val="1D4D2E1D"/>
    <w:rsid w:val="1D671CC9"/>
    <w:rsid w:val="1D68774B"/>
    <w:rsid w:val="1D6C19D4"/>
    <w:rsid w:val="1D6C33DF"/>
    <w:rsid w:val="1D725ADC"/>
    <w:rsid w:val="1D7A11F2"/>
    <w:rsid w:val="1D8070CB"/>
    <w:rsid w:val="1D823B78"/>
    <w:rsid w:val="1D9F56A6"/>
    <w:rsid w:val="1DCFB40E"/>
    <w:rsid w:val="1DD138F7"/>
    <w:rsid w:val="1DD26631"/>
    <w:rsid w:val="1DEE0FE9"/>
    <w:rsid w:val="1E007E9B"/>
    <w:rsid w:val="1E027949"/>
    <w:rsid w:val="1E115D20"/>
    <w:rsid w:val="1E123773"/>
    <w:rsid w:val="1E302A17"/>
    <w:rsid w:val="1E310498"/>
    <w:rsid w:val="1E637D1C"/>
    <w:rsid w:val="1E6E4A7A"/>
    <w:rsid w:val="1E834A1F"/>
    <w:rsid w:val="1EC24504"/>
    <w:rsid w:val="1ECA6EAF"/>
    <w:rsid w:val="1ECC2B1C"/>
    <w:rsid w:val="1EE01536"/>
    <w:rsid w:val="1EEB314A"/>
    <w:rsid w:val="1F007214"/>
    <w:rsid w:val="1F163F8E"/>
    <w:rsid w:val="1F44705C"/>
    <w:rsid w:val="1F657D15"/>
    <w:rsid w:val="1F805BBC"/>
    <w:rsid w:val="1F8F25D3"/>
    <w:rsid w:val="1F92B07A"/>
    <w:rsid w:val="1FCA6434"/>
    <w:rsid w:val="1FEA526B"/>
    <w:rsid w:val="20387569"/>
    <w:rsid w:val="203A2A6C"/>
    <w:rsid w:val="205F53D1"/>
    <w:rsid w:val="20673947"/>
    <w:rsid w:val="20862EEB"/>
    <w:rsid w:val="20A7561E"/>
    <w:rsid w:val="20B31431"/>
    <w:rsid w:val="20C77BB8"/>
    <w:rsid w:val="20FD3E2F"/>
    <w:rsid w:val="2107693C"/>
    <w:rsid w:val="21613B53"/>
    <w:rsid w:val="217754EA"/>
    <w:rsid w:val="217D437D"/>
    <w:rsid w:val="218D2419"/>
    <w:rsid w:val="21A22B4A"/>
    <w:rsid w:val="21BF4CA0"/>
    <w:rsid w:val="21C612F9"/>
    <w:rsid w:val="21C734F7"/>
    <w:rsid w:val="21C923B0"/>
    <w:rsid w:val="21FC2C11"/>
    <w:rsid w:val="22026515"/>
    <w:rsid w:val="2265761B"/>
    <w:rsid w:val="22981651"/>
    <w:rsid w:val="22A21F61"/>
    <w:rsid w:val="22B541C3"/>
    <w:rsid w:val="22D5576A"/>
    <w:rsid w:val="22DD7A11"/>
    <w:rsid w:val="22DE0F29"/>
    <w:rsid w:val="22ED5C13"/>
    <w:rsid w:val="22EE45DF"/>
    <w:rsid w:val="22F822B9"/>
    <w:rsid w:val="22FD4750"/>
    <w:rsid w:val="22FE6DF7"/>
    <w:rsid w:val="23125A98"/>
    <w:rsid w:val="231F5C99"/>
    <w:rsid w:val="235D2694"/>
    <w:rsid w:val="235F5B97"/>
    <w:rsid w:val="237F064A"/>
    <w:rsid w:val="238F08E5"/>
    <w:rsid w:val="239C59FC"/>
    <w:rsid w:val="23C62FBD"/>
    <w:rsid w:val="23CB2CC8"/>
    <w:rsid w:val="23DA4253"/>
    <w:rsid w:val="23E55A70"/>
    <w:rsid w:val="23F7700F"/>
    <w:rsid w:val="240B5CB0"/>
    <w:rsid w:val="241C3C6E"/>
    <w:rsid w:val="2429171F"/>
    <w:rsid w:val="2432467C"/>
    <w:rsid w:val="243457BB"/>
    <w:rsid w:val="243954FA"/>
    <w:rsid w:val="244640DF"/>
    <w:rsid w:val="24474810"/>
    <w:rsid w:val="24791342"/>
    <w:rsid w:val="2479237A"/>
    <w:rsid w:val="248A71D4"/>
    <w:rsid w:val="24A42EF1"/>
    <w:rsid w:val="24B1643E"/>
    <w:rsid w:val="24C279DD"/>
    <w:rsid w:val="24C27D99"/>
    <w:rsid w:val="24C50961"/>
    <w:rsid w:val="251B2158"/>
    <w:rsid w:val="252541FE"/>
    <w:rsid w:val="25392E9F"/>
    <w:rsid w:val="254621B4"/>
    <w:rsid w:val="256F65E4"/>
    <w:rsid w:val="25743667"/>
    <w:rsid w:val="25832019"/>
    <w:rsid w:val="25A869D6"/>
    <w:rsid w:val="25BC7BF5"/>
    <w:rsid w:val="25CC4E42"/>
    <w:rsid w:val="25E63291"/>
    <w:rsid w:val="260F6914"/>
    <w:rsid w:val="26102E8E"/>
    <w:rsid w:val="26134DF4"/>
    <w:rsid w:val="262E46B0"/>
    <w:rsid w:val="263071B8"/>
    <w:rsid w:val="264C3C60"/>
    <w:rsid w:val="264D7521"/>
    <w:rsid w:val="26A3466F"/>
    <w:rsid w:val="26DB7924"/>
    <w:rsid w:val="26E718E0"/>
    <w:rsid w:val="26FB0581"/>
    <w:rsid w:val="27187EB1"/>
    <w:rsid w:val="27195933"/>
    <w:rsid w:val="273242DE"/>
    <w:rsid w:val="27344FE0"/>
    <w:rsid w:val="27447A7C"/>
    <w:rsid w:val="275E0626"/>
    <w:rsid w:val="27703DC3"/>
    <w:rsid w:val="27894255"/>
    <w:rsid w:val="279B2689"/>
    <w:rsid w:val="27AC2923"/>
    <w:rsid w:val="27B54BA0"/>
    <w:rsid w:val="27BB487E"/>
    <w:rsid w:val="27BE49FE"/>
    <w:rsid w:val="27C4384D"/>
    <w:rsid w:val="27D52D89"/>
    <w:rsid w:val="280F0449"/>
    <w:rsid w:val="280F18C2"/>
    <w:rsid w:val="281954D5"/>
    <w:rsid w:val="28290FF3"/>
    <w:rsid w:val="282B0C73"/>
    <w:rsid w:val="282E547B"/>
    <w:rsid w:val="28331903"/>
    <w:rsid w:val="2845731A"/>
    <w:rsid w:val="287E2C7B"/>
    <w:rsid w:val="28D70876"/>
    <w:rsid w:val="28DC12FF"/>
    <w:rsid w:val="28E0527F"/>
    <w:rsid w:val="28E77DED"/>
    <w:rsid w:val="290179D1"/>
    <w:rsid w:val="29140BF0"/>
    <w:rsid w:val="293B2B43"/>
    <w:rsid w:val="29493649"/>
    <w:rsid w:val="29741F0F"/>
    <w:rsid w:val="297D0620"/>
    <w:rsid w:val="29A547A1"/>
    <w:rsid w:val="29AE0DEF"/>
    <w:rsid w:val="29B92A03"/>
    <w:rsid w:val="2A315B45"/>
    <w:rsid w:val="2A377A4E"/>
    <w:rsid w:val="2A7B0B0D"/>
    <w:rsid w:val="2AB22C1B"/>
    <w:rsid w:val="2ABF7DC6"/>
    <w:rsid w:val="2AC253D3"/>
    <w:rsid w:val="2AC520FD"/>
    <w:rsid w:val="2AE049E4"/>
    <w:rsid w:val="2B0907A2"/>
    <w:rsid w:val="2B1206B6"/>
    <w:rsid w:val="2B480546"/>
    <w:rsid w:val="2B6B7E4B"/>
    <w:rsid w:val="2B7E35E9"/>
    <w:rsid w:val="2B8B28FE"/>
    <w:rsid w:val="2BAF5F6A"/>
    <w:rsid w:val="2BAF68CA"/>
    <w:rsid w:val="2BC5112A"/>
    <w:rsid w:val="2BD42D85"/>
    <w:rsid w:val="2BD8054C"/>
    <w:rsid w:val="2BED118D"/>
    <w:rsid w:val="2C0578AA"/>
    <w:rsid w:val="2C68313F"/>
    <w:rsid w:val="2C734DFA"/>
    <w:rsid w:val="2C753B81"/>
    <w:rsid w:val="2C8D37A6"/>
    <w:rsid w:val="2C9E14C2"/>
    <w:rsid w:val="2CA53201"/>
    <w:rsid w:val="2CC33CE0"/>
    <w:rsid w:val="2CC82306"/>
    <w:rsid w:val="2CDA38A5"/>
    <w:rsid w:val="2CE26733"/>
    <w:rsid w:val="2CF30BCC"/>
    <w:rsid w:val="2CFB185B"/>
    <w:rsid w:val="2CFC5E4C"/>
    <w:rsid w:val="2D0D1776"/>
    <w:rsid w:val="2D13367F"/>
    <w:rsid w:val="2D187A40"/>
    <w:rsid w:val="2D4F3CFC"/>
    <w:rsid w:val="2D6D5012"/>
    <w:rsid w:val="2D7626DC"/>
    <w:rsid w:val="2D8639BE"/>
    <w:rsid w:val="2D9A5EE2"/>
    <w:rsid w:val="2DAD00C8"/>
    <w:rsid w:val="2DB04802"/>
    <w:rsid w:val="2DBA5DDE"/>
    <w:rsid w:val="2DCA7A9D"/>
    <w:rsid w:val="2DDF1ACE"/>
    <w:rsid w:val="2DEA0F24"/>
    <w:rsid w:val="2DEE20E8"/>
    <w:rsid w:val="2E063012"/>
    <w:rsid w:val="2E0C5ACD"/>
    <w:rsid w:val="2E1B7734"/>
    <w:rsid w:val="2E3005D3"/>
    <w:rsid w:val="2E3650F0"/>
    <w:rsid w:val="2E4405B6"/>
    <w:rsid w:val="2E5E122D"/>
    <w:rsid w:val="2E640BFE"/>
    <w:rsid w:val="2E9118F2"/>
    <w:rsid w:val="2EB36359"/>
    <w:rsid w:val="2EB86D24"/>
    <w:rsid w:val="2ECE71D8"/>
    <w:rsid w:val="2ED645E4"/>
    <w:rsid w:val="2EF10A6E"/>
    <w:rsid w:val="2EF8259B"/>
    <w:rsid w:val="2F067332"/>
    <w:rsid w:val="2F074DB3"/>
    <w:rsid w:val="2F0C234D"/>
    <w:rsid w:val="2F1A184B"/>
    <w:rsid w:val="2F33497E"/>
    <w:rsid w:val="2F396887"/>
    <w:rsid w:val="2F3D56D6"/>
    <w:rsid w:val="2F575424"/>
    <w:rsid w:val="2F870EC0"/>
    <w:rsid w:val="2F95371E"/>
    <w:rsid w:val="2FA7273E"/>
    <w:rsid w:val="2FAE6846"/>
    <w:rsid w:val="2FBD2525"/>
    <w:rsid w:val="2FC64AF3"/>
    <w:rsid w:val="2FE931A8"/>
    <w:rsid w:val="2FF81244"/>
    <w:rsid w:val="2FF9462C"/>
    <w:rsid w:val="2FFF3289"/>
    <w:rsid w:val="3009758F"/>
    <w:rsid w:val="301068EB"/>
    <w:rsid w:val="30573D66"/>
    <w:rsid w:val="305C56E5"/>
    <w:rsid w:val="305E1ED4"/>
    <w:rsid w:val="305F666A"/>
    <w:rsid w:val="30635070"/>
    <w:rsid w:val="30873FAB"/>
    <w:rsid w:val="308E3936"/>
    <w:rsid w:val="30DA5FB3"/>
    <w:rsid w:val="30DC72B8"/>
    <w:rsid w:val="30F64721"/>
    <w:rsid w:val="30FF202D"/>
    <w:rsid w:val="310E5509"/>
    <w:rsid w:val="313740FB"/>
    <w:rsid w:val="315301FC"/>
    <w:rsid w:val="316F42A9"/>
    <w:rsid w:val="31892812"/>
    <w:rsid w:val="31A50EFF"/>
    <w:rsid w:val="31B859A2"/>
    <w:rsid w:val="31D574D0"/>
    <w:rsid w:val="31F371BA"/>
    <w:rsid w:val="320E2C57"/>
    <w:rsid w:val="321524B8"/>
    <w:rsid w:val="32167270"/>
    <w:rsid w:val="322D78A2"/>
    <w:rsid w:val="323068E5"/>
    <w:rsid w:val="32604A2D"/>
    <w:rsid w:val="326B0CC8"/>
    <w:rsid w:val="32B545C0"/>
    <w:rsid w:val="33026140"/>
    <w:rsid w:val="331C6167"/>
    <w:rsid w:val="332B70E6"/>
    <w:rsid w:val="333155F1"/>
    <w:rsid w:val="3334290F"/>
    <w:rsid w:val="33401FA5"/>
    <w:rsid w:val="334145EB"/>
    <w:rsid w:val="334215C8"/>
    <w:rsid w:val="33452BAA"/>
    <w:rsid w:val="334B3268"/>
    <w:rsid w:val="334C5DB8"/>
    <w:rsid w:val="334E34B9"/>
    <w:rsid w:val="33673F44"/>
    <w:rsid w:val="336B2DEA"/>
    <w:rsid w:val="33985E18"/>
    <w:rsid w:val="339F7DC0"/>
    <w:rsid w:val="33BB606C"/>
    <w:rsid w:val="33BF02F5"/>
    <w:rsid w:val="33D00590"/>
    <w:rsid w:val="33D25C91"/>
    <w:rsid w:val="33D75DE6"/>
    <w:rsid w:val="33D8341D"/>
    <w:rsid w:val="340A7470"/>
    <w:rsid w:val="34105EC1"/>
    <w:rsid w:val="341A770A"/>
    <w:rsid w:val="34670FD0"/>
    <w:rsid w:val="3492284C"/>
    <w:rsid w:val="349E665E"/>
    <w:rsid w:val="34A43DEB"/>
    <w:rsid w:val="34BB3A10"/>
    <w:rsid w:val="34BE4067"/>
    <w:rsid w:val="34BF7E98"/>
    <w:rsid w:val="34C630A6"/>
    <w:rsid w:val="34CA6EEA"/>
    <w:rsid w:val="34D11437"/>
    <w:rsid w:val="34D15BB4"/>
    <w:rsid w:val="34D73340"/>
    <w:rsid w:val="34FE3200"/>
    <w:rsid w:val="34FF6941"/>
    <w:rsid w:val="35AB6B9C"/>
    <w:rsid w:val="35CA49F6"/>
    <w:rsid w:val="35D07CD5"/>
    <w:rsid w:val="35D32CA3"/>
    <w:rsid w:val="35D838DD"/>
    <w:rsid w:val="35EF058A"/>
    <w:rsid w:val="36116540"/>
    <w:rsid w:val="362A70EA"/>
    <w:rsid w:val="362E5AF0"/>
    <w:rsid w:val="36374201"/>
    <w:rsid w:val="363B293F"/>
    <w:rsid w:val="363F160E"/>
    <w:rsid w:val="36595A3B"/>
    <w:rsid w:val="368B7C90"/>
    <w:rsid w:val="36983B67"/>
    <w:rsid w:val="36A54835"/>
    <w:rsid w:val="36B60C97"/>
    <w:rsid w:val="36B77ECB"/>
    <w:rsid w:val="371C5779"/>
    <w:rsid w:val="3732571E"/>
    <w:rsid w:val="373B602E"/>
    <w:rsid w:val="37422135"/>
    <w:rsid w:val="374A2DC5"/>
    <w:rsid w:val="374C2A45"/>
    <w:rsid w:val="374F144B"/>
    <w:rsid w:val="37535C53"/>
    <w:rsid w:val="37630CFB"/>
    <w:rsid w:val="376A5878"/>
    <w:rsid w:val="376B32F9"/>
    <w:rsid w:val="3799691B"/>
    <w:rsid w:val="37A246BE"/>
    <w:rsid w:val="37B11999"/>
    <w:rsid w:val="37B449F3"/>
    <w:rsid w:val="37C05B1D"/>
    <w:rsid w:val="37C50B9D"/>
    <w:rsid w:val="37E31CBE"/>
    <w:rsid w:val="37EC3AB6"/>
    <w:rsid w:val="37F737D6"/>
    <w:rsid w:val="37F863E1"/>
    <w:rsid w:val="380D46D1"/>
    <w:rsid w:val="3814248D"/>
    <w:rsid w:val="3814330F"/>
    <w:rsid w:val="382C24D0"/>
    <w:rsid w:val="382C7B34"/>
    <w:rsid w:val="383A48CB"/>
    <w:rsid w:val="38506EE3"/>
    <w:rsid w:val="38573C0E"/>
    <w:rsid w:val="38631313"/>
    <w:rsid w:val="387202A9"/>
    <w:rsid w:val="387F0486"/>
    <w:rsid w:val="38882263"/>
    <w:rsid w:val="389D7DB8"/>
    <w:rsid w:val="38BF61AA"/>
    <w:rsid w:val="38D273C9"/>
    <w:rsid w:val="38DF2E5B"/>
    <w:rsid w:val="392F06BB"/>
    <w:rsid w:val="39630EB6"/>
    <w:rsid w:val="396B2A3F"/>
    <w:rsid w:val="39AA5C7E"/>
    <w:rsid w:val="39B62EBE"/>
    <w:rsid w:val="39BB7346"/>
    <w:rsid w:val="39E80634"/>
    <w:rsid w:val="39FA26AE"/>
    <w:rsid w:val="39FE612B"/>
    <w:rsid w:val="3A145456"/>
    <w:rsid w:val="3A2F101A"/>
    <w:rsid w:val="3A3A0F20"/>
    <w:rsid w:val="3A46208F"/>
    <w:rsid w:val="3A7D10D0"/>
    <w:rsid w:val="3A84353F"/>
    <w:rsid w:val="3A965864"/>
    <w:rsid w:val="3A995298"/>
    <w:rsid w:val="3ACC4C05"/>
    <w:rsid w:val="3AD1108C"/>
    <w:rsid w:val="3AD37E13"/>
    <w:rsid w:val="3AE24BAA"/>
    <w:rsid w:val="3AE57D2D"/>
    <w:rsid w:val="3AF510A0"/>
    <w:rsid w:val="3AFA2251"/>
    <w:rsid w:val="3B011BDC"/>
    <w:rsid w:val="3B071567"/>
    <w:rsid w:val="3B0C44CA"/>
    <w:rsid w:val="3B181E02"/>
    <w:rsid w:val="3B544F1B"/>
    <w:rsid w:val="3B5C6A72"/>
    <w:rsid w:val="3B601BF5"/>
    <w:rsid w:val="3B647A06"/>
    <w:rsid w:val="3B6B3809"/>
    <w:rsid w:val="3B7F4942"/>
    <w:rsid w:val="3B926F4C"/>
    <w:rsid w:val="3BA61D0A"/>
    <w:rsid w:val="3BA932EE"/>
    <w:rsid w:val="3BBA100A"/>
    <w:rsid w:val="3BC40A33"/>
    <w:rsid w:val="3BD05491"/>
    <w:rsid w:val="3BD67DCE"/>
    <w:rsid w:val="3BEA52FC"/>
    <w:rsid w:val="3BF375EE"/>
    <w:rsid w:val="3BF74458"/>
    <w:rsid w:val="3C4B6E34"/>
    <w:rsid w:val="3C60501B"/>
    <w:rsid w:val="3C6C0E2E"/>
    <w:rsid w:val="3C8F5B6A"/>
    <w:rsid w:val="3CCA24CC"/>
    <w:rsid w:val="3CD80A60"/>
    <w:rsid w:val="3CF745D8"/>
    <w:rsid w:val="3CF81D16"/>
    <w:rsid w:val="3D036EED"/>
    <w:rsid w:val="3D21563E"/>
    <w:rsid w:val="3D265025"/>
    <w:rsid w:val="3D7A0FEB"/>
    <w:rsid w:val="3D8D7108"/>
    <w:rsid w:val="3DA90835"/>
    <w:rsid w:val="3DBF38B2"/>
    <w:rsid w:val="3DC729DF"/>
    <w:rsid w:val="3DCC5572"/>
    <w:rsid w:val="3DD334FA"/>
    <w:rsid w:val="3DEC043D"/>
    <w:rsid w:val="3E177C2D"/>
    <w:rsid w:val="3E324300"/>
    <w:rsid w:val="3E35171E"/>
    <w:rsid w:val="3E540CB3"/>
    <w:rsid w:val="3E5B60DB"/>
    <w:rsid w:val="3E6334E7"/>
    <w:rsid w:val="3E6F4D7B"/>
    <w:rsid w:val="3E7108EA"/>
    <w:rsid w:val="3E9B3BDD"/>
    <w:rsid w:val="3EAB715E"/>
    <w:rsid w:val="3EB26371"/>
    <w:rsid w:val="3ECF4D7D"/>
    <w:rsid w:val="3ED10E56"/>
    <w:rsid w:val="3EE44D3A"/>
    <w:rsid w:val="3EFA6EDE"/>
    <w:rsid w:val="3EFC5C64"/>
    <w:rsid w:val="3F043070"/>
    <w:rsid w:val="3F2C4235"/>
    <w:rsid w:val="3F3D66CD"/>
    <w:rsid w:val="3F45735D"/>
    <w:rsid w:val="3F6F01A1"/>
    <w:rsid w:val="3F9625DF"/>
    <w:rsid w:val="3F9A3FF2"/>
    <w:rsid w:val="3FA32F09"/>
    <w:rsid w:val="3FAD0EDF"/>
    <w:rsid w:val="3FBE51DB"/>
    <w:rsid w:val="3FF4AF07"/>
    <w:rsid w:val="3FFB5FC7"/>
    <w:rsid w:val="3FFC108A"/>
    <w:rsid w:val="3FFE5BAB"/>
    <w:rsid w:val="40250BC9"/>
    <w:rsid w:val="40291312"/>
    <w:rsid w:val="404D430C"/>
    <w:rsid w:val="4054751A"/>
    <w:rsid w:val="405D23A8"/>
    <w:rsid w:val="407F3B46"/>
    <w:rsid w:val="40A15804"/>
    <w:rsid w:val="40A37FE6"/>
    <w:rsid w:val="40CD3961"/>
    <w:rsid w:val="40D25FAA"/>
    <w:rsid w:val="40E20083"/>
    <w:rsid w:val="40F45635"/>
    <w:rsid w:val="411E2466"/>
    <w:rsid w:val="413D3C14"/>
    <w:rsid w:val="413E76E9"/>
    <w:rsid w:val="41554B3E"/>
    <w:rsid w:val="41582240"/>
    <w:rsid w:val="417B6F7C"/>
    <w:rsid w:val="4185310F"/>
    <w:rsid w:val="41965D6B"/>
    <w:rsid w:val="419F3CB9"/>
    <w:rsid w:val="41B94863"/>
    <w:rsid w:val="41BA22E4"/>
    <w:rsid w:val="41BD42ED"/>
    <w:rsid w:val="4218487C"/>
    <w:rsid w:val="421B3706"/>
    <w:rsid w:val="42206C63"/>
    <w:rsid w:val="423DA0AF"/>
    <w:rsid w:val="42546C60"/>
    <w:rsid w:val="427326E1"/>
    <w:rsid w:val="42875BA2"/>
    <w:rsid w:val="42926F5D"/>
    <w:rsid w:val="42994D18"/>
    <w:rsid w:val="42A47894"/>
    <w:rsid w:val="42BB00F5"/>
    <w:rsid w:val="42CB23D0"/>
    <w:rsid w:val="42CF7466"/>
    <w:rsid w:val="42DA493A"/>
    <w:rsid w:val="42F951EF"/>
    <w:rsid w:val="43056A83"/>
    <w:rsid w:val="432F5E6E"/>
    <w:rsid w:val="43415420"/>
    <w:rsid w:val="43505BFE"/>
    <w:rsid w:val="43775ABD"/>
    <w:rsid w:val="43854DD3"/>
    <w:rsid w:val="438F1CE3"/>
    <w:rsid w:val="439240E9"/>
    <w:rsid w:val="43973FAD"/>
    <w:rsid w:val="43B768A7"/>
    <w:rsid w:val="43D27A55"/>
    <w:rsid w:val="43E0723C"/>
    <w:rsid w:val="43F71072"/>
    <w:rsid w:val="44043123"/>
    <w:rsid w:val="44177BC5"/>
    <w:rsid w:val="442E1B0B"/>
    <w:rsid w:val="442E21C8"/>
    <w:rsid w:val="44480394"/>
    <w:rsid w:val="4458062F"/>
    <w:rsid w:val="445D419E"/>
    <w:rsid w:val="4462372C"/>
    <w:rsid w:val="44682DCA"/>
    <w:rsid w:val="447A1E68"/>
    <w:rsid w:val="448C7B84"/>
    <w:rsid w:val="44954C10"/>
    <w:rsid w:val="44A32C45"/>
    <w:rsid w:val="44B94B24"/>
    <w:rsid w:val="44C71029"/>
    <w:rsid w:val="44E118E0"/>
    <w:rsid w:val="44E97F1E"/>
    <w:rsid w:val="44F133B7"/>
    <w:rsid w:val="44FA5C39"/>
    <w:rsid w:val="452832A8"/>
    <w:rsid w:val="452E518F"/>
    <w:rsid w:val="453F2EAB"/>
    <w:rsid w:val="454C353A"/>
    <w:rsid w:val="45541B28"/>
    <w:rsid w:val="45742080"/>
    <w:rsid w:val="45836D0A"/>
    <w:rsid w:val="45BA27F4"/>
    <w:rsid w:val="45BD3779"/>
    <w:rsid w:val="45CF6F16"/>
    <w:rsid w:val="46052FD4"/>
    <w:rsid w:val="46053B6D"/>
    <w:rsid w:val="460A6A88"/>
    <w:rsid w:val="46336C3B"/>
    <w:rsid w:val="4670321D"/>
    <w:rsid w:val="4696565B"/>
    <w:rsid w:val="469E30C8"/>
    <w:rsid w:val="46DB7704"/>
    <w:rsid w:val="46E000D5"/>
    <w:rsid w:val="471471D3"/>
    <w:rsid w:val="471728F8"/>
    <w:rsid w:val="47301BAF"/>
    <w:rsid w:val="473917B4"/>
    <w:rsid w:val="47424362"/>
    <w:rsid w:val="47675D33"/>
    <w:rsid w:val="4776054C"/>
    <w:rsid w:val="4785459E"/>
    <w:rsid w:val="47954B9C"/>
    <w:rsid w:val="47961F53"/>
    <w:rsid w:val="47B425AF"/>
    <w:rsid w:val="47EA630C"/>
    <w:rsid w:val="480B529C"/>
    <w:rsid w:val="4828256E"/>
    <w:rsid w:val="48442A57"/>
    <w:rsid w:val="48496326"/>
    <w:rsid w:val="484B08D9"/>
    <w:rsid w:val="487877F8"/>
    <w:rsid w:val="488D7D14"/>
    <w:rsid w:val="48BC5793"/>
    <w:rsid w:val="490A7A37"/>
    <w:rsid w:val="4927409B"/>
    <w:rsid w:val="4934502A"/>
    <w:rsid w:val="495408E8"/>
    <w:rsid w:val="49780F96"/>
    <w:rsid w:val="497B72B8"/>
    <w:rsid w:val="499F6145"/>
    <w:rsid w:val="49A51AFB"/>
    <w:rsid w:val="49BA7481"/>
    <w:rsid w:val="49C3230F"/>
    <w:rsid w:val="49C62AA6"/>
    <w:rsid w:val="49D71B1F"/>
    <w:rsid w:val="49EE27F0"/>
    <w:rsid w:val="4A085002"/>
    <w:rsid w:val="4A541A31"/>
    <w:rsid w:val="4A7B1ABE"/>
    <w:rsid w:val="4A8F2BD7"/>
    <w:rsid w:val="4ACC3E46"/>
    <w:rsid w:val="4AEB274A"/>
    <w:rsid w:val="4AF64C8A"/>
    <w:rsid w:val="4AF76E89"/>
    <w:rsid w:val="4B0A392B"/>
    <w:rsid w:val="4B411887"/>
    <w:rsid w:val="4B514232"/>
    <w:rsid w:val="4B5A5A42"/>
    <w:rsid w:val="4BA460A8"/>
    <w:rsid w:val="4BAF1EBA"/>
    <w:rsid w:val="4BB772C7"/>
    <w:rsid w:val="4BC6625C"/>
    <w:rsid w:val="4BC944F5"/>
    <w:rsid w:val="4C096909"/>
    <w:rsid w:val="4C0B6D51"/>
    <w:rsid w:val="4C6373E0"/>
    <w:rsid w:val="4C660573"/>
    <w:rsid w:val="4C7279FA"/>
    <w:rsid w:val="4C887AB7"/>
    <w:rsid w:val="4C9D50C7"/>
    <w:rsid w:val="4CD47309"/>
    <w:rsid w:val="4CDA0323"/>
    <w:rsid w:val="4CF76F0B"/>
    <w:rsid w:val="4CFD207A"/>
    <w:rsid w:val="4D073334"/>
    <w:rsid w:val="4D241A1C"/>
    <w:rsid w:val="4D3855D9"/>
    <w:rsid w:val="4D42484F"/>
    <w:rsid w:val="4D465454"/>
    <w:rsid w:val="4D505D63"/>
    <w:rsid w:val="4D524AEA"/>
    <w:rsid w:val="4D570F71"/>
    <w:rsid w:val="4D5869F3"/>
    <w:rsid w:val="4D8C28E9"/>
    <w:rsid w:val="4DA71FF5"/>
    <w:rsid w:val="4DC72C47"/>
    <w:rsid w:val="4DF50AAE"/>
    <w:rsid w:val="4DFE4745"/>
    <w:rsid w:val="4E0B7ED3"/>
    <w:rsid w:val="4E1A0CAF"/>
    <w:rsid w:val="4E1E1D58"/>
    <w:rsid w:val="4E22193F"/>
    <w:rsid w:val="4E223039"/>
    <w:rsid w:val="4E2415BF"/>
    <w:rsid w:val="4E331BD9"/>
    <w:rsid w:val="4E4951B8"/>
    <w:rsid w:val="4E676BB0"/>
    <w:rsid w:val="4E6D25D7"/>
    <w:rsid w:val="4EC66BCA"/>
    <w:rsid w:val="4ECB67EB"/>
    <w:rsid w:val="4EE264FA"/>
    <w:rsid w:val="4EE419FD"/>
    <w:rsid w:val="4EF10D13"/>
    <w:rsid w:val="4EFD595E"/>
    <w:rsid w:val="4F0444B0"/>
    <w:rsid w:val="4F072EB6"/>
    <w:rsid w:val="4F11131D"/>
    <w:rsid w:val="4F134BD3"/>
    <w:rsid w:val="4F2A68EE"/>
    <w:rsid w:val="4F3611BD"/>
    <w:rsid w:val="4F3E3F3B"/>
    <w:rsid w:val="4F6A6D04"/>
    <w:rsid w:val="4F7A372C"/>
    <w:rsid w:val="4F932C84"/>
    <w:rsid w:val="4F955F9D"/>
    <w:rsid w:val="4FE0099B"/>
    <w:rsid w:val="500243D3"/>
    <w:rsid w:val="50116BEC"/>
    <w:rsid w:val="501C07E7"/>
    <w:rsid w:val="50250266"/>
    <w:rsid w:val="503C4504"/>
    <w:rsid w:val="50636858"/>
    <w:rsid w:val="5069507C"/>
    <w:rsid w:val="506A727A"/>
    <w:rsid w:val="5077790A"/>
    <w:rsid w:val="50946A56"/>
    <w:rsid w:val="50A07754"/>
    <w:rsid w:val="50AB3567"/>
    <w:rsid w:val="50C36A0F"/>
    <w:rsid w:val="50C53578"/>
    <w:rsid w:val="50C923D8"/>
    <w:rsid w:val="50D17F23"/>
    <w:rsid w:val="50D33427"/>
    <w:rsid w:val="510164F4"/>
    <w:rsid w:val="51241E96"/>
    <w:rsid w:val="51326CC3"/>
    <w:rsid w:val="515944C8"/>
    <w:rsid w:val="517A2E37"/>
    <w:rsid w:val="517C3688"/>
    <w:rsid w:val="51806B92"/>
    <w:rsid w:val="51916A23"/>
    <w:rsid w:val="519647E9"/>
    <w:rsid w:val="51A84704"/>
    <w:rsid w:val="51B33F48"/>
    <w:rsid w:val="51C13B94"/>
    <w:rsid w:val="51C30E82"/>
    <w:rsid w:val="51FC7A11"/>
    <w:rsid w:val="52466B8B"/>
    <w:rsid w:val="524D0715"/>
    <w:rsid w:val="524D2C93"/>
    <w:rsid w:val="524D2DF4"/>
    <w:rsid w:val="52794322"/>
    <w:rsid w:val="52885076"/>
    <w:rsid w:val="52892AF8"/>
    <w:rsid w:val="528B5FFB"/>
    <w:rsid w:val="52AE52B6"/>
    <w:rsid w:val="52B04F36"/>
    <w:rsid w:val="52B20439"/>
    <w:rsid w:val="52B72342"/>
    <w:rsid w:val="52B95845"/>
    <w:rsid w:val="52BF774F"/>
    <w:rsid w:val="52C36155"/>
    <w:rsid w:val="52D363EF"/>
    <w:rsid w:val="52E33C65"/>
    <w:rsid w:val="52E5410B"/>
    <w:rsid w:val="53132A52"/>
    <w:rsid w:val="531B1140"/>
    <w:rsid w:val="532D72CF"/>
    <w:rsid w:val="53400FA2"/>
    <w:rsid w:val="534D2836"/>
    <w:rsid w:val="5350703E"/>
    <w:rsid w:val="53692166"/>
    <w:rsid w:val="536F0D86"/>
    <w:rsid w:val="538D10A1"/>
    <w:rsid w:val="53932F20"/>
    <w:rsid w:val="53B96412"/>
    <w:rsid w:val="53BF6CA9"/>
    <w:rsid w:val="53C568DF"/>
    <w:rsid w:val="53D33D94"/>
    <w:rsid w:val="53DB6C22"/>
    <w:rsid w:val="53EC3F13"/>
    <w:rsid w:val="53FE7A16"/>
    <w:rsid w:val="54333A80"/>
    <w:rsid w:val="5438153A"/>
    <w:rsid w:val="547B54A6"/>
    <w:rsid w:val="547C326D"/>
    <w:rsid w:val="547E339D"/>
    <w:rsid w:val="548953C2"/>
    <w:rsid w:val="549461DE"/>
    <w:rsid w:val="54A87D43"/>
    <w:rsid w:val="54CC5BB6"/>
    <w:rsid w:val="54D1160F"/>
    <w:rsid w:val="54D526BD"/>
    <w:rsid w:val="54EB0FDD"/>
    <w:rsid w:val="54ED2858"/>
    <w:rsid w:val="55081FC8"/>
    <w:rsid w:val="551F5FB4"/>
    <w:rsid w:val="5569512F"/>
    <w:rsid w:val="55822FD4"/>
    <w:rsid w:val="558B7F10"/>
    <w:rsid w:val="559C4684"/>
    <w:rsid w:val="55A92695"/>
    <w:rsid w:val="55BC14AB"/>
    <w:rsid w:val="55DA66E7"/>
    <w:rsid w:val="55E03E74"/>
    <w:rsid w:val="55E737FF"/>
    <w:rsid w:val="55F21050"/>
    <w:rsid w:val="56052DAF"/>
    <w:rsid w:val="561D2654"/>
    <w:rsid w:val="561D5474"/>
    <w:rsid w:val="561F13DA"/>
    <w:rsid w:val="56260D65"/>
    <w:rsid w:val="56486D1B"/>
    <w:rsid w:val="566B5FD6"/>
    <w:rsid w:val="56761DE9"/>
    <w:rsid w:val="56A32719"/>
    <w:rsid w:val="56A73B4D"/>
    <w:rsid w:val="56B05446"/>
    <w:rsid w:val="56B16DB1"/>
    <w:rsid w:val="56C11AF4"/>
    <w:rsid w:val="56C46268"/>
    <w:rsid w:val="56C66E8C"/>
    <w:rsid w:val="56DA3297"/>
    <w:rsid w:val="56F15EAF"/>
    <w:rsid w:val="56FF17BD"/>
    <w:rsid w:val="570F4566"/>
    <w:rsid w:val="5744373B"/>
    <w:rsid w:val="574A05B2"/>
    <w:rsid w:val="575100AA"/>
    <w:rsid w:val="576D107C"/>
    <w:rsid w:val="577A7177"/>
    <w:rsid w:val="577B1697"/>
    <w:rsid w:val="57945E89"/>
    <w:rsid w:val="579E50CE"/>
    <w:rsid w:val="57A46FD8"/>
    <w:rsid w:val="57A87BDC"/>
    <w:rsid w:val="57B62775"/>
    <w:rsid w:val="57CE11E3"/>
    <w:rsid w:val="57D72F77"/>
    <w:rsid w:val="57FC318C"/>
    <w:rsid w:val="580E74A7"/>
    <w:rsid w:val="582857B4"/>
    <w:rsid w:val="583A5F76"/>
    <w:rsid w:val="584C06EA"/>
    <w:rsid w:val="584C371E"/>
    <w:rsid w:val="585E0223"/>
    <w:rsid w:val="5863520D"/>
    <w:rsid w:val="587C3438"/>
    <w:rsid w:val="58801E3E"/>
    <w:rsid w:val="588071DE"/>
    <w:rsid w:val="588717C9"/>
    <w:rsid w:val="58930B63"/>
    <w:rsid w:val="589F26F3"/>
    <w:rsid w:val="58A02B26"/>
    <w:rsid w:val="58B23912"/>
    <w:rsid w:val="58BA1364"/>
    <w:rsid w:val="58BA4597"/>
    <w:rsid w:val="58CC44BC"/>
    <w:rsid w:val="58D64557"/>
    <w:rsid w:val="58DD65AC"/>
    <w:rsid w:val="58DF7607"/>
    <w:rsid w:val="58EB14ED"/>
    <w:rsid w:val="59033A86"/>
    <w:rsid w:val="59253C51"/>
    <w:rsid w:val="592C3BB0"/>
    <w:rsid w:val="593B4048"/>
    <w:rsid w:val="594133D8"/>
    <w:rsid w:val="596127B1"/>
    <w:rsid w:val="59754CD5"/>
    <w:rsid w:val="5978773D"/>
    <w:rsid w:val="597B335B"/>
    <w:rsid w:val="59A85793"/>
    <w:rsid w:val="59B15A33"/>
    <w:rsid w:val="59BC6B99"/>
    <w:rsid w:val="59BD50C9"/>
    <w:rsid w:val="59D84532"/>
    <w:rsid w:val="59E25563"/>
    <w:rsid w:val="59E80836"/>
    <w:rsid w:val="59F50A69"/>
    <w:rsid w:val="59F50AA6"/>
    <w:rsid w:val="5A0E3BCE"/>
    <w:rsid w:val="5A165757"/>
    <w:rsid w:val="5A2A7C7B"/>
    <w:rsid w:val="5A421A14"/>
    <w:rsid w:val="5A4E6BB6"/>
    <w:rsid w:val="5A676AEB"/>
    <w:rsid w:val="5A6A2862"/>
    <w:rsid w:val="5A6C3F68"/>
    <w:rsid w:val="5A746DF6"/>
    <w:rsid w:val="5A874791"/>
    <w:rsid w:val="5A8B6A1B"/>
    <w:rsid w:val="5A8E79A0"/>
    <w:rsid w:val="5A995D31"/>
    <w:rsid w:val="5AA340C2"/>
    <w:rsid w:val="5AAD61E0"/>
    <w:rsid w:val="5AAE5CD6"/>
    <w:rsid w:val="5AD30227"/>
    <w:rsid w:val="5AFC51D7"/>
    <w:rsid w:val="5B1C2A87"/>
    <w:rsid w:val="5B266C19"/>
    <w:rsid w:val="5B2C46EC"/>
    <w:rsid w:val="5B351432"/>
    <w:rsid w:val="5B392E30"/>
    <w:rsid w:val="5B6D31BC"/>
    <w:rsid w:val="5B6F4537"/>
    <w:rsid w:val="5B8027AB"/>
    <w:rsid w:val="5B844A35"/>
    <w:rsid w:val="5B98429E"/>
    <w:rsid w:val="5BA9396F"/>
    <w:rsid w:val="5BC31F9B"/>
    <w:rsid w:val="5BDC2EC5"/>
    <w:rsid w:val="5C040806"/>
    <w:rsid w:val="5C0A270F"/>
    <w:rsid w:val="5C1761A2"/>
    <w:rsid w:val="5C1820CB"/>
    <w:rsid w:val="5C1C634C"/>
    <w:rsid w:val="5C33253C"/>
    <w:rsid w:val="5C407366"/>
    <w:rsid w:val="5C516E22"/>
    <w:rsid w:val="5C6A01AA"/>
    <w:rsid w:val="5C6B14AF"/>
    <w:rsid w:val="5C886E05"/>
    <w:rsid w:val="5C9003EA"/>
    <w:rsid w:val="5CA5038F"/>
    <w:rsid w:val="5CA85A91"/>
    <w:rsid w:val="5CC15D6D"/>
    <w:rsid w:val="5CC2118D"/>
    <w:rsid w:val="5CEB19FD"/>
    <w:rsid w:val="5CEF3C87"/>
    <w:rsid w:val="5CFD5956"/>
    <w:rsid w:val="5D397DAB"/>
    <w:rsid w:val="5D700D5D"/>
    <w:rsid w:val="5D7E0072"/>
    <w:rsid w:val="5D903006"/>
    <w:rsid w:val="5DAF0841"/>
    <w:rsid w:val="5DBB20D6"/>
    <w:rsid w:val="5DBE6543"/>
    <w:rsid w:val="5DEB2C25"/>
    <w:rsid w:val="5E105D34"/>
    <w:rsid w:val="5E146DCD"/>
    <w:rsid w:val="5E3C172A"/>
    <w:rsid w:val="5E5003CB"/>
    <w:rsid w:val="5E5E021D"/>
    <w:rsid w:val="5E6F53FC"/>
    <w:rsid w:val="5E972D3D"/>
    <w:rsid w:val="5EA77231"/>
    <w:rsid w:val="5EB01B62"/>
    <w:rsid w:val="5EB030CA"/>
    <w:rsid w:val="5EC7130E"/>
    <w:rsid w:val="5ED73B27"/>
    <w:rsid w:val="5EDB7FAF"/>
    <w:rsid w:val="5EEFBF35"/>
    <w:rsid w:val="5EF665DA"/>
    <w:rsid w:val="5EFA79F7"/>
    <w:rsid w:val="5F1C681A"/>
    <w:rsid w:val="5F4245F5"/>
    <w:rsid w:val="5F4E4A6A"/>
    <w:rsid w:val="5F554279"/>
    <w:rsid w:val="5F646C0E"/>
    <w:rsid w:val="5F777E2D"/>
    <w:rsid w:val="5F833C40"/>
    <w:rsid w:val="5F9B4B6A"/>
    <w:rsid w:val="5FB9FC6D"/>
    <w:rsid w:val="5FD404D6"/>
    <w:rsid w:val="5FD52192"/>
    <w:rsid w:val="5FEBA06D"/>
    <w:rsid w:val="5FFC0086"/>
    <w:rsid w:val="60553F98"/>
    <w:rsid w:val="6055781B"/>
    <w:rsid w:val="60561A1A"/>
    <w:rsid w:val="6061582C"/>
    <w:rsid w:val="608A69F1"/>
    <w:rsid w:val="60983788"/>
    <w:rsid w:val="609F2DF9"/>
    <w:rsid w:val="60B93CBC"/>
    <w:rsid w:val="60BA44D4"/>
    <w:rsid w:val="60D343D6"/>
    <w:rsid w:val="60E96A0A"/>
    <w:rsid w:val="60FC21CA"/>
    <w:rsid w:val="61017934"/>
    <w:rsid w:val="61187559"/>
    <w:rsid w:val="61190887"/>
    <w:rsid w:val="615403CE"/>
    <w:rsid w:val="616A18E2"/>
    <w:rsid w:val="617B3D7A"/>
    <w:rsid w:val="618358A3"/>
    <w:rsid w:val="61836C08"/>
    <w:rsid w:val="619D55B4"/>
    <w:rsid w:val="61BE356A"/>
    <w:rsid w:val="62183626"/>
    <w:rsid w:val="624A06F8"/>
    <w:rsid w:val="62556F61"/>
    <w:rsid w:val="629C76D5"/>
    <w:rsid w:val="62AF4177"/>
    <w:rsid w:val="62BA31EA"/>
    <w:rsid w:val="62E0260C"/>
    <w:rsid w:val="62E94062"/>
    <w:rsid w:val="62EF7122"/>
    <w:rsid w:val="630761AB"/>
    <w:rsid w:val="63282B3C"/>
    <w:rsid w:val="63283776"/>
    <w:rsid w:val="633324F6"/>
    <w:rsid w:val="63522D37"/>
    <w:rsid w:val="6359330B"/>
    <w:rsid w:val="635A009E"/>
    <w:rsid w:val="635E4C42"/>
    <w:rsid w:val="63683DBE"/>
    <w:rsid w:val="636A48AB"/>
    <w:rsid w:val="63783BC0"/>
    <w:rsid w:val="637B56B5"/>
    <w:rsid w:val="63A21181"/>
    <w:rsid w:val="63A7308B"/>
    <w:rsid w:val="63BB5747"/>
    <w:rsid w:val="64041226"/>
    <w:rsid w:val="640A312F"/>
    <w:rsid w:val="640B69F8"/>
    <w:rsid w:val="643B7181"/>
    <w:rsid w:val="6453492B"/>
    <w:rsid w:val="64561F2A"/>
    <w:rsid w:val="64641CCF"/>
    <w:rsid w:val="647911E5"/>
    <w:rsid w:val="647933E3"/>
    <w:rsid w:val="64963C5C"/>
    <w:rsid w:val="64AC0F89"/>
    <w:rsid w:val="64BA20C0"/>
    <w:rsid w:val="64CE2CEA"/>
    <w:rsid w:val="64DA7F84"/>
    <w:rsid w:val="64F50C31"/>
    <w:rsid w:val="65083052"/>
    <w:rsid w:val="650F715A"/>
    <w:rsid w:val="651E51F6"/>
    <w:rsid w:val="65271E20"/>
    <w:rsid w:val="652D670A"/>
    <w:rsid w:val="65312B91"/>
    <w:rsid w:val="65343B16"/>
    <w:rsid w:val="654031AC"/>
    <w:rsid w:val="65536B40"/>
    <w:rsid w:val="655748CB"/>
    <w:rsid w:val="658000DD"/>
    <w:rsid w:val="658727FF"/>
    <w:rsid w:val="65A159C5"/>
    <w:rsid w:val="65EC32C5"/>
    <w:rsid w:val="65ED2D4A"/>
    <w:rsid w:val="65F8295A"/>
    <w:rsid w:val="65FC3378"/>
    <w:rsid w:val="65FD1369"/>
    <w:rsid w:val="660C4A1A"/>
    <w:rsid w:val="661E106E"/>
    <w:rsid w:val="66277C26"/>
    <w:rsid w:val="66375CC2"/>
    <w:rsid w:val="665F3603"/>
    <w:rsid w:val="66675F8B"/>
    <w:rsid w:val="66842A12"/>
    <w:rsid w:val="66994D10"/>
    <w:rsid w:val="669D0EEA"/>
    <w:rsid w:val="66A7454C"/>
    <w:rsid w:val="66AB35C5"/>
    <w:rsid w:val="66B6078F"/>
    <w:rsid w:val="66BE575E"/>
    <w:rsid w:val="66E6229C"/>
    <w:rsid w:val="670536F6"/>
    <w:rsid w:val="670B151E"/>
    <w:rsid w:val="673D776E"/>
    <w:rsid w:val="674B0C82"/>
    <w:rsid w:val="67806F5E"/>
    <w:rsid w:val="67B56133"/>
    <w:rsid w:val="67B870B8"/>
    <w:rsid w:val="67DB7109"/>
    <w:rsid w:val="67DE72F8"/>
    <w:rsid w:val="67EB2D8A"/>
    <w:rsid w:val="680B3612"/>
    <w:rsid w:val="6814614D"/>
    <w:rsid w:val="68334803"/>
    <w:rsid w:val="68351F05"/>
    <w:rsid w:val="68685BD7"/>
    <w:rsid w:val="6892481D"/>
    <w:rsid w:val="68CF6880"/>
    <w:rsid w:val="68FC19E6"/>
    <w:rsid w:val="69156FF4"/>
    <w:rsid w:val="69164A76"/>
    <w:rsid w:val="69286015"/>
    <w:rsid w:val="696A04B4"/>
    <w:rsid w:val="69763B96"/>
    <w:rsid w:val="699917CC"/>
    <w:rsid w:val="69A01157"/>
    <w:rsid w:val="69AA52EA"/>
    <w:rsid w:val="69AB74E8"/>
    <w:rsid w:val="69E25443"/>
    <w:rsid w:val="69F621AD"/>
    <w:rsid w:val="6A1E3669"/>
    <w:rsid w:val="6A310A46"/>
    <w:rsid w:val="6A617017"/>
    <w:rsid w:val="6A6D5762"/>
    <w:rsid w:val="6A752434"/>
    <w:rsid w:val="6A790E3A"/>
    <w:rsid w:val="6A7E12D5"/>
    <w:rsid w:val="6ABC2019"/>
    <w:rsid w:val="6AE24FE6"/>
    <w:rsid w:val="6B1A6720"/>
    <w:rsid w:val="6B244B56"/>
    <w:rsid w:val="6B2A44E1"/>
    <w:rsid w:val="6B34156D"/>
    <w:rsid w:val="6B400C03"/>
    <w:rsid w:val="6B6149A0"/>
    <w:rsid w:val="6B7D4EBB"/>
    <w:rsid w:val="6B7F3067"/>
    <w:rsid w:val="6BA11214"/>
    <w:rsid w:val="6BA42B26"/>
    <w:rsid w:val="6BA8152C"/>
    <w:rsid w:val="6BAB63AD"/>
    <w:rsid w:val="6BB17C3D"/>
    <w:rsid w:val="6BBE661C"/>
    <w:rsid w:val="6BCB2E75"/>
    <w:rsid w:val="6BCE176C"/>
    <w:rsid w:val="6BD126F0"/>
    <w:rsid w:val="6BD37441"/>
    <w:rsid w:val="6BE1298B"/>
    <w:rsid w:val="6BF85A3B"/>
    <w:rsid w:val="6C053E44"/>
    <w:rsid w:val="6C120F5B"/>
    <w:rsid w:val="6C1A3DE9"/>
    <w:rsid w:val="6C305F8D"/>
    <w:rsid w:val="6C30706D"/>
    <w:rsid w:val="6C37119B"/>
    <w:rsid w:val="6C4007A6"/>
    <w:rsid w:val="6C5042C3"/>
    <w:rsid w:val="6C5F105B"/>
    <w:rsid w:val="6C7406FE"/>
    <w:rsid w:val="6C74577D"/>
    <w:rsid w:val="6C805C0E"/>
    <w:rsid w:val="6C9852DC"/>
    <w:rsid w:val="6CC45116"/>
    <w:rsid w:val="6CC509FF"/>
    <w:rsid w:val="6CCF6D90"/>
    <w:rsid w:val="6CD435C8"/>
    <w:rsid w:val="6CE814DC"/>
    <w:rsid w:val="6D18628B"/>
    <w:rsid w:val="6D224509"/>
    <w:rsid w:val="6D2E262D"/>
    <w:rsid w:val="6D550655"/>
    <w:rsid w:val="6D783D26"/>
    <w:rsid w:val="6D79502A"/>
    <w:rsid w:val="6D806BB4"/>
    <w:rsid w:val="6DA822F6"/>
    <w:rsid w:val="6DA91279"/>
    <w:rsid w:val="6DEF2A6B"/>
    <w:rsid w:val="6E152DF0"/>
    <w:rsid w:val="6E1A1331"/>
    <w:rsid w:val="6E2A38BB"/>
    <w:rsid w:val="6E2E0238"/>
    <w:rsid w:val="6E525DD6"/>
    <w:rsid w:val="6E617526"/>
    <w:rsid w:val="6E7B4F7E"/>
    <w:rsid w:val="6E7B5083"/>
    <w:rsid w:val="6E866461"/>
    <w:rsid w:val="6E912289"/>
    <w:rsid w:val="6EC07540"/>
    <w:rsid w:val="6ED51A64"/>
    <w:rsid w:val="6ED616E4"/>
    <w:rsid w:val="6EEF260E"/>
    <w:rsid w:val="6EFED2FA"/>
    <w:rsid w:val="6F0A0C39"/>
    <w:rsid w:val="6F0E50C1"/>
    <w:rsid w:val="6F1E7D1B"/>
    <w:rsid w:val="6F2302C1"/>
    <w:rsid w:val="6F2A6806"/>
    <w:rsid w:val="6F352D82"/>
    <w:rsid w:val="6F3E7E0E"/>
    <w:rsid w:val="6F57FBAE"/>
    <w:rsid w:val="6F5C6C7D"/>
    <w:rsid w:val="6F7D69F9"/>
    <w:rsid w:val="6F9E36AB"/>
    <w:rsid w:val="6FDA1311"/>
    <w:rsid w:val="6FDC7314"/>
    <w:rsid w:val="6FF026BC"/>
    <w:rsid w:val="6FFFC7D1"/>
    <w:rsid w:val="70105F68"/>
    <w:rsid w:val="705768B1"/>
    <w:rsid w:val="705E3AE9"/>
    <w:rsid w:val="706C1A36"/>
    <w:rsid w:val="70714D08"/>
    <w:rsid w:val="708A7E30"/>
    <w:rsid w:val="709616C4"/>
    <w:rsid w:val="70977146"/>
    <w:rsid w:val="70B26495"/>
    <w:rsid w:val="70B30FF5"/>
    <w:rsid w:val="70BD7386"/>
    <w:rsid w:val="70C10ADE"/>
    <w:rsid w:val="70D93433"/>
    <w:rsid w:val="70E335D9"/>
    <w:rsid w:val="70EE2CEC"/>
    <w:rsid w:val="70F574E0"/>
    <w:rsid w:val="711D19EA"/>
    <w:rsid w:val="713A3ED9"/>
    <w:rsid w:val="714040DC"/>
    <w:rsid w:val="714D5970"/>
    <w:rsid w:val="714F5ACD"/>
    <w:rsid w:val="7179553A"/>
    <w:rsid w:val="718C28F0"/>
    <w:rsid w:val="719515E7"/>
    <w:rsid w:val="71A768D5"/>
    <w:rsid w:val="71AC120D"/>
    <w:rsid w:val="71BC2D7E"/>
    <w:rsid w:val="71D506B7"/>
    <w:rsid w:val="71E036E4"/>
    <w:rsid w:val="71E37168"/>
    <w:rsid w:val="71E5266B"/>
    <w:rsid w:val="71F72585"/>
    <w:rsid w:val="71FB0F8C"/>
    <w:rsid w:val="71FD7D12"/>
    <w:rsid w:val="72162E3A"/>
    <w:rsid w:val="7220374A"/>
    <w:rsid w:val="72247BD2"/>
    <w:rsid w:val="72376BF2"/>
    <w:rsid w:val="724463EE"/>
    <w:rsid w:val="726F0837"/>
    <w:rsid w:val="729D6597"/>
    <w:rsid w:val="72A731E4"/>
    <w:rsid w:val="72CC7E77"/>
    <w:rsid w:val="72CD492A"/>
    <w:rsid w:val="73116555"/>
    <w:rsid w:val="73613585"/>
    <w:rsid w:val="736D6C6F"/>
    <w:rsid w:val="739F538A"/>
    <w:rsid w:val="73A43546"/>
    <w:rsid w:val="73AD3B8D"/>
    <w:rsid w:val="73BC69EE"/>
    <w:rsid w:val="73C4187C"/>
    <w:rsid w:val="73CA3785"/>
    <w:rsid w:val="73E00C6A"/>
    <w:rsid w:val="74050CF5"/>
    <w:rsid w:val="74077AAC"/>
    <w:rsid w:val="740F09F7"/>
    <w:rsid w:val="74292A8B"/>
    <w:rsid w:val="7457466E"/>
    <w:rsid w:val="745D6577"/>
    <w:rsid w:val="74655B82"/>
    <w:rsid w:val="747204C5"/>
    <w:rsid w:val="74A4053D"/>
    <w:rsid w:val="74A86AF5"/>
    <w:rsid w:val="74CB6BAB"/>
    <w:rsid w:val="74CC5169"/>
    <w:rsid w:val="74CE4179"/>
    <w:rsid w:val="74F963F6"/>
    <w:rsid w:val="75167F24"/>
    <w:rsid w:val="752C20C8"/>
    <w:rsid w:val="752C5223"/>
    <w:rsid w:val="753B48FB"/>
    <w:rsid w:val="7553580B"/>
    <w:rsid w:val="75630E60"/>
    <w:rsid w:val="756E33A4"/>
    <w:rsid w:val="757904F8"/>
    <w:rsid w:val="75820352"/>
    <w:rsid w:val="75895CE5"/>
    <w:rsid w:val="758A7EE3"/>
    <w:rsid w:val="75901C41"/>
    <w:rsid w:val="75AF26A1"/>
    <w:rsid w:val="75C96ACE"/>
    <w:rsid w:val="75D2195C"/>
    <w:rsid w:val="75E406E7"/>
    <w:rsid w:val="75F72A95"/>
    <w:rsid w:val="75FB149C"/>
    <w:rsid w:val="760F5568"/>
    <w:rsid w:val="76116CB9"/>
    <w:rsid w:val="761B77D2"/>
    <w:rsid w:val="762D7D2D"/>
    <w:rsid w:val="762E67D3"/>
    <w:rsid w:val="762F4621"/>
    <w:rsid w:val="76366C00"/>
    <w:rsid w:val="764C5094"/>
    <w:rsid w:val="765B27BA"/>
    <w:rsid w:val="7661737B"/>
    <w:rsid w:val="767B11F2"/>
    <w:rsid w:val="767E397C"/>
    <w:rsid w:val="76874903"/>
    <w:rsid w:val="769E4528"/>
    <w:rsid w:val="76A660D3"/>
    <w:rsid w:val="76A9033B"/>
    <w:rsid w:val="76B10FCA"/>
    <w:rsid w:val="76BE4A5D"/>
    <w:rsid w:val="76CB1B74"/>
    <w:rsid w:val="76D72F91"/>
    <w:rsid w:val="76D95B0C"/>
    <w:rsid w:val="76E332C4"/>
    <w:rsid w:val="76EA4DEE"/>
    <w:rsid w:val="76F834C0"/>
    <w:rsid w:val="76FF32C8"/>
    <w:rsid w:val="7701609E"/>
    <w:rsid w:val="774127E5"/>
    <w:rsid w:val="775D6EE5"/>
    <w:rsid w:val="77694EF6"/>
    <w:rsid w:val="77731088"/>
    <w:rsid w:val="777728B0"/>
    <w:rsid w:val="77775E03"/>
    <w:rsid w:val="77980A6E"/>
    <w:rsid w:val="779D1A5F"/>
    <w:rsid w:val="77BA7916"/>
    <w:rsid w:val="77BC2C6F"/>
    <w:rsid w:val="77BFCE79"/>
    <w:rsid w:val="77DF1303"/>
    <w:rsid w:val="77E500C2"/>
    <w:rsid w:val="77F90F61"/>
    <w:rsid w:val="77FE53E9"/>
    <w:rsid w:val="780B6C7D"/>
    <w:rsid w:val="781C28C8"/>
    <w:rsid w:val="782354D1"/>
    <w:rsid w:val="78304CBF"/>
    <w:rsid w:val="78337E41"/>
    <w:rsid w:val="783720CB"/>
    <w:rsid w:val="78404F59"/>
    <w:rsid w:val="785670FD"/>
    <w:rsid w:val="785F4189"/>
    <w:rsid w:val="786118B0"/>
    <w:rsid w:val="788D5058"/>
    <w:rsid w:val="78AA6B87"/>
    <w:rsid w:val="78AE558D"/>
    <w:rsid w:val="78BB7CFB"/>
    <w:rsid w:val="78C728B3"/>
    <w:rsid w:val="78FF4092"/>
    <w:rsid w:val="78FF6291"/>
    <w:rsid w:val="791260BF"/>
    <w:rsid w:val="79156236"/>
    <w:rsid w:val="791A26BE"/>
    <w:rsid w:val="792067C5"/>
    <w:rsid w:val="79270FFE"/>
    <w:rsid w:val="796C59D2"/>
    <w:rsid w:val="796D4705"/>
    <w:rsid w:val="79756792"/>
    <w:rsid w:val="797F45E0"/>
    <w:rsid w:val="799B610F"/>
    <w:rsid w:val="79B47039"/>
    <w:rsid w:val="79C23DD0"/>
    <w:rsid w:val="79C6605A"/>
    <w:rsid w:val="79E944E7"/>
    <w:rsid w:val="79FE61B3"/>
    <w:rsid w:val="79FE7545"/>
    <w:rsid w:val="79FF400A"/>
    <w:rsid w:val="7A1E0C67"/>
    <w:rsid w:val="7A2B3800"/>
    <w:rsid w:val="7A2C6FAD"/>
    <w:rsid w:val="7A2D6F6B"/>
    <w:rsid w:val="7A375B8F"/>
    <w:rsid w:val="7A4430A5"/>
    <w:rsid w:val="7A532BCF"/>
    <w:rsid w:val="7A645B58"/>
    <w:rsid w:val="7A805488"/>
    <w:rsid w:val="7A9E364A"/>
    <w:rsid w:val="7A9F2AED"/>
    <w:rsid w:val="7AA36941"/>
    <w:rsid w:val="7AA52A26"/>
    <w:rsid w:val="7B1014F4"/>
    <w:rsid w:val="7B1227F8"/>
    <w:rsid w:val="7B1C3B93"/>
    <w:rsid w:val="7B6D768F"/>
    <w:rsid w:val="7B857D66"/>
    <w:rsid w:val="7B8F7843"/>
    <w:rsid w:val="7B9939D6"/>
    <w:rsid w:val="7BAE00F8"/>
    <w:rsid w:val="7BB11C4E"/>
    <w:rsid w:val="7BC93A03"/>
    <w:rsid w:val="7BDF5AE4"/>
    <w:rsid w:val="7BFDE361"/>
    <w:rsid w:val="7C000DFC"/>
    <w:rsid w:val="7C142DB9"/>
    <w:rsid w:val="7C2C2F45"/>
    <w:rsid w:val="7C712BEB"/>
    <w:rsid w:val="7C8C6150"/>
    <w:rsid w:val="7C952974"/>
    <w:rsid w:val="7CB31F25"/>
    <w:rsid w:val="7CB650A7"/>
    <w:rsid w:val="7CF806B9"/>
    <w:rsid w:val="7CFD581C"/>
    <w:rsid w:val="7D322473"/>
    <w:rsid w:val="7D7157DB"/>
    <w:rsid w:val="7DAD5707"/>
    <w:rsid w:val="7DBB7264"/>
    <w:rsid w:val="7DBF195F"/>
    <w:rsid w:val="7DC477E3"/>
    <w:rsid w:val="7DC6006E"/>
    <w:rsid w:val="7DC6656A"/>
    <w:rsid w:val="7DDC070D"/>
    <w:rsid w:val="7DE9671E"/>
    <w:rsid w:val="7DF57FB2"/>
    <w:rsid w:val="7DF66B43"/>
    <w:rsid w:val="7E125364"/>
    <w:rsid w:val="7E7462C4"/>
    <w:rsid w:val="7E936BB7"/>
    <w:rsid w:val="7E994343"/>
    <w:rsid w:val="7EA271D1"/>
    <w:rsid w:val="7EB631DE"/>
    <w:rsid w:val="7EE401DB"/>
    <w:rsid w:val="7EEC634C"/>
    <w:rsid w:val="7EF8215F"/>
    <w:rsid w:val="7EF9641B"/>
    <w:rsid w:val="7F090601"/>
    <w:rsid w:val="7F155E8B"/>
    <w:rsid w:val="7F161575"/>
    <w:rsid w:val="7F230A24"/>
    <w:rsid w:val="7F2406A4"/>
    <w:rsid w:val="7F2D3532"/>
    <w:rsid w:val="7F3FC0F9"/>
    <w:rsid w:val="7F46449A"/>
    <w:rsid w:val="7F4F76B7"/>
    <w:rsid w:val="7F5406C0"/>
    <w:rsid w:val="7F695915"/>
    <w:rsid w:val="7F7F0991"/>
    <w:rsid w:val="7F8A06DB"/>
    <w:rsid w:val="7FC96C34"/>
    <w:rsid w:val="7FCB5895"/>
    <w:rsid w:val="7FD14C89"/>
    <w:rsid w:val="7FDF293B"/>
    <w:rsid w:val="7FFF8E32"/>
    <w:rsid w:val="9EFF7B05"/>
    <w:rsid w:val="B377BF10"/>
    <w:rsid w:val="B77F6878"/>
    <w:rsid w:val="C7A526AB"/>
    <w:rsid w:val="CE75A308"/>
    <w:rsid w:val="CF7BAFAE"/>
    <w:rsid w:val="CFBA4207"/>
    <w:rsid w:val="D7FE5843"/>
    <w:rsid w:val="DEB7F5BF"/>
    <w:rsid w:val="DFFCDB0A"/>
    <w:rsid w:val="E5EAB1F9"/>
    <w:rsid w:val="EBDF80CA"/>
    <w:rsid w:val="EDAF35C4"/>
    <w:rsid w:val="EF9572C8"/>
    <w:rsid w:val="EFBBB27C"/>
    <w:rsid w:val="F36F4DE1"/>
    <w:rsid w:val="F65CE5FE"/>
    <w:rsid w:val="F7EBF6B8"/>
    <w:rsid w:val="FD679218"/>
    <w:rsid w:val="FDDF88EE"/>
    <w:rsid w:val="FDFECA3A"/>
    <w:rsid w:val="FFBA2268"/>
    <w:rsid w:val="FFBC1DBB"/>
    <w:rsid w:val="FFD1E4A4"/>
    <w:rsid w:val="FFFEC8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character" w:default="1" w:styleId="11">
    <w:name w:val="Default Paragraph Font"/>
    <w:semiHidden/>
    <w:qForma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6"/>
    <w:qFormat/>
    <w:uiPriority w:val="0"/>
    <w:pPr>
      <w:spacing w:after="120" w:afterAutospacing="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footer"/>
    <w:basedOn w:val="1"/>
    <w:uiPriority w:val="0"/>
    <w:pPr>
      <w:tabs>
        <w:tab w:val="center" w:pos="4153"/>
        <w:tab w:val="right" w:pos="8306"/>
      </w:tabs>
      <w:snapToGrid w:val="0"/>
      <w:jc w:val="left"/>
    </w:pPr>
    <w:rPr>
      <w:sz w:val="18"/>
    </w:rPr>
  </w:style>
  <w:style w:type="paragraph" w:styleId="8">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page number"/>
    <w:uiPriority w:val="0"/>
  </w:style>
  <w:style w:type="character" w:styleId="14">
    <w:name w:val="FollowedHyperlink"/>
    <w:uiPriority w:val="0"/>
    <w:rPr>
      <w:color w:val="800080"/>
      <w:u w:val="none"/>
    </w:rPr>
  </w:style>
  <w:style w:type="character" w:styleId="15">
    <w:name w:val="Emphasis"/>
    <w:qFormat/>
    <w:uiPriority w:val="0"/>
    <w:rPr>
      <w:rFonts w:hint="eastAsia" w:ascii="微软雅黑" w:hAnsi="微软雅黑" w:eastAsia="微软雅黑" w:cs="微软雅黑"/>
      <w:i/>
    </w:rPr>
  </w:style>
  <w:style w:type="character" w:styleId="16">
    <w:name w:val="HTML Definition"/>
    <w:uiPriority w:val="0"/>
    <w:rPr>
      <w:color w:val="333333"/>
      <w:u w:val="none"/>
    </w:rPr>
  </w:style>
  <w:style w:type="character" w:styleId="17">
    <w:name w:val="HTML Acronym"/>
    <w:uiPriority w:val="0"/>
  </w:style>
  <w:style w:type="character" w:styleId="18">
    <w:name w:val="HTML Variable"/>
    <w:uiPriority w:val="0"/>
  </w:style>
  <w:style w:type="character" w:styleId="19">
    <w:name w:val="Hyperlink"/>
    <w:uiPriority w:val="0"/>
    <w:rPr>
      <w:color w:val="0000FF"/>
      <w:u w:val="none"/>
    </w:rPr>
  </w:style>
  <w:style w:type="character" w:styleId="20">
    <w:name w:val="HTML Code"/>
    <w:uiPriority w:val="0"/>
    <w:rPr>
      <w:rFonts w:hint="default" w:ascii="monospace" w:hAnsi="monospace" w:eastAsia="monospace" w:cs="monospace"/>
      <w:sz w:val="21"/>
      <w:szCs w:val="21"/>
    </w:rPr>
  </w:style>
  <w:style w:type="character" w:styleId="21">
    <w:name w:val="HTML Cite"/>
    <w:uiPriority w:val="0"/>
  </w:style>
  <w:style w:type="character" w:styleId="22">
    <w:name w:val="HTML Keyboard"/>
    <w:uiPriority w:val="0"/>
    <w:rPr>
      <w:rFonts w:hint="default" w:ascii="monospace" w:hAnsi="monospace" w:eastAsia="monospace" w:cs="monospace"/>
      <w:sz w:val="21"/>
      <w:szCs w:val="21"/>
    </w:rPr>
  </w:style>
  <w:style w:type="character" w:styleId="23">
    <w:name w:val="HTML Sample"/>
    <w:uiPriority w:val="0"/>
    <w:rPr>
      <w:rFonts w:ascii="monospace" w:hAnsi="monospace" w:eastAsia="monospace" w:cs="monospace"/>
      <w:sz w:val="21"/>
      <w:szCs w:val="21"/>
    </w:rPr>
  </w:style>
  <w:style w:type="character" w:customStyle="1" w:styleId="24">
    <w:name w:val="right2"/>
    <w:uiPriority w:val="0"/>
    <w:rPr>
      <w:color w:val="999999"/>
      <w:sz w:val="18"/>
      <w:szCs w:val="18"/>
    </w:rPr>
  </w:style>
  <w:style w:type="character" w:customStyle="1" w:styleId="25">
    <w:name w:val="first-child"/>
    <w:uiPriority w:val="0"/>
  </w:style>
  <w:style w:type="character" w:customStyle="1" w:styleId="26">
    <w:name w:val="font01"/>
    <w:qFormat/>
    <w:uiPriority w:val="0"/>
    <w:rPr>
      <w:rFonts w:hint="eastAsia" w:ascii="宋体" w:hAnsi="宋体" w:eastAsia="宋体" w:cs="宋体"/>
      <w:color w:val="000000"/>
      <w:sz w:val="20"/>
      <w:szCs w:val="20"/>
      <w:u w:val="none"/>
    </w:rPr>
  </w:style>
  <w:style w:type="character" w:customStyle="1" w:styleId="27">
    <w:name w:val="n33"/>
    <w:uiPriority w:val="0"/>
  </w:style>
  <w:style w:type="character" w:customStyle="1" w:styleId="28">
    <w:name w:val="bds_nopic"/>
    <w:uiPriority w:val="0"/>
  </w:style>
  <w:style w:type="character" w:customStyle="1" w:styleId="29">
    <w:name w:val="n13"/>
    <w:uiPriority w:val="0"/>
  </w:style>
  <w:style w:type="character" w:customStyle="1" w:styleId="30">
    <w:name w:val="n32"/>
    <w:uiPriority w:val="0"/>
  </w:style>
  <w:style w:type="character" w:customStyle="1" w:styleId="31">
    <w:name w:val="n2"/>
    <w:uiPriority w:val="0"/>
  </w:style>
  <w:style w:type="character" w:customStyle="1" w:styleId="32">
    <w:name w:val="bzmc1"/>
    <w:uiPriority w:val="0"/>
  </w:style>
  <w:style w:type="character" w:customStyle="1" w:styleId="33">
    <w:name w:val="emotion"/>
    <w:uiPriority w:val="0"/>
  </w:style>
  <w:style w:type="character" w:customStyle="1" w:styleId="34">
    <w:name w:val="bds_nopic1"/>
    <w:uiPriority w:val="0"/>
  </w:style>
  <w:style w:type="character" w:customStyle="1" w:styleId="35">
    <w:name w:val="hover11"/>
    <w:uiPriority w:val="0"/>
    <w:rPr>
      <w:color w:val="188B20"/>
    </w:rPr>
  </w:style>
  <w:style w:type="character" w:customStyle="1" w:styleId="36">
    <w:name w:val="layui-layer-tabnow"/>
    <w:uiPriority w:val="0"/>
    <w:rPr>
      <w:bdr w:val="single" w:color="CCCCCC" w:sz="6" w:space="0"/>
      <w:shd w:val="clear" w:color="auto" w:fill="FFFFFF"/>
    </w:rPr>
  </w:style>
  <w:style w:type="character" w:customStyle="1" w:styleId="37">
    <w:name w:val="right"/>
    <w:uiPriority w:val="0"/>
    <w:rPr>
      <w:color w:val="999999"/>
      <w:sz w:val="18"/>
      <w:szCs w:val="18"/>
    </w:rPr>
  </w:style>
  <w:style w:type="character" w:customStyle="1" w:styleId="38">
    <w:name w:val="bzmc"/>
    <w:uiPriority w:val="0"/>
  </w:style>
  <w:style w:type="character" w:customStyle="1" w:styleId="39">
    <w:name w:val="bds_more1"/>
    <w:uiPriority w:val="0"/>
    <w:rPr>
      <w:rFonts w:hint="eastAsia" w:ascii="宋体" w:hAnsi="宋体" w:eastAsia="宋体" w:cs="宋体"/>
    </w:rPr>
  </w:style>
  <w:style w:type="character" w:customStyle="1" w:styleId="40">
    <w:name w:val="page"/>
    <w:uiPriority w:val="0"/>
    <w:rPr>
      <w:b/>
      <w:color w:val="FFFFFF"/>
      <w:u w:val="none"/>
      <w:shd w:val="clear" w:color="auto" w:fill="005555"/>
    </w:rPr>
  </w:style>
  <w:style w:type="character" w:customStyle="1" w:styleId="41">
    <w:name w:val="n22"/>
    <w:uiPriority w:val="0"/>
  </w:style>
  <w:style w:type="character" w:customStyle="1" w:styleId="42">
    <w:name w:val="n11"/>
    <w:uiPriority w:val="0"/>
  </w:style>
  <w:style w:type="character" w:customStyle="1" w:styleId="43">
    <w:name w:val="hover10"/>
    <w:uiPriority w:val="0"/>
    <w:rPr>
      <w:color w:val="188B20"/>
    </w:rPr>
  </w:style>
  <w:style w:type="character" w:customStyle="1" w:styleId="44">
    <w:name w:val="n31"/>
    <w:uiPriority w:val="0"/>
  </w:style>
  <w:style w:type="character" w:customStyle="1" w:styleId="45">
    <w:name w:val="bds_more2"/>
    <w:uiPriority w:val="0"/>
  </w:style>
  <w:style w:type="character" w:customStyle="1" w:styleId="46">
    <w:name w:val="font71"/>
    <w:qFormat/>
    <w:uiPriority w:val="0"/>
    <w:rPr>
      <w:rFonts w:hint="eastAsia" w:ascii="宋体" w:hAnsi="宋体" w:eastAsia="宋体" w:cs="宋体"/>
      <w:color w:val="000000"/>
      <w:sz w:val="22"/>
      <w:szCs w:val="22"/>
      <w:u w:val="none"/>
    </w:rPr>
  </w:style>
  <w:style w:type="character" w:customStyle="1" w:styleId="47">
    <w:name w:val="n21"/>
    <w:uiPriority w:val="0"/>
  </w:style>
  <w:style w:type="character" w:customStyle="1" w:styleId="48">
    <w:name w:val="font11"/>
    <w:qFormat/>
    <w:uiPriority w:val="0"/>
    <w:rPr>
      <w:rFonts w:hint="eastAsia" w:ascii="宋体" w:hAnsi="宋体" w:eastAsia="宋体" w:cs="宋体"/>
      <w:color w:val="000000"/>
      <w:sz w:val="20"/>
      <w:szCs w:val="20"/>
      <w:u w:val="none"/>
    </w:rPr>
  </w:style>
  <w:style w:type="character" w:customStyle="1" w:styleId="49">
    <w:name w:val="n12"/>
    <w:uiPriority w:val="0"/>
  </w:style>
  <w:style w:type="character" w:customStyle="1" w:styleId="50">
    <w:name w:val="n1"/>
    <w:uiPriority w:val="0"/>
  </w:style>
  <w:style w:type="character" w:customStyle="1" w:styleId="51">
    <w:name w:val="n3"/>
    <w:uiPriority w:val="0"/>
  </w:style>
  <w:style w:type="character" w:customStyle="1" w:styleId="52">
    <w:name w:val="n23"/>
    <w:uiPriority w:val="0"/>
  </w:style>
  <w:style w:type="character" w:customStyle="1" w:styleId="53">
    <w:name w:val="bds_nopic2"/>
    <w:uiPriority w:val="0"/>
  </w:style>
  <w:style w:type="character" w:customStyle="1" w:styleId="54">
    <w:name w:val="bds_more"/>
    <w:uiPriority w:val="0"/>
  </w:style>
  <w:style w:type="paragraph" w:customStyle="1" w:styleId="55">
    <w:name w:val="Table Paragraph"/>
    <w:basedOn w:val="1"/>
    <w:qFormat/>
    <w:uiPriority w:val="0"/>
  </w:style>
  <w:style w:type="paragraph" w:customStyle="1" w:styleId="56">
    <w:name w:val="Quote"/>
    <w:basedOn w:val="1"/>
    <w:next w:val="1"/>
    <w:qFormat/>
    <w:uiPriority w:val="0"/>
    <w:pPr>
      <w:ind w:left="864" w:right="864"/>
      <w:jc w:val="center"/>
    </w:pPr>
    <w:rPr>
      <w:i/>
      <w:iCs/>
      <w:color w:val="000000"/>
    </w:rPr>
  </w:style>
  <w:style w:type="table" w:customStyle="1" w:styleId="57">
    <w:name w:val="Table Normal"/>
    <w:unhideWhenUsed/>
    <w:qFormat/>
    <w:uiPriority w:val="0"/>
    <w:rPr>
      <w:lang w:val="en-US" w:eastAsia="zh-CN" w:bidi="ar-SA"/>
    </w:rPr>
    <w:tblPr>
      <w:tblStyle w:val="9"/>
      <w:tblCellMar>
        <w:top w:w="0" w:type="dxa"/>
        <w:left w:w="0" w:type="dxa"/>
        <w:bottom w:w="0" w:type="dxa"/>
        <w:right w:w="0" w:type="dxa"/>
      </w:tblCellMar>
    </w:tblPr>
  </w:style>
  <w:style w:type="table" w:customStyle="1" w:styleId="58">
    <w:name w:val="Table Normal1"/>
    <w:unhideWhenUsed/>
    <w:qFormat/>
    <w:uiPriority w:val="0"/>
    <w:rPr>
      <w:rFonts w:ascii="Arial" w:hAnsi="Arial" w:cs="Arial"/>
      <w:lang w:val="en-US" w:eastAsia="zh-CN" w:bidi="ar-SA"/>
    </w:rPr>
    <w:tblPr>
      <w:tblStyle w:val="9"/>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319</Pages>
  <Words>34222</Words>
  <Characters>195071</Characters>
  <Lines>1625</Lines>
  <Paragraphs>457</Paragraphs>
  <TotalTime>0</TotalTime>
  <ScaleCrop>false</ScaleCrop>
  <LinksUpToDate>false</LinksUpToDate>
  <CharactersWithSpaces>228836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2023-12-05T05:45:00Z</dcterms:created>
  <dc:creator>Administrator</dc:creator>
  <cp:lastModifiedBy>LSQ</cp:lastModifiedBy>
  <cp:lastPrinted>2023-12-05T06:18:00Z</cp:lastPrinted>
  <dcterms:modified xsi:type="dcterms:W3CDTF">2024-06-03T08:49:47Z</dcterms:modified>
  <dc:title>河北省生态环境行政处罚裁量基准(固废类）</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676E65EC85DA473485FDE6700D858994_13</vt:lpwstr>
  </property>
</Properties>
</file>