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61312" behindDoc="0" locked="0" layoutInCell="1" allowOverlap="1">
                <wp:simplePos x="0" y="0"/>
                <wp:positionH relativeFrom="column">
                  <wp:posOffset>321945</wp:posOffset>
                </wp:positionH>
                <wp:positionV relativeFrom="paragraph">
                  <wp:posOffset>5481320</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：唐山市丰南区退役军人事务局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c9Mu1wAAAAsBAAAPAAAAAAAAAAEAIAAAACIA&#10;AABkcnMvZG93bnJldi54bWxQSwECFAAUAAAACACHTuJAz+dAWAoCAADcAwAADgAAAAAAAAABACAA&#10;AAAmAQAAZHJzL2Uyb0RvYy54bWxQSwUGAAAAAAYABgBZAQAAogU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：唐山市丰南区退役军人事务局</w:t>
                      </w:r>
                    </w:p>
                  </w:txbxContent>
                </v:textbox>
              </v:shape>
            </w:pict>
          </mc:Fallback>
        </mc:AlternateConten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a:stretch>
                      <a:fillRect/>
                    </a:stretch>
                  </pic:blipFill>
                  <pic:spPr>
                    <a:xfrm>
                      <a:off x="0" y="0"/>
                      <a:ext cx="2162810" cy="1310640"/>
                    </a:xfrm>
                    <a:prstGeom prst="rect">
                      <a:avLst/>
                    </a:prstGeom>
                  </pic:spPr>
                </pic:pic>
              </a:graphicData>
            </a:graphic>
          </wp:anchor>
        </w:drawing>
      </w:r>
      <w:r>
        <mc:AlternateContent>
          <mc:Choice Requires="wpg">
            <w:drawing>
              <wp:anchor distT="0" distB="0" distL="114300" distR="114300" simplePos="0" relativeHeight="251665408" behindDoc="0" locked="0" layoutInCell="1" allowOverlap="1">
                <wp:simplePos x="0" y="0"/>
                <wp:positionH relativeFrom="column">
                  <wp:posOffset>-2453005</wp:posOffset>
                </wp:positionH>
                <wp:positionV relativeFrom="paragraph">
                  <wp:posOffset>2132330</wp:posOffset>
                </wp:positionV>
                <wp:extent cx="9053195" cy="1447165"/>
                <wp:effectExtent l="0" t="0" r="14605" b="635"/>
                <wp:wrapNone/>
                <wp:docPr id="2" name="组合 2"/>
                <wp:cNvGraphicFramePr/>
                <a:graphic xmlns:a="http://schemas.openxmlformats.org/drawingml/2006/main">
                  <a:graphicData uri="http://schemas.microsoft.com/office/word/2010/wordprocessingGroup">
                    <wpg:wgp>
                      <wpg:cNvGrpSpPr/>
                      <wpg:grpSpPr>
                        <a:xfrm>
                          <a:off x="0" y="0"/>
                          <a:ext cx="9053195" cy="1447017"/>
                          <a:chOff x="-3504" y="4387"/>
                          <a:chExt cx="19200" cy="2716"/>
                        </a:xfrm>
                      </wpg:grpSpPr>
                      <wps:wsp>
                        <wps:cNvPr id="3075" name="矩形 19"/>
                        <wps:cNvSpPr/>
                        <wps:spPr>
                          <a:xfrm>
                            <a:off x="-381" y="4387"/>
                            <a:ext cx="1834" cy="2457"/>
                          </a:xfrm>
                          <a:prstGeom prst="rect">
                            <a:avLst/>
                          </a:prstGeom>
                          <a:solidFill>
                            <a:srgbClr val="0176AB"/>
                          </a:solidFill>
                          <a:ln w="9525">
                            <a:noFill/>
                          </a:ln>
                        </wps:spPr>
                        <wps:bodyPr anchor="ctr" anchorCtr="0"/>
                      </wps:wsp>
                      <wps:wsp>
                        <wps:cNvPr id="3079" name="矩形 24"/>
                        <wps:cNvSpPr/>
                        <wps:spPr>
                          <a:xfrm>
                            <a:off x="-3504" y="6953"/>
                            <a:ext cx="11815" cy="150"/>
                          </a:xfrm>
                          <a:custGeom>
                            <a:avLst/>
                            <a:gdLst/>
                            <a:ahLst/>
                            <a:cxnLst>
                              <a:cxn ang="0">
                                <a:pos x="0" y="0"/>
                              </a:cxn>
                              <a:cxn ang="0">
                                <a:pos x="7463453" y="6619"/>
                              </a:cxn>
                              <a:cxn ang="0">
                                <a:pos x="7506490" y="98604"/>
                              </a:cxn>
                              <a:cxn ang="0">
                                <a:pos x="0" y="98604"/>
                              </a:cxn>
                              <a:cxn ang="0">
                                <a:pos x="0" y="0"/>
                              </a:cxn>
                            </a:cxnLst>
                            <a:rect l="0" t="0" r="0" b="0"/>
                            <a:pathLst>
                              <a:path w="7501732" h="94593">
                                <a:moveTo>
                                  <a:pt x="0" y="0"/>
                                </a:moveTo>
                                <a:lnTo>
                                  <a:pt x="7458720" y="6350"/>
                                </a:lnTo>
                                <a:lnTo>
                                  <a:pt x="7501732" y="94593"/>
                                </a:lnTo>
                                <a:lnTo>
                                  <a:pt x="0" y="94593"/>
                                </a:lnTo>
                                <a:lnTo>
                                  <a:pt x="0" y="0"/>
                                </a:lnTo>
                                <a:close/>
                              </a:path>
                            </a:pathLst>
                          </a:custGeom>
                          <a:solidFill>
                            <a:srgbClr val="E5AA57">
                              <a:alpha val="100000"/>
                            </a:srgbClr>
                          </a:solidFill>
                          <a:ln w="9525">
                            <a:noFill/>
                          </a:ln>
                        </wps:spPr>
                        <wps:bodyPr/>
                      </wps:wsp>
                      <wps:wsp>
                        <wps:cNvPr id="3080" name="矩形 25"/>
                        <wps:cNvSpPr/>
                        <wps:spPr>
                          <a:xfrm>
                            <a:off x="8331" y="6953"/>
                            <a:ext cx="7365" cy="150"/>
                          </a:xfrm>
                          <a:custGeom>
                            <a:avLst/>
                            <a:gdLst/>
                            <a:ahLst/>
                            <a:cxnLst>
                              <a:cxn ang="0">
                                <a:pos x="0" y="0"/>
                              </a:cxn>
                              <a:cxn ang="0">
                                <a:pos x="4679715" y="0"/>
                              </a:cxn>
                              <a:cxn ang="0">
                                <a:pos x="4679715" y="98599"/>
                              </a:cxn>
                              <a:cxn ang="0">
                                <a:pos x="57552" y="98599"/>
                              </a:cxn>
                              <a:cxn ang="0">
                                <a:pos x="0" y="0"/>
                              </a:cxn>
                            </a:cxnLst>
                            <a:rect l="0" t="0" r="0" b="0"/>
                            <a:pathLst>
                              <a:path w="4676187" h="94594">
                                <a:moveTo>
                                  <a:pt x="0" y="0"/>
                                </a:moveTo>
                                <a:lnTo>
                                  <a:pt x="4676187" y="0"/>
                                </a:lnTo>
                                <a:lnTo>
                                  <a:pt x="4676187" y="94594"/>
                                </a:lnTo>
                                <a:lnTo>
                                  <a:pt x="57510" y="94594"/>
                                </a:lnTo>
                                <a:lnTo>
                                  <a:pt x="0" y="0"/>
                                </a:lnTo>
                                <a:close/>
                              </a:path>
                            </a:pathLst>
                          </a:custGeom>
                          <a:solidFill>
                            <a:srgbClr val="0176AB">
                              <a:alpha val="100000"/>
                            </a:srgbClr>
                          </a:solidFill>
                          <a:ln w="9525">
                            <a:noFill/>
                          </a:ln>
                        </wps:spPr>
                        <wps:bodyPr/>
                      </wps:wsp>
                    </wpg:wgp>
                  </a:graphicData>
                </a:graphic>
              </wp:anchor>
            </w:drawing>
          </mc:Choice>
          <mc:Fallback>
            <w:pict>
              <v:group id="_x0000_s1026" o:spid="_x0000_s1026" o:spt="203" style="position:absolute;left:0pt;margin-left:-193.15pt;margin-top:167.9pt;height:113.95pt;width:712.85pt;z-index:251665408;mso-width-relative:page;mso-height-relative:page;" coordorigin="-3504,4387" coordsize="19200,2716"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tUlm23AAAAA0BAAAPAAAAAAAAAAEA&#10;IAAAACIAAABkcnMvZG93bnJldi54bWxQSwECFAAUAAAACACHTuJAgMxoTZoDAAAzDAAADgAAAAAA&#10;AAABACAAAAArAQAAZHJzL2Uyb0RvYy54bWxQSwUGAAAAAAYABgBZAQAANwcAAAAA&#10;">
                <o:lock v:ext="edit" aspectratio="f"/>
                <v:rect id="矩形 19" o:spid="_x0000_s1026"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fill on="t" focussize="0,0"/>
                  <v:stroke on="f"/>
                  <v:imagedata o:title=""/>
                  <o:lock v:ext="edit" aspectratio="f"/>
                </v:rect>
                <v:shape id="矩形 24" o:spid="_x0000_s1026"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path="m0,0l7458720,6350,7501732,94593,0,94593,0,0xe">
                  <v:path o:connectlocs="0,0;7463453,6619;7506490,98604;0,98604;0,0" o:connectangles="0,0,0,0,0"/>
                  <v:fill on="t" focussize="0,0"/>
                  <v:stroke on="f"/>
                  <v:imagedata o:title=""/>
                  <o:lock v:ext="edit" aspectratio="f"/>
                </v:shape>
                <v:shape id="矩形 25" o:spid="_x0000_s102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path="m0,0l4676187,0,4676187,94594,57510,94594,0,0xe">
                  <v:path o:connectlocs="0,0;4679715,0;4679715,98599;57552,98599;0,0" o:connectangles="0,0,0,0,0"/>
                  <v:fill on="t" focussize="0,0"/>
                  <v:stroke on="f"/>
                  <v:imagedata o:title=""/>
                  <o:lock v:ext="edit" aspectratio="f"/>
                </v:shape>
              </v:group>
            </w:pict>
          </mc:Fallback>
        </mc:AlternateConten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a:stretch>
                      <a:fillRect/>
                    </a:stretch>
                  </pic:blipFill>
                  <pic:spPr>
                    <a:xfrm>
                      <a:off x="0" y="0"/>
                      <a:ext cx="2159000" cy="1310640"/>
                    </a:xfrm>
                    <a:prstGeom prst="rect">
                      <a:avLst/>
                    </a:prstGeom>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-280670</wp:posOffset>
                </wp:positionH>
                <wp:positionV relativeFrom="paragraph">
                  <wp:posOffset>-313055</wp:posOffset>
                </wp:positionV>
                <wp:extent cx="5954395" cy="1885315"/>
                <wp:effectExtent l="0" t="0" r="0" b="14605"/>
                <wp:wrapNone/>
                <wp:docPr id="1" name="组合 1"/>
                <wp:cNvGraphicFramePr/>
                <a:graphic xmlns:a="http://schemas.openxmlformats.org/drawingml/2006/main">
                  <a:graphicData uri="http://schemas.microsoft.com/office/word/2010/wordprocessingGroup">
                    <wpg:wgp>
                      <wpg:cNvGrpSpPr/>
                      <wpg:grpSpPr>
                        <a:xfrm>
                          <a:off x="0" y="0"/>
                          <a:ext cx="5954395" cy="1885315"/>
                          <a:chOff x="12098" y="1831"/>
                          <a:chExt cx="9377" cy="2969"/>
                        </a:xfrm>
                      </wpg:grpSpPr>
                      <wps:wsp>
                        <wps:cNvPr id="89" name="文本框 32"/>
                        <wps:cNvSpPr txBox="1"/>
                        <wps:spPr>
                          <a:xfrm>
                            <a:off x="13325" y="1831"/>
                            <a:ext cx="4462" cy="1348"/>
                          </a:xfrm>
                          <a:prstGeom prst="rect">
                            <a:avLst/>
                          </a:prstGeom>
                          <a:noFill/>
                        </wps:spPr>
                        <wps:txb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wps:txbx>
                        <wps:bodyPr wrap="square" rtlCol="0">
                          <a:noAutofit/>
                        </wps:bodyPr>
                      </wps:wsp>
                      <wpg:grpSp>
                        <wpg:cNvPr id="6" name="组合 6"/>
                        <wpg:cNvGrpSpPr/>
                        <wpg:grpSpPr>
                          <a:xfrm>
                            <a:off x="12098" y="3193"/>
                            <a:ext cx="9377" cy="1607"/>
                            <a:chOff x="6119" y="2843"/>
                            <a:chExt cx="9377" cy="1607"/>
                          </a:xfrm>
                        </wpg:grpSpPr>
                        <wps:wsp>
                          <wps:cNvPr id="91" name="文本框 32"/>
                          <wps:cNvSpPr txBox="1"/>
                          <wps:spPr>
                            <a:xfrm>
                              <a:off x="6119" y="2843"/>
                              <a:ext cx="9377" cy="1421"/>
                            </a:xfrm>
                            <a:prstGeom prst="rect">
                              <a:avLst/>
                            </a:prstGeom>
                            <a:noFill/>
                          </wps:spPr>
                          <wps:txb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22.1pt;margin-top:-24.65pt;height:148.45pt;width:468.85pt;z-index:251662336;mso-width-relative:page;mso-height-relative:page;" coordorigin="12098,1831" coordsize="9377,2969"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UHC8XbAAAACwEAAA8AAAAAAAAAAQAgAAAA&#10;IgAAAGRycy9kb3ducmV2LnhtbFBLAQIUABQAAAAIAIdO4kC5jxvuJQMAAPYIAAAOAAAAAAAAAAEA&#10;IAAAACoBAABkcnMvZTJvRG9jLnhtbFBLBQYAAAAABgAGAFkBAADBBgAAAAA=&#10;">
                <o:lock v:ext="edit" aspectratio="f"/>
                <v:shape id="文本框 32" o:spid="_x0000_s1026"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distribute"/>
                          <w:rPr>
                            <w:rFonts w:ascii="方正魏碑简体" w:hAnsi="Arial" w:eastAsia="方正魏碑简体" w:cs="Arial"/>
                            <w:color w:val="000000" w:themeColor="text1"/>
                            <w:kern w:val="0"/>
                            <w:sz w:val="2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魏碑简体" w:hAnsi="Arial" w:eastAsia="方正魏碑简体" w:cs="Arial"/>
                            <w:color w:val="000000" w:themeColor="text1"/>
                            <w:spacing w:val="60"/>
                            <w:kern w:val="24"/>
                            <w:sz w:val="72"/>
                            <w:szCs w:val="7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2023年度</w:t>
                        </w:r>
                      </w:p>
                    </w:txbxContent>
                  </v:textbox>
                </v:shape>
                <v:group id="_x0000_s1026" o:spid="_x0000_s1026" o:spt="203" style="position:absolute;left:12098;top:3193;height:1607;width:9377;" coordorigin="6119,2843" coordsize="9377,160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32" o:spid="_x0000_s1026"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黑体" w:hAnsi="黑体" w:eastAsia="黑体" w:cs="黑体"/>
                              <w:color w:val="000000" w:themeColor="text1"/>
                              <w:kern w:val="0"/>
                              <w:sz w:val="24"/>
                              <w:szCs w:val="2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黑体" w:hAnsi="黑体" w:eastAsia="黑体" w:cs="黑体"/>
                              <w:color w:val="000000" w:themeColor="text1"/>
                              <w:spacing w:val="60"/>
                              <w:kern w:val="24"/>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v:group>
            </w:pict>
          </mc:Fallback>
        </mc:AlternateConten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06095" cy="50609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二〇二四年八月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widowControl/>
        <w:spacing w:line="600" w:lineRule="exact"/>
        <w:jc w:val="left"/>
        <w:rPr>
          <w:rFonts w:ascii="黑体" w:hAnsi="黑体" w:eastAsia="黑体" w:cs="黑体"/>
          <w:bCs/>
          <w:sz w:val="32"/>
          <w:szCs w:val="32"/>
        </w:rPr>
      </w:pPr>
      <w:bookmarkStart w:id="0" w:name="_GoBack"/>
      <w:bookmarkEnd w:id="0"/>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960" w:firstLineChars="300"/>
        <w:rPr>
          <w:rFonts w:ascii="仿宋_GB2312" w:eastAsia="仿宋_GB2312"/>
          <w:sz w:val="32"/>
          <w:szCs w:val="32"/>
        </w:rPr>
      </w:pPr>
      <w:r>
        <w:rPr>
          <w:rFonts w:hint="eastAsia" w:ascii="仿宋" w:hAnsi="仿宋" w:eastAsia="仿宋" w:cs="仿宋"/>
          <w:sz w:val="32"/>
          <w:szCs w:val="32"/>
        </w:rPr>
        <w:t>(</w:t>
      </w:r>
      <w:r>
        <w:rPr>
          <w:rFonts w:hint="eastAsia" w:ascii="仿宋_GB2312" w:eastAsia="仿宋_GB2312"/>
          <w:sz w:val="32"/>
          <w:szCs w:val="32"/>
        </w:rPr>
        <w:t xml:space="preserve">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960" w:firstLineChars="300"/>
        <w:rPr>
          <w:rFonts w:ascii="仿宋_GB2312" w:eastAsia="仿宋_GB2312"/>
          <w:sz w:val="32"/>
          <w:szCs w:val="32"/>
        </w:rPr>
      </w:pPr>
      <w:r>
        <w:rPr>
          <w:rFonts w:hint="eastAsia" w:ascii="仿宋_GB2312" w:eastAsia="仿宋_GB2312"/>
          <w:sz w:val="32"/>
          <w:szCs w:val="32"/>
        </w:rPr>
        <w:t xml:space="preserve">(2)负责全区军队转业干部、复员干部、离退休干部、退役士兵、符合条件消防员和无军籍退休退职职工的移交安置工作以及自主择业、就业退役军人的务管理工作。 </w:t>
      </w:r>
    </w:p>
    <w:p>
      <w:pPr>
        <w:ind w:firstLine="960" w:firstLineChars="300"/>
        <w:rPr>
          <w:rFonts w:ascii="仿宋_GB2312" w:eastAsia="仿宋_GB2312"/>
          <w:sz w:val="32"/>
          <w:szCs w:val="32"/>
        </w:rPr>
      </w:pPr>
      <w:r>
        <w:rPr>
          <w:rFonts w:hint="eastAsia" w:ascii="仿宋_GB2312" w:eastAsia="仿宋_GB2312"/>
          <w:sz w:val="32"/>
          <w:szCs w:val="32"/>
        </w:rPr>
        <w:t xml:space="preserve">(3)组织指导退役军人教育培训工作，协调扶持退役军人和随军随调家属就业创业。 </w:t>
      </w:r>
    </w:p>
    <w:p>
      <w:pPr>
        <w:ind w:firstLine="960" w:firstLineChars="300"/>
        <w:rPr>
          <w:rFonts w:ascii="仿宋_GB2312" w:eastAsia="仿宋_GB2312"/>
          <w:sz w:val="32"/>
          <w:szCs w:val="32"/>
        </w:rPr>
      </w:pPr>
      <w:r>
        <w:rPr>
          <w:rFonts w:hint="eastAsia" w:ascii="仿宋_GB2312" w:eastAsia="仿宋_GB2312"/>
          <w:sz w:val="32"/>
          <w:szCs w:val="32"/>
        </w:rPr>
        <w:t>(4)会同有关部门制定全区退役军人特殊保障政策并组织落实，拟订和落实企业中军队转业干部的解困政策。</w:t>
      </w:r>
    </w:p>
    <w:p>
      <w:pPr>
        <w:ind w:firstLine="960" w:firstLineChars="300"/>
        <w:rPr>
          <w:rFonts w:ascii="仿宋_GB2312" w:eastAsia="仿宋_GB2312"/>
          <w:sz w:val="32"/>
          <w:szCs w:val="32"/>
        </w:rPr>
      </w:pPr>
      <w:r>
        <w:rPr>
          <w:rFonts w:hint="eastAsia" w:ascii="仿宋_GB2312" w:eastAsia="仿宋_GB2312"/>
          <w:sz w:val="32"/>
          <w:szCs w:val="32"/>
        </w:rPr>
        <w:t xml:space="preserve">(5)组织协调落实移交地方的离休军人、符合条件的其他退役军人和无军退休退职职工的住房保障工作，以及役军人医疗保障、社会保险等待遇保障工作。 </w:t>
      </w:r>
    </w:p>
    <w:p>
      <w:pPr>
        <w:ind w:firstLine="960" w:firstLineChars="300"/>
        <w:rPr>
          <w:rFonts w:ascii="仿宋_GB2312" w:eastAsia="仿宋_GB2312"/>
          <w:sz w:val="32"/>
          <w:szCs w:val="32"/>
        </w:rPr>
      </w:pPr>
      <w:r>
        <w:rPr>
          <w:rFonts w:hint="eastAsia" w:ascii="仿宋_GB2312" w:eastAsia="仿宋_GB2312"/>
          <w:sz w:val="32"/>
          <w:szCs w:val="32"/>
        </w:rPr>
        <w:t xml:space="preserve">(6)组织指导伤病残退役军人服务管理和抚他工作。拟订有关退役军人医疗、疗养、养老等机构的规划政策并指导实施;承担不适宜继续服役的伤病残军人相关工作;组织指导军供服务保障工作。 </w:t>
      </w:r>
    </w:p>
    <w:p>
      <w:pPr>
        <w:ind w:firstLine="960" w:firstLineChars="300"/>
        <w:rPr>
          <w:rFonts w:ascii="仿宋_GB2312" w:eastAsia="仿宋_GB2312"/>
          <w:sz w:val="32"/>
          <w:szCs w:val="32"/>
        </w:rPr>
      </w:pPr>
      <w:r>
        <w:rPr>
          <w:rFonts w:hint="eastAsia" w:ascii="仿宋_GB2312" w:eastAsia="仿宋_GB2312"/>
          <w:sz w:val="32"/>
          <w:szCs w:val="32"/>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(8)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 </w:t>
      </w:r>
    </w:p>
    <w:p>
      <w:pPr>
        <w:ind w:firstLine="960" w:firstLineChars="300"/>
        <w:rPr>
          <w:rFonts w:ascii="仿宋_GB2312" w:eastAsia="仿宋_GB2312"/>
          <w:sz w:val="32"/>
          <w:szCs w:val="32"/>
        </w:rPr>
      </w:pPr>
      <w:r>
        <w:rPr>
          <w:rFonts w:hint="eastAsia" w:ascii="仿宋_GB2312" w:eastAsia="仿宋_GB2312"/>
          <w:sz w:val="32"/>
          <w:szCs w:val="32"/>
        </w:rPr>
        <w:t>(9)指导并监督检查退役军人相关法律法规和政策措施的落实，组织开展退役军人权益维护和有关人员的援助工作。</w:t>
      </w:r>
    </w:p>
    <w:p>
      <w:pPr>
        <w:widowControl/>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(10)完成区委、区政府交办的其他任务。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从决算编报单位构成看，纳入2023年度本部门决算汇编范围的独立核算单位（以下简称“单位”）共</w:t>
      </w:r>
      <w:r>
        <w:rPr>
          <w:rFonts w:hint="eastAsia" w:ascii="仿宋_GB2312" w:hAnsi="Calibri" w:eastAsia="仿宋_GB2312" w:cs="ArialUnicodeMS"/>
          <w:kern w:val="0"/>
          <w:sz w:val="32"/>
          <w:szCs w:val="32"/>
          <w:lang w:val="en-US" w:eastAsia="zh-CN"/>
        </w:rPr>
        <w:t>3</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序号</w:t>
            </w:r>
          </w:p>
        </w:tc>
        <w:tc>
          <w:tcPr>
            <w:tcW w:w="348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单位名称</w:t>
            </w:r>
          </w:p>
        </w:tc>
        <w:tc>
          <w:tcPr>
            <w:tcW w:w="244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单位基本性质</w:t>
            </w:r>
          </w:p>
        </w:tc>
        <w:tc>
          <w:tcPr>
            <w:tcW w:w="2665" w:type="dxa"/>
            <w:noWrap w:val="0"/>
            <w:vAlign w:val="center"/>
          </w:tcPr>
          <w:p>
            <w:pPr>
              <w:spacing w:line="560" w:lineRule="exact"/>
              <w:jc w:val="center"/>
              <w:rPr>
                <w:rFonts w:hint="eastAsia" w:ascii="仿宋_GB2312" w:eastAsia="仿宋_GB2312" w:cs="ArialUnicodeMS"/>
                <w:b/>
                <w:bCs/>
                <w:kern w:val="0"/>
                <w:sz w:val="28"/>
                <w:szCs w:val="28"/>
                <w:lang w:bidi="ar-SA"/>
              </w:rPr>
            </w:pPr>
            <w:r>
              <w:rPr>
                <w:rFonts w:hint="eastAsia" w:ascii="仿宋_GB2312" w:eastAsia="仿宋_GB2312" w:cs="ArialUnicodeMS"/>
                <w:b/>
                <w:bCs/>
                <w:kern w:val="0"/>
                <w:sz w:val="28"/>
                <w:szCs w:val="28"/>
                <w:lang w:bidi="ar-SA"/>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1</w:t>
            </w:r>
          </w:p>
        </w:tc>
        <w:tc>
          <w:tcPr>
            <w:tcW w:w="3485" w:type="dxa"/>
            <w:noWrap w:val="0"/>
            <w:vAlign w:val="top"/>
          </w:tcPr>
          <w:p>
            <w:pPr>
              <w:spacing w:line="560" w:lineRule="exac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唐山市丰南区退役军人事务局(本级)</w:t>
            </w:r>
          </w:p>
        </w:tc>
        <w:tc>
          <w:tcPr>
            <w:tcW w:w="2445" w:type="dxa"/>
            <w:noWrap w:val="0"/>
            <w:vAlign w:val="top"/>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行政机关</w:t>
            </w:r>
          </w:p>
        </w:tc>
        <w:tc>
          <w:tcPr>
            <w:tcW w:w="2665" w:type="dxa"/>
            <w:noWrap w:val="0"/>
            <w:vAlign w:val="top"/>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2</w:t>
            </w:r>
          </w:p>
        </w:tc>
        <w:tc>
          <w:tcPr>
            <w:tcW w:w="3485" w:type="dxa"/>
            <w:noWrap w:val="0"/>
            <w:vAlign w:val="center"/>
          </w:tcPr>
          <w:p>
            <w:pPr>
              <w:spacing w:after="0" w:line="560" w:lineRule="exact"/>
              <w:jc w:val="lef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唐山市丰南区军队离休退休干部休养所</w:t>
            </w:r>
          </w:p>
        </w:tc>
        <w:tc>
          <w:tcPr>
            <w:tcW w:w="244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事业单位</w:t>
            </w:r>
          </w:p>
        </w:tc>
        <w:tc>
          <w:tcPr>
            <w:tcW w:w="266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noWrap w:val="0"/>
            <w:vAlign w:val="top"/>
          </w:tcPr>
          <w:p>
            <w:pPr>
              <w:spacing w:line="560" w:lineRule="exact"/>
              <w:jc w:val="center"/>
              <w:rPr>
                <w:rFonts w:hint="eastAsia" w:ascii="仿宋_GB2312" w:eastAsia="仿宋_GB2312" w:cs="ArialUnicodeMS"/>
                <w:kern w:val="0"/>
                <w:sz w:val="28"/>
                <w:szCs w:val="28"/>
                <w:lang w:bidi="ar-SA"/>
              </w:rPr>
            </w:pPr>
            <w:r>
              <w:rPr>
                <w:rFonts w:hint="eastAsia" w:ascii="仿宋_GB2312" w:eastAsia="仿宋_GB2312" w:cs="Arial Black"/>
                <w:kern w:val="0"/>
                <w:sz w:val="28"/>
                <w:szCs w:val="28"/>
              </w:rPr>
              <w:t>3</w:t>
            </w:r>
          </w:p>
        </w:tc>
        <w:tc>
          <w:tcPr>
            <w:tcW w:w="3485" w:type="dxa"/>
            <w:noWrap w:val="0"/>
            <w:vAlign w:val="center"/>
          </w:tcPr>
          <w:p>
            <w:pPr>
              <w:spacing w:after="0" w:line="560" w:lineRule="exact"/>
              <w:jc w:val="left"/>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唐山市丰南区光荣院</w:t>
            </w:r>
          </w:p>
        </w:tc>
        <w:tc>
          <w:tcPr>
            <w:tcW w:w="244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事业单位</w:t>
            </w:r>
          </w:p>
        </w:tc>
        <w:tc>
          <w:tcPr>
            <w:tcW w:w="2665" w:type="dxa"/>
            <w:noWrap w:val="0"/>
            <w:vAlign w:val="center"/>
          </w:tcPr>
          <w:p>
            <w:pPr>
              <w:spacing w:after="0" w:line="560" w:lineRule="exact"/>
              <w:jc w:val="center"/>
              <w:rPr>
                <w:rFonts w:hint="eastAsia" w:ascii="仿宋_GB2312" w:eastAsia="仿宋_GB2312" w:cs="ArialUnicodeMS"/>
                <w:kern w:val="0"/>
                <w:sz w:val="28"/>
                <w:szCs w:val="28"/>
                <w:lang w:bidi="ar-SA"/>
              </w:rPr>
            </w:pPr>
            <w:r>
              <w:rPr>
                <w:rFonts w:hint="eastAsia" w:ascii="仿宋_GB2312" w:hAnsi="Calibri" w:eastAsia="仿宋_GB2312" w:cs="ArialUnicodeMS"/>
                <w:kern w:val="0"/>
                <w:sz w:val="28"/>
                <w:szCs w:val="28"/>
              </w:rPr>
              <w:t>财政拨款</w:t>
            </w:r>
          </w:p>
        </w:tc>
      </w:tr>
    </w:tbl>
    <w:p>
      <w:pPr>
        <w:spacing w:line="580" w:lineRule="exact"/>
        <w:ind w:firstLine="640" w:firstLineChars="200"/>
        <w:rPr>
          <w:rFonts w:hint="eastAsia" w:ascii="仿宋_GB2312" w:hAnsi="Calibri" w:eastAsia="仿宋_GB2312" w:cs="ArialUnicodeMS"/>
          <w:kern w:val="0"/>
          <w:sz w:val="32"/>
          <w:szCs w:val="32"/>
        </w:rPr>
      </w:pPr>
    </w:p>
    <w:p>
      <w:pPr>
        <w:spacing w:line="580" w:lineRule="exact"/>
        <w:ind w:firstLine="640" w:firstLineChars="200"/>
        <w:rPr>
          <w:rFonts w:hint="eastAsia" w:ascii="仿宋_GB2312" w:hAnsi="Calibri" w:eastAsia="仿宋_GB2312" w:cs="ArialUnicodeMS"/>
          <w:kern w:val="0"/>
          <w:sz w:val="32"/>
          <w:szCs w:val="32"/>
        </w:rPr>
      </w:pPr>
    </w:p>
    <w:p>
      <w:pPr>
        <w:spacing w:line="580" w:lineRule="exact"/>
        <w:ind w:firstLine="640" w:firstLineChars="200"/>
        <w:rPr>
          <w:rFonts w:hint="eastAsia" w:ascii="仿宋_GB2312" w:hAnsi="Calibri" w:eastAsia="仿宋_GB2312" w:cs="ArialUnicodeMS"/>
          <w:kern w:val="0"/>
          <w:sz w:val="32"/>
          <w:szCs w:val="32"/>
        </w:rPr>
      </w:pPr>
    </w:p>
    <w:p>
      <w:pPr>
        <w:spacing w:line="580" w:lineRule="exact"/>
        <w:ind w:firstLine="640" w:firstLineChars="200"/>
        <w:rPr>
          <w:rFonts w:hint="eastAsia" w:ascii="仿宋_GB2312" w:hAnsi="Calibri" w:eastAsia="仿宋_GB2312" w:cs="ArialUnicodeMS"/>
          <w:kern w:val="0"/>
          <w:sz w:val="32"/>
          <w:szCs w:val="32"/>
        </w:rPr>
      </w:pPr>
    </w:p>
    <w:tbl>
      <w:tblPr>
        <w:tblStyle w:val="7"/>
        <w:tblpPr w:leftFromText="180" w:rightFromText="180" w:vertAnchor="text" w:horzAnchor="page" w:tblpXSpec="center" w:tblpY="10"/>
        <w:tblOverlap w:val="never"/>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580" w:type="dxa"/>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after="160" w:line="580" w:lineRule="exact"/>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numPr>
          <w:ilvl w:val="0"/>
          <w:numId w:val="1"/>
        </w:numPr>
        <w:spacing w:after="312" w:afterLines="100" w:line="580" w:lineRule="exact"/>
        <w:ind w:left="1757"/>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2023年度部门决算表</w:t>
      </w:r>
    </w:p>
    <w:tbl>
      <w:tblPr>
        <w:tblStyle w:val="7"/>
        <w:tblW w:w="6576" w:type="pct"/>
        <w:tblInd w:w="-7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2"/>
        <w:gridCol w:w="712"/>
        <w:gridCol w:w="697"/>
        <w:gridCol w:w="785"/>
        <w:gridCol w:w="2575"/>
        <w:gridCol w:w="459"/>
        <w:gridCol w:w="1338"/>
        <w:gridCol w:w="1508"/>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61" w:hRule="atLeast"/>
        </w:trPr>
        <w:tc>
          <w:tcPr>
            <w:tcW w:w="441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57" w:hRule="atLeast"/>
        </w:trPr>
        <w:tc>
          <w:tcPr>
            <w:tcW w:w="441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51" w:hRule="atLeast"/>
        </w:trPr>
        <w:tc>
          <w:tcPr>
            <w:tcW w:w="1653"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编制部门（单位）：唐山市丰南区退役军人事务局（汇总）</w:t>
            </w:r>
          </w:p>
        </w:tc>
        <w:tc>
          <w:tcPr>
            <w:tcW w:w="139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369"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544" w:hRule="atLeast"/>
        </w:trPr>
        <w:tc>
          <w:tcPr>
            <w:tcW w:w="197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3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08"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95"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554"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61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8,636.70</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8,310.38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326.93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14"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554"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624"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6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6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6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6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62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1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55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624"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14"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554"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624"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8,636.70</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8,670.86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624"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169.22</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135.06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476"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624" w:type="pct"/>
            <w:tcBorders>
              <w:top w:val="nil"/>
              <w:left w:val="nil"/>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4" w:type="pct"/>
          <w:trHeight w:val="308" w:hRule="atLeast"/>
        </w:trPr>
        <w:tc>
          <w:tcPr>
            <w:tcW w:w="1069"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1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8805.92</w:t>
            </w:r>
          </w:p>
        </w:tc>
        <w:tc>
          <w:tcPr>
            <w:tcW w:w="1257"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55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6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i w:val="0"/>
                <w:color w:val="000000"/>
                <w:kern w:val="0"/>
                <w:sz w:val="22"/>
                <w:szCs w:val="22"/>
                <w:u w:val="none"/>
                <w:lang w:val="en-US" w:eastAsia="zh-CN" w:bidi="ar"/>
              </w:rPr>
              <w:t>8,805.92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注：1.本表反映部门本年度的总收支和年末结转结余情况。2.本套报表金额转换时可能存在尾数误差。</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tbl>
      <w:tblPr>
        <w:tblStyle w:val="7"/>
        <w:tblW w:w="10230" w:type="dxa"/>
        <w:tblInd w:w="0" w:type="dxa"/>
        <w:shd w:val="clear" w:color="auto" w:fill="auto"/>
        <w:tblLayout w:type="autofit"/>
        <w:tblCellMar>
          <w:top w:w="0" w:type="dxa"/>
          <w:left w:w="0" w:type="dxa"/>
          <w:bottom w:w="0" w:type="dxa"/>
          <w:right w:w="0" w:type="dxa"/>
        </w:tblCellMar>
      </w:tblPr>
      <w:tblGrid>
        <w:gridCol w:w="830"/>
        <w:gridCol w:w="2729"/>
        <w:gridCol w:w="1365"/>
        <w:gridCol w:w="1365"/>
        <w:gridCol w:w="698"/>
        <w:gridCol w:w="569"/>
        <w:gridCol w:w="622"/>
        <w:gridCol w:w="622"/>
        <w:gridCol w:w="1430"/>
      </w:tblGrid>
      <w:tr>
        <w:tblPrEx>
          <w:shd w:val="clear" w:color="auto" w:fill="auto"/>
          <w:tblCellMar>
            <w:top w:w="0" w:type="dxa"/>
            <w:left w:w="0" w:type="dxa"/>
            <w:bottom w:w="0" w:type="dxa"/>
            <w:right w:w="0" w:type="dxa"/>
          </w:tblCellMar>
        </w:tblPrEx>
        <w:trPr>
          <w:trHeight w:val="720" w:hRule="atLeast"/>
        </w:trPr>
        <w:tc>
          <w:tcPr>
            <w:tcW w:w="964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32"/>
                <w:szCs w:val="32"/>
                <w:highlight w:val="none"/>
                <w:u w:val="none"/>
                <w:lang w:val="en-US" w:eastAsia="zh-CN" w:bidi="ar"/>
              </w:rPr>
              <w:t>收入决算表</w:t>
            </w:r>
          </w:p>
        </w:tc>
      </w:tr>
      <w:tr>
        <w:tblPrEx>
          <w:tblCellMar>
            <w:top w:w="0" w:type="dxa"/>
            <w:left w:w="0" w:type="dxa"/>
            <w:bottom w:w="0" w:type="dxa"/>
            <w:right w:w="0" w:type="dxa"/>
          </w:tblCellMar>
        </w:tblPrEx>
        <w:trPr>
          <w:trHeight w:val="36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公开02表</w:t>
            </w:r>
          </w:p>
        </w:tc>
      </w:tr>
      <w:tr>
        <w:tblPrEx>
          <w:tblCellMar>
            <w:top w:w="0" w:type="dxa"/>
            <w:left w:w="0" w:type="dxa"/>
            <w:bottom w:w="0" w:type="dxa"/>
            <w:right w:w="0" w:type="dxa"/>
          </w:tblCellMar>
        </w:tblPrEx>
        <w:trPr>
          <w:trHeight w:val="36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部门（单位）：唐山市丰南区退役军人事务局(汇总)</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w:t>
            </w:r>
          </w:p>
        </w:tc>
      </w:tr>
      <w:tr>
        <w:tblPrEx>
          <w:tblCellMar>
            <w:top w:w="0" w:type="dxa"/>
            <w:left w:w="0" w:type="dxa"/>
            <w:bottom w:w="0" w:type="dxa"/>
            <w:right w:w="0"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8,276.22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8,276.22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就业见习补贴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6,059.76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2080806</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农村籍退役士兵老年生活补助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2080807</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光荣院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2080899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军队移交政府离退休干部管理机构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退役士兵管理教育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2080905</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2080999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672.57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672.57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2082899</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tbl>
      <w:tblPr>
        <w:tblStyle w:val="7"/>
        <w:tblW w:w="10200" w:type="dxa"/>
        <w:tblInd w:w="0" w:type="dxa"/>
        <w:shd w:val="clear" w:color="auto" w:fill="auto"/>
        <w:tblLayout w:type="autofit"/>
        <w:tblCellMar>
          <w:top w:w="0" w:type="dxa"/>
          <w:left w:w="0" w:type="dxa"/>
          <w:bottom w:w="0" w:type="dxa"/>
          <w:right w:w="0" w:type="dxa"/>
        </w:tblCellMar>
      </w:tblPr>
      <w:tblGrid>
        <w:gridCol w:w="1155"/>
        <w:gridCol w:w="2575"/>
        <w:gridCol w:w="1365"/>
        <w:gridCol w:w="1110"/>
        <w:gridCol w:w="1290"/>
        <w:gridCol w:w="662"/>
        <w:gridCol w:w="613"/>
        <w:gridCol w:w="1430"/>
      </w:tblGrid>
      <w:tr>
        <w:tblPrEx>
          <w:shd w:val="clear" w:color="auto" w:fill="auto"/>
          <w:tblCellMar>
            <w:top w:w="0" w:type="dxa"/>
            <w:left w:w="0" w:type="dxa"/>
            <w:bottom w:w="0" w:type="dxa"/>
            <w:right w:w="0" w:type="dxa"/>
          </w:tblCellMar>
        </w:tblPrEx>
        <w:trPr>
          <w:trHeight w:val="720" w:hRule="atLeast"/>
        </w:trPr>
        <w:tc>
          <w:tcPr>
            <w:tcW w:w="945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仿宋" w:hAnsi="仿宋" w:eastAsia="仿宋" w:cs="仿宋"/>
                <w:b w:val="0"/>
                <w:bCs/>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6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公开03表</w:t>
            </w:r>
          </w:p>
        </w:tc>
      </w:tr>
      <w:tr>
        <w:tblPrEx>
          <w:tblCellMar>
            <w:top w:w="0" w:type="dxa"/>
            <w:left w:w="0" w:type="dxa"/>
            <w:bottom w:w="0" w:type="dxa"/>
            <w:right w:w="0" w:type="dxa"/>
          </w:tblCellMar>
        </w:tblPrEx>
        <w:trPr>
          <w:trHeight w:val="36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部门（单位）：唐山市丰南区退役军人事务局(汇总)</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60" w:hRule="atLeast"/>
        </w:trPr>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CellMar>
            <w:top w:w="0" w:type="dxa"/>
            <w:left w:w="0" w:type="dxa"/>
            <w:bottom w:w="0" w:type="dxa"/>
            <w:right w:w="0" w:type="dxa"/>
          </w:tblCellMar>
        </w:tblPrEx>
        <w:trPr>
          <w:trHeight w:val="36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8,670.86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7,835.35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2080711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就业见习补贴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6,059.77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2080803</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在乡复员、退伍军人生活补助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2080805</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2080806</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农村籍退役士兵老年生活补助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2080807</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光荣院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2080899</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军队移交政府的离退休人员安置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2080903</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军队移交政府离退休干部管理机构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2080904</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退役士兵管理教育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2080905</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2080999</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685.51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2082804</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2082899</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tbl>
      <w:tblPr>
        <w:tblStyle w:val="7"/>
        <w:tblW w:w="10380" w:type="dxa"/>
        <w:tblInd w:w="0" w:type="dxa"/>
        <w:shd w:val="clear" w:color="auto" w:fill="auto"/>
        <w:tblLayout w:type="autofit"/>
        <w:tblCellMar>
          <w:top w:w="0" w:type="dxa"/>
          <w:left w:w="0" w:type="dxa"/>
          <w:bottom w:w="0" w:type="dxa"/>
          <w:right w:w="0" w:type="dxa"/>
        </w:tblCellMar>
      </w:tblPr>
      <w:tblGrid>
        <w:gridCol w:w="2630"/>
        <w:gridCol w:w="430"/>
        <w:gridCol w:w="830"/>
        <w:gridCol w:w="1535"/>
        <w:gridCol w:w="880"/>
        <w:gridCol w:w="830"/>
        <w:gridCol w:w="1095"/>
        <w:gridCol w:w="720"/>
        <w:gridCol w:w="1430"/>
      </w:tblGrid>
      <w:tr>
        <w:tblPrEx>
          <w:shd w:val="clear" w:color="auto" w:fill="auto"/>
          <w:tblCellMar>
            <w:top w:w="0" w:type="dxa"/>
            <w:left w:w="0" w:type="dxa"/>
            <w:bottom w:w="0" w:type="dxa"/>
            <w:right w:w="0" w:type="dxa"/>
          </w:tblCellMar>
        </w:tblPrEx>
        <w:trPr>
          <w:trHeight w:val="720" w:hRule="atLeast"/>
        </w:trPr>
        <w:tc>
          <w:tcPr>
            <w:tcW w:w="1038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仿宋" w:hAnsi="仿宋" w:eastAsia="仿宋" w:cs="仿宋"/>
                <w:b w:val="0"/>
                <w:bCs/>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360"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CellMar>
            <w:top w:w="0" w:type="dxa"/>
            <w:left w:w="0" w:type="dxa"/>
            <w:bottom w:w="0" w:type="dxa"/>
            <w:right w:w="0" w:type="dxa"/>
          </w:tblCellMar>
        </w:tblPrEx>
        <w:trPr>
          <w:trHeight w:val="36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部门（单位）：唐山市丰南区退役军人事务局(汇总)</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2023年度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支     出</w:t>
            </w:r>
          </w:p>
        </w:tc>
      </w:tr>
      <w:tr>
        <w:tblPrEx>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一般公共预算财政拨款</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政府性基金预算财政拨款</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国有资本经营预算财政拨款</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3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8,636.70</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8,636.70</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8,670.86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8,670.86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169.22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169.22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8,805.92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8,805.92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8,805.92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94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bl>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tbl>
      <w:tblPr>
        <w:tblStyle w:val="7"/>
        <w:tblW w:w="8988" w:type="dxa"/>
        <w:tblInd w:w="0" w:type="dxa"/>
        <w:shd w:val="clear" w:color="auto" w:fill="auto"/>
        <w:tblLayout w:type="fixed"/>
        <w:tblCellMar>
          <w:top w:w="0" w:type="dxa"/>
          <w:left w:w="0" w:type="dxa"/>
          <w:bottom w:w="0" w:type="dxa"/>
          <w:right w:w="0" w:type="dxa"/>
        </w:tblCellMar>
      </w:tblPr>
      <w:tblGrid>
        <w:gridCol w:w="3866"/>
        <w:gridCol w:w="2149"/>
        <w:gridCol w:w="1077"/>
        <w:gridCol w:w="697"/>
        <w:gridCol w:w="1199"/>
      </w:tblGrid>
      <w:tr>
        <w:tblPrEx>
          <w:shd w:val="clear" w:color="auto" w:fill="auto"/>
          <w:tblCellMar>
            <w:top w:w="0" w:type="dxa"/>
            <w:left w:w="0" w:type="dxa"/>
            <w:bottom w:w="0" w:type="dxa"/>
            <w:right w:w="0" w:type="dxa"/>
          </w:tblCellMar>
        </w:tblPrEx>
        <w:trPr>
          <w:trHeight w:val="720" w:hRule="atLeast"/>
        </w:trPr>
        <w:tc>
          <w:tcPr>
            <w:tcW w:w="8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仿宋" w:hAnsi="仿宋" w:eastAsia="仿宋" w:cs="仿宋"/>
                <w:b w:val="0"/>
                <w:bCs/>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360" w:hRule="atLeast"/>
        </w:trPr>
        <w:tc>
          <w:tcPr>
            <w:tcW w:w="8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公开05表</w:t>
            </w:r>
          </w:p>
        </w:tc>
      </w:tr>
      <w:tr>
        <w:tblPrEx>
          <w:tblCellMar>
            <w:top w:w="0" w:type="dxa"/>
            <w:left w:w="0" w:type="dxa"/>
            <w:bottom w:w="0" w:type="dxa"/>
            <w:right w:w="0" w:type="dxa"/>
          </w:tblCellMar>
        </w:tblPrEx>
        <w:trPr>
          <w:trHeight w:val="360" w:hRule="atLeast"/>
        </w:trPr>
        <w:tc>
          <w:tcPr>
            <w:tcW w:w="38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部门（单位）：唐山市丰南区退役军人事务局(汇总)</w:t>
            </w:r>
          </w:p>
        </w:tc>
        <w:tc>
          <w:tcPr>
            <w:tcW w:w="214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2023年度</w:t>
            </w:r>
          </w:p>
        </w:tc>
        <w:tc>
          <w:tcPr>
            <w:tcW w:w="107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60" w:hRule="atLeast"/>
        </w:trPr>
        <w:tc>
          <w:tcPr>
            <w:tcW w:w="60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9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CellMar>
            <w:top w:w="0" w:type="dxa"/>
            <w:left w:w="0" w:type="dxa"/>
            <w:bottom w:w="0" w:type="dxa"/>
            <w:right w:w="0" w:type="dxa"/>
          </w:tblCellMar>
        </w:tblPrEx>
        <w:trPr>
          <w:trHeight w:val="360" w:hRule="atLeast"/>
        </w:trPr>
        <w:tc>
          <w:tcPr>
            <w:tcW w:w="38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小计</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CellMar>
            <w:top w:w="0" w:type="dxa"/>
            <w:left w:w="0" w:type="dxa"/>
            <w:bottom w:w="0" w:type="dxa"/>
            <w:right w:w="0" w:type="dxa"/>
          </w:tblCellMar>
        </w:tblPrEx>
        <w:trPr>
          <w:trHeight w:val="360" w:hRule="atLeast"/>
        </w:trPr>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60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w:t>
            </w:r>
          </w:p>
        </w:tc>
      </w:tr>
      <w:tr>
        <w:tblPrEx>
          <w:tblCellMar>
            <w:top w:w="0" w:type="dxa"/>
            <w:left w:w="0" w:type="dxa"/>
            <w:bottom w:w="0" w:type="dxa"/>
            <w:right w:w="0" w:type="dxa"/>
          </w:tblCellMar>
        </w:tblPrEx>
        <w:trPr>
          <w:trHeight w:val="360" w:hRule="atLeast"/>
        </w:trPr>
        <w:tc>
          <w:tcPr>
            <w:tcW w:w="60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8,670.86</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835.52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7,835.35</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社会保障和就业支出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8,310.38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757.93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7,552.45</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行政事业单位养老支出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157.31</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事业单位离退休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115.95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2080505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机关事业单位基本养老保险缴费支出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41.36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就业补助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2080711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就业见习补贴</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抚恤</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6,059.77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26.13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6,033.64</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死亡抚恤</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382.08</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伤残抚恤</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1,047.17</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2080803</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在乡复员、退伍军人生活补助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1,283.58</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义务兵优待</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1,201.64</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2080806</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农村籍退役士兵老年生活补助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1,594.67</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2080807</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光荣院</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148.33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26.13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2080899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其他优抚支出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402.30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退役安置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1,323.37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247.36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1,076.01</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退役士兵安置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753.57</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军队移交政府的离退休人员安置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356.58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119.72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236.85</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2080903</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军队移交政府离退休干部管理机构</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118.70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106.42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12.28</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2080904</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退役士兵管理教育</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13.07</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2080905</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军队转业干部安置</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48.00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2080999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其他退役安置支出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33.44</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21.22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12.22</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临时救助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2082001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临时救助支出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80.43</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退役军人管理事务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685.51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327.14</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358.37</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行政运行</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315.97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一般行政管理事务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148.96</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2082804</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拥军优属</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171.80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171.80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2082899</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其他退役军人事务管理支出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48.78</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11.17</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37.61</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卫生健康支出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326.93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行政事业单位医疗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44.03</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行政单位医疗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10.72</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事业单位医疗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4.95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2101103</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公务员医疗补助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28.36</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优抚对象医疗</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2101401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优抚对象医疗补助</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282.90</w:t>
            </w: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住房保障支出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住房改革支出</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3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2210201</w:t>
            </w: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住房公积金</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33.55</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p>
        </w:tc>
      </w:tr>
      <w:tr>
        <w:tblPrEx>
          <w:tblCellMar>
            <w:top w:w="0" w:type="dxa"/>
            <w:left w:w="0" w:type="dxa"/>
            <w:bottom w:w="0" w:type="dxa"/>
            <w:right w:w="0" w:type="dxa"/>
          </w:tblCellMar>
        </w:tblPrEx>
        <w:trPr>
          <w:trHeight w:val="360" w:hRule="atLeast"/>
        </w:trPr>
        <w:tc>
          <w:tcPr>
            <w:tcW w:w="898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7"/>
        <w:tblW w:w="6029" w:type="pct"/>
        <w:tblInd w:w="-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1369"/>
        <w:gridCol w:w="1164"/>
        <w:gridCol w:w="1100"/>
        <w:gridCol w:w="500"/>
        <w:gridCol w:w="1173"/>
        <w:gridCol w:w="1067"/>
        <w:gridCol w:w="115"/>
        <w:gridCol w:w="1012"/>
        <w:gridCol w:w="1540"/>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3" w:type="pct"/>
            <w:gridSpan w:val="5"/>
            <w:tcBorders>
              <w:top w:val="nil"/>
              <w:left w:val="nil"/>
              <w:bottom w:val="single" w:color="auto" w:sz="4" w:space="0"/>
              <w:right w:val="nil"/>
            </w:tcBorders>
            <w:noWrap/>
            <w:vAlign w:val="bottom"/>
          </w:tcPr>
          <w:p>
            <w:pP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编制部门（单位）：唐山市丰南区退役军人事务局（汇总） </w:t>
            </w:r>
            <w:r>
              <w:rPr>
                <w:rFonts w:hint="eastAsia" w:ascii="宋体" w:hAnsi="宋体" w:cs="宋体"/>
                <w:i w:val="0"/>
                <w:iCs w:val="0"/>
                <w:color w:val="000000"/>
                <w:kern w:val="0"/>
                <w:sz w:val="18"/>
                <w:szCs w:val="18"/>
                <w:highlight w:val="none"/>
                <w:u w:val="none"/>
                <w:lang w:val="en-US" w:eastAsia="zh-CN" w:bidi="ar"/>
              </w:rPr>
              <w:t xml:space="preserve">                                                                   </w:t>
            </w:r>
          </w:p>
        </w:tc>
        <w:tc>
          <w:tcPr>
            <w:tcW w:w="101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634" w:type="pct"/>
            <w:gridSpan w:val="4"/>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30"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69"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477.75</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63.47</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137.94</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30201</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3.81</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30701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49.17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30202</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0.92</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30702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20.99</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30203</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30106</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30204</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30107</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111.80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30205</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0.40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30108</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41.36</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30206</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10.00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30109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30207</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3.98</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31005</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30110</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15.67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30208</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31006</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28.36</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30209</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0.10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2.21</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30211</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0.98</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31008</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33.55</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30212</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31009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30114</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30213</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1.06</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30199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36.70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30214</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16.30</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31011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294.30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30215</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31012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7.45</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30216</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31013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30302</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231.72</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30217</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0.13</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31019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30303</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21.22</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30218</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31021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30304</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30224</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31022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30305</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21.84</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30225</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31099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30306</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30226</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30307</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30227</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31201</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30308</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30228</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3.69</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31203</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30309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0.90</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30229</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3.35</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31204</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30310</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30231</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9.04</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31205</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30311</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30239</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4.68</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31299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30399</w:t>
            </w:r>
          </w:p>
        </w:tc>
        <w:tc>
          <w:tcPr>
            <w:tcW w:w="6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11.17</w:t>
            </w: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30240</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30299</w:t>
            </w: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5.02</w:t>
            </w: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39907</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39908</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39909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39910</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8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18"/>
                <w:szCs w:val="18"/>
                <w:highlight w:val="none"/>
                <w:u w:val="none"/>
              </w:rPr>
            </w:pPr>
          </w:p>
        </w:tc>
        <w:tc>
          <w:tcPr>
            <w:tcW w:w="618"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18"/>
                <w:szCs w:val="18"/>
                <w:highlight w:val="none"/>
                <w:u w:val="none"/>
              </w:rPr>
            </w:pPr>
          </w:p>
        </w:tc>
        <w:tc>
          <w:tcPr>
            <w:tcW w:w="526"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49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imes New Roman" w:hAnsi="Times New Roman" w:eastAsia="宋体" w:cs="Times New Roman"/>
                <w:i w:val="0"/>
                <w:iCs w:val="0"/>
                <w:color w:val="000000"/>
                <w:kern w:val="0"/>
                <w:sz w:val="18"/>
                <w:szCs w:val="18"/>
                <w:highlight w:val="none"/>
                <w:u w:val="none"/>
                <w:lang w:val="en-US" w:eastAsia="zh-CN" w:bidi="ar"/>
              </w:rPr>
            </w:pPr>
          </w:p>
        </w:tc>
        <w:tc>
          <w:tcPr>
            <w:tcW w:w="75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p>
        </w:tc>
        <w:tc>
          <w:tcPr>
            <w:tcW w:w="534"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eastAsia="宋体" w:cs="Times New Roman"/>
                <w:i w:val="0"/>
                <w:iCs w:val="0"/>
                <w:color w:val="000000"/>
                <w:kern w:val="0"/>
                <w:sz w:val="18"/>
                <w:szCs w:val="18"/>
                <w:highlight w:val="none"/>
                <w:u w:val="none"/>
                <w:lang w:val="en-US" w:eastAsia="zh-CN" w:bidi="ar"/>
              </w:rPr>
            </w:pPr>
          </w:p>
        </w:tc>
        <w:tc>
          <w:tcPr>
            <w:tcW w:w="4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39999</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2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04"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52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772.05</w:t>
            </w:r>
          </w:p>
        </w:tc>
        <w:tc>
          <w:tcPr>
            <w:tcW w:w="2940" w:type="pct"/>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公用经费合计</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highlight w:val="none"/>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b/>
          <w:color w:val="auto"/>
          <w:kern w:val="0"/>
          <w:sz w:val="32"/>
          <w:szCs w:val="32"/>
          <w:highlight w:val="none"/>
        </w:rPr>
      </w:pPr>
    </w:p>
    <w:tbl>
      <w:tblPr>
        <w:tblStyle w:val="7"/>
        <w:tblW w:w="5953" w:type="pct"/>
        <w:tblInd w:w="-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
        <w:gridCol w:w="1682"/>
        <w:gridCol w:w="1490"/>
        <w:gridCol w:w="1172"/>
        <w:gridCol w:w="1263"/>
        <w:gridCol w:w="477"/>
        <w:gridCol w:w="801"/>
        <w:gridCol w:w="1308"/>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编制部门（单位）：唐山市丰南区退役军人事务局（汇总）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332"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78"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6"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8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536"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761"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81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6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8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9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81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6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8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9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1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6"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69"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8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7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8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9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1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82"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53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7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8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9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81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82"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3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8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9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1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widowControl/>
        <w:suppressLineNumbers w:val="0"/>
        <w:jc w:val="center"/>
        <w:textAlignment w:val="bottom"/>
        <w:rPr>
          <w:rFonts w:hint="eastAsia" w:ascii="宋体" w:hAnsi="宋体" w:eastAsia="宋体" w:cs="宋体"/>
          <w:spacing w:val="-2"/>
          <w:sz w:val="20"/>
          <w:highlight w:val="none"/>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1"/>
        <w:gridCol w:w="834"/>
        <w:gridCol w:w="1479"/>
        <w:gridCol w:w="1520"/>
        <w:gridCol w:w="6"/>
        <w:gridCol w:w="54"/>
        <w:gridCol w:w="1461"/>
        <w:gridCol w:w="1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编制部门（单位）：唐山市丰南区退役军人事务局（汇总）</w:t>
            </w:r>
          </w:p>
        </w:tc>
        <w:tc>
          <w:tcPr>
            <w:tcW w:w="1666"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2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484"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484"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2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831"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831"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821"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54"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260"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31"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21"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828"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828"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82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1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828"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28"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注：本表反映部门本年度国有资本经营预算财政拨款收入、支出及结转和结余情况。（如无相关数据，则需注明空表列示）</w:t>
            </w:r>
          </w:p>
        </w:tc>
      </w:tr>
    </w:tbl>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7"/>
        <w:tblpPr w:leftFromText="180" w:rightFromText="180" w:vertAnchor="text" w:horzAnchor="page" w:tblpX="901" w:tblpY="39"/>
        <w:tblOverlap w:val="never"/>
        <w:tblW w:w="58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869"/>
        <w:gridCol w:w="929"/>
        <w:gridCol w:w="800"/>
        <w:gridCol w:w="872"/>
        <w:gridCol w:w="186"/>
        <w:gridCol w:w="794"/>
        <w:gridCol w:w="990"/>
        <w:gridCol w:w="907"/>
        <w:gridCol w:w="701"/>
        <w:gridCol w:w="933"/>
        <w:gridCol w:w="1043"/>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064"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编制部门（单位）：唐山市丰南区退役军人事务局（汇总）</w:t>
            </w:r>
          </w:p>
        </w:tc>
        <w:tc>
          <w:tcPr>
            <w:tcW w:w="920"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2023</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015" w:type="pct"/>
            <w:gridSpan w:val="5"/>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21"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78" w:type="pct"/>
            <w:gridSpan w:val="6"/>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06"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301"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70"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62"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23"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50"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4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06"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9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70"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62"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23"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8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4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43"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40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43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3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9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7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46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2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32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8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34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4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9.17</w:t>
            </w:r>
          </w:p>
        </w:tc>
        <w:tc>
          <w:tcPr>
            <w:tcW w:w="869"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p>
        </w:tc>
        <w:tc>
          <w:tcPr>
            <w:tcW w:w="929"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9.04</w:t>
            </w:r>
          </w:p>
        </w:tc>
        <w:tc>
          <w:tcPr>
            <w:tcW w:w="800"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p>
        </w:tc>
        <w:tc>
          <w:tcPr>
            <w:tcW w:w="1058" w:type="dxa"/>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9.04</w:t>
            </w:r>
          </w:p>
        </w:tc>
        <w:tc>
          <w:tcPr>
            <w:tcW w:w="794"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0.13</w:t>
            </w:r>
          </w:p>
        </w:tc>
        <w:tc>
          <w:tcPr>
            <w:tcW w:w="990"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9.17</w:t>
            </w:r>
          </w:p>
        </w:tc>
        <w:tc>
          <w:tcPr>
            <w:tcW w:w="907"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p>
        </w:tc>
        <w:tc>
          <w:tcPr>
            <w:tcW w:w="701"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9.04</w:t>
            </w:r>
          </w:p>
        </w:tc>
        <w:tc>
          <w:tcPr>
            <w:tcW w:w="93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p>
        </w:tc>
        <w:tc>
          <w:tcPr>
            <w:tcW w:w="104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9.04</w:t>
            </w:r>
          </w:p>
        </w:tc>
        <w:tc>
          <w:tcPr>
            <w:tcW w:w="731"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18"/>
                <w:szCs w:val="18"/>
                <w:highlight w:val="none"/>
                <w:u w:val="none"/>
                <w:lang w:val="en-US" w:eastAsia="zh-CN" w:bidi="ar"/>
              </w:rPr>
            </w:pPr>
            <w:r>
              <w:rPr>
                <w:rFonts w:hint="eastAsia" w:ascii="Times New Roman" w:hAnsi="Times New Roman" w:eastAsia="方正仿宋_GB2312" w:cs="Times New Roman"/>
                <w:i w:val="0"/>
                <w:iCs w:val="0"/>
                <w:color w:val="000000"/>
                <w:kern w:val="0"/>
                <w:sz w:val="18"/>
                <w:szCs w:val="18"/>
                <w:highlight w:val="none"/>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b/>
          <w:color w:val="auto"/>
          <w:kern w:val="0"/>
          <w:sz w:val="32"/>
          <w:szCs w:val="32"/>
          <w:highlight w:val="none"/>
        </w:rPr>
        <w:br w:type="page"/>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2023年度部门决算情况说明</w:t>
      </w:r>
    </w:p>
    <w:p>
      <w:pPr>
        <w:rPr>
          <w:rFonts w:ascii="黑体" w:hAnsi="Calibri" w:eastAsia="黑体" w:cs="Times New Roman"/>
          <w:sz w:val="32"/>
          <w:szCs w:val="32"/>
        </w:rPr>
      </w:pPr>
    </w:p>
    <w:p>
      <w:pPr>
        <w:numPr>
          <w:ilvl w:val="0"/>
          <w:numId w:val="2"/>
        </w:numPr>
        <w:ind w:firstLine="640" w:firstLineChars="200"/>
        <w:rPr>
          <w:rFonts w:hint="eastAsia" w:ascii="黑体" w:hAnsi="Calibri" w:eastAsia="黑体" w:cs="Times New Roman"/>
          <w:sz w:val="32"/>
          <w:szCs w:val="32"/>
        </w:rPr>
      </w:pPr>
      <w:r>
        <w:rPr>
          <w:rFonts w:hint="eastAsia" w:ascii="黑体" w:hAnsi="Calibri" w:eastAsia="黑体" w:cs="Times New Roman"/>
          <w:sz w:val="32"/>
          <w:szCs w:val="32"/>
        </w:rPr>
        <w:t>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本部门</w:t>
      </w:r>
      <w:r>
        <w:rPr>
          <w:rFonts w:hint="default" w:ascii="Times New Roman" w:hAnsi="Times New Roman" w:eastAsia="仿宋_GB2312" w:cs="Times New Roman"/>
          <w:kern w:val="2"/>
          <w:sz w:val="32"/>
          <w:szCs w:val="32"/>
          <w:lang w:eastAsia="zh-CN"/>
        </w:rPr>
        <w:t>2023年度收、支总计（含结转和结余）</w:t>
      </w:r>
      <w:r>
        <w:rPr>
          <w:rFonts w:hint="eastAsia" w:ascii="Times New Roman" w:hAnsi="Times New Roman" w:eastAsia="仿宋_GB2312" w:cs="Times New Roman"/>
          <w:kern w:val="2"/>
          <w:sz w:val="32"/>
          <w:szCs w:val="32"/>
          <w:lang w:val="en-US" w:eastAsia="zh-CN"/>
        </w:rPr>
        <w:t>8805.92</w:t>
      </w:r>
      <w:r>
        <w:rPr>
          <w:rFonts w:hint="default" w:ascii="Times New Roman" w:hAnsi="Times New Roman" w:eastAsia="仿宋_GB2312" w:cs="Times New Roman"/>
          <w:kern w:val="2"/>
          <w:sz w:val="32"/>
          <w:szCs w:val="32"/>
          <w:lang w:eastAsia="zh-CN"/>
        </w:rPr>
        <w:t>万元。与2022年度决算相比，收支各增加</w:t>
      </w:r>
      <w:r>
        <w:rPr>
          <w:rFonts w:hint="eastAsia" w:ascii="Times New Roman" w:hAnsi="Times New Roman" w:eastAsia="仿宋_GB2312" w:cs="Times New Roman"/>
          <w:kern w:val="2"/>
          <w:sz w:val="32"/>
          <w:szCs w:val="32"/>
          <w:lang w:val="en-US" w:eastAsia="zh-CN"/>
        </w:rPr>
        <w:t>535.95</w:t>
      </w:r>
      <w:r>
        <w:rPr>
          <w:rFonts w:hint="default" w:ascii="Times New Roman" w:hAnsi="Times New Roman" w:eastAsia="仿宋_GB2312" w:cs="Times New Roman"/>
          <w:kern w:val="2"/>
          <w:sz w:val="32"/>
          <w:szCs w:val="32"/>
          <w:lang w:eastAsia="zh-CN"/>
        </w:rPr>
        <w:t>万元，增长</w:t>
      </w:r>
      <w:r>
        <w:rPr>
          <w:rFonts w:hint="eastAsia" w:ascii="Times New Roman" w:hAnsi="Times New Roman" w:eastAsia="仿宋_GB2312" w:cs="Times New Roman"/>
          <w:kern w:val="2"/>
          <w:sz w:val="32"/>
          <w:szCs w:val="32"/>
          <w:lang w:val="en-US" w:eastAsia="zh-CN"/>
        </w:rPr>
        <w:t>6.48</w:t>
      </w:r>
      <w:r>
        <w:rPr>
          <w:rFonts w:hint="default" w:ascii="Times New Roman" w:hAnsi="Times New Roman" w:eastAsia="仿宋_GB2312" w:cs="Times New Roman"/>
          <w:kern w:val="2"/>
          <w:sz w:val="32"/>
          <w:szCs w:val="32"/>
          <w:lang w:eastAsia="zh-CN"/>
        </w:rPr>
        <w:t>%，主要原因是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eastAsia="zh-CN"/>
        </w:rPr>
        <w:t>。</w:t>
      </w:r>
    </w:p>
    <w:p>
      <w:pPr>
        <w:autoSpaceDE w:val="0"/>
        <w:autoSpaceDN w:val="0"/>
        <w:adjustRightInd w:val="0"/>
        <w:spacing w:line="580" w:lineRule="exact"/>
        <w:ind w:firstLine="420" w:firstLineChars="200"/>
        <w:jc w:val="left"/>
        <w:rPr>
          <w:rFonts w:hint="default" w:ascii="Times New Roman" w:hAnsi="Times New Roman" w:eastAsia="仿宋_GB2312" w:cs="Times New Roman"/>
          <w:kern w:val="2"/>
          <w:sz w:val="32"/>
          <w:szCs w:val="32"/>
          <w:lang w:eastAsia="zh-CN"/>
        </w:rPr>
      </w:pPr>
      <w:r>
        <w:pict>
          <v:shape id="Object 20" o:spid="_x0000_s1027" o:spt="75" type="#_x0000_t75" style="position:absolute;left:0pt;margin-left:28pt;margin-top:125.6pt;height:222.75pt;width:366.75pt;mso-wrap-distance-bottom:0pt;mso-wrap-distance-left:9pt;mso-wrap-distance-right:9pt;mso-wrap-distance-top:0pt;z-index:251678720;mso-width-relative:page;mso-height-relative:page;" o:ole="t" filled="f" o:preferrelative="t" stroked="f" coordsize="21600,21600">
            <v:path/>
            <v:fill on="f" focussize="0,0"/>
            <v:stroke on="f"/>
            <v:imagedata r:id="rId16" o:title=""/>
            <o:lock v:ext="edit" aspectratio="t"/>
            <w10:wrap type="square"/>
          </v:shape>
          <o:OLEObject Type="Embed" ProgID="Excel.Chart.8" ShapeID="Object 20" DrawAspect="Content" ObjectID="_1468075725" r:id="rId15">
            <o:LockedField>false</o:LockedField>
          </o:OLEObject>
        </w:pic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eastAsia="zh-CN"/>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hint="eastAsia" w:ascii="Times New Roman" w:hAnsi="Times New Roman" w:eastAsia="仿宋_GB2312" w:cs="Times New Roman"/>
          <w:kern w:val="2"/>
          <w:sz w:val="32"/>
          <w:szCs w:val="32"/>
          <w:lang w:val="zh-CN"/>
        </w:rPr>
      </w:pPr>
      <w:r>
        <w:rPr>
          <w:rFonts w:hint="eastAsia" w:ascii="Times New Roman" w:hAnsi="Times New Roman" w:eastAsia="仿宋_GB2312" w:cs="Times New Roman"/>
          <w:kern w:val="2"/>
          <w:sz w:val="32"/>
          <w:szCs w:val="32"/>
          <w:lang w:val="zh-CN" w:eastAsia="zh-CN"/>
        </w:rPr>
        <w:t>本部门</w:t>
      </w:r>
      <w:r>
        <w:rPr>
          <w:rFonts w:hint="default" w:ascii="Times New Roman" w:hAnsi="Times New Roman" w:eastAsia="仿宋_GB2312" w:cs="Times New Roman"/>
          <w:kern w:val="2"/>
          <w:sz w:val="32"/>
          <w:szCs w:val="32"/>
          <w:lang w:val="zh-CN" w:eastAsia="zh-CN"/>
        </w:rPr>
        <w:t>2023</w:t>
      </w:r>
      <w:r>
        <w:rPr>
          <w:rFonts w:hint="default" w:ascii="Times New Roman" w:hAnsi="Times New Roman" w:eastAsia="仿宋_GB2312" w:cs="Times New Roman"/>
          <w:kern w:val="2"/>
          <w:sz w:val="32"/>
          <w:szCs w:val="32"/>
          <w:lang w:val="zh-CN"/>
        </w:rPr>
        <w:t>年度本年收入合计</w:t>
      </w:r>
      <w:r>
        <w:rPr>
          <w:rFonts w:hint="eastAsia" w:ascii="Times New Roman" w:hAnsi="Times New Roman" w:eastAsia="仿宋_GB2312" w:cs="Times New Roman"/>
          <w:sz w:val="30"/>
          <w:szCs w:val="30"/>
          <w:highlight w:val="none"/>
          <w:lang w:val="en-US" w:eastAsia="zh-CN"/>
        </w:rPr>
        <w:t>8636.7</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，其中：财政拨款收入</w:t>
      </w:r>
      <w:r>
        <w:rPr>
          <w:rFonts w:hint="eastAsia" w:ascii="Times New Roman" w:hAnsi="Times New Roman" w:eastAsia="仿宋_GB2312" w:cs="Times New Roman"/>
          <w:kern w:val="2"/>
          <w:sz w:val="32"/>
          <w:szCs w:val="32"/>
          <w:lang w:val="en-US" w:eastAsia="zh-CN"/>
        </w:rPr>
        <w:t>8636.7</w:t>
      </w:r>
      <w:r>
        <w:rPr>
          <w:rFonts w:hint="default" w:ascii="Times New Roman" w:hAnsi="Times New Roman" w:eastAsia="仿宋_GB2312" w:cs="Times New Roman"/>
          <w:kern w:val="2"/>
          <w:sz w:val="32"/>
          <w:szCs w:val="32"/>
          <w:lang w:val="zh-CN"/>
        </w:rPr>
        <w:t>万元，占100%；上级补助收入0万元，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0%；事业收入0万元，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0%；经营收入0万元，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0%；附属单位上缴收入0万元，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0%；其他收入0万元，</w:t>
      </w:r>
      <w:r>
        <w:rPr>
          <w:rFonts w:hint="default" w:ascii="Times New Roman" w:hAnsi="Times New Roman" w:eastAsia="仿宋_GB2312" w:cs="Times New Roman"/>
          <w:kern w:val="2"/>
          <w:sz w:val="32"/>
          <w:szCs w:val="32"/>
          <w:lang w:val="zh-CN" w:eastAsia="zh-CN"/>
        </w:rPr>
        <w:t>占</w:t>
      </w:r>
      <w:r>
        <w:rPr>
          <w:rFonts w:hint="default" w:ascii="Times New Roman" w:hAnsi="Times New Roman" w:eastAsia="仿宋_GB2312" w:cs="Times New Roman"/>
          <w:kern w:val="2"/>
          <w:sz w:val="32"/>
          <w:szCs w:val="32"/>
          <w:lang w:val="zh-CN"/>
        </w:rPr>
        <w:t>0%</w:t>
      </w:r>
      <w:r>
        <w:rPr>
          <w:rFonts w:hint="eastAsia" w:ascii="Times New Roman" w:hAnsi="Times New Roman" w:eastAsia="仿宋_GB2312" w:cs="Times New Roman"/>
          <w:kern w:val="2"/>
          <w:sz w:val="32"/>
          <w:szCs w:val="32"/>
          <w:lang w:val="zh-CN"/>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spacing w:line="580" w:lineRule="exact"/>
        <w:ind w:firstLine="600"/>
        <w:jc w:val="left"/>
        <w:rPr>
          <w:rFonts w:hint="eastAsia" w:ascii="Times New Roman" w:hAnsi="Times New Roman" w:eastAsia="仿宋_GB2312" w:cs="Times New Roman"/>
          <w:kern w:val="2"/>
          <w:sz w:val="32"/>
          <w:szCs w:val="32"/>
          <w:lang w:val="zh-CN" w:eastAsia="zh-CN"/>
        </w:rPr>
      </w:pPr>
      <w:r>
        <w:rPr>
          <w:rFonts w:hint="eastAsia" w:ascii="Times New Roman" w:hAnsi="Times New Roman" w:eastAsia="仿宋_GB2312" w:cs="Times New Roman"/>
          <w:kern w:val="2"/>
          <w:sz w:val="32"/>
          <w:szCs w:val="32"/>
          <w:lang w:val="zh-CN" w:eastAsia="zh-CN"/>
        </w:rPr>
        <w:t>本部门</w:t>
      </w:r>
      <w:r>
        <w:rPr>
          <w:rFonts w:hint="default" w:ascii="Times New Roman" w:hAnsi="Times New Roman" w:eastAsia="仿宋_GB2312" w:cs="Times New Roman"/>
          <w:kern w:val="2"/>
          <w:sz w:val="32"/>
          <w:szCs w:val="32"/>
          <w:lang w:val="zh-CN" w:eastAsia="zh-CN"/>
        </w:rPr>
        <w:t>2023</w:t>
      </w:r>
      <w:r>
        <w:rPr>
          <w:rFonts w:hint="default" w:ascii="Times New Roman" w:hAnsi="Times New Roman" w:eastAsia="仿宋_GB2312" w:cs="Times New Roman"/>
          <w:kern w:val="2"/>
          <w:sz w:val="32"/>
          <w:szCs w:val="32"/>
          <w:lang w:val="zh-CN"/>
        </w:rPr>
        <w:t>年度本年支出合计</w:t>
      </w:r>
      <w:r>
        <w:rPr>
          <w:rFonts w:hint="eastAsia" w:ascii="Times New Roman" w:hAnsi="Times New Roman" w:eastAsia="仿宋_GB2312" w:cs="Times New Roman"/>
          <w:kern w:val="2"/>
          <w:sz w:val="32"/>
          <w:szCs w:val="32"/>
          <w:lang w:val="en-US" w:eastAsia="zh-CN"/>
        </w:rPr>
        <w:t>8670.86</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，其中：基本支出</w:t>
      </w:r>
      <w:r>
        <w:rPr>
          <w:rFonts w:hint="eastAsia" w:ascii="Times New Roman" w:hAnsi="Times New Roman" w:eastAsia="仿宋_GB2312" w:cs="Times New Roman"/>
          <w:kern w:val="2"/>
          <w:sz w:val="32"/>
          <w:szCs w:val="32"/>
          <w:lang w:val="en-US" w:eastAsia="zh-CN"/>
        </w:rPr>
        <w:t>835.52</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w:t>
      </w:r>
      <w:r>
        <w:rPr>
          <w:rFonts w:hint="eastAsia" w:ascii="Times New Roman" w:hAnsi="Times New Roman" w:eastAsia="仿宋_GB2312" w:cs="Times New Roman"/>
          <w:kern w:val="2"/>
          <w:sz w:val="32"/>
          <w:szCs w:val="32"/>
          <w:lang w:val="en-US" w:eastAsia="zh-CN"/>
        </w:rPr>
        <w:t>9.6</w:t>
      </w:r>
      <w:r>
        <w:rPr>
          <w:rFonts w:hint="default" w:ascii="Times New Roman" w:hAnsi="Times New Roman" w:eastAsia="仿宋_GB2312" w:cs="Times New Roman"/>
          <w:kern w:val="2"/>
          <w:sz w:val="32"/>
          <w:szCs w:val="32"/>
          <w:lang w:val="zh-CN" w:eastAsia="zh-CN"/>
        </w:rPr>
        <w:t>4%；</w:t>
      </w:r>
      <w:r>
        <w:rPr>
          <w:rFonts w:hint="default" w:ascii="Times New Roman" w:hAnsi="Times New Roman" w:eastAsia="仿宋_GB2312" w:cs="Times New Roman"/>
          <w:kern w:val="2"/>
          <w:sz w:val="32"/>
          <w:szCs w:val="32"/>
          <w:lang w:val="zh-CN"/>
        </w:rPr>
        <w:t>项目支出</w:t>
      </w:r>
      <w:r>
        <w:rPr>
          <w:rFonts w:hint="eastAsia" w:ascii="Times New Roman" w:hAnsi="Times New Roman" w:eastAsia="仿宋_GB2312" w:cs="Times New Roman"/>
          <w:kern w:val="2"/>
          <w:sz w:val="32"/>
          <w:szCs w:val="32"/>
          <w:lang w:val="en-US" w:eastAsia="zh-CN"/>
        </w:rPr>
        <w:t>7835.35</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占9</w:t>
      </w:r>
      <w:r>
        <w:rPr>
          <w:rFonts w:hint="eastAsia" w:ascii="Times New Roman" w:hAnsi="Times New Roman" w:eastAsia="仿宋_GB2312" w:cs="Times New Roman"/>
          <w:kern w:val="2"/>
          <w:sz w:val="32"/>
          <w:szCs w:val="32"/>
          <w:lang w:val="en-US" w:eastAsia="zh-CN"/>
        </w:rPr>
        <w:t>0.3</w:t>
      </w:r>
      <w:r>
        <w:rPr>
          <w:rFonts w:hint="default" w:ascii="Times New Roman" w:hAnsi="Times New Roman" w:eastAsia="仿宋_GB2312" w:cs="Times New Roman"/>
          <w:kern w:val="2"/>
          <w:sz w:val="32"/>
          <w:szCs w:val="32"/>
          <w:lang w:val="zh-CN" w:eastAsia="zh-CN"/>
        </w:rPr>
        <w:t>6%；</w:t>
      </w:r>
      <w:r>
        <w:rPr>
          <w:rFonts w:hint="default" w:ascii="Times New Roman" w:hAnsi="Times New Roman" w:eastAsia="仿宋_GB2312" w:cs="Times New Roman"/>
          <w:kern w:val="2"/>
          <w:sz w:val="32"/>
          <w:szCs w:val="32"/>
          <w:lang w:val="zh-CN"/>
        </w:rPr>
        <w:t>上缴上级支出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经营支出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default" w:ascii="Times New Roman" w:hAnsi="Times New Roman" w:eastAsia="仿宋_GB2312" w:cs="Times New Roman"/>
          <w:kern w:val="2"/>
          <w:sz w:val="32"/>
          <w:szCs w:val="32"/>
          <w:lang w:val="zh-CN"/>
        </w:rPr>
        <w:t>对附属单位补助支出</w:t>
      </w:r>
      <w:r>
        <w:rPr>
          <w:rFonts w:hint="default" w:ascii="Times New Roman" w:hAnsi="Times New Roman" w:eastAsia="仿宋_GB2312" w:cs="Times New Roman"/>
          <w:kern w:val="2"/>
          <w:sz w:val="32"/>
          <w:szCs w:val="32"/>
          <w:lang w:val="zh-CN" w:eastAsia="zh-CN"/>
        </w:rPr>
        <w:t>0万元</w:t>
      </w:r>
      <w:r>
        <w:rPr>
          <w:rFonts w:hint="default"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eastAsia="zh-CN"/>
        </w:rPr>
        <w:t>占0%</w:t>
      </w:r>
      <w:r>
        <w:rPr>
          <w:rFonts w:hint="eastAsia" w:ascii="Times New Roman" w:hAnsi="Times New Roman" w:eastAsia="仿宋_GB2312" w:cs="Times New Roman"/>
          <w:kern w:val="2"/>
          <w:sz w:val="32"/>
          <w:szCs w:val="32"/>
          <w:lang w:val="zh-CN" w:eastAsia="zh-CN"/>
        </w:rPr>
        <w:t>。</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eastAsia="仿宋_GB2312" w:cs="Wingdings"/>
          <w:sz w:val="32"/>
          <w:szCs w:val="32"/>
          <w:lang w:eastAsia="zh-CN"/>
        </w:rPr>
        <w:pict>
          <v:shape id="_x0000_s1028" o:spid="_x0000_s1028" o:spt="75" type="#_x0000_t75" style="position:absolute;left:0pt;margin-left:10.9pt;margin-top:14.55pt;height:222.75pt;width:422.25pt;mso-wrap-distance-bottom:0pt;mso-wrap-distance-left:9pt;mso-wrap-distance-right:9pt;mso-wrap-distance-top:0pt;z-index:251688960;mso-width-relative:page;mso-height-relative:page;" o:ole="t" filled="f" o:preferrelative="t" stroked="f" coordsize="21600,21600">
            <v:path/>
            <v:fill on="f" focussize="0,0"/>
            <v:stroke on="f"/>
            <v:imagedata r:id="rId18" o:title=""/>
            <o:lock v:ext="edit" aspectratio="t"/>
            <w10:wrap type="square"/>
          </v:shape>
          <o:OLEObject Type="Embed" ProgID="Excel.Chart.8" ShapeID="_x0000_s1028" DrawAspect="Content" ObjectID="_1468075726" r:id="rId17">
            <o:LockedField>false</o:LockedField>
          </o:OLEObject>
        </w:pic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w:t>
      </w:r>
      <w:r>
        <w:rPr>
          <w:rFonts w:hint="eastAsia" w:ascii="Times New Roman" w:hAnsi="Times New Roman" w:eastAsia="仿宋_GB2312" w:cs="Times New Roman"/>
          <w:color w:val="auto"/>
          <w:kern w:val="2"/>
          <w:sz w:val="32"/>
          <w:szCs w:val="32"/>
          <w:lang w:val="en-US" w:eastAsia="zh-CN" w:bidi="ar-SA"/>
        </w:rPr>
        <w:t>8805.92</w:t>
      </w:r>
      <w:r>
        <w:rPr>
          <w:rFonts w:hint="default" w:ascii="Times New Roman" w:hAnsi="Times New Roman" w:eastAsia="仿宋_GB2312" w:cs="Times New Roman"/>
          <w:color w:val="auto"/>
          <w:kern w:val="2"/>
          <w:sz w:val="32"/>
          <w:szCs w:val="32"/>
          <w:lang w:val="en-US" w:eastAsia="zh-CN" w:bidi="ar-SA"/>
        </w:rPr>
        <w:t>万</w:t>
      </w:r>
      <w:r>
        <w:rPr>
          <w:rFonts w:hint="default" w:ascii="Times New Roman" w:hAnsi="Times New Roman" w:eastAsia="仿宋_GB2312" w:cs="Times New Roman"/>
          <w:color w:val="auto"/>
          <w:kern w:val="2"/>
          <w:sz w:val="32"/>
          <w:szCs w:val="32"/>
          <w:lang w:val="zh-CN" w:eastAsia="zh-CN" w:bidi="ar-SA"/>
        </w:rPr>
        <w:t>元,比</w:t>
      </w:r>
      <w:r>
        <w:rPr>
          <w:rFonts w:hint="eastAsia" w:ascii="仿宋_GB2312" w:hAnsi="Times New Roman" w:eastAsia="仿宋_GB2312" w:cs="DengXian-Regular"/>
          <w:sz w:val="32"/>
          <w:szCs w:val="32"/>
        </w:rPr>
        <w:t>2022年度</w:t>
      </w:r>
      <w:r>
        <w:rPr>
          <w:rFonts w:hint="default" w:ascii="Times New Roman" w:hAnsi="Times New Roman" w:eastAsia="仿宋_GB2312" w:cs="Times New Roman"/>
          <w:color w:val="auto"/>
          <w:kern w:val="2"/>
          <w:sz w:val="32"/>
          <w:szCs w:val="32"/>
          <w:lang w:val="zh-CN" w:eastAsia="zh-CN" w:bidi="ar-SA"/>
        </w:rPr>
        <w:t>增加</w:t>
      </w:r>
      <w:r>
        <w:rPr>
          <w:rFonts w:hint="eastAsia" w:ascii="Times New Roman" w:hAnsi="Times New Roman" w:eastAsia="仿宋_GB2312" w:cs="Times New Roman"/>
          <w:color w:val="auto"/>
          <w:kern w:val="2"/>
          <w:sz w:val="32"/>
          <w:szCs w:val="32"/>
          <w:lang w:val="en-US" w:eastAsia="zh-CN" w:bidi="ar-SA"/>
        </w:rPr>
        <w:t>566.17</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6.87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color w:val="auto"/>
          <w:kern w:val="2"/>
          <w:sz w:val="32"/>
          <w:szCs w:val="32"/>
          <w:lang w:val="zh-CN" w:eastAsia="zh-CN" w:bidi="ar-SA"/>
        </w:rPr>
        <w:t>；本年支出</w:t>
      </w:r>
      <w:r>
        <w:rPr>
          <w:rFonts w:hint="eastAsia" w:ascii="Times New Roman" w:hAnsi="Times New Roman" w:eastAsia="仿宋_GB2312" w:cs="Times New Roman"/>
          <w:color w:val="auto"/>
          <w:kern w:val="2"/>
          <w:sz w:val="32"/>
          <w:szCs w:val="32"/>
          <w:lang w:val="en-US" w:eastAsia="zh-CN" w:bidi="ar-SA"/>
        </w:rPr>
        <w:t>8805.92</w:t>
      </w:r>
      <w:r>
        <w:rPr>
          <w:rFonts w:hint="default" w:ascii="Times New Roman" w:hAnsi="Times New Roman" w:eastAsia="仿宋_GB2312" w:cs="Times New Roman"/>
          <w:color w:val="auto"/>
          <w:kern w:val="2"/>
          <w:sz w:val="32"/>
          <w:szCs w:val="32"/>
          <w:lang w:val="zh-CN" w:eastAsia="zh-CN" w:bidi="ar-SA"/>
        </w:rPr>
        <w:t>元，比上年增加</w:t>
      </w:r>
      <w:r>
        <w:rPr>
          <w:rFonts w:hint="eastAsia" w:ascii="Times New Roman" w:hAnsi="Times New Roman" w:eastAsia="仿宋_GB2312" w:cs="Times New Roman"/>
          <w:color w:val="auto"/>
          <w:kern w:val="2"/>
          <w:sz w:val="32"/>
          <w:szCs w:val="32"/>
          <w:lang w:val="en-US" w:eastAsia="zh-CN" w:bidi="ar-SA"/>
        </w:rPr>
        <w:t>566.17</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6.87</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color w:val="auto"/>
          <w:kern w:val="2"/>
          <w:sz w:val="32"/>
          <w:szCs w:val="32"/>
          <w:lang w:val="zh-CN" w:eastAsia="zh-CN" w:bidi="ar-SA"/>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zh-CN"/>
        </w:rPr>
        <w:t>1. 一般公共预算财政拨款本年收入</w:t>
      </w:r>
      <w:r>
        <w:rPr>
          <w:rFonts w:hint="eastAsia" w:ascii="Times New Roman" w:hAnsi="Times New Roman" w:eastAsia="仿宋_GB2312" w:cs="Times New Roman"/>
          <w:kern w:val="2"/>
          <w:sz w:val="32"/>
          <w:szCs w:val="32"/>
          <w:lang w:val="en-US" w:eastAsia="zh-CN"/>
        </w:rPr>
        <w:t>8636.7</w:t>
      </w:r>
      <w:r>
        <w:rPr>
          <w:rFonts w:hint="default" w:ascii="Times New Roman" w:hAnsi="Times New Roman" w:eastAsia="仿宋_GB2312" w:cs="Times New Roman"/>
          <w:kern w:val="2"/>
          <w:sz w:val="32"/>
          <w:szCs w:val="32"/>
          <w:lang w:val="zh-CN" w:eastAsia="zh-CN"/>
        </w:rPr>
        <w:t>万元</w:t>
      </w:r>
      <w:r>
        <w:rPr>
          <w:rFonts w:hint="default" w:ascii="Times New Roman" w:hAnsi="Times New Roman" w:eastAsia="仿宋_GB2312" w:cs="Times New Roman"/>
          <w:kern w:val="2"/>
          <w:sz w:val="32"/>
          <w:szCs w:val="32"/>
          <w:lang w:val="zh-CN"/>
        </w:rPr>
        <w:t>,比上年增加</w:t>
      </w:r>
      <w:r>
        <w:rPr>
          <w:rFonts w:hint="eastAsia" w:ascii="Times New Roman" w:hAnsi="Times New Roman" w:eastAsia="仿宋_GB2312" w:cs="Times New Roman"/>
          <w:kern w:val="2"/>
          <w:sz w:val="32"/>
          <w:szCs w:val="32"/>
          <w:lang w:val="en-US" w:eastAsia="zh-CN"/>
        </w:rPr>
        <w:t>577.44</w:t>
      </w:r>
      <w:r>
        <w:rPr>
          <w:rFonts w:hint="default" w:ascii="Times New Roman" w:hAnsi="Times New Roman" w:eastAsia="仿宋_GB2312" w:cs="Times New Roman"/>
          <w:kern w:val="2"/>
          <w:sz w:val="32"/>
          <w:szCs w:val="32"/>
          <w:lang w:val="zh-CN"/>
        </w:rPr>
        <w:t>万元</w:t>
      </w:r>
      <w:r>
        <w:rPr>
          <w:rFonts w:hint="eastAsia" w:ascii="Times New Roman" w:hAnsi="Times New Roman" w:eastAsia="仿宋_GB2312" w:cs="Times New Roman"/>
          <w:kern w:val="2"/>
          <w:sz w:val="32"/>
          <w:szCs w:val="32"/>
          <w:lang w:val="zh-CN"/>
        </w:rPr>
        <w:t>，</w:t>
      </w:r>
      <w:r>
        <w:rPr>
          <w:rFonts w:hint="default" w:ascii="Times New Roman" w:hAnsi="Times New Roman" w:eastAsia="仿宋_GB2312" w:cs="Times New Roman"/>
          <w:kern w:val="2"/>
          <w:sz w:val="32"/>
          <w:szCs w:val="32"/>
          <w:lang w:val="zh-CN"/>
        </w:rPr>
        <w:t>增长</w:t>
      </w:r>
      <w:r>
        <w:rPr>
          <w:rFonts w:hint="eastAsia" w:ascii="Times New Roman" w:hAnsi="Times New Roman" w:eastAsia="仿宋_GB2312" w:cs="Times New Roman"/>
          <w:kern w:val="2"/>
          <w:sz w:val="32"/>
          <w:szCs w:val="32"/>
          <w:lang w:val="en-US" w:eastAsia="zh-CN"/>
        </w:rPr>
        <w:t>7.16</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val="zh-CN"/>
        </w:rPr>
        <w:t xml:space="preserve">；本年支出 </w:t>
      </w:r>
      <w:r>
        <w:rPr>
          <w:rFonts w:hint="eastAsia" w:ascii="Times New Roman" w:hAnsi="Times New Roman" w:eastAsia="仿宋_GB2312" w:cs="Times New Roman"/>
          <w:kern w:val="2"/>
          <w:sz w:val="32"/>
          <w:szCs w:val="32"/>
          <w:lang w:val="en-US" w:eastAsia="zh-CN"/>
        </w:rPr>
        <w:t>8670.86</w:t>
      </w:r>
      <w:r>
        <w:rPr>
          <w:rFonts w:hint="default" w:ascii="Times New Roman" w:hAnsi="Times New Roman" w:eastAsia="仿宋_GB2312" w:cs="Times New Roman"/>
          <w:kern w:val="2"/>
          <w:sz w:val="32"/>
          <w:szCs w:val="32"/>
          <w:lang w:val="en-US" w:eastAsia="zh-CN"/>
        </w:rPr>
        <w:t>万</w:t>
      </w:r>
      <w:r>
        <w:rPr>
          <w:rFonts w:hint="default" w:ascii="Times New Roman" w:hAnsi="Times New Roman" w:eastAsia="仿宋_GB2312" w:cs="Times New Roman"/>
          <w:kern w:val="2"/>
          <w:sz w:val="32"/>
          <w:szCs w:val="32"/>
          <w:lang w:val="zh-CN"/>
        </w:rPr>
        <w:t>元，比上年增加</w:t>
      </w:r>
      <w:r>
        <w:rPr>
          <w:rFonts w:hint="eastAsia" w:ascii="Times New Roman" w:hAnsi="Times New Roman" w:eastAsia="仿宋_GB2312" w:cs="Times New Roman"/>
          <w:kern w:val="2"/>
          <w:sz w:val="32"/>
          <w:szCs w:val="32"/>
          <w:lang w:val="en-US" w:eastAsia="zh-CN"/>
        </w:rPr>
        <w:t>582.18</w:t>
      </w:r>
      <w:r>
        <w:rPr>
          <w:rFonts w:hint="default" w:ascii="Times New Roman" w:hAnsi="Times New Roman" w:eastAsia="仿宋_GB2312" w:cs="Times New Roman"/>
          <w:kern w:val="2"/>
          <w:sz w:val="32"/>
          <w:szCs w:val="32"/>
          <w:lang w:val="zh-CN"/>
        </w:rPr>
        <w:t>万元，增长</w:t>
      </w:r>
      <w:r>
        <w:rPr>
          <w:rFonts w:hint="eastAsia" w:ascii="Times New Roman" w:hAnsi="Times New Roman" w:eastAsia="仿宋_GB2312" w:cs="Times New Roman"/>
          <w:kern w:val="2"/>
          <w:sz w:val="32"/>
          <w:szCs w:val="32"/>
          <w:lang w:val="en-US" w:eastAsia="zh-CN"/>
        </w:rPr>
        <w:t>7.20</w:t>
      </w:r>
      <w:r>
        <w:rPr>
          <w:rFonts w:hint="default" w:ascii="Times New Roman" w:hAnsi="Times New Roman" w:eastAsia="仿宋_GB2312" w:cs="Times New Roman"/>
          <w:kern w:val="2"/>
          <w:sz w:val="32"/>
          <w:szCs w:val="32"/>
          <w:lang w:val="zh-CN"/>
        </w:rPr>
        <w:t>%，主要是</w:t>
      </w:r>
      <w:r>
        <w:rPr>
          <w:rFonts w:hint="eastAsia" w:ascii="Times New Roman" w:hAnsi="Times New Roman" w:eastAsia="仿宋_GB2312" w:cs="Times New Roman"/>
          <w:kern w:val="2"/>
          <w:sz w:val="32"/>
          <w:szCs w:val="32"/>
          <w:lang w:eastAsia="zh-CN"/>
        </w:rPr>
        <w:t>项目支出增加</w:t>
      </w:r>
      <w:r>
        <w:rPr>
          <w:rFonts w:hint="default" w:ascii="Times New Roman" w:hAnsi="Times New Roman" w:eastAsia="仿宋_GB2312" w:cs="Times New Roman"/>
          <w:kern w:val="2"/>
          <w:sz w:val="32"/>
          <w:szCs w:val="32"/>
          <w:lang w:val="zh-CN"/>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仿宋_GB2312" w:hAnsi="Times New Roman" w:eastAsia="仿宋_GB2312" w:cs="DengXian-Regular"/>
          <w:b/>
          <w:bCs/>
          <w:sz w:val="32"/>
          <w:szCs w:val="32"/>
        </w:rPr>
        <w:t>2.</w:t>
      </w: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仿宋_GB2312" w:hAnsi="Times New Roman" w:eastAsia="仿宋_GB2312" w:cs="DengXian-Regular"/>
          <w:b/>
          <w:bCs/>
          <w:sz w:val="32"/>
          <w:szCs w:val="32"/>
        </w:rPr>
        <w:t>3.</w:t>
      </w:r>
      <w:r>
        <w:rPr>
          <w:rFonts w:hint="eastAsia" w:ascii="仿宋_GB2312" w:hAnsi="Times New Roman" w:eastAsia="仿宋_GB2312" w:cs="DengXian-Regular"/>
          <w:sz w:val="32"/>
          <w:szCs w:val="32"/>
        </w:rPr>
        <w:t>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lang w:eastAsia="zh-CN"/>
        </w:rPr>
        <w:pict>
          <v:shape id="Object 25" o:spid="_x0000_s1029" o:spt="75" type="#_x0000_t75" style="position:absolute;left:0pt;margin-left:47.35pt;margin-top:63.7pt;height:222.75pt;width:366.75pt;mso-wrap-distance-bottom:0pt;mso-wrap-distance-left:9pt;mso-wrap-distance-right:9pt;mso-wrap-distance-top:0pt;z-index:251700224;mso-width-relative:page;mso-height-relative:page;" o:ole="t" filled="f" o:preferrelative="t" stroked="f" coordsize="21600,21600">
            <v:path/>
            <v:fill on="f" focussize="0,0"/>
            <v:stroke on="f"/>
            <v:imagedata r:id="rId20" o:title=""/>
            <o:lock v:ext="edit" aspectratio="t"/>
            <w10:wrap type="square"/>
          </v:shape>
          <o:OLEObject Type="Embed" ProgID="Excel.Chart.8" ShapeID="Object 25" DrawAspect="Content" ObjectID="_1468075727" r:id="rId19">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eastAsia="仿宋_GB2312" w:cs="Wingdings"/>
          <w:sz w:val="32"/>
          <w:szCs w:val="32"/>
          <w:highlight w:val="none"/>
          <w:lang w:eastAsia="zh-CN"/>
        </w:rPr>
        <w:pict>
          <v:shape id="Object 26" o:spid="_x0000_s1030" o:spt="75" type="#_x0000_t75" style="position:absolute;left:0pt;margin-left:31.5pt;margin-top:186.35pt;height:222.75pt;width:366.75pt;mso-wrap-distance-bottom:0pt;mso-wrap-distance-left:9pt;mso-wrap-distance-right:9pt;mso-wrap-distance-top:0pt;z-index:251712512;mso-width-relative:page;mso-height-relative:page;" o:ole="t" filled="f" o:preferrelative="t" stroked="f" coordsize="21600,21600">
            <v:path/>
            <v:fill on="f" focussize="0,0"/>
            <v:stroke on="f"/>
            <v:imagedata r:id="rId22" o:title=""/>
            <o:lock v:ext="edit" aspectratio="t"/>
            <w10:wrap type="square"/>
          </v:shape>
          <o:OLEObject Type="Embed" ProgID="Excel.Chart.8" ShapeID="Object 26" DrawAspect="Content" ObjectID="_1468075728" r:id="rId21">
            <o:LockedField>false</o:LockedField>
          </o:OLEObject>
        </w:pict>
      </w: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adjustRightInd w:val="0"/>
        <w:snapToGrid w:val="0"/>
        <w:spacing w:line="580" w:lineRule="exact"/>
        <w:ind w:firstLine="640" w:firstLineChars="200"/>
        <w:rPr>
          <w:rFonts w:hint="eastAsia" w:ascii="仿宋_GB2312" w:eastAsia="仿宋_GB2312" w:cs="DengXian-Regular"/>
          <w:sz w:val="32"/>
          <w:szCs w:val="32"/>
          <w:lang w:bidi="ar-SA"/>
        </w:rPr>
      </w:pPr>
    </w:p>
    <w:p>
      <w:pPr>
        <w:snapToGrid w:val="0"/>
        <w:spacing w:line="580" w:lineRule="exact"/>
        <w:ind w:firstLine="643" w:firstLineChars="200"/>
        <w:rPr>
          <w:rFonts w:ascii="仿宋_GB2312" w:hAnsi="Times New Roman" w:eastAsia="仿宋_GB2312" w:cs="DengXian-Bold"/>
          <w:b/>
          <w:bCs/>
          <w:color w:val="auto"/>
          <w:sz w:val="32"/>
          <w:szCs w:val="32"/>
        </w:rPr>
      </w:pPr>
      <w:r>
        <w:rPr>
          <w:rFonts w:hint="eastAsia" w:ascii="楷体_GB2312" w:hAnsi="Times New Roman" w:eastAsia="楷体_GB2312" w:cs="DengXian-Bold"/>
          <w:b/>
          <w:bCs/>
          <w:sz w:val="32"/>
          <w:szCs w:val="32"/>
        </w:rPr>
        <w:t>（二）财</w:t>
      </w:r>
      <w:r>
        <w:rPr>
          <w:rFonts w:hint="eastAsia" w:ascii="楷体_GB2312" w:hAnsi="Times New Roman" w:eastAsia="楷体_GB2312" w:cs="DengXian-Bold"/>
          <w:b/>
          <w:bCs/>
          <w:color w:val="auto"/>
          <w:sz w:val="32"/>
          <w:szCs w:val="32"/>
        </w:rPr>
        <w:t>政拨款收支与年初预算数对比情况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年度财政拨款本年收入</w:t>
      </w:r>
      <w:r>
        <w:rPr>
          <w:rFonts w:hint="eastAsia" w:ascii="Times New Roman" w:hAnsi="Times New Roman" w:eastAsia="仿宋_GB2312" w:cs="Times New Roman"/>
          <w:color w:val="auto"/>
          <w:kern w:val="2"/>
          <w:sz w:val="32"/>
          <w:szCs w:val="32"/>
          <w:lang w:val="en-US" w:eastAsia="zh-CN" w:bidi="ar-SA"/>
        </w:rPr>
        <w:t>8636.70</w:t>
      </w:r>
      <w:r>
        <w:rPr>
          <w:rFonts w:hint="default" w:ascii="Times New Roman" w:hAnsi="Times New Roman" w:eastAsia="仿宋_GB2312" w:cs="Times New Roman"/>
          <w:color w:val="auto"/>
          <w:kern w:val="2"/>
          <w:sz w:val="32"/>
          <w:szCs w:val="32"/>
          <w:lang w:val="zh-CN" w:eastAsia="zh-CN" w:bidi="ar-SA"/>
        </w:rPr>
        <w:t>万元，完成年初预算的10</w:t>
      </w:r>
      <w:r>
        <w:rPr>
          <w:rFonts w:hint="eastAsia" w:ascii="Times New Roman" w:hAnsi="Times New Roman" w:eastAsia="仿宋_GB2312" w:cs="Times New Roman"/>
          <w:color w:val="auto"/>
          <w:kern w:val="2"/>
          <w:sz w:val="32"/>
          <w:szCs w:val="32"/>
          <w:lang w:val="en-US" w:eastAsia="zh-CN" w:bidi="ar-SA"/>
        </w:rPr>
        <w:t>2.50</w:t>
      </w:r>
      <w:r>
        <w:rPr>
          <w:rFonts w:hint="default" w:ascii="Times New Roman" w:hAnsi="Times New Roman" w:eastAsia="仿宋_GB2312" w:cs="Times New Roman"/>
          <w:color w:val="auto"/>
          <w:kern w:val="2"/>
          <w:sz w:val="32"/>
          <w:szCs w:val="32"/>
          <w:lang w:val="zh-CN" w:eastAsia="zh-CN" w:bidi="ar-SA"/>
        </w:rPr>
        <w:t>%，比年初预算增加</w:t>
      </w:r>
      <w:r>
        <w:rPr>
          <w:rFonts w:hint="eastAsia" w:ascii="Times New Roman" w:hAnsi="Times New Roman" w:eastAsia="仿宋_GB2312" w:cs="Times New Roman"/>
          <w:color w:val="auto"/>
          <w:kern w:val="2"/>
          <w:sz w:val="32"/>
          <w:szCs w:val="32"/>
          <w:lang w:val="en-US" w:eastAsia="zh-CN" w:bidi="ar-SA"/>
        </w:rPr>
        <w:t>210.31</w:t>
      </w:r>
      <w:r>
        <w:rPr>
          <w:rFonts w:hint="default" w:ascii="Times New Roman" w:hAnsi="Times New Roman" w:eastAsia="仿宋_GB2312" w:cs="Times New Roman"/>
          <w:color w:val="auto"/>
          <w:kern w:val="2"/>
          <w:sz w:val="32"/>
          <w:szCs w:val="32"/>
          <w:lang w:val="zh-CN" w:eastAsia="zh-CN" w:bidi="ar-SA"/>
        </w:rPr>
        <w:t>万元，决算数大于预算数主要原因是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color w:val="auto"/>
          <w:kern w:val="2"/>
          <w:sz w:val="32"/>
          <w:szCs w:val="32"/>
          <w:lang w:val="zh-CN" w:eastAsia="zh-CN" w:bidi="ar-SA"/>
        </w:rPr>
        <w:t>；本年支出</w:t>
      </w:r>
      <w:r>
        <w:rPr>
          <w:rFonts w:hint="eastAsia" w:ascii="Times New Roman" w:hAnsi="Times New Roman" w:eastAsia="仿宋_GB2312" w:cs="Times New Roman"/>
          <w:color w:val="auto"/>
          <w:kern w:val="2"/>
          <w:sz w:val="32"/>
          <w:szCs w:val="32"/>
          <w:lang w:val="en-US" w:eastAsia="zh-CN" w:bidi="ar-SA"/>
        </w:rPr>
        <w:t>8670.86</w:t>
      </w:r>
      <w:r>
        <w:rPr>
          <w:rFonts w:hint="default" w:ascii="Times New Roman" w:hAnsi="Times New Roman" w:eastAsia="仿宋_GB2312" w:cs="Times New Roman"/>
          <w:color w:val="auto"/>
          <w:kern w:val="2"/>
          <w:sz w:val="32"/>
          <w:szCs w:val="32"/>
          <w:lang w:val="zh-CN" w:eastAsia="zh-CN" w:bidi="ar-SA"/>
        </w:rPr>
        <w:t>万元，完成年初预算的102.</w:t>
      </w:r>
      <w:r>
        <w:rPr>
          <w:rFonts w:hint="eastAsia" w:ascii="Times New Roman" w:hAnsi="Times New Roman" w:eastAsia="仿宋_GB2312" w:cs="Times New Roman"/>
          <w:color w:val="auto"/>
          <w:kern w:val="2"/>
          <w:sz w:val="32"/>
          <w:szCs w:val="32"/>
          <w:lang w:val="en-US" w:eastAsia="zh-CN" w:bidi="ar-SA"/>
        </w:rPr>
        <w:t>90</w:t>
      </w:r>
      <w:r>
        <w:rPr>
          <w:rFonts w:hint="default" w:ascii="Times New Roman" w:hAnsi="Times New Roman" w:eastAsia="仿宋_GB2312" w:cs="Times New Roman"/>
          <w:color w:val="auto"/>
          <w:kern w:val="2"/>
          <w:sz w:val="32"/>
          <w:szCs w:val="32"/>
          <w:lang w:val="zh-CN" w:eastAsia="zh-CN" w:bidi="ar-SA"/>
        </w:rPr>
        <w:t>%，比年初预算增加</w:t>
      </w:r>
      <w:r>
        <w:rPr>
          <w:rFonts w:hint="eastAsia" w:ascii="Times New Roman" w:hAnsi="Times New Roman" w:eastAsia="仿宋_GB2312" w:cs="Times New Roman"/>
          <w:color w:val="auto"/>
          <w:kern w:val="2"/>
          <w:sz w:val="32"/>
          <w:szCs w:val="32"/>
          <w:lang w:val="en-US" w:eastAsia="zh-CN" w:bidi="ar-SA"/>
        </w:rPr>
        <w:t>244.47</w:t>
      </w:r>
      <w:r>
        <w:rPr>
          <w:rFonts w:hint="default" w:ascii="Times New Roman" w:hAnsi="Times New Roman" w:eastAsia="仿宋_GB2312" w:cs="Times New Roman"/>
          <w:color w:val="auto"/>
          <w:kern w:val="2"/>
          <w:sz w:val="32"/>
          <w:szCs w:val="32"/>
          <w:lang w:val="zh-CN" w:eastAsia="zh-CN" w:bidi="ar-SA"/>
        </w:rPr>
        <w:t>万元，决算数</w:t>
      </w:r>
      <w:r>
        <w:rPr>
          <w:rFonts w:hint="default" w:ascii="Times New Roman" w:hAnsi="Times New Roman" w:eastAsia="仿宋_GB2312" w:cs="Times New Roman"/>
          <w:kern w:val="2"/>
          <w:sz w:val="32"/>
          <w:szCs w:val="32"/>
          <w:lang w:val="zh-CN"/>
        </w:rPr>
        <w:t>大于预算数主要原因是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。具体情况如下：</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2"/>
          <w:sz w:val="32"/>
          <w:szCs w:val="32"/>
          <w:lang w:val="zh-CN"/>
        </w:rPr>
      </w:pP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lang w:val="zh-CN"/>
        </w:rPr>
        <w:t>一般公共预算财政拨款</w:t>
      </w:r>
      <w:r>
        <w:rPr>
          <w:rFonts w:hint="default" w:ascii="Times New Roman" w:hAnsi="Times New Roman" w:eastAsia="仿宋_GB2312" w:cs="Times New Roman"/>
          <w:kern w:val="2"/>
          <w:sz w:val="32"/>
          <w:szCs w:val="32"/>
          <w:lang w:val="en-US" w:eastAsia="zh-CN"/>
        </w:rPr>
        <w:t>本年</w:t>
      </w:r>
      <w:r>
        <w:rPr>
          <w:rFonts w:hint="default" w:ascii="Times New Roman" w:hAnsi="Times New Roman" w:eastAsia="仿宋_GB2312" w:cs="Times New Roman"/>
          <w:kern w:val="2"/>
          <w:sz w:val="32"/>
          <w:szCs w:val="32"/>
          <w:lang w:val="zh-CN"/>
        </w:rPr>
        <w:t>收入</w:t>
      </w:r>
      <w:r>
        <w:rPr>
          <w:rFonts w:hint="eastAsia" w:ascii="Times New Roman" w:hAnsi="Times New Roman" w:eastAsia="仿宋_GB2312" w:cs="Times New Roman"/>
          <w:kern w:val="2"/>
          <w:sz w:val="32"/>
          <w:szCs w:val="32"/>
          <w:lang w:val="en-US" w:eastAsia="zh-CN"/>
        </w:rPr>
        <w:t>8636.7</w:t>
      </w:r>
      <w:r>
        <w:rPr>
          <w:rFonts w:hint="default" w:ascii="Times New Roman" w:hAnsi="Times New Roman" w:eastAsia="仿宋_GB2312" w:cs="Times New Roman"/>
          <w:kern w:val="2"/>
          <w:sz w:val="32"/>
          <w:szCs w:val="32"/>
          <w:lang w:val="zh-CN"/>
        </w:rPr>
        <w:t>万元，完成年初预算的 10</w:t>
      </w:r>
      <w:r>
        <w:rPr>
          <w:rFonts w:hint="eastAsia" w:ascii="Times New Roman" w:hAnsi="Times New Roman" w:eastAsia="仿宋_GB2312" w:cs="Times New Roman"/>
          <w:kern w:val="2"/>
          <w:sz w:val="32"/>
          <w:szCs w:val="32"/>
          <w:lang w:val="en-US" w:eastAsia="zh-CN"/>
        </w:rPr>
        <w:t>2.50</w:t>
      </w:r>
      <w:r>
        <w:rPr>
          <w:rFonts w:hint="default" w:ascii="Times New Roman" w:hAnsi="Times New Roman" w:eastAsia="仿宋_GB2312" w:cs="Times New Roman"/>
          <w:kern w:val="2"/>
          <w:sz w:val="32"/>
          <w:szCs w:val="32"/>
          <w:lang w:val="zh-CN"/>
        </w:rPr>
        <w:t>%，比年初预算增加</w:t>
      </w:r>
      <w:r>
        <w:rPr>
          <w:rFonts w:hint="eastAsia" w:ascii="Times New Roman" w:hAnsi="Times New Roman" w:eastAsia="仿宋_GB2312" w:cs="Times New Roman"/>
          <w:kern w:val="2"/>
          <w:sz w:val="32"/>
          <w:szCs w:val="32"/>
          <w:lang w:val="en-US" w:eastAsia="zh-CN"/>
        </w:rPr>
        <w:t>210.31</w:t>
      </w:r>
      <w:r>
        <w:rPr>
          <w:rFonts w:hint="default" w:ascii="Times New Roman" w:hAnsi="Times New Roman" w:eastAsia="仿宋_GB2312" w:cs="Times New Roman"/>
          <w:kern w:val="2"/>
          <w:sz w:val="32"/>
          <w:szCs w:val="32"/>
          <w:lang w:val="zh-CN"/>
        </w:rPr>
        <w:t>万元，主要原因是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；本年支出</w:t>
      </w:r>
      <w:r>
        <w:rPr>
          <w:rFonts w:hint="eastAsia" w:ascii="Times New Roman" w:hAnsi="Times New Roman" w:eastAsia="仿宋_GB2312" w:cs="Times New Roman"/>
          <w:kern w:val="2"/>
          <w:sz w:val="32"/>
          <w:szCs w:val="32"/>
          <w:lang w:val="en-US" w:eastAsia="zh-CN"/>
        </w:rPr>
        <w:t>8670.86</w:t>
      </w:r>
      <w:r>
        <w:rPr>
          <w:rFonts w:hint="default" w:ascii="Times New Roman" w:hAnsi="Times New Roman" w:eastAsia="仿宋_GB2312" w:cs="Times New Roman"/>
          <w:kern w:val="2"/>
          <w:sz w:val="32"/>
          <w:szCs w:val="32"/>
          <w:lang w:val="zh-CN"/>
        </w:rPr>
        <w:t>万元，完成年初预算的102.</w:t>
      </w:r>
      <w:r>
        <w:rPr>
          <w:rFonts w:hint="eastAsia" w:ascii="Times New Roman" w:hAnsi="Times New Roman" w:eastAsia="仿宋_GB2312" w:cs="Times New Roman"/>
          <w:kern w:val="2"/>
          <w:sz w:val="32"/>
          <w:szCs w:val="32"/>
          <w:lang w:val="en-US" w:eastAsia="zh-CN"/>
        </w:rPr>
        <w:t>90</w:t>
      </w:r>
      <w:r>
        <w:rPr>
          <w:rFonts w:hint="default" w:ascii="Times New Roman" w:hAnsi="Times New Roman" w:eastAsia="仿宋_GB2312" w:cs="Times New Roman"/>
          <w:kern w:val="2"/>
          <w:sz w:val="32"/>
          <w:szCs w:val="32"/>
          <w:lang w:val="zh-CN"/>
        </w:rPr>
        <w:t>%，比年初预算增加</w:t>
      </w:r>
      <w:r>
        <w:rPr>
          <w:rFonts w:hint="eastAsia" w:ascii="Times New Roman" w:hAnsi="Times New Roman" w:eastAsia="仿宋_GB2312" w:cs="Times New Roman"/>
          <w:kern w:val="2"/>
          <w:sz w:val="32"/>
          <w:szCs w:val="32"/>
          <w:lang w:val="en-US" w:eastAsia="zh-CN"/>
        </w:rPr>
        <w:t>244.47</w:t>
      </w:r>
      <w:r>
        <w:rPr>
          <w:rFonts w:hint="default" w:ascii="Times New Roman" w:hAnsi="Times New Roman" w:eastAsia="仿宋_GB2312" w:cs="Times New Roman"/>
          <w:kern w:val="2"/>
          <w:sz w:val="32"/>
          <w:szCs w:val="32"/>
          <w:lang w:val="zh-CN"/>
        </w:rPr>
        <w:t>万元，主要原因是</w:t>
      </w:r>
      <w:r>
        <w:rPr>
          <w:rFonts w:hint="eastAsia" w:ascii="仿宋_GB2312" w:hAnsi="Times New Roman" w:eastAsia="仿宋_GB2312" w:cs="DengXian-Regular"/>
          <w:sz w:val="32"/>
          <w:szCs w:val="32"/>
          <w:lang w:eastAsia="zh-CN"/>
        </w:rPr>
        <w:t>上级专款在年初未下达没有列入预算</w:t>
      </w:r>
      <w:r>
        <w:rPr>
          <w:rFonts w:hint="default" w:ascii="Times New Roman" w:hAnsi="Times New Roman" w:eastAsia="仿宋_GB2312" w:cs="Times New Roman"/>
          <w:kern w:val="2"/>
          <w:sz w:val="32"/>
          <w:szCs w:val="32"/>
          <w:lang w:val="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政府性基金预算财政拨款收入。</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国有资本经营预算财政拨款收入。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kern w:val="2"/>
          <w:sz w:val="32"/>
          <w:szCs w:val="32"/>
          <w:lang w:val="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lang w:val="zh-CN"/>
        </w:rPr>
        <w:t>年度财政拨款支出</w:t>
      </w:r>
      <w:r>
        <w:rPr>
          <w:rFonts w:hint="eastAsia" w:ascii="Times New Roman" w:hAnsi="Times New Roman" w:eastAsia="仿宋_GB2312" w:cs="Times New Roman"/>
          <w:kern w:val="2"/>
          <w:sz w:val="32"/>
          <w:szCs w:val="32"/>
          <w:lang w:val="en-US" w:eastAsia="zh-CN"/>
        </w:rPr>
        <w:t>8670.86</w:t>
      </w:r>
      <w:r>
        <w:rPr>
          <w:rFonts w:hint="default" w:ascii="Times New Roman" w:hAnsi="Times New Roman" w:eastAsia="仿宋_GB2312" w:cs="Times New Roman"/>
          <w:kern w:val="2"/>
          <w:sz w:val="32"/>
          <w:szCs w:val="32"/>
          <w:lang w:val="zh-CN"/>
        </w:rPr>
        <w:t>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default" w:ascii="Times New Roman" w:hAnsi="Times New Roman" w:eastAsia="仿宋_GB2312" w:cs="Times New Roman"/>
          <w:color w:val="auto"/>
          <w:kern w:val="2"/>
          <w:sz w:val="32"/>
          <w:szCs w:val="32"/>
          <w:lang w:val="zh-CN" w:eastAsia="zh-CN" w:bidi="ar-SA"/>
        </w:rPr>
        <w:t>社会保障和就业 （类）支出</w:t>
      </w:r>
      <w:r>
        <w:rPr>
          <w:rFonts w:hint="eastAsia" w:ascii="Times New Roman" w:hAnsi="Times New Roman" w:eastAsia="仿宋_GB2312" w:cs="Times New Roman"/>
          <w:color w:val="auto"/>
          <w:kern w:val="2"/>
          <w:sz w:val="32"/>
          <w:szCs w:val="32"/>
          <w:lang w:val="en-US" w:eastAsia="zh-CN" w:bidi="ar-SA"/>
        </w:rPr>
        <w:t>8310.38</w:t>
      </w:r>
      <w:r>
        <w:rPr>
          <w:rFonts w:hint="default" w:ascii="Times New Roman" w:hAnsi="Times New Roman" w:eastAsia="仿宋_GB2312" w:cs="Times New Roman"/>
          <w:color w:val="auto"/>
          <w:kern w:val="2"/>
          <w:sz w:val="32"/>
          <w:szCs w:val="32"/>
          <w:lang w:val="zh-CN" w:eastAsia="zh-CN" w:bidi="ar-SA"/>
        </w:rPr>
        <w:t>万元，占95.8</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优抚对象各项补助资金</w:t>
      </w:r>
      <w:r>
        <w:rPr>
          <w:rFonts w:hint="eastAsia" w:ascii="仿宋_GB2312" w:eastAsia="仿宋_GB2312" w:cs="DengXian-Regular"/>
          <w:sz w:val="32"/>
          <w:szCs w:val="32"/>
          <w:lang w:bidi="ar-SA"/>
        </w:rPr>
        <w:t>等支出</w:t>
      </w:r>
      <w:r>
        <w:rPr>
          <w:rFonts w:hint="default" w:ascii="Times New Roman" w:hAnsi="Times New Roman" w:eastAsia="仿宋_GB2312" w:cs="Times New Roman"/>
          <w:color w:val="auto"/>
          <w:kern w:val="2"/>
          <w:sz w:val="32"/>
          <w:szCs w:val="32"/>
          <w:lang w:val="zh-CN" w:eastAsia="zh-CN" w:bidi="ar-SA"/>
        </w:rPr>
        <w:t>；卫生健康（类）支出3</w:t>
      </w:r>
      <w:r>
        <w:rPr>
          <w:rFonts w:hint="eastAsia" w:ascii="Times New Roman" w:hAnsi="Times New Roman" w:eastAsia="仿宋_GB2312" w:cs="Times New Roman"/>
          <w:color w:val="auto"/>
          <w:kern w:val="2"/>
          <w:sz w:val="32"/>
          <w:szCs w:val="32"/>
          <w:lang w:val="en-US" w:eastAsia="zh-CN" w:bidi="ar-SA"/>
        </w:rPr>
        <w:t>26.93</w:t>
      </w:r>
      <w:r>
        <w:rPr>
          <w:rFonts w:hint="default" w:ascii="Times New Roman" w:hAnsi="Times New Roman" w:eastAsia="仿宋_GB2312" w:cs="Times New Roman"/>
          <w:color w:val="auto"/>
          <w:kern w:val="2"/>
          <w:sz w:val="32"/>
          <w:szCs w:val="32"/>
          <w:lang w:val="zh-CN" w:eastAsia="zh-CN" w:bidi="ar-SA"/>
        </w:rPr>
        <w:t>万元，占3.</w:t>
      </w:r>
      <w:r>
        <w:rPr>
          <w:rFonts w:hint="eastAsia" w:ascii="Times New Roman" w:hAnsi="Times New Roman" w:eastAsia="仿宋_GB2312" w:cs="Times New Roman"/>
          <w:color w:val="auto"/>
          <w:kern w:val="2"/>
          <w:sz w:val="32"/>
          <w:szCs w:val="32"/>
          <w:lang w:val="en-US" w:eastAsia="zh-CN" w:bidi="ar-SA"/>
        </w:rPr>
        <w:t>77</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优抚对象医疗补助资金</w:t>
      </w:r>
      <w:r>
        <w:rPr>
          <w:rFonts w:hint="eastAsia" w:ascii="仿宋_GB2312" w:eastAsia="仿宋_GB2312" w:cs="DengXian-Regular"/>
          <w:sz w:val="32"/>
          <w:szCs w:val="32"/>
          <w:lang w:bidi="ar-SA"/>
        </w:rPr>
        <w:t>等支出</w:t>
      </w:r>
      <w:r>
        <w:rPr>
          <w:rFonts w:hint="default" w:ascii="Times New Roman" w:hAnsi="Times New Roman" w:eastAsia="仿宋_GB2312" w:cs="Times New Roman"/>
          <w:color w:val="auto"/>
          <w:kern w:val="2"/>
          <w:sz w:val="32"/>
          <w:szCs w:val="32"/>
          <w:lang w:val="zh-CN" w:eastAsia="zh-CN" w:bidi="ar-SA"/>
        </w:rPr>
        <w:t>；住房保障（类）支出</w:t>
      </w:r>
      <w:r>
        <w:rPr>
          <w:rFonts w:hint="eastAsia" w:ascii="Times New Roman" w:hAnsi="Times New Roman" w:eastAsia="仿宋_GB2312" w:cs="Times New Roman"/>
          <w:color w:val="auto"/>
          <w:kern w:val="2"/>
          <w:sz w:val="32"/>
          <w:szCs w:val="32"/>
          <w:lang w:val="en-US" w:eastAsia="zh-CN" w:bidi="ar-SA"/>
        </w:rPr>
        <w:t>33.55</w:t>
      </w:r>
      <w:r>
        <w:rPr>
          <w:rFonts w:hint="default" w:ascii="Times New Roman" w:hAnsi="Times New Roman" w:eastAsia="仿宋_GB2312" w:cs="Times New Roman"/>
          <w:color w:val="auto"/>
          <w:kern w:val="2"/>
          <w:sz w:val="32"/>
          <w:szCs w:val="32"/>
          <w:lang w:val="zh-CN" w:eastAsia="zh-CN" w:bidi="ar-SA"/>
        </w:rPr>
        <w:t>万元，占0.3</w:t>
      </w:r>
      <w:r>
        <w:rPr>
          <w:rFonts w:hint="eastAsia" w:ascii="Times New Roman" w:hAnsi="Times New Roman" w:eastAsia="仿宋_GB2312"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zh-CN" w:eastAsia="zh-CN" w:bidi="ar-SA"/>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住房公积金支出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仿宋_GB2312" w:hAnsi="Times New Roman" w:eastAsia="仿宋_GB2312" w:cs="DengXian-Regular"/>
          <w:kern w:val="2"/>
          <w:sz w:val="32"/>
          <w:szCs w:val="32"/>
          <w:lang w:val="zh-CN" w:eastAsia="zh-CN" w:bidi="ar-SA"/>
        </w:rPr>
      </w:pPr>
      <w:r>
        <w:rPr>
          <w:rFonts w:hint="default" w:ascii="仿宋_GB2312" w:hAnsi="Times New Roman" w:eastAsia="仿宋_GB2312" w:cs="DengXian-Regular"/>
          <w:kern w:val="2"/>
          <w:sz w:val="32"/>
          <w:szCs w:val="32"/>
          <w:lang w:val="zh-CN" w:eastAsia="zh-CN" w:bidi="ar-SA"/>
        </w:rPr>
        <w:t>202</w:t>
      </w:r>
      <w:r>
        <w:rPr>
          <w:rFonts w:hint="default" w:ascii="仿宋_GB2312" w:hAnsi="Times New Roman" w:eastAsia="仿宋_GB2312" w:cs="DengXian-Regular"/>
          <w:kern w:val="2"/>
          <w:sz w:val="32"/>
          <w:szCs w:val="32"/>
          <w:lang w:val="en-US" w:eastAsia="zh-CN" w:bidi="ar-SA"/>
        </w:rPr>
        <w:t>3</w:t>
      </w:r>
      <w:r>
        <w:rPr>
          <w:rFonts w:hint="default" w:ascii="仿宋_GB2312" w:hAnsi="Times New Roman" w:eastAsia="仿宋_GB2312" w:cs="DengXian-Regular"/>
          <w:kern w:val="2"/>
          <w:sz w:val="32"/>
          <w:szCs w:val="32"/>
          <w:lang w:val="zh-CN" w:eastAsia="zh-CN" w:bidi="ar-SA"/>
        </w:rPr>
        <w:t>年度财政拨款基本支出</w:t>
      </w:r>
      <w:r>
        <w:rPr>
          <w:rFonts w:hint="eastAsia" w:ascii="仿宋_GB2312" w:hAnsi="Times New Roman" w:eastAsia="仿宋_GB2312" w:cs="DengXian-Regular"/>
          <w:kern w:val="2"/>
          <w:sz w:val="32"/>
          <w:szCs w:val="32"/>
          <w:lang w:val="en-US" w:eastAsia="zh-CN" w:bidi="ar-SA"/>
        </w:rPr>
        <w:t>835.52</w:t>
      </w:r>
      <w:r>
        <w:rPr>
          <w:rFonts w:hint="default" w:ascii="仿宋_GB2312" w:hAnsi="Times New Roman" w:eastAsia="仿宋_GB2312" w:cs="DengXian-Regular"/>
          <w:kern w:val="2"/>
          <w:sz w:val="32"/>
          <w:szCs w:val="32"/>
          <w:lang w:val="zh-CN" w:eastAsia="zh-CN" w:bidi="ar-SA"/>
        </w:rPr>
        <w:t>万元，其中：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仿宋_GB2312" w:hAnsi="Times New Roman" w:eastAsia="仿宋_GB2312" w:cs="DengXian-Regular"/>
          <w:kern w:val="2"/>
          <w:sz w:val="32"/>
          <w:szCs w:val="32"/>
          <w:lang w:val="en-US" w:eastAsia="zh-CN" w:bidi="ar-SA"/>
        </w:rPr>
      </w:pPr>
      <w:r>
        <w:rPr>
          <w:rFonts w:hint="default" w:ascii="仿宋_GB2312" w:hAnsi="Times New Roman" w:eastAsia="仿宋_GB2312" w:cs="DengXian-Regular"/>
          <w:kern w:val="2"/>
          <w:sz w:val="32"/>
          <w:szCs w:val="32"/>
          <w:lang w:val="zh-CN" w:eastAsia="zh-CN" w:bidi="ar-SA"/>
        </w:rPr>
        <w:t>人员经费</w:t>
      </w:r>
      <w:r>
        <w:rPr>
          <w:rFonts w:hint="eastAsia" w:ascii="仿宋_GB2312" w:hAnsi="Times New Roman" w:eastAsia="仿宋_GB2312" w:cs="DengXian-Regular"/>
          <w:kern w:val="2"/>
          <w:sz w:val="32"/>
          <w:szCs w:val="32"/>
          <w:lang w:val="en-US" w:eastAsia="zh-CN" w:bidi="ar-SA"/>
        </w:rPr>
        <w:t>772.05</w:t>
      </w:r>
      <w:r>
        <w:rPr>
          <w:rFonts w:hint="default" w:ascii="仿宋_GB2312" w:hAnsi="Times New Roman" w:eastAsia="仿宋_GB2312" w:cs="DengXian-Regular"/>
          <w:kern w:val="2"/>
          <w:sz w:val="32"/>
          <w:szCs w:val="32"/>
          <w:lang w:val="zh-CN" w:eastAsia="zh-CN" w:bidi="ar-SA"/>
        </w:rPr>
        <w:t>万元，主要包括基本工资、津贴补贴、奖金、伙食补助费、绩效工资、机关事业部门基本养老保险缴费、职业年金缴费、职工基本医疗保险缴费、公务员医疗补助缴费、住房公积金、医疗费、其他社会保障缴费、其他工资福利支出、 退休费、 抚恤金、生活补助、医疗费补助、奖励金、其他对</w:t>
      </w:r>
      <w:r>
        <w:rPr>
          <w:rFonts w:hint="default" w:ascii="仿宋_GB2312" w:hAnsi="Times New Roman" w:eastAsia="仿宋_GB2312" w:cs="DengXian-Regular"/>
          <w:kern w:val="2"/>
          <w:sz w:val="32"/>
          <w:szCs w:val="32"/>
          <w:lang w:val="en-US" w:eastAsia="zh-CN" w:bidi="ar-SA"/>
        </w:rPr>
        <w:t>个人和家庭</w:t>
      </w:r>
      <w:r>
        <w:rPr>
          <w:rFonts w:hint="default" w:ascii="仿宋_GB2312" w:hAnsi="Times New Roman" w:eastAsia="仿宋_GB2312" w:cs="DengXian-Regular"/>
          <w:kern w:val="2"/>
          <w:sz w:val="32"/>
          <w:szCs w:val="32"/>
          <w:lang w:val="zh-CN" w:eastAsia="zh-CN" w:bidi="ar-SA"/>
        </w:rPr>
        <w:t>的补助支出。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Times New Roman" w:eastAsia="仿宋_GB2312" w:cs="DengXian-Regular"/>
          <w:kern w:val="2"/>
          <w:sz w:val="32"/>
          <w:szCs w:val="32"/>
          <w:lang w:val="en-US" w:eastAsia="zh-CN" w:bidi="ar-SA"/>
        </w:rPr>
      </w:pPr>
      <w:r>
        <w:rPr>
          <w:rFonts w:hint="default" w:ascii="仿宋_GB2312" w:hAnsi="Times New Roman" w:eastAsia="仿宋_GB2312" w:cs="DengXian-Regular"/>
          <w:kern w:val="2"/>
          <w:sz w:val="32"/>
          <w:szCs w:val="32"/>
          <w:lang w:val="en-US" w:eastAsia="zh-CN" w:bidi="ar-SA"/>
        </w:rPr>
        <w:t xml:space="preserve">    </w:t>
      </w:r>
      <w:r>
        <w:rPr>
          <w:rFonts w:hint="default" w:ascii="仿宋_GB2312" w:hAnsi="Times New Roman" w:eastAsia="仿宋_GB2312" w:cs="DengXian-Regular"/>
          <w:kern w:val="2"/>
          <w:sz w:val="32"/>
          <w:szCs w:val="32"/>
          <w:lang w:val="zh-CN" w:eastAsia="zh-CN" w:bidi="ar-SA"/>
        </w:rPr>
        <w:t>公用经费</w:t>
      </w:r>
      <w:r>
        <w:rPr>
          <w:rFonts w:hint="eastAsia" w:ascii="仿宋_GB2312" w:hAnsi="Times New Roman" w:eastAsia="仿宋_GB2312" w:cs="DengXian-Regular"/>
          <w:kern w:val="2"/>
          <w:sz w:val="32"/>
          <w:szCs w:val="32"/>
          <w:lang w:val="en-US" w:eastAsia="zh-CN" w:bidi="ar-SA"/>
        </w:rPr>
        <w:t>63.47</w:t>
      </w:r>
      <w:r>
        <w:rPr>
          <w:rFonts w:hint="default" w:ascii="仿宋_GB2312" w:hAnsi="Times New Roman" w:eastAsia="仿宋_GB2312" w:cs="DengXian-Regular"/>
          <w:kern w:val="2"/>
          <w:sz w:val="32"/>
          <w:szCs w:val="32"/>
          <w:lang w:val="zh-CN" w:eastAsia="zh-CN" w:bidi="ar-SA"/>
        </w:rPr>
        <w:t>万元，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 xml:space="preserve">年度“三公”经费财政拨款支出预算为4.67万元，支出决算为 </w:t>
      </w:r>
      <w:r>
        <w:rPr>
          <w:rFonts w:hint="eastAsia" w:ascii="Times New Roman" w:hAnsi="Times New Roman" w:eastAsia="仿宋_GB2312" w:cs="Times New Roman"/>
          <w:color w:val="auto"/>
          <w:kern w:val="2"/>
          <w:sz w:val="32"/>
          <w:szCs w:val="32"/>
          <w:lang w:val="en-US" w:eastAsia="zh-CN" w:bidi="ar-SA"/>
        </w:rPr>
        <w:t>9.17</w:t>
      </w:r>
      <w:r>
        <w:rPr>
          <w:rFonts w:hint="default" w:ascii="Times New Roman" w:hAnsi="Times New Roman" w:eastAsia="仿宋_GB2312" w:cs="Times New Roman"/>
          <w:color w:val="auto"/>
          <w:kern w:val="2"/>
          <w:sz w:val="32"/>
          <w:szCs w:val="32"/>
          <w:lang w:val="zh-CN" w:eastAsia="zh-CN" w:bidi="ar-SA"/>
        </w:rPr>
        <w:t>万元，完成预算的 100%，</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；较2022年度决算增加</w:t>
      </w:r>
      <w:r>
        <w:rPr>
          <w:rFonts w:hint="eastAsia" w:ascii="Times New Roman" w:hAnsi="Times New Roman" w:eastAsia="仿宋_GB2312" w:cs="Times New Roman"/>
          <w:color w:val="auto"/>
          <w:kern w:val="2"/>
          <w:sz w:val="32"/>
          <w:szCs w:val="32"/>
          <w:lang w:val="en-US" w:eastAsia="zh-CN" w:bidi="ar-SA"/>
        </w:rPr>
        <w:t>0.53</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6.13</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hAnsi="Times New Roman" w:eastAsia="仿宋_GB2312" w:cs="DengXian-Regular"/>
          <w:sz w:val="32"/>
          <w:szCs w:val="32"/>
          <w:lang w:eastAsia="zh-CN"/>
        </w:rPr>
        <w:t>公务用车运行维护费增加</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hint="default" w:ascii="Times New Roman" w:hAnsi="Times New Roman" w:eastAsia="仿宋_GB2312" w:cs="Times New Roman"/>
          <w:color w:val="auto"/>
          <w:kern w:val="2"/>
          <w:sz w:val="32"/>
          <w:szCs w:val="32"/>
          <w:lang w:val="en-US" w:eastAsia="zh-CN" w:bidi="ar-SA"/>
        </w:rPr>
      </w:pPr>
      <w:r>
        <w:rPr>
          <w:rFonts w:hint="eastAsia" w:ascii="楷体_GB2312" w:hAnsi="Times New Roman" w:eastAsia="楷体_GB2312" w:cs="DengXian-Bold"/>
          <w:b/>
          <w:bCs/>
          <w:sz w:val="32"/>
          <w:szCs w:val="32"/>
        </w:rPr>
        <w:t>1.因公出国（境）费支出情况。</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en-US" w:eastAsia="zh-CN" w:bidi="ar-SA"/>
        </w:rPr>
        <w:t>2023年度因公出国（境）费支出预算为0万元,支出决算0万元。完成预算的0</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w:t>
      </w:r>
      <w:r>
        <w:rPr>
          <w:rFonts w:hint="eastAsia" w:ascii="仿宋_GB2312" w:hAnsi="Times New Roman" w:eastAsia="仿宋_GB2312" w:cs="DengXian-Regular"/>
          <w:sz w:val="32"/>
          <w:szCs w:val="32"/>
          <w:lang w:eastAsia="zh-CN"/>
        </w:rPr>
        <w:t>本部门</w:t>
      </w:r>
      <w:r>
        <w:rPr>
          <w:rFonts w:hint="eastAsia" w:ascii="仿宋_GB2312" w:hAnsi="Times New Roman" w:eastAsia="仿宋_GB2312" w:cs="DengXian-Regular"/>
          <w:sz w:val="32"/>
          <w:szCs w:val="32"/>
        </w:rPr>
        <w:t>组织的出国（境）团组。</w:t>
      </w:r>
    </w:p>
    <w:p>
      <w:pPr>
        <w:keepNext w:val="0"/>
        <w:keepLines w:val="0"/>
        <w:pageBreakBefore w:val="0"/>
        <w:kinsoku/>
        <w:wordWrap/>
        <w:overflowPunct/>
        <w:topLinePunct w:val="0"/>
        <w:autoSpaceDE/>
        <w:autoSpaceDN/>
        <w:bidi w:val="0"/>
        <w:adjustRightInd w:val="0"/>
        <w:snapToGrid w:val="0"/>
        <w:spacing w:line="580" w:lineRule="exact"/>
        <w:ind w:firstLine="643" w:firstLineChars="200"/>
        <w:jc w:val="left"/>
        <w:textAlignment w:val="auto"/>
        <w:rPr>
          <w:rFonts w:hint="default" w:ascii="Times New Roman" w:hAnsi="Times New Roman" w:eastAsia="仿宋_GB2312" w:cs="Times New Roman"/>
          <w:color w:val="auto"/>
          <w:kern w:val="2"/>
          <w:sz w:val="32"/>
          <w:szCs w:val="32"/>
          <w:lang w:val="zh-CN" w:eastAsia="zh-CN" w:bidi="ar-SA"/>
        </w:rPr>
      </w:pPr>
      <w:r>
        <w:rPr>
          <w:rFonts w:hint="eastAsia" w:ascii="楷体_GB2312" w:hAnsi="Times New Roman" w:eastAsia="楷体_GB2312" w:cs="DengXian-Bold"/>
          <w:b/>
          <w:bCs/>
          <w:sz w:val="32"/>
          <w:szCs w:val="32"/>
        </w:rPr>
        <w:t>2.公务用车购置及运行维护费支出情况。</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年度公务用车购置及运行维护费预算为</w:t>
      </w:r>
      <w:r>
        <w:rPr>
          <w:rFonts w:hint="eastAsia" w:ascii="Times New Roman" w:hAnsi="Times New Roman" w:eastAsia="仿宋_GB2312" w:cs="Times New Roman"/>
          <w:color w:val="auto"/>
          <w:kern w:val="2"/>
          <w:sz w:val="32"/>
          <w:szCs w:val="32"/>
          <w:lang w:val="en-US" w:eastAsia="zh-CN" w:bidi="ar-SA"/>
        </w:rPr>
        <w:t>9.04</w:t>
      </w:r>
      <w:r>
        <w:rPr>
          <w:rFonts w:hint="default" w:ascii="Times New Roman" w:hAnsi="Times New Roman" w:eastAsia="仿宋_GB2312" w:cs="Times New Roman"/>
          <w:color w:val="auto"/>
          <w:kern w:val="2"/>
          <w:sz w:val="32"/>
          <w:szCs w:val="32"/>
          <w:lang w:val="zh-CN" w:eastAsia="zh-CN" w:bidi="ar-SA"/>
        </w:rPr>
        <w:t>万元，支出决算</w:t>
      </w:r>
      <w:r>
        <w:rPr>
          <w:rFonts w:hint="eastAsia" w:ascii="Times New Roman" w:hAnsi="Times New Roman" w:eastAsia="仿宋_GB2312" w:cs="Times New Roman"/>
          <w:color w:val="auto"/>
          <w:kern w:val="2"/>
          <w:sz w:val="32"/>
          <w:szCs w:val="32"/>
          <w:lang w:val="en-US" w:eastAsia="zh-CN" w:bidi="ar-SA"/>
        </w:rPr>
        <w:t>9.04</w:t>
      </w:r>
      <w:r>
        <w:rPr>
          <w:rFonts w:hint="default" w:ascii="Times New Roman" w:hAnsi="Times New Roman" w:eastAsia="仿宋_GB2312" w:cs="Times New Roman"/>
          <w:color w:val="auto"/>
          <w:kern w:val="2"/>
          <w:sz w:val="32"/>
          <w:szCs w:val="32"/>
          <w:lang w:val="zh-CN" w:eastAsia="zh-CN" w:bidi="ar-SA"/>
        </w:rPr>
        <w:t>万元，完成预算的100%,</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；较上年增加</w:t>
      </w:r>
      <w:r>
        <w:rPr>
          <w:rFonts w:hint="eastAsia" w:ascii="Times New Roman" w:hAnsi="Times New Roman" w:eastAsia="仿宋_GB2312" w:cs="Times New Roman"/>
          <w:color w:val="auto"/>
          <w:kern w:val="2"/>
          <w:sz w:val="32"/>
          <w:szCs w:val="32"/>
          <w:lang w:val="en-US" w:eastAsia="zh-CN" w:bidi="ar-SA"/>
        </w:rPr>
        <w:t>0.51</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5.98</w:t>
      </w:r>
      <w:r>
        <w:rPr>
          <w:rFonts w:hint="default" w:ascii="Times New Roman" w:hAnsi="Times New Roman" w:eastAsia="仿宋_GB2312" w:cs="Times New Roman"/>
          <w:color w:val="auto"/>
          <w:kern w:val="2"/>
          <w:sz w:val="32"/>
          <w:szCs w:val="32"/>
          <w:lang w:val="zh-CN" w:eastAsia="zh-CN" w:bidi="ar-SA"/>
        </w:rPr>
        <w:t>%,主要是</w:t>
      </w:r>
      <w:r>
        <w:rPr>
          <w:rFonts w:hint="eastAsia" w:ascii="仿宋_GB2312" w:hAnsi="Times New Roman" w:eastAsia="仿宋_GB2312" w:cs="DengXian-Regular"/>
          <w:sz w:val="32"/>
          <w:szCs w:val="32"/>
          <w:lang w:eastAsia="zh-CN"/>
        </w:rPr>
        <w:t>公务用车运行维护费增加</w:t>
      </w:r>
      <w:r>
        <w:rPr>
          <w:rFonts w:hint="default" w:ascii="Times New Roman" w:hAnsi="Times New Roman" w:eastAsia="仿宋_GB2312" w:cs="Times New Roman"/>
          <w:color w:val="auto"/>
          <w:kern w:val="2"/>
          <w:sz w:val="32"/>
          <w:szCs w:val="32"/>
          <w:lang w:val="zh-CN" w:eastAsia="zh-CN" w:bidi="ar-SA"/>
        </w:rPr>
        <w:t>。其中：</w:t>
      </w:r>
    </w:p>
    <w:p>
      <w:pPr>
        <w:adjustRightInd w:val="0"/>
        <w:snapToGrid w:val="0"/>
        <w:spacing w:line="580" w:lineRule="exact"/>
        <w:ind w:firstLine="643" w:firstLineChars="200"/>
        <w:rPr>
          <w:rFonts w:hint="eastAsia" w:ascii="仿宋_GB2312" w:eastAsia="仿宋_GB2312" w:cs="DengXian-Regular"/>
          <w:sz w:val="32"/>
          <w:szCs w:val="32"/>
          <w:highlight w:val="none"/>
          <w:lang w:bidi="ar-SA"/>
        </w:rPr>
      </w:pPr>
      <w:r>
        <w:rPr>
          <w:rFonts w:hint="default" w:ascii="Times New Roman" w:hAnsi="Times New Roman" w:eastAsia="仿宋_GB2312" w:cs="Times New Roman"/>
          <w:b/>
          <w:sz w:val="32"/>
          <w:szCs w:val="32"/>
        </w:rPr>
        <w:t>公务用车购置费支出</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年度公务用车购置量0辆，发生“公务用车购置”经费支出 0万元。</w:t>
      </w:r>
      <w:r>
        <w:rPr>
          <w:rFonts w:hint="eastAsia" w:ascii="仿宋_GB2312" w:eastAsia="仿宋_GB2312" w:cs="DengXian-Regular"/>
          <w:color w:val="000000"/>
          <w:sz w:val="32"/>
          <w:szCs w:val="32"/>
          <w:highlight w:val="none"/>
          <w:lang w:bidi="ar-SA"/>
        </w:rPr>
        <w:t>未发生‘公务用车购置’经费支出</w:t>
      </w:r>
      <w:r>
        <w:rPr>
          <w:rFonts w:hint="eastAsia" w:ascii="仿宋_GB2312" w:eastAsia="仿宋_GB2312" w:cs="DengXian-Regular"/>
          <w:sz w:val="32"/>
          <w:szCs w:val="32"/>
          <w:highlight w:val="none"/>
          <w:lang w:bidi="ar-SA"/>
        </w:rPr>
        <w:t>。</w:t>
      </w:r>
    </w:p>
    <w:p>
      <w:pPr>
        <w:adjustRightInd w:val="0"/>
        <w:snapToGrid w:val="0"/>
        <w:spacing w:line="580" w:lineRule="exact"/>
        <w:ind w:firstLine="643" w:firstLineChars="200"/>
        <w:rPr>
          <w:rFonts w:hint="eastAsia" w:ascii="仿宋_GB2312" w:hAnsi="Times New Roman" w:eastAsia="仿宋_GB2312" w:cs="DengXian-Regular"/>
          <w:b/>
          <w:sz w:val="32"/>
          <w:szCs w:val="32"/>
        </w:rPr>
      </w:pPr>
      <w:r>
        <w:rPr>
          <w:rFonts w:hint="default"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9.04</w:t>
      </w:r>
      <w:r>
        <w:rPr>
          <w:rFonts w:hint="default" w:ascii="Times New Roman" w:hAnsi="Times New Roman" w:eastAsia="楷体_GB2312" w:cs="Times New Roman"/>
          <w:b/>
          <w:bCs/>
          <w:sz w:val="32"/>
          <w:szCs w:val="32"/>
        </w:rPr>
        <w:t>万元</w:t>
      </w:r>
      <w:r>
        <w:rPr>
          <w:rFonts w:hint="default" w:ascii="Times New Roman" w:hAnsi="Times New Roman" w:eastAsia="仿宋_GB2312" w:cs="Times New Roman"/>
          <w:b/>
          <w:sz w:val="32"/>
          <w:szCs w:val="32"/>
        </w:rPr>
        <w:t>：</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年度单位公务用车保有量</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辆，发生运行维护费支出</w:t>
      </w:r>
      <w:r>
        <w:rPr>
          <w:rFonts w:hint="eastAsia" w:ascii="Times New Roman" w:hAnsi="Times New Roman" w:eastAsia="仿宋_GB2312" w:cs="Times New Roman"/>
          <w:color w:val="auto"/>
          <w:kern w:val="2"/>
          <w:sz w:val="32"/>
          <w:szCs w:val="32"/>
          <w:lang w:val="en-US" w:eastAsia="zh-CN" w:bidi="ar-SA"/>
        </w:rPr>
        <w:t>9.04</w:t>
      </w:r>
      <w:r>
        <w:rPr>
          <w:rFonts w:hint="default" w:ascii="Times New Roman" w:hAnsi="Times New Roman" w:eastAsia="仿宋_GB2312" w:cs="Times New Roman"/>
          <w:color w:val="auto"/>
          <w:kern w:val="2"/>
          <w:sz w:val="32"/>
          <w:szCs w:val="32"/>
          <w:lang w:val="zh-CN" w:eastAsia="zh-CN" w:bidi="ar-SA"/>
        </w:rPr>
        <w:t>万元。公车运行维护费支出</w:t>
      </w:r>
      <w:r>
        <w:rPr>
          <w:rFonts w:hint="eastAsia" w:ascii="Times New Roman" w:hAnsi="Times New Roman" w:eastAsia="仿宋_GB2312" w:cs="Times New Roman"/>
          <w:color w:val="auto"/>
          <w:kern w:val="2"/>
          <w:sz w:val="32"/>
          <w:szCs w:val="32"/>
          <w:lang w:val="zh-CN" w:eastAsia="zh-CN" w:bidi="ar-SA"/>
        </w:rPr>
        <w:t>与</w:t>
      </w:r>
      <w:r>
        <w:rPr>
          <w:rFonts w:hint="default" w:ascii="Times New Roman" w:hAnsi="Times New Roman" w:eastAsia="仿宋_GB2312" w:cs="Times New Roman"/>
          <w:color w:val="auto"/>
          <w:kern w:val="2"/>
          <w:sz w:val="32"/>
          <w:szCs w:val="32"/>
          <w:lang w:val="zh-CN" w:eastAsia="zh-CN" w:bidi="ar-SA"/>
        </w:rPr>
        <w:t>预算</w:t>
      </w:r>
      <w:r>
        <w:rPr>
          <w:rFonts w:hint="eastAsia" w:ascii="Times New Roman" w:hAnsi="Times New Roman" w:eastAsia="仿宋_GB2312" w:cs="Times New Roman"/>
          <w:color w:val="auto"/>
          <w:kern w:val="2"/>
          <w:sz w:val="32"/>
          <w:szCs w:val="32"/>
          <w:lang w:val="zh-CN" w:eastAsia="zh-CN" w:bidi="ar-SA"/>
        </w:rPr>
        <w:t>持平</w:t>
      </w:r>
      <w:r>
        <w:rPr>
          <w:rFonts w:hint="default" w:ascii="Times New Roman" w:hAnsi="Times New Roman" w:eastAsia="仿宋_GB2312" w:cs="Times New Roman"/>
          <w:color w:val="auto"/>
          <w:kern w:val="2"/>
          <w:sz w:val="32"/>
          <w:szCs w:val="32"/>
          <w:lang w:val="zh-CN" w:eastAsia="zh-CN" w:bidi="ar-SA"/>
        </w:rPr>
        <w:t>。</w:t>
      </w:r>
    </w:p>
    <w:p>
      <w:pPr>
        <w:numPr>
          <w:ilvl w:val="0"/>
          <w:numId w:val="4"/>
        </w:numPr>
        <w:adjustRightInd w:val="0"/>
        <w:snapToGrid w:val="0"/>
        <w:spacing w:line="580" w:lineRule="exact"/>
        <w:ind w:firstLine="643" w:firstLineChars="200"/>
        <w:rPr>
          <w:rFonts w:hint="default" w:ascii="Times New Roman" w:hAnsi="Times New Roman" w:eastAsia="仿宋_GB2312" w:cs="Times New Roman"/>
          <w:color w:val="auto"/>
          <w:kern w:val="2"/>
          <w:sz w:val="32"/>
          <w:szCs w:val="32"/>
          <w:lang w:val="zh-CN" w:eastAsia="zh-CN" w:bidi="ar-SA"/>
        </w:rPr>
      </w:pPr>
      <w:r>
        <w:rPr>
          <w:rFonts w:hint="eastAsia" w:ascii="楷体_GB2312" w:hAnsi="Times New Roman" w:eastAsia="楷体_GB2312" w:cs="DengXian-Bold"/>
          <w:b/>
          <w:bCs/>
          <w:sz w:val="32"/>
          <w:szCs w:val="32"/>
        </w:rPr>
        <w:t>公务接待费支出情况。</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年度公务接待费支出预算为0.13万元，支出决算0.13万元，完成预算的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%。公务接待费支出较预算减少</w:t>
      </w:r>
      <w:r>
        <w:rPr>
          <w:rFonts w:hint="eastAsia" w:ascii="Times New Roman" w:hAnsi="Times New Roman" w:eastAsia="仿宋_GB2312" w:cs="Times New Roman"/>
          <w:color w:val="auto"/>
          <w:kern w:val="2"/>
          <w:sz w:val="32"/>
          <w:szCs w:val="32"/>
          <w:lang w:val="en-US" w:eastAsia="zh-CN" w:bidi="ar-SA"/>
        </w:rPr>
        <w:t>0.27</w:t>
      </w:r>
      <w:r>
        <w:rPr>
          <w:rFonts w:hint="default" w:ascii="Times New Roman" w:hAnsi="Times New Roman" w:eastAsia="仿宋_GB2312" w:cs="Times New Roman"/>
          <w:color w:val="auto"/>
          <w:kern w:val="2"/>
          <w:sz w:val="32"/>
          <w:szCs w:val="32"/>
          <w:lang w:val="zh-CN" w:eastAsia="zh-CN" w:bidi="ar-SA"/>
        </w:rPr>
        <w:t>万元，降低</w:t>
      </w:r>
      <w:r>
        <w:rPr>
          <w:rFonts w:hint="eastAsia" w:ascii="Times New Roman" w:hAnsi="Times New Roman" w:eastAsia="仿宋_GB2312" w:cs="Times New Roman"/>
          <w:color w:val="auto"/>
          <w:kern w:val="2"/>
          <w:sz w:val="32"/>
          <w:szCs w:val="32"/>
          <w:lang w:val="en-US" w:eastAsia="zh-CN" w:bidi="ar-SA"/>
        </w:rPr>
        <w:t>67.5</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节约开支</w:t>
      </w:r>
      <w:r>
        <w:rPr>
          <w:rFonts w:hint="default" w:ascii="Times New Roman" w:hAnsi="Times New Roman" w:eastAsia="仿宋_GB2312" w:cs="Times New Roman"/>
          <w:color w:val="auto"/>
          <w:kern w:val="2"/>
          <w:sz w:val="32"/>
          <w:szCs w:val="32"/>
          <w:lang w:val="zh-CN" w:eastAsia="zh-CN" w:bidi="ar-SA"/>
        </w:rPr>
        <w:t>；较上年度增加</w:t>
      </w:r>
      <w:r>
        <w:rPr>
          <w:rFonts w:hint="eastAsia" w:ascii="Times New Roman" w:hAnsi="Times New Roman" w:eastAsia="仿宋_GB2312" w:cs="Times New Roman"/>
          <w:color w:val="auto"/>
          <w:kern w:val="2"/>
          <w:sz w:val="32"/>
          <w:szCs w:val="32"/>
          <w:lang w:val="en-US" w:eastAsia="zh-CN" w:bidi="ar-SA"/>
        </w:rPr>
        <w:t>0.02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18.2</w:t>
      </w:r>
      <w:r>
        <w:rPr>
          <w:rFonts w:hint="default" w:ascii="Times New Roman" w:hAnsi="Times New Roman" w:eastAsia="仿宋_GB2312" w:cs="Times New Roman"/>
          <w:color w:val="auto"/>
          <w:kern w:val="2"/>
          <w:sz w:val="32"/>
          <w:szCs w:val="32"/>
          <w:lang w:val="zh-CN" w:eastAsia="zh-CN" w:bidi="ar-SA"/>
        </w:rPr>
        <w:t>%,主要是</w:t>
      </w:r>
      <w:r>
        <w:rPr>
          <w:rFonts w:hint="eastAsia" w:ascii="Times New Roman" w:hAnsi="Times New Roman" w:eastAsia="仿宋_GB2312" w:cs="Times New Roman"/>
          <w:color w:val="auto"/>
          <w:kern w:val="2"/>
          <w:sz w:val="32"/>
          <w:szCs w:val="32"/>
          <w:lang w:val="zh-CN" w:eastAsia="zh-CN" w:bidi="ar-SA"/>
        </w:rPr>
        <w:t>接待人员增加</w:t>
      </w:r>
      <w:r>
        <w:rPr>
          <w:rFonts w:hint="default" w:ascii="Times New Roman" w:hAnsi="Times New Roman" w:eastAsia="仿宋_GB2312" w:cs="Times New Roman"/>
          <w:color w:val="auto"/>
          <w:kern w:val="2"/>
          <w:sz w:val="32"/>
          <w:szCs w:val="32"/>
          <w:lang w:val="zh-CN" w:eastAsia="zh-CN" w:bidi="ar-SA"/>
        </w:rPr>
        <w:t>。本年度共发生公务接待</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批次、</w:t>
      </w:r>
      <w:r>
        <w:rPr>
          <w:rFonts w:hint="eastAsia" w:ascii="Times New Roman" w:hAnsi="Times New Roman" w:eastAsia="仿宋_GB2312" w:cs="Times New Roman"/>
          <w:color w:val="auto"/>
          <w:kern w:val="2"/>
          <w:sz w:val="32"/>
          <w:szCs w:val="32"/>
          <w:lang w:val="en-US" w:eastAsia="zh-CN" w:bidi="ar-SA"/>
        </w:rPr>
        <w:t>16</w:t>
      </w:r>
      <w:r>
        <w:rPr>
          <w:rFonts w:hint="default" w:ascii="Times New Roman" w:hAnsi="Times New Roman" w:eastAsia="仿宋_GB2312" w:cs="Times New Roman"/>
          <w:color w:val="auto"/>
          <w:kern w:val="2"/>
          <w:sz w:val="32"/>
          <w:szCs w:val="32"/>
          <w:lang w:val="zh-CN" w:eastAsia="zh-CN" w:bidi="ar-SA"/>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年度机关运行经费支出</w:t>
      </w:r>
      <w:r>
        <w:rPr>
          <w:rFonts w:hint="eastAsia" w:ascii="Times New Roman" w:hAnsi="Times New Roman" w:eastAsia="仿宋_GB2312" w:cs="Times New Roman"/>
          <w:color w:val="auto"/>
          <w:kern w:val="2"/>
          <w:sz w:val="32"/>
          <w:szCs w:val="32"/>
          <w:lang w:val="en-US" w:eastAsia="zh-CN" w:bidi="ar-SA"/>
        </w:rPr>
        <w:t>63.47</w:t>
      </w:r>
      <w:r>
        <w:rPr>
          <w:rFonts w:hint="default" w:ascii="Times New Roman" w:hAnsi="Times New Roman" w:eastAsia="仿宋_GB2312" w:cs="Times New Roman"/>
          <w:color w:val="auto"/>
          <w:kern w:val="2"/>
          <w:sz w:val="32"/>
          <w:szCs w:val="32"/>
          <w:lang w:val="zh-CN" w:eastAsia="zh-CN" w:bidi="ar-SA"/>
        </w:rPr>
        <w:t>万元，较2022年度增加</w:t>
      </w:r>
      <w:r>
        <w:rPr>
          <w:rFonts w:hint="eastAsia" w:ascii="Times New Roman" w:hAnsi="Times New Roman" w:eastAsia="仿宋_GB2312" w:cs="Times New Roman"/>
          <w:color w:val="auto"/>
          <w:kern w:val="2"/>
          <w:sz w:val="32"/>
          <w:szCs w:val="32"/>
          <w:lang w:val="en-US" w:eastAsia="zh-CN" w:bidi="ar-SA"/>
        </w:rPr>
        <w:t>9.62</w:t>
      </w:r>
      <w:r>
        <w:rPr>
          <w:rFonts w:hint="default" w:ascii="Times New Roman" w:hAnsi="Times New Roman" w:eastAsia="仿宋_GB2312" w:cs="Times New Roman"/>
          <w:color w:val="auto"/>
          <w:kern w:val="2"/>
          <w:sz w:val="32"/>
          <w:szCs w:val="32"/>
          <w:lang w:val="zh-CN" w:eastAsia="zh-CN" w:bidi="ar-SA"/>
        </w:rPr>
        <w:t>万元，增长</w:t>
      </w:r>
      <w:r>
        <w:rPr>
          <w:rFonts w:hint="eastAsia" w:ascii="Times New Roman" w:hAnsi="Times New Roman" w:eastAsia="仿宋_GB2312" w:cs="Times New Roman"/>
          <w:color w:val="auto"/>
          <w:kern w:val="2"/>
          <w:sz w:val="32"/>
          <w:szCs w:val="32"/>
          <w:lang w:val="en-US" w:eastAsia="zh-CN" w:bidi="ar-SA"/>
        </w:rPr>
        <w:t>17.86</w:t>
      </w:r>
      <w:r>
        <w:rPr>
          <w:rFonts w:hint="default" w:ascii="Times New Roman" w:hAnsi="Times New Roman" w:eastAsia="仿宋_GB2312" w:cs="Times New Roman"/>
          <w:color w:val="auto"/>
          <w:kern w:val="2"/>
          <w:sz w:val="32"/>
          <w:szCs w:val="32"/>
          <w:lang w:val="zh-CN" w:eastAsia="zh-CN" w:bidi="ar-SA"/>
        </w:rPr>
        <w:t>%。主要原因是</w:t>
      </w:r>
      <w:r>
        <w:rPr>
          <w:rFonts w:hint="eastAsia" w:ascii="Times New Roman" w:hAnsi="Times New Roman" w:eastAsia="仿宋_GB2312" w:cs="Times New Roman"/>
          <w:color w:val="auto"/>
          <w:kern w:val="2"/>
          <w:sz w:val="32"/>
          <w:szCs w:val="32"/>
          <w:lang w:val="zh-CN" w:eastAsia="zh-CN" w:bidi="ar-SA"/>
        </w:rPr>
        <w:t>电费增加</w:t>
      </w:r>
      <w:r>
        <w:rPr>
          <w:rFonts w:hint="default" w:ascii="Times New Roman" w:hAnsi="Times New Roman" w:eastAsia="仿宋_GB2312" w:cs="Times New Roman"/>
          <w:color w:val="auto"/>
          <w:kern w:val="2"/>
          <w:sz w:val="32"/>
          <w:szCs w:val="32"/>
          <w:lang w:val="zh-CN" w:eastAsia="zh-CN" w:bidi="ar-SA"/>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hint="default"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年度政府采购支出总额0万元，从采购类型来看，政府采购货物支出0万元、政府采购工程支出0万元、政府采购服务支出0万元。授予中小企业</w:t>
      </w:r>
      <w:r>
        <w:rPr>
          <w:rFonts w:hint="default" w:ascii="Times New Roman" w:hAnsi="Times New Roman" w:eastAsia="仿宋_GB2312" w:cs="Times New Roman"/>
          <w:color w:val="auto"/>
          <w:kern w:val="2"/>
          <w:sz w:val="32"/>
          <w:szCs w:val="32"/>
          <w:lang w:val="en-US" w:eastAsia="zh-CN" w:bidi="ar-SA"/>
        </w:rPr>
        <w:t>合同金额</w:t>
      </w:r>
      <w:r>
        <w:rPr>
          <w:rFonts w:hint="default" w:ascii="Times New Roman" w:hAnsi="Times New Roman" w:eastAsia="仿宋_GB2312" w:cs="Times New Roman"/>
          <w:color w:val="auto"/>
          <w:kern w:val="2"/>
          <w:sz w:val="32"/>
          <w:szCs w:val="32"/>
          <w:lang w:val="zh-CN" w:eastAsia="zh-CN" w:bidi="ar-SA"/>
        </w:rPr>
        <w:t>0万元，占政府采购支出总额的0%，其中授予小微企业合同金额0万元，占政府采购支出总额的0%。</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截至202</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年12月31日，</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共有车辆</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辆，</w:t>
      </w:r>
      <w:r>
        <w:rPr>
          <w:rFonts w:hint="eastAsia" w:ascii="仿宋_GB2312" w:hAnsi="Times New Roman" w:eastAsia="仿宋_GB2312" w:cs="DengXian-Regular"/>
          <w:color w:val="auto"/>
          <w:sz w:val="32"/>
          <w:szCs w:val="32"/>
          <w:lang w:eastAsia="zh-CN"/>
        </w:rPr>
        <w:t>与</w:t>
      </w:r>
      <w:r>
        <w:rPr>
          <w:rFonts w:hint="eastAsia" w:ascii="仿宋_GB2312" w:hAnsi="Times New Roman" w:eastAsia="仿宋_GB2312" w:cs="DengXian-Regular"/>
          <w:color w:val="auto"/>
          <w:sz w:val="32"/>
          <w:szCs w:val="32"/>
        </w:rPr>
        <w:t>上年</w:t>
      </w:r>
      <w:r>
        <w:rPr>
          <w:rFonts w:hint="eastAsia" w:ascii="仿宋_GB2312" w:hAnsi="Times New Roman" w:eastAsia="仿宋_GB2312" w:cs="DengXian-Regular"/>
          <w:color w:val="auto"/>
          <w:sz w:val="32"/>
          <w:szCs w:val="32"/>
          <w:lang w:eastAsia="zh-CN"/>
        </w:rPr>
        <w:t>持平</w:t>
      </w:r>
      <w:r>
        <w:rPr>
          <w:rFonts w:hint="eastAsia" w:ascii="仿宋_GB2312" w:hAnsi="Times New Roman" w:eastAsia="仿宋_GB2312" w:cs="DengXian-Regular"/>
          <w:color w:val="auto"/>
          <w:sz w:val="32"/>
          <w:szCs w:val="32"/>
        </w:rPr>
        <w:t>。</w:t>
      </w:r>
      <w:r>
        <w:rPr>
          <w:rFonts w:hint="default" w:ascii="Times New Roman" w:hAnsi="Times New Roman" w:eastAsia="仿宋_GB2312" w:cs="Times New Roman"/>
          <w:color w:val="auto"/>
          <w:kern w:val="2"/>
          <w:sz w:val="32"/>
          <w:szCs w:val="32"/>
          <w:lang w:val="zh-CN" w:eastAsia="zh-CN" w:bidi="ar-SA"/>
        </w:rPr>
        <w:t>其中，副部（省）级及以上领导用车0辆，主要</w:t>
      </w:r>
      <w:r>
        <w:rPr>
          <w:rFonts w:hint="default" w:ascii="Times New Roman" w:hAnsi="Times New Roman" w:eastAsia="仿宋_GB2312" w:cs="Times New Roman"/>
          <w:color w:val="auto"/>
          <w:kern w:val="2"/>
          <w:sz w:val="32"/>
          <w:szCs w:val="32"/>
          <w:lang w:val="en-US" w:eastAsia="zh-CN" w:bidi="ar-SA"/>
        </w:rPr>
        <w:t>负责人</w:t>
      </w:r>
      <w:r>
        <w:rPr>
          <w:rFonts w:hint="default" w:ascii="Times New Roman" w:hAnsi="Times New Roman" w:eastAsia="仿宋_GB2312" w:cs="Times New Roman"/>
          <w:color w:val="auto"/>
          <w:kern w:val="2"/>
          <w:sz w:val="32"/>
          <w:szCs w:val="32"/>
          <w:lang w:val="zh-CN" w:eastAsia="zh-CN" w:bidi="ar-SA"/>
        </w:rPr>
        <w:t>用车0辆，机要通信用车0辆，应急保障用车1辆，执法执勤用车0辆，特种专业技术用车0辆，离退休干部用车0辆，其他用车</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辆，其他用车主要是</w:t>
      </w:r>
      <w:r>
        <w:rPr>
          <w:rFonts w:hint="eastAsia" w:ascii="Times New Roman" w:hAnsi="Times New Roman" w:eastAsia="仿宋_GB2312" w:cs="Times New Roman"/>
          <w:color w:val="auto"/>
          <w:kern w:val="2"/>
          <w:sz w:val="32"/>
          <w:szCs w:val="32"/>
          <w:lang w:val="zh-CN" w:eastAsia="zh-CN" w:bidi="ar-SA"/>
        </w:rPr>
        <w:t>业务用车</w:t>
      </w:r>
      <w:r>
        <w:rPr>
          <w:rFonts w:hint="default" w:ascii="Times New Roman" w:hAnsi="Times New Roman" w:eastAsia="仿宋_GB2312" w:cs="Times New Roman"/>
          <w:color w:val="auto"/>
          <w:kern w:val="2"/>
          <w:sz w:val="32"/>
          <w:szCs w:val="32"/>
          <w:lang w:val="zh-CN" w:eastAsia="zh-CN" w:bidi="ar-SA"/>
        </w:rPr>
        <w:t>。单位价值100万元（含）以上设备（不含车辆）0台（套）。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kern w:val="2"/>
          <w:sz w:val="32"/>
          <w:szCs w:val="32"/>
          <w:lang w:val="zh-CN" w:eastAsia="zh-CN" w:bidi="ar-SA"/>
        </w:rPr>
        <w:t>根据预算绩效管理要求，</w:t>
      </w:r>
      <w:r>
        <w:rPr>
          <w:rFonts w:hint="eastAsia" w:ascii="Times New Roman" w:hAnsi="Times New Roman" w:eastAsia="仿宋_GB2312" w:cs="Times New Roman"/>
          <w:color w:val="auto"/>
          <w:kern w:val="2"/>
          <w:sz w:val="32"/>
          <w:szCs w:val="32"/>
          <w:lang w:val="zh-CN" w:eastAsia="zh-CN" w:bidi="ar-SA"/>
        </w:rPr>
        <w:t>本部门</w:t>
      </w:r>
      <w:r>
        <w:rPr>
          <w:rFonts w:hint="default" w:ascii="Times New Roman" w:hAnsi="Times New Roman" w:eastAsia="仿宋_GB2312" w:cs="Times New Roman"/>
          <w:color w:val="auto"/>
          <w:kern w:val="2"/>
          <w:sz w:val="32"/>
          <w:szCs w:val="32"/>
          <w:lang w:val="zh-CN" w:eastAsia="zh-CN" w:bidi="ar-SA"/>
        </w:rPr>
        <w:t>组织对2023年度一般公共预算项目支出全面开展绩效自评，其中，一级项目</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zh-CN" w:eastAsia="zh-CN" w:bidi="ar-SA"/>
        </w:rPr>
        <w:t>个，二级项目</w:t>
      </w:r>
      <w:r>
        <w:rPr>
          <w:rFonts w:hint="eastAsia" w:ascii="Times New Roman" w:hAnsi="Times New Roman" w:eastAsia="仿宋_GB2312" w:cs="Times New Roman"/>
          <w:color w:val="auto"/>
          <w:kern w:val="2"/>
          <w:sz w:val="32"/>
          <w:szCs w:val="32"/>
          <w:lang w:val="en-US" w:eastAsia="zh-CN" w:bidi="ar-SA"/>
        </w:rPr>
        <w:t>35</w:t>
      </w:r>
      <w:r>
        <w:rPr>
          <w:rFonts w:hint="default" w:ascii="Times New Roman" w:hAnsi="Times New Roman" w:eastAsia="仿宋_GB2312" w:cs="Times New Roman"/>
          <w:color w:val="auto"/>
          <w:kern w:val="2"/>
          <w:sz w:val="32"/>
          <w:szCs w:val="32"/>
          <w:lang w:val="zh-CN" w:eastAsia="zh-CN" w:bidi="ar-SA"/>
        </w:rPr>
        <w:t>个，共涉及资金</w:t>
      </w:r>
      <w:r>
        <w:rPr>
          <w:rFonts w:hint="eastAsia" w:ascii="Times New Roman" w:hAnsi="Times New Roman" w:eastAsia="仿宋_GB2312" w:cs="Times New Roman"/>
          <w:color w:val="auto"/>
          <w:kern w:val="2"/>
          <w:sz w:val="32"/>
          <w:szCs w:val="32"/>
          <w:lang w:val="en-US" w:eastAsia="zh-CN" w:bidi="ar-SA"/>
        </w:rPr>
        <w:t>6464.62</w:t>
      </w:r>
      <w:r>
        <w:rPr>
          <w:rFonts w:hint="default" w:ascii="Times New Roman" w:hAnsi="Times New Roman" w:eastAsia="仿宋_GB2312" w:cs="Times New Roman"/>
          <w:color w:val="auto"/>
          <w:kern w:val="2"/>
          <w:sz w:val="32"/>
          <w:szCs w:val="32"/>
          <w:lang w:val="zh-CN" w:eastAsia="zh-CN" w:bidi="ar-SA"/>
        </w:rPr>
        <w:t>万元，占一般公共预算项目支出总额的</w:t>
      </w:r>
      <w:r>
        <w:rPr>
          <w:rFonts w:hint="eastAsia" w:ascii="Times New Roman" w:hAnsi="Times New Roman" w:eastAsia="仿宋_GB2312" w:cs="Times New Roman"/>
          <w:color w:val="auto"/>
          <w:kern w:val="2"/>
          <w:sz w:val="32"/>
          <w:szCs w:val="32"/>
          <w:lang w:val="en-US" w:eastAsia="zh-CN" w:bidi="ar-SA"/>
        </w:rPr>
        <w:t>100</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highlight w:val="yellow"/>
        </w:rPr>
      </w:pPr>
      <w:r>
        <w:rPr>
          <w:rFonts w:hint="eastAsia" w:ascii="仿宋_GB2312" w:hAnsi="仿宋_GB2312" w:eastAsia="仿宋_GB2312" w:cs="仿宋_GB2312"/>
          <w:sz w:val="32"/>
          <w:szCs w:val="32"/>
        </w:rPr>
        <w:t>组织对</w:t>
      </w:r>
      <w:r>
        <w:rPr>
          <w:rFonts w:hint="eastAsia" w:ascii="仿宋_GB2312" w:eastAsia="仿宋_GB2312" w:cs="仿宋_GB2312"/>
          <w:sz w:val="32"/>
          <w:szCs w:val="32"/>
          <w:lang w:bidi="ar-SA"/>
        </w:rPr>
        <w:t>“</w:t>
      </w:r>
      <w:r>
        <w:rPr>
          <w:rFonts w:hint="eastAsia" w:ascii="仿宋_GB2312" w:eastAsia="仿宋_GB2312" w:cs="仿宋_GB2312"/>
          <w:sz w:val="32"/>
          <w:szCs w:val="32"/>
          <w:highlight w:val="none"/>
          <w:lang w:bidi="ar-SA"/>
        </w:rPr>
        <w:t>自主就业一次性经济补助金</w:t>
      </w:r>
      <w:r>
        <w:rPr>
          <w:rFonts w:hint="eastAsia" w:ascii="仿宋_GB2312" w:eastAsia="仿宋_GB2312" w:cs="仿宋_GB2312"/>
          <w:sz w:val="32"/>
          <w:szCs w:val="32"/>
          <w:highlight w:val="none"/>
          <w:lang w:eastAsia="zh-CN" w:bidi="ar-SA"/>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3307.22</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kern w:val="2"/>
          <w:sz w:val="32"/>
          <w:szCs w:val="32"/>
          <w:lang w:val="zh-CN" w:eastAsia="zh-CN" w:bidi="ar-SA"/>
        </w:rPr>
        <w:t>国有资本经营预算支出</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万元。</w:t>
      </w:r>
      <w:r>
        <w:rPr>
          <w:rFonts w:hint="eastAsia" w:ascii="仿宋_GB2312" w:hAnsi="仿宋_GB2312" w:eastAsia="仿宋_GB2312" w:cs="仿宋_GB2312"/>
          <w:sz w:val="32"/>
          <w:szCs w:val="32"/>
        </w:rPr>
        <w:t>从评价情况来看，</w:t>
      </w:r>
      <w:r>
        <w:rPr>
          <w:rFonts w:hint="eastAsia" w:ascii="仿宋_GB2312" w:eastAsia="仿宋_GB2312" w:cs="仿宋_GB2312"/>
          <w:sz w:val="32"/>
          <w:szCs w:val="32"/>
        </w:rPr>
        <w:t>通过发放自主就业一次性经济补助金，提升退役士兵的生活幸福指数</w:t>
      </w:r>
      <w:r>
        <w:rPr>
          <w:rFonts w:hint="eastAsia" w:ascii="仿宋_GB2312" w:eastAsia="仿宋_GB2312" w:cs="仿宋_GB2312"/>
          <w:sz w:val="32"/>
          <w:szCs w:val="32"/>
          <w:lang w:eastAsia="zh-CN"/>
        </w:rPr>
        <w:t>，完成了绩效目标</w:t>
      </w:r>
      <w:r>
        <w:rPr>
          <w:rFonts w:hint="eastAsia" w:ascii="仿宋_GB2312" w:eastAsia="仿宋_GB2312" w:cs="仿宋_GB2312"/>
          <w:sz w:val="32"/>
          <w:szCs w:val="32"/>
          <w:highlight w:val="none"/>
        </w:rPr>
        <w:t>。</w:t>
      </w:r>
    </w:p>
    <w:p>
      <w:pPr>
        <w:adjustRightInd w:val="0"/>
        <w:snapToGrid w:val="0"/>
        <w:spacing w:line="58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（二）部门决算中项目绩效自评结果</w:t>
      </w:r>
    </w:p>
    <w:p>
      <w:pPr>
        <w:adjustRightInd w:val="0"/>
        <w:snapToGrid w:val="0"/>
        <w:spacing w:line="580" w:lineRule="exact"/>
        <w:ind w:firstLine="660" w:firstLineChars="200"/>
        <w:rPr>
          <w:rFonts w:ascii="仿宋_GB2312" w:hAnsi="仿宋_GB2312" w:eastAsia="仿宋_GB2312" w:cs="仿宋_GB2312"/>
          <w:sz w:val="32"/>
          <w:szCs w:val="32"/>
        </w:rPr>
      </w:pPr>
      <w:r>
        <w:rPr>
          <w:rFonts w:hint="default" w:ascii="Times New Roman" w:hAnsi="Times New Roman" w:eastAsia="仿宋_GB2312" w:cs="Times New Roman"/>
          <w:i w:val="0"/>
          <w:iCs w:val="0"/>
          <w:caps w:val="0"/>
          <w:color w:val="333333"/>
          <w:spacing w:val="0"/>
          <w:sz w:val="33"/>
          <w:szCs w:val="33"/>
          <w:highlight w:val="none"/>
          <w:shd w:val="clear" w:color="auto" w:fill="FFFFFF"/>
        </w:rPr>
        <w:t> </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在今年部门决算公开中反映</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残疾军人补助经费等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pStyle w:val="6"/>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项目自评综述：根据年初设定的绩效目标，</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745.97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。项目绩效目标完成情况：一是自主就业一次性经济补助金发放人数完成率100%；二是自主就业一次性经济补助金发放金额完成率100%。</w:t>
      </w:r>
      <w:r>
        <w:rPr>
          <w:rFonts w:hint="eastAsia" w:ascii="仿宋_GB2312" w:hAnsi="仿宋_GB2312" w:eastAsia="仿宋_GB2312" w:cs="仿宋_GB2312"/>
          <w:sz w:val="32"/>
          <w:szCs w:val="32"/>
          <w:lang w:val="en-US" w:eastAsia="zh-CN"/>
        </w:rPr>
        <w:t>存在问题、原因及下一步整改措施为：</w:t>
      </w:r>
      <w:r>
        <w:rPr>
          <w:rFonts w:hint="default" w:ascii="仿宋_GB2312" w:hAnsi="仿宋_GB2312" w:eastAsia="仿宋_GB2312" w:cs="仿宋_GB2312"/>
          <w:sz w:val="32"/>
          <w:szCs w:val="32"/>
          <w:lang w:val="en-US" w:eastAsia="zh-CN"/>
        </w:rPr>
        <w:t>通过项目实施，完成了年初设定的各项绩效目标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未发现问题。</w:t>
      </w:r>
    </w:p>
    <w:tbl>
      <w:tblPr>
        <w:tblStyle w:val="7"/>
        <w:tblW w:w="9510" w:type="dxa"/>
        <w:tblInd w:w="0" w:type="dxa"/>
        <w:tblLayout w:type="autofit"/>
        <w:tblCellMar>
          <w:top w:w="0" w:type="dxa"/>
          <w:left w:w="0" w:type="dxa"/>
          <w:bottom w:w="0" w:type="dxa"/>
          <w:right w:w="0" w:type="dxa"/>
        </w:tblCellMar>
      </w:tblPr>
      <w:tblGrid>
        <w:gridCol w:w="1215"/>
        <w:gridCol w:w="1080"/>
        <w:gridCol w:w="1015"/>
        <w:gridCol w:w="1225"/>
        <w:gridCol w:w="1665"/>
        <w:gridCol w:w="1080"/>
        <w:gridCol w:w="1080"/>
        <w:gridCol w:w="1150"/>
      </w:tblGrid>
      <w:tr>
        <w:tblPrEx>
          <w:tblCellMar>
            <w:top w:w="0" w:type="dxa"/>
            <w:left w:w="0" w:type="dxa"/>
            <w:bottom w:w="0" w:type="dxa"/>
            <w:right w:w="0" w:type="dxa"/>
          </w:tblCellMar>
        </w:tblPrEx>
        <w:trPr>
          <w:trHeight w:val="510" w:hRule="atLeast"/>
        </w:trPr>
        <w:tc>
          <w:tcPr>
            <w:tcW w:w="9510"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退役士兵自主就业、自谋职业一次性经济补助金</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2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910"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746</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746</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745.97</w:t>
            </w: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66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8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6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及时接收退役士兵，按照上级政策规定标准计算每一位自主就业退役士兵一次性补助资金，及时足额发放至每一位退役士兵手中。</w:t>
            </w:r>
          </w:p>
        </w:tc>
        <w:tc>
          <w:tcPr>
            <w:tcW w:w="382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通过接收退役士兵，足额发放自主就业退役士兵一次性经济补助金，及时筹措资金，标准执行到位，保障退役士兵合法权益，促进社会和谐，维护社会稳定。</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8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82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52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5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4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91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9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2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29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通过项目实施，完成了年初设定的各项绩效目标</w:t>
            </w:r>
            <w:r>
              <w:rPr>
                <w:rFonts w:hint="eastAsia" w:ascii="宋体" w:hAnsi="宋体" w:eastAsia="宋体" w:cs="宋体"/>
                <w:i w:val="0"/>
                <w:color w:val="000000"/>
                <w:kern w:val="0"/>
                <w:sz w:val="16"/>
                <w:szCs w:val="16"/>
                <w:u w:val="none"/>
                <w:lang w:val="en-US" w:eastAsia="zh-CN" w:bidi="ar"/>
              </w:rPr>
              <w:t>，</w:t>
            </w:r>
            <w:r>
              <w:rPr>
                <w:rFonts w:hint="default" w:ascii="宋体" w:hAnsi="宋体" w:eastAsia="宋体" w:cs="宋体"/>
                <w:i w:val="0"/>
                <w:color w:val="000000"/>
                <w:kern w:val="0"/>
                <w:sz w:val="16"/>
                <w:szCs w:val="16"/>
                <w:u w:val="none"/>
                <w:lang w:val="en-US" w:eastAsia="zh-CN" w:bidi="ar"/>
              </w:rPr>
              <w:t>未发现问题。</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Chars="200" w:right="0" w:rightChars="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0"/>
        </w:numPr>
        <w:adjustRightInd w:val="0"/>
        <w:snapToGrid w:val="0"/>
        <w:spacing w:line="580" w:lineRule="exact"/>
        <w:ind w:left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残疾军人补助经费项目绩效自评综述：根据年初设定的绩效目标，残疾军人补助经费项目绩效自评得分为98分（绩效自评表附后）。全年预算数为1273.97万元，执行数为1071.58万元，完成预算的84.11%。项目绩效目标完成情况：一是享受优抚待遇人数完成率100%；二是优抚对象优待抚恤补助金足额兑现率100%。存在问题、原因及下一步整改措施为：我单位部门预算与年度年度绩效目标存在一些偏差，主要原因是政策执行标准有所变化，下一步我们早了解政策，争取与年度绩效目标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tbl>
      <w:tblPr>
        <w:tblStyle w:val="7"/>
        <w:tblW w:w="9285" w:type="dxa"/>
        <w:tblInd w:w="0" w:type="dxa"/>
        <w:tblLayout w:type="autofit"/>
        <w:tblCellMar>
          <w:top w:w="0" w:type="dxa"/>
          <w:left w:w="0" w:type="dxa"/>
          <w:bottom w:w="0" w:type="dxa"/>
          <w:right w:w="0" w:type="dxa"/>
        </w:tblCellMar>
      </w:tblPr>
      <w:tblGrid>
        <w:gridCol w:w="1215"/>
        <w:gridCol w:w="1080"/>
        <w:gridCol w:w="1080"/>
        <w:gridCol w:w="1190"/>
        <w:gridCol w:w="1410"/>
        <w:gridCol w:w="1080"/>
        <w:gridCol w:w="1080"/>
        <w:gridCol w:w="1150"/>
      </w:tblGrid>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残疾军人补助经费</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5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1273.97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84.11%</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1273.97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1071.58</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保障残疾军人的合法权益，按时足额的将残疾抚恤金发放到位，维护社会稳定</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为胥各庄街道办及光荣院的残疾军人发放定期抚恤金，按时足额的将残疾抚恤金发放到位，保障残疾军人的合法权益，维护社会稳定。</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享受优抚待遇人数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0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优抚对象优待抚恤补助金足额兑现率(%)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w:t>
            </w:r>
            <w:r>
              <w:rPr>
                <w:rStyle w:val="19"/>
                <w:lang w:val="en-US" w:eastAsia="zh-CN" w:bidi="ar"/>
              </w:rPr>
              <w:t>99%</w:t>
            </w:r>
          </w:p>
        </w:tc>
        <w:tc>
          <w:tcPr>
            <w:tcW w:w="109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享受优抚待遇审批通过率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及时领取生活补助 提高优抚对象生活质量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83.80%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98</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0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0"/>
        </w:numPr>
        <w:adjustRightInd w:val="0"/>
        <w:snapToGrid w:val="0"/>
        <w:spacing w:line="58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60周退役士兵生活补助项目绩效自评综述：根据年初设定的绩效目标，残疾军人补助经费项目绩效自评得分为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1494.45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1489.67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99.68%</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生活补助费覆盖率</w:t>
      </w:r>
      <w:r>
        <w:rPr>
          <w:rFonts w:hint="eastAsia" w:ascii="仿宋_GB2312" w:hAnsi="仿宋_GB2312" w:eastAsia="仿宋_GB2312" w:cs="仿宋_GB2312"/>
          <w:sz w:val="32"/>
          <w:szCs w:val="32"/>
        </w:rPr>
        <w:t>100%；二是</w:t>
      </w:r>
      <w:r>
        <w:rPr>
          <w:rFonts w:hint="eastAsia" w:ascii="仿宋_GB2312" w:hAnsi="仿宋_GB2312" w:eastAsia="仿宋_GB2312" w:cs="仿宋_GB2312"/>
          <w:sz w:val="32"/>
          <w:szCs w:val="32"/>
          <w:lang w:val="en-US" w:eastAsia="zh-CN"/>
        </w:rPr>
        <w:t>发放生活费及时率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w:t>
      </w:r>
      <w:r>
        <w:rPr>
          <w:rFonts w:hint="default" w:ascii="仿宋_GB2312" w:hAnsi="仿宋_GB2312" w:eastAsia="仿宋_GB2312" w:cs="仿宋_GB2312"/>
          <w:sz w:val="32"/>
          <w:szCs w:val="32"/>
          <w:lang w:val="en-US" w:eastAsia="zh-CN"/>
        </w:rPr>
        <w:t>通过项目实施，完成了年初设定的各项绩效目标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未发现问题。</w:t>
      </w:r>
    </w:p>
    <w:tbl>
      <w:tblPr>
        <w:tblStyle w:val="7"/>
        <w:tblW w:w="9285" w:type="dxa"/>
        <w:tblInd w:w="0" w:type="dxa"/>
        <w:tblLayout w:type="autofit"/>
        <w:tblCellMar>
          <w:top w:w="0" w:type="dxa"/>
          <w:left w:w="0" w:type="dxa"/>
          <w:bottom w:w="0" w:type="dxa"/>
          <w:right w:w="0" w:type="dxa"/>
        </w:tblCellMar>
      </w:tblPr>
      <w:tblGrid>
        <w:gridCol w:w="1215"/>
        <w:gridCol w:w="1080"/>
        <w:gridCol w:w="1080"/>
        <w:gridCol w:w="1190"/>
        <w:gridCol w:w="1410"/>
        <w:gridCol w:w="1080"/>
        <w:gridCol w:w="1080"/>
        <w:gridCol w:w="1150"/>
      </w:tblGrid>
      <w:tr>
        <w:tblPrEx>
          <w:tblCellMar>
            <w:top w:w="0" w:type="dxa"/>
            <w:left w:w="0" w:type="dxa"/>
            <w:bottom w:w="0" w:type="dxa"/>
            <w:right w:w="0" w:type="dxa"/>
          </w:tblCellMar>
        </w:tblPrEx>
        <w:trPr>
          <w:trHeight w:val="510" w:hRule="atLeast"/>
        </w:trPr>
        <w:tc>
          <w:tcPr>
            <w:tcW w:w="928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2023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60周退役士兵生活补助</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55"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1494.45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99.68%</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1494.45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1489.67</w:t>
            </w: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0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发放优抚对象生活补助费，提高军人抚恤优待标准，落实军人抚恤优待政策</w:t>
            </w:r>
          </w:p>
        </w:tc>
        <w:tc>
          <w:tcPr>
            <w:tcW w:w="357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对本年度死亡的优抚对象及时发放生活补助费，给予亲属慰藉。</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生活补助费覆盖率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发放生活费及时率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生活费补助领取率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91.15%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Style w:val="20"/>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0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通过项目实施，完成了年初设定的各项绩效目标</w:t>
            </w:r>
            <w:r>
              <w:rPr>
                <w:rFonts w:hint="eastAsia" w:ascii="宋体" w:hAnsi="宋体" w:eastAsia="宋体" w:cs="宋体"/>
                <w:i w:val="0"/>
                <w:color w:val="000000"/>
                <w:kern w:val="0"/>
                <w:sz w:val="16"/>
                <w:szCs w:val="16"/>
                <w:u w:val="none"/>
                <w:lang w:val="en-US" w:eastAsia="zh-CN" w:bidi="ar"/>
              </w:rPr>
              <w:t>，</w:t>
            </w:r>
            <w:r>
              <w:rPr>
                <w:rFonts w:hint="default" w:ascii="宋体" w:hAnsi="宋体" w:eastAsia="宋体" w:cs="宋体"/>
                <w:i w:val="0"/>
                <w:color w:val="000000"/>
                <w:kern w:val="0"/>
                <w:sz w:val="16"/>
                <w:szCs w:val="16"/>
                <w:u w:val="none"/>
                <w:lang w:val="en-US" w:eastAsia="zh-CN" w:bidi="ar"/>
              </w:rPr>
              <w:t>未发现问题。</w:t>
            </w:r>
          </w:p>
        </w:tc>
      </w:tr>
    </w:tbl>
    <w:p>
      <w:pPr>
        <w:numPr>
          <w:ilvl w:val="0"/>
          <w:numId w:val="0"/>
        </w:numPr>
        <w:adjustRightInd w:val="0"/>
        <w:snapToGrid w:val="0"/>
        <w:spacing w:line="580" w:lineRule="exact"/>
        <w:ind w:leftChars="200"/>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lang w:val="en-US" w:eastAsia="zh-CN"/>
        </w:rPr>
      </w:pPr>
    </w:p>
    <w:p>
      <w:pPr>
        <w:numPr>
          <w:ilvl w:val="0"/>
          <w:numId w:val="6"/>
        </w:numPr>
        <w:adjustRightInd w:val="0"/>
        <w:snapToGrid w:val="0"/>
        <w:spacing w:line="580" w:lineRule="exact"/>
        <w:ind w:left="420" w:leftChars="200" w:firstLine="321" w:firstLineChars="1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部门评价项目绩效评价结果</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我</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预算项目绩效目标设定清晰准确，全面反映工作职责和工作任务，绩效指标全面完整、科学合理，能有效的量化绩效目标设定情况，绩效标准恰当适宜、易于评价。我</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年初绩效目标设定和预算执行完毕后的绩效评价工作均有序开展。</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bCs/>
          <w:sz w:val="32"/>
          <w:szCs w:val="32"/>
        </w:rPr>
        <w:t>1</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23</w:t>
      </w:r>
      <w:r>
        <w:rPr>
          <w:rFonts w:hint="eastAsia" w:ascii="仿宋_GB2312" w:hAnsi="Times New Roman" w:eastAsia="仿宋_GB2312" w:cs="DengXian-Regular"/>
          <w:sz w:val="32"/>
          <w:szCs w:val="32"/>
        </w:rPr>
        <w:t>年度政府性基金预算财政拨款收入支出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无收支及结转结余情况，故政府性基金预算财政拨款收入支出决算表以空表列示。</w:t>
      </w:r>
    </w:p>
    <w:p>
      <w:pPr>
        <w:adjustRightInd w:val="0"/>
        <w:snapToGrid w:val="0"/>
        <w:spacing w:line="600" w:lineRule="exact"/>
        <w:ind w:firstLine="643" w:firstLineChars="200"/>
        <w:rPr>
          <w:rFonts w:hint="eastAsia" w:ascii="仿宋_GB2312" w:eastAsia="仿宋_GB2312" w:cs="仿宋_GB2312"/>
          <w:sz w:val="32"/>
          <w:szCs w:val="32"/>
        </w:rPr>
      </w:pPr>
      <w:r>
        <w:rPr>
          <w:rFonts w:hint="eastAsia" w:ascii="仿宋_GB2312" w:hAnsi="Times New Roman" w:eastAsia="仿宋_GB2312" w:cs="DengXian-Regular"/>
          <w:b/>
          <w:bCs/>
          <w:sz w:val="32"/>
          <w:szCs w:val="32"/>
        </w:rPr>
        <w:t>2</w:t>
      </w:r>
      <w:r>
        <w:rPr>
          <w:rFonts w:hint="eastAsia" w:ascii="仿宋_GB2312" w:hAnsi="Times New Roman" w:eastAsia="仿宋_GB2312" w:cs="DengXian-Regular"/>
          <w:sz w:val="32"/>
          <w:szCs w:val="32"/>
        </w:rPr>
        <w:t>. 本部门20</w:t>
      </w:r>
      <w:r>
        <w:rPr>
          <w:rFonts w:hint="eastAsia" w:ascii="仿宋_GB2312" w:hAnsi="Times New Roman" w:eastAsia="仿宋_GB2312" w:cs="DengXian-Regular"/>
          <w:sz w:val="32"/>
          <w:szCs w:val="32"/>
          <w:lang w:val="en-US" w:eastAsia="zh-CN"/>
        </w:rPr>
        <w:t>23</w:t>
      </w:r>
      <w:r>
        <w:rPr>
          <w:rFonts w:hint="eastAsia" w:ascii="仿宋_GB2312" w:hAnsi="Times New Roman" w:eastAsia="仿宋_GB2312" w:cs="DengXian-Regular"/>
          <w:sz w:val="32"/>
          <w:szCs w:val="32"/>
        </w:rPr>
        <w:t>年度国有资本经营预算财政拨款支出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无收支及结转结余情况，故国有资本经营预算财政拨款支出决算表以空表列示。</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rPr>
          <w:rFonts w:ascii="仿宋_GB2312" w:hAnsi="宋体" w:eastAsia="仿宋_GB2312" w:cs="ArialUnicodeMS"/>
          <w:sz w:val="32"/>
          <w:szCs w:val="32"/>
        </w:rPr>
      </w:pP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7"/>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8"/>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headerReference r:id="rId7"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书宋_GBK">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00000287" w:usb1="00000000" w:usb2="00000000" w:usb3="00000000" w:csb0="2000009F" w:csb1="DFD70000"/>
  </w:font>
  <w:font w:name="方正仿宋_GB2312">
    <w:altName w:val="仿宋"/>
    <w:panose1 w:val="02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DA9F4A01"/>
    <w:multiLevelType w:val="singleLevel"/>
    <w:tmpl w:val="DA9F4A01"/>
    <w:lvl w:ilvl="0" w:tentative="0">
      <w:start w:val="1"/>
      <w:numFmt w:val="decimal"/>
      <w:suff w:val="nothing"/>
      <w:lvlText w:val="（%1）"/>
      <w:lvlJc w:val="left"/>
    </w:lvl>
  </w:abstractNum>
  <w:abstractNum w:abstractNumId="2">
    <w:nsid w:val="354AE348"/>
    <w:multiLevelType w:val="singleLevel"/>
    <w:tmpl w:val="354AE348"/>
    <w:lvl w:ilvl="0" w:tentative="0">
      <w:start w:val="1"/>
      <w:numFmt w:val="chineseCounting"/>
      <w:suff w:val="nothing"/>
      <w:lvlText w:val="%1、"/>
      <w:lvlJc w:val="left"/>
      <w:rPr>
        <w:rFonts w:hint="eastAsia"/>
      </w:rPr>
    </w:lvl>
  </w:abstractNum>
  <w:abstractNum w:abstractNumId="3">
    <w:nsid w:val="45DB9A87"/>
    <w:multiLevelType w:val="singleLevel"/>
    <w:tmpl w:val="45DB9A87"/>
    <w:lvl w:ilvl="0" w:tentative="0">
      <w:start w:val="3"/>
      <w:numFmt w:val="chineseCounting"/>
      <w:suff w:val="nothing"/>
      <w:lvlText w:val="（%1）"/>
      <w:lvlJc w:val="left"/>
      <w:rPr>
        <w:rFonts w:hint="eastAsia"/>
      </w:rPr>
    </w:lvl>
  </w:abstractNum>
  <w:abstractNum w:abstractNumId="4">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5">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6">
    <w:nsid w:val="59B7D88A"/>
    <w:multiLevelType w:val="singleLevel"/>
    <w:tmpl w:val="59B7D88A"/>
    <w:lvl w:ilvl="0" w:tentative="0">
      <w:start w:val="3"/>
      <w:numFmt w:val="decimal"/>
      <w:lvlText w:val="%1."/>
      <w:lvlJc w:val="left"/>
      <w:pPr>
        <w:tabs>
          <w:tab w:val="left" w:pos="312"/>
        </w:tabs>
      </w:pPr>
    </w:lvl>
  </w:abstractNum>
  <w:abstractNum w:abstractNumId="7">
    <w:nsid w:val="7CAF219C"/>
    <w:multiLevelType w:val="singleLevel"/>
    <w:tmpl w:val="7CAF219C"/>
    <w:lvl w:ilvl="0" w:tentative="0">
      <w:start w:val="3"/>
      <w:numFmt w:val="chineseCounting"/>
      <w:suff w:val="nothing"/>
      <w:lvlText w:val="（%1）"/>
      <w:lvlJc w:val="left"/>
      <w:rPr>
        <w:rFonts w:hint="eastAsia"/>
      </w:r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C393A"/>
    <w:rsid w:val="00125965"/>
    <w:rsid w:val="00144CC5"/>
    <w:rsid w:val="00172A27"/>
    <w:rsid w:val="00203288"/>
    <w:rsid w:val="00206EB2"/>
    <w:rsid w:val="00262CE0"/>
    <w:rsid w:val="002C2C3F"/>
    <w:rsid w:val="00310221"/>
    <w:rsid w:val="0034600F"/>
    <w:rsid w:val="00366EA1"/>
    <w:rsid w:val="004550B9"/>
    <w:rsid w:val="00473A26"/>
    <w:rsid w:val="00483998"/>
    <w:rsid w:val="004D1145"/>
    <w:rsid w:val="004E274E"/>
    <w:rsid w:val="004F23D0"/>
    <w:rsid w:val="004F5E71"/>
    <w:rsid w:val="0051575E"/>
    <w:rsid w:val="00522C51"/>
    <w:rsid w:val="00550130"/>
    <w:rsid w:val="005B2633"/>
    <w:rsid w:val="00657113"/>
    <w:rsid w:val="00663586"/>
    <w:rsid w:val="006C5D6E"/>
    <w:rsid w:val="007042CC"/>
    <w:rsid w:val="00704A9C"/>
    <w:rsid w:val="00757732"/>
    <w:rsid w:val="00786182"/>
    <w:rsid w:val="007B4464"/>
    <w:rsid w:val="00816BB2"/>
    <w:rsid w:val="008349E7"/>
    <w:rsid w:val="008414F6"/>
    <w:rsid w:val="00853F9E"/>
    <w:rsid w:val="00855E47"/>
    <w:rsid w:val="00896712"/>
    <w:rsid w:val="008E5668"/>
    <w:rsid w:val="009718A8"/>
    <w:rsid w:val="009D7927"/>
    <w:rsid w:val="009E6461"/>
    <w:rsid w:val="00A12180"/>
    <w:rsid w:val="00A66109"/>
    <w:rsid w:val="00B15320"/>
    <w:rsid w:val="00B170B0"/>
    <w:rsid w:val="00B20DC3"/>
    <w:rsid w:val="00B86E38"/>
    <w:rsid w:val="00BE1054"/>
    <w:rsid w:val="00BE7649"/>
    <w:rsid w:val="00C21492"/>
    <w:rsid w:val="00C418F5"/>
    <w:rsid w:val="00CE4C2D"/>
    <w:rsid w:val="00CE755E"/>
    <w:rsid w:val="00D25268"/>
    <w:rsid w:val="00D264B9"/>
    <w:rsid w:val="00D71400"/>
    <w:rsid w:val="00DA0B17"/>
    <w:rsid w:val="00DE4245"/>
    <w:rsid w:val="00DF42C4"/>
    <w:rsid w:val="00DF688D"/>
    <w:rsid w:val="00E039B0"/>
    <w:rsid w:val="00E35F22"/>
    <w:rsid w:val="00E40650"/>
    <w:rsid w:val="00E44B04"/>
    <w:rsid w:val="00E519C7"/>
    <w:rsid w:val="00E54036"/>
    <w:rsid w:val="00E669B9"/>
    <w:rsid w:val="00E818B1"/>
    <w:rsid w:val="00E86E79"/>
    <w:rsid w:val="00EB1655"/>
    <w:rsid w:val="00F242CA"/>
    <w:rsid w:val="00FC3F68"/>
    <w:rsid w:val="00FF453A"/>
    <w:rsid w:val="018E53BB"/>
    <w:rsid w:val="01B752BF"/>
    <w:rsid w:val="02F2691F"/>
    <w:rsid w:val="05273E55"/>
    <w:rsid w:val="06EB1AB6"/>
    <w:rsid w:val="08822A03"/>
    <w:rsid w:val="099D6B31"/>
    <w:rsid w:val="09FD66D9"/>
    <w:rsid w:val="0C6E781B"/>
    <w:rsid w:val="0D037501"/>
    <w:rsid w:val="0F476E0E"/>
    <w:rsid w:val="10B242CF"/>
    <w:rsid w:val="11F4604E"/>
    <w:rsid w:val="130E3876"/>
    <w:rsid w:val="136D16FB"/>
    <w:rsid w:val="13AA21BF"/>
    <w:rsid w:val="18F4407C"/>
    <w:rsid w:val="1A3D2C72"/>
    <w:rsid w:val="1BCE15B4"/>
    <w:rsid w:val="216937C4"/>
    <w:rsid w:val="257C1CB8"/>
    <w:rsid w:val="298605CB"/>
    <w:rsid w:val="29C33545"/>
    <w:rsid w:val="2CEF036C"/>
    <w:rsid w:val="2E984040"/>
    <w:rsid w:val="325B6AF7"/>
    <w:rsid w:val="32A31C4C"/>
    <w:rsid w:val="32B53CA7"/>
    <w:rsid w:val="33401BA2"/>
    <w:rsid w:val="33CD2241"/>
    <w:rsid w:val="34967CFD"/>
    <w:rsid w:val="39C2416B"/>
    <w:rsid w:val="3B744E3E"/>
    <w:rsid w:val="3DC91A1B"/>
    <w:rsid w:val="3EBD2414"/>
    <w:rsid w:val="3F235BB1"/>
    <w:rsid w:val="3F663581"/>
    <w:rsid w:val="42A44BF6"/>
    <w:rsid w:val="4571549B"/>
    <w:rsid w:val="471274FD"/>
    <w:rsid w:val="49717ADD"/>
    <w:rsid w:val="49A50088"/>
    <w:rsid w:val="4A51609B"/>
    <w:rsid w:val="4C194D3B"/>
    <w:rsid w:val="4D304C6C"/>
    <w:rsid w:val="4F2A6A41"/>
    <w:rsid w:val="500373A2"/>
    <w:rsid w:val="507C6383"/>
    <w:rsid w:val="53AD746D"/>
    <w:rsid w:val="561769D4"/>
    <w:rsid w:val="58D844B0"/>
    <w:rsid w:val="5F4A1A8C"/>
    <w:rsid w:val="60075621"/>
    <w:rsid w:val="602001C2"/>
    <w:rsid w:val="60CE32E1"/>
    <w:rsid w:val="611815F8"/>
    <w:rsid w:val="63DC7B2D"/>
    <w:rsid w:val="649A7590"/>
    <w:rsid w:val="64C00985"/>
    <w:rsid w:val="65225D26"/>
    <w:rsid w:val="65DB5CBA"/>
    <w:rsid w:val="674E6C15"/>
    <w:rsid w:val="67636EEB"/>
    <w:rsid w:val="697609B2"/>
    <w:rsid w:val="69F4671F"/>
    <w:rsid w:val="6BA53F12"/>
    <w:rsid w:val="6C18453E"/>
    <w:rsid w:val="6C551B1B"/>
    <w:rsid w:val="6CBF282C"/>
    <w:rsid w:val="70E81256"/>
    <w:rsid w:val="71AF11FA"/>
    <w:rsid w:val="722D0FCD"/>
    <w:rsid w:val="73335BEE"/>
    <w:rsid w:val="734B3BFA"/>
    <w:rsid w:val="73753308"/>
    <w:rsid w:val="743444A4"/>
    <w:rsid w:val="74B61AFD"/>
    <w:rsid w:val="79442C5B"/>
    <w:rsid w:val="7AEB0261"/>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4"/>
    <w:qFormat/>
    <w:uiPriority w:val="99"/>
    <w:rPr>
      <w:kern w:val="2"/>
      <w:sz w:val="18"/>
      <w:szCs w:val="18"/>
    </w:rPr>
  </w:style>
  <w:style w:type="character" w:customStyle="1" w:styleId="11">
    <w:name w:val="页眉 Char"/>
    <w:basedOn w:val="9"/>
    <w:link w:val="5"/>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3"/>
    <w:semiHidden/>
    <w:qFormat/>
    <w:uiPriority w:val="99"/>
    <w:rPr>
      <w:kern w:val="2"/>
      <w:sz w:val="18"/>
      <w:szCs w:val="18"/>
    </w:rPr>
  </w:style>
  <w:style w:type="character" w:customStyle="1" w:styleId="19">
    <w:name w:val="font81"/>
    <w:basedOn w:val="9"/>
    <w:qFormat/>
    <w:uiPriority w:val="0"/>
    <w:rPr>
      <w:rFonts w:hint="default" w:ascii="方正书宋_GBK" w:hAnsi="方正书宋_GBK" w:eastAsia="方正书宋_GBK" w:cs="方正书宋_GBK"/>
      <w:color w:val="000000"/>
      <w:sz w:val="21"/>
      <w:szCs w:val="21"/>
      <w:u w:val="none"/>
    </w:rPr>
  </w:style>
  <w:style w:type="character" w:customStyle="1" w:styleId="20">
    <w:name w:val="font21"/>
    <w:basedOn w:val="9"/>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emf"/><Relationship Id="rId21" Type="http://schemas.openxmlformats.org/officeDocument/2006/relationships/oleObject" Target="embeddings/oleObject4.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emf"/><Relationship Id="rId17" Type="http://schemas.openxmlformats.org/officeDocument/2006/relationships/oleObject" Target="embeddings/oleObject2.bin"/><Relationship Id="rId16" Type="http://schemas.openxmlformats.org/officeDocument/2006/relationships/image" Target="media/image6.emf"/><Relationship Id="rId15" Type="http://schemas.openxmlformats.org/officeDocument/2006/relationships/oleObject" Target="embeddings/oleObject1.bin"/><Relationship Id="rId14" Type="http://schemas.openxmlformats.org/officeDocument/2006/relationships/image" Target="media/image5.jpeg"/><Relationship Id="rId13" Type="http://schemas.openxmlformats.org/officeDocument/2006/relationships/image" Target="media/image1.sv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textRotate="1"/>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7ABCA-4227-4EFF-8EB9-5F1F21DB3EB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1811</Words>
  <Characters>10327</Characters>
  <Lines>86</Lines>
  <Paragraphs>24</Paragraphs>
  <TotalTime>181</TotalTime>
  <ScaleCrop>false</ScaleCrop>
  <LinksUpToDate>false</LinksUpToDate>
  <CharactersWithSpaces>12114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2024-09-06T01:25:41Z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TemplateUUID">
    <vt:lpwstr>v1.0_mb_S7ajbG3IpAnL1wSthNCxfw==</vt:lpwstr>
  </property>
  <property fmtid="{D5CDD505-2E9C-101B-9397-08002B2CF9AE}" pid="4" name="ICV">
    <vt:lpwstr>6388C71828994EE68F92E15B0CED978C</vt:lpwstr>
  </property>
</Properties>
</file>