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5481320</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331001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：唐山市丰南区退役军人事务局（本级）</w:t>
                            </w:r>
                          </w:p>
                          <w:p>
                            <w:pPr>
                              <w:spacing w:line="600" w:lineRule="auto"/>
                              <w:jc w:val="left"/>
                              <w:rPr>
                                <w:rFonts w:ascii="楷体_GB2312" w:hAnsi="楷体_GB2312" w:eastAsia="楷体_GB2312" w:cs="楷体_GB2312"/>
                                <w:color w:val="000000"/>
                                <w:sz w:val="40"/>
                                <w:szCs w:val="40"/>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c9Mu1wAAAAsBAAAPAAAAAAAAAAEAIAAAACIA&#10;AABkcnMvZG93bnJldi54bWxQSwECFAAUAAAACACHTuJAz+dAWAoCAADcAwAADgAAAAAAAAABACAA&#10;AAAmAQAAZHJzL2Uyb0RvYy54bWxQSwUGAAAAAAYABgBZAQAAogUAAAAA&#10;">
                <v:fill on="f" focussize="0,0"/>
                <v:stroke on="f" miterlimit="8" joinstyle="miter"/>
                <v:imagedata o:title=""/>
                <o:lock v:ext="edit" aspectratio="f"/>
                <v:textbo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331001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：唐山市丰南区退役军人事务局（本级）</w:t>
                      </w:r>
                    </w:p>
                    <w:p>
                      <w:pPr>
                        <w:spacing w:line="600" w:lineRule="auto"/>
                        <w:jc w:val="left"/>
                        <w:rPr>
                          <w:rFonts w:ascii="楷体_GB2312" w:hAnsi="楷体_GB2312" w:eastAsia="楷体_GB2312" w:cs="楷体_GB2312"/>
                          <w:color w:val="000000"/>
                          <w:sz w:val="40"/>
                          <w:szCs w:val="40"/>
                        </w:rPr>
                      </w:pPr>
                    </w:p>
                  </w:txbxContent>
                </v:textbox>
              </v:shape>
            </w:pict>
          </mc:Fallback>
        </mc:AlternateConten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9"/>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5408" behindDoc="0" locked="0" layoutInCell="1" allowOverlap="1">
                <wp:simplePos x="0" y="0"/>
                <wp:positionH relativeFrom="column">
                  <wp:posOffset>-2453005</wp:posOffset>
                </wp:positionH>
                <wp:positionV relativeFrom="paragraph">
                  <wp:posOffset>2132330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193.15pt;margin-top:167.9pt;height:113.95pt;width:712.85pt;z-index:251665408;mso-width-relative:page;mso-height-relative:page;" coordorigin="-3504,4387" coordsize="19200,2716"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tUlm23AAAAA0BAAAPAAAAAAAAAAEA&#10;IAAAACIAAABkcnMvZG93bnJldi54bWxQSwECFAAUAAAACACHTuJAgMxoTZoDAAAzDAAADgAAAAAA&#10;AAABACAAAAArAQAAZHJzL2Uyb0RvYy54bWxQSwUGAAAAAAYABgBZAQAANwcAAAAA&#10;">
                <o:lock v:ext="edit" aspectratio="f"/>
                <v:rect id="矩形 19" o:spid="_x0000_s1026"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fill on="t" focussize="0,0"/>
                  <v:stroke on="f"/>
                  <v:imagedata o:title=""/>
                  <o:lock v:ext="edit" aspectratio="f"/>
                </v:rect>
                <v:shape id="矩形 24" o:spid="_x0000_s1026"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1"/>
                    <a:stretch>
                      <a:fillRect/>
                    </a:stretch>
                  </pic:blipFill>
                  <pic:spPr>
                    <a:xfrm>
                      <a:off x="0" y="0"/>
                      <a:ext cx="215900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2336;mso-width-relative:page;mso-height-relative:page;" coordorigin="12098,1831" coordsize="9377,2969"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UHC8XbAAAACwEAAA8AAAAAAAAAAQAgAAAA&#10;IgAAAGRycy9kb3ducmV2LnhtbFBLAQIUABQAAAAIAIdO4kC5jxvuJQMAAPYIAAAOAAAAAAAAAAEA&#10;IAAAACoBAABkcnMvZTJvRG9jLnhtbFBLBQYAAAAABgAGAFkBAADBBgAAAAA=&#10;">
                <o:lock v:ext="edit" aspectratio="f"/>
                <v:shape id="文本框 32" o:spid="_x0000_s1026"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2" o:spid="_x0000_s1026"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v:group>
            </w:pict>
          </mc:Fallback>
        </mc:AlternateConten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7Bx2AAAAA0BAAAPAAAAAAAAAAEAIAAAACIA&#10;AABkcnMvZG93bnJldi54bWxQSwECFAAUAAAACACHTuJAHoOjvwkCAADcAwAADgAAAAAAAAABACAA&#10;AAAnAQAAZHJzL2Uyb0RvYy54bWxQSwUGAAAAAAYABgBZAQAAog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qWWv2AAAAAsBAAAPAAAAAAAA&#10;AAEAIAAAACIAAABkcnMvZG93bnJldi54bWxQSwECFAAUAAAACACHTuJA5W10YaABAAARAwAADgAA&#10;AAAAAAABACAAAAAnAQAAZHJzL2Uyb0RvYy54bWxQSwUGAAAAAAYABgBZAQAAOQU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tabs>
          <w:tab w:val="left" w:pos="2728"/>
        </w:tabs>
        <w:jc w:val="center"/>
        <w:rPr>
          <w:rFonts w:ascii="黑体" w:hAnsi="Times New Roman" w:eastAsia="黑体" w:cs="Times New Roman"/>
          <w:sz w:val="48"/>
          <w:szCs w:val="48"/>
        </w:rPr>
      </w:pPr>
      <w:bookmarkStart w:id="0" w:name="_GoBack"/>
      <w:bookmarkEnd w:id="0"/>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960" w:firstLineChars="300"/>
        <w:rPr>
          <w:rFonts w:ascii="仿宋_GB2312" w:eastAsia="仿宋_GB2312"/>
          <w:sz w:val="32"/>
          <w:szCs w:val="32"/>
        </w:rPr>
      </w:pPr>
      <w:r>
        <w:rPr>
          <w:rFonts w:hint="eastAsia" w:ascii="仿宋" w:hAnsi="仿宋" w:eastAsia="仿宋" w:cs="仿宋"/>
          <w:sz w:val="32"/>
          <w:szCs w:val="32"/>
        </w:rPr>
        <w:t>(</w:t>
      </w:r>
      <w:r>
        <w:rPr>
          <w:rFonts w:hint="eastAsia" w:ascii="仿宋_GB2312" w:eastAsia="仿宋_GB2312"/>
          <w:sz w:val="32"/>
          <w:szCs w:val="32"/>
        </w:rPr>
        <w:t xml:space="preserve">1)贯彻执行国家和省市思想政治、管理保障和安置优抚等工作政策法规。拟订全区退役军人思想政治、管理保障和安置优抚等规范性文件并组织实施，褒扬彰显退役军人为党、国家和人民牲奉献的精神风范和价值导向。 </w:t>
      </w:r>
    </w:p>
    <w:p>
      <w:pPr>
        <w:ind w:firstLine="960" w:firstLineChars="300"/>
        <w:rPr>
          <w:rFonts w:ascii="仿宋_GB2312" w:eastAsia="仿宋_GB2312"/>
          <w:sz w:val="32"/>
          <w:szCs w:val="32"/>
        </w:rPr>
      </w:pPr>
      <w:r>
        <w:rPr>
          <w:rFonts w:hint="eastAsia" w:ascii="仿宋_GB2312" w:eastAsia="仿宋_GB2312"/>
          <w:sz w:val="32"/>
          <w:szCs w:val="32"/>
        </w:rPr>
        <w:t xml:space="preserve">(2)负责全区军队转业干部、复员干部、离退休干部、退役士兵、符合条件消防员和无军籍退休退职职工的移交安置工作以及自主择业、就业退役军人的务管理工作。 </w:t>
      </w:r>
    </w:p>
    <w:p>
      <w:pPr>
        <w:ind w:firstLine="960" w:firstLineChars="300"/>
        <w:rPr>
          <w:rFonts w:ascii="仿宋_GB2312" w:eastAsia="仿宋_GB2312"/>
          <w:sz w:val="32"/>
          <w:szCs w:val="32"/>
        </w:rPr>
      </w:pPr>
      <w:r>
        <w:rPr>
          <w:rFonts w:hint="eastAsia" w:ascii="仿宋_GB2312" w:eastAsia="仿宋_GB2312"/>
          <w:sz w:val="32"/>
          <w:szCs w:val="32"/>
        </w:rPr>
        <w:t xml:space="preserve">(3)组织指导退役军人教育培训工作，协调扶持退役军人和随军随调家属就业创业。 </w:t>
      </w:r>
    </w:p>
    <w:p>
      <w:pPr>
        <w:ind w:firstLine="960" w:firstLineChars="300"/>
        <w:rPr>
          <w:rFonts w:ascii="仿宋_GB2312" w:eastAsia="仿宋_GB2312"/>
          <w:sz w:val="32"/>
          <w:szCs w:val="32"/>
        </w:rPr>
      </w:pPr>
      <w:r>
        <w:rPr>
          <w:rFonts w:hint="eastAsia" w:ascii="仿宋_GB2312" w:eastAsia="仿宋_GB2312"/>
          <w:sz w:val="32"/>
          <w:szCs w:val="32"/>
        </w:rPr>
        <w:t>(4)会同有关部门制定全区退役军人特殊保障政策并组织落实，拟订和落实企业中军队转业干部的解困政策。</w:t>
      </w:r>
    </w:p>
    <w:p>
      <w:pPr>
        <w:ind w:firstLine="960" w:firstLineChars="300"/>
        <w:rPr>
          <w:rFonts w:ascii="仿宋_GB2312" w:eastAsia="仿宋_GB2312"/>
          <w:sz w:val="32"/>
          <w:szCs w:val="32"/>
        </w:rPr>
      </w:pPr>
      <w:r>
        <w:rPr>
          <w:rFonts w:hint="eastAsia" w:ascii="仿宋_GB2312" w:eastAsia="仿宋_GB2312"/>
          <w:sz w:val="32"/>
          <w:szCs w:val="32"/>
        </w:rPr>
        <w:t xml:space="preserve">(5)组织协调落实移交地方的离休军人、符合条件的其他退役军人和无军退休退职职工的住房保障工作，以及役军人医疗保障、社会保险等待遇保障工作。 </w:t>
      </w:r>
    </w:p>
    <w:p>
      <w:pPr>
        <w:ind w:firstLine="960" w:firstLineChars="300"/>
        <w:rPr>
          <w:rFonts w:ascii="仿宋_GB2312" w:eastAsia="仿宋_GB2312"/>
          <w:sz w:val="32"/>
          <w:szCs w:val="32"/>
        </w:rPr>
      </w:pPr>
      <w:r>
        <w:rPr>
          <w:rFonts w:hint="eastAsia" w:ascii="仿宋_GB2312" w:eastAsia="仿宋_GB2312"/>
          <w:sz w:val="32"/>
          <w:szCs w:val="32"/>
        </w:rPr>
        <w:t xml:space="preserve">(6)组织指导伤病残退役军人服务管理和抚他工作。拟订有关退役军人医疗、疗养、养老等机构的规划政策并指导实施;承担不适宜继续服役的伤病残军人相关工作;组织指导军供服务保障工作。 </w:t>
      </w:r>
    </w:p>
    <w:p>
      <w:pPr>
        <w:ind w:firstLine="960" w:firstLineChars="300"/>
        <w:rPr>
          <w:rFonts w:ascii="仿宋_GB2312" w:eastAsia="仿宋_GB2312"/>
          <w:sz w:val="32"/>
          <w:szCs w:val="32"/>
        </w:rPr>
      </w:pPr>
      <w:r>
        <w:rPr>
          <w:rFonts w:hint="eastAsia" w:ascii="仿宋_GB2312" w:eastAsia="仿宋_GB2312"/>
          <w:sz w:val="32"/>
          <w:szCs w:val="32"/>
        </w:rPr>
        <w:t>(7)组织指导全区拥军优属工作。负责现役军人、役军人、军队文职人员、军属和符合条件的国家机关工作人员、人民警察、参战民兵民工、消防员等全区优抚对象的优待、抚恤等工作，组织落实国民党抗战老兵等有关人员优待政策。</w:t>
      </w:r>
    </w:p>
    <w:p>
      <w:pPr>
        <w:ind w:firstLine="960" w:firstLineChars="300"/>
        <w:rPr>
          <w:rFonts w:hint="eastAsia" w:ascii="仿宋_GB2312" w:eastAsia="仿宋_GB2312"/>
          <w:sz w:val="32"/>
          <w:szCs w:val="32"/>
        </w:rPr>
      </w:pPr>
      <w:r>
        <w:rPr>
          <w:rFonts w:hint="eastAsia" w:ascii="仿宋_GB2312" w:eastAsia="仿宋_GB2312"/>
          <w:sz w:val="32"/>
          <w:szCs w:val="32"/>
        </w:rPr>
        <w:t xml:space="preserve">(8)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 </w:t>
      </w:r>
    </w:p>
    <w:p>
      <w:pPr>
        <w:ind w:firstLine="960" w:firstLineChars="300"/>
        <w:rPr>
          <w:rFonts w:ascii="仿宋_GB2312" w:eastAsia="仿宋_GB2312"/>
          <w:sz w:val="32"/>
          <w:szCs w:val="32"/>
        </w:rPr>
      </w:pPr>
      <w:r>
        <w:rPr>
          <w:rFonts w:hint="eastAsia" w:ascii="仿宋_GB2312" w:eastAsia="仿宋_GB2312"/>
          <w:sz w:val="32"/>
          <w:szCs w:val="32"/>
        </w:rPr>
        <w:t>(9)指导并监督检查退役军人相关法律法规和政策措施的落实，组织开展退役军人权益维护和有关人员的援助工作。</w:t>
      </w:r>
    </w:p>
    <w:p>
      <w:pPr>
        <w:widowControl/>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(10)完成区委、区政府交办的其他任务。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从决算编报单位构成看，纳入2023年度本部门决算汇编范围的独立核算单位（以下简称“单位”）共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个，具体情况如下：</w:t>
      </w:r>
    </w:p>
    <w:tbl>
      <w:tblPr>
        <w:tblStyle w:val="7"/>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85" w:type="dxa"/>
            <w:noWrap w:val="0"/>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noWrap w:val="0"/>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noWrap w:val="0"/>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noWrap w:val="0"/>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noWrap w:val="0"/>
            <w:vAlign w:val="top"/>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Borders>
              <w:left w:val="single" w:color="auto" w:sz="4" w:space="0"/>
              <w:right w:val="single" w:color="auto" w:sz="4" w:space="0"/>
            </w:tcBorders>
            <w:noWrap w:val="0"/>
            <w:vAlign w:val="top"/>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唐山市丰南区退役军人事务局(本级)</w:t>
            </w:r>
          </w:p>
        </w:tc>
        <w:tc>
          <w:tcPr>
            <w:tcW w:w="2445" w:type="dxa"/>
            <w:tcBorders>
              <w:left w:val="single" w:color="auto" w:sz="4" w:space="0"/>
              <w:right w:val="single" w:color="auto" w:sz="4" w:space="0"/>
            </w:tcBorders>
            <w:noWrap w:val="0"/>
            <w:vAlign w:val="top"/>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行政机关</w:t>
            </w:r>
          </w:p>
        </w:tc>
        <w:tc>
          <w:tcPr>
            <w:tcW w:w="2665" w:type="dxa"/>
            <w:noWrap w:val="0"/>
            <w:vAlign w:val="top"/>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spacing w:line="580" w:lineRule="exact"/>
        <w:ind w:firstLine="640" w:firstLineChars="200"/>
        <w:rPr>
          <w:rFonts w:hint="eastAsia" w:ascii="仿宋_GB2312" w:hAnsi="Calibri" w:eastAsia="仿宋_GB2312" w:cs="ArialUnicodeMS"/>
          <w:kern w:val="0"/>
          <w:sz w:val="32"/>
          <w:szCs w:val="32"/>
        </w:rPr>
      </w:pPr>
    </w:p>
    <w:tbl>
      <w:tblPr>
        <w:tblStyle w:val="7"/>
        <w:tblpPr w:leftFromText="180" w:rightFromText="180" w:vertAnchor="text" w:horzAnchor="page" w:tblpXSpec="center" w:tblpY="10"/>
        <w:tblOverlap w:val="never"/>
        <w:tblW w:w="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580" w:type="dxa"/>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numPr>
          <w:ilvl w:val="0"/>
          <w:numId w:val="1"/>
        </w:numPr>
        <w:spacing w:after="312" w:afterLines="100" w:line="580" w:lineRule="exact"/>
        <w:ind w:left="1757"/>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2023年度部门决算表</w:t>
      </w:r>
    </w:p>
    <w:tbl>
      <w:tblPr>
        <w:tblStyle w:val="7"/>
        <w:tblW w:w="6577" w:type="pct"/>
        <w:tblInd w:w="-7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2"/>
        <w:gridCol w:w="712"/>
        <w:gridCol w:w="697"/>
        <w:gridCol w:w="785"/>
        <w:gridCol w:w="2575"/>
        <w:gridCol w:w="459"/>
        <w:gridCol w:w="1338"/>
        <w:gridCol w:w="1508"/>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61" w:hRule="atLeast"/>
        </w:trPr>
        <w:tc>
          <w:tcPr>
            <w:tcW w:w="441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57" w:hRule="atLeast"/>
        </w:trPr>
        <w:tc>
          <w:tcPr>
            <w:tcW w:w="441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51" w:hRule="atLeast"/>
        </w:trPr>
        <w:tc>
          <w:tcPr>
            <w:tcW w:w="1653"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编制部门（单位）：唐山市丰南区退役军人事务局（本级）</w:t>
            </w:r>
          </w:p>
        </w:tc>
        <w:tc>
          <w:tcPr>
            <w:tcW w:w="139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369"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544" w:hRule="atLeast"/>
        </w:trPr>
        <w:tc>
          <w:tcPr>
            <w:tcW w:w="197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3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08"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2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95"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554"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2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7,855.63</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7,558.45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14"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554"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625"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6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14"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554"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625"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7,855.63</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7,889.79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169.22</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08"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8,024.85</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62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8,024.85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注：1.本表反映部门本年度的总收支和年末结转结余情况。2.本套报表金额转换时可能存在尾数误差。</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黑体" w:hAnsi="黑体" w:eastAsia="黑体" w:cs="宋体"/>
          <w:bCs/>
          <w:kern w:val="0"/>
          <w:sz w:val="32"/>
          <w:szCs w:val="32"/>
          <w:highlight w:val="none"/>
        </w:rPr>
      </w:pPr>
    </w:p>
    <w:tbl>
      <w:tblPr>
        <w:tblStyle w:val="7"/>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编制部门（单位）：唐山市丰南区退役军人事务局（本级）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7,855.63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7,855.63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7,524.29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7,524.29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20807</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就业补助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2080711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就业见习补贴</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抚恤</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5,911.44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5,911.44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死亡抚恤</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382.08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382.08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伤残抚恤</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1,047.17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1,047.17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在乡复员、退伍军人生活补助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1,283.58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1,283.58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义务兵优待</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1,201.64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1,201.64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2080806</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农村籍退役士兵老年生活补助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1,594.67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1,594.67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其他优抚支出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402.30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402.30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退役安置</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826.87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826.87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2080901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退役士兵安置</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753.57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753.57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2080904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退役士兵管理教育</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2080905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军队转业干部安置</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48.00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48.00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2080999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其他退役安置支出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12.22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12.22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20820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临时救助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80.43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80.43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2082001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临时救助支出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80.43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80.43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20828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退役军人管理事务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672.57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672.57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2082801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315.97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315.97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2082802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一般行政管理事务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148.96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148.96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2082804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拥军优属</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170.02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170.02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2082899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其他退役军人事务管理支出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37.61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37.61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307.83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307.83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24.93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24.93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10.72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10.72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优抚对象医疗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282.90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282.90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2101401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优抚对象医疗补助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282.90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282.90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宋体" w:hAnsi="宋体" w:eastAsia="宋体" w:cs="宋体"/>
          <w:spacing w:val="-2"/>
          <w:sz w:val="20"/>
          <w:highlight w:val="none"/>
          <w:lang w:val="en-US" w:eastAsia="zh-CN"/>
        </w:rPr>
      </w:pPr>
    </w:p>
    <w:tbl>
      <w:tblPr>
        <w:tblStyle w:val="7"/>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1354"/>
        <w:gridCol w:w="1287"/>
        <w:gridCol w:w="144"/>
        <w:gridCol w:w="1141"/>
        <w:gridCol w:w="1285"/>
        <w:gridCol w:w="567"/>
        <w:gridCol w:w="718"/>
        <w:gridCol w:w="1285"/>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编制部门（单位）：唐山市丰南区退役军人事务局（本级）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7,889.79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425.78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7,464.01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7,558.45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377.34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7,181.11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28.99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28.99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20807</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就业补助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2080711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就业见习补贴</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5,911.44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5,911.44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382.08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382.08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伤残抚恤</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1,047.17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1,047.17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在乡复员、退伍军人生活补助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1,283.58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1,283.58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义务兵优待</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1,201.64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1,201.64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2080806</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农村籍退役士兵老年生活补助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1,594.67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1,594.67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其他优抚支出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402.30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402.30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退役安置</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848.09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21.22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826.87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退役士兵安置</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753.57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753.57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2080904</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退役士兵管理教育</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军队转业干部安置</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其他退役安置支出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21.22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12.22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临时救助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80.43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80.43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2082001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临时救助支出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80.43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80.43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退役军人管理事务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685.51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327.14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358.37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315.97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315.97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148.96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148.96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2082804</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拥军优属</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171.80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171.80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其他退役军人事务管理支出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48.78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37.61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307.83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10.72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10.72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21014</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优抚对象医疗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2101401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优抚对象医疗补助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7"/>
        <w:tblW w:w="6123" w:type="pct"/>
        <w:tblInd w:w="-1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3"/>
        <w:gridCol w:w="712"/>
        <w:gridCol w:w="1215"/>
        <w:gridCol w:w="2306"/>
        <w:gridCol w:w="501"/>
        <w:gridCol w:w="712"/>
        <w:gridCol w:w="523"/>
        <w:gridCol w:w="610"/>
        <w:gridCol w:w="1245"/>
        <w:gridCol w:w="949"/>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8"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编制部门（单位）：唐山市丰南区退役军人事务局（本级）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772" w:type="pct"/>
            <w:gridSpan w:val="3"/>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18" w:type="pct"/>
            <w:gridSpan w:val="4"/>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517"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31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40"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1249"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1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04"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54"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422"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47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31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0"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249"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31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04"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54"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422"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47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31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4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31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0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2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7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7,855.63</w:t>
            </w: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7,558.45</w:t>
            </w: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7,558.45</w:t>
            </w: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307.83</w:t>
            </w: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307.83</w:t>
            </w: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54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31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04"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23.51</w:t>
            </w: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23.51</w:t>
            </w: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54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31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0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1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54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31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04"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7,855.63</w:t>
            </w: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7,889.79</w:t>
            </w: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7,889.79</w:t>
            </w: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169.22</w:t>
            </w:r>
          </w:p>
        </w:tc>
        <w:tc>
          <w:tcPr>
            <w:tcW w:w="1249"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135.06</w:t>
            </w:r>
          </w:p>
        </w:tc>
        <w:tc>
          <w:tcPr>
            <w:tcW w:w="554"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135.06</w:t>
            </w: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169.22</w:t>
            </w:r>
          </w:p>
        </w:tc>
        <w:tc>
          <w:tcPr>
            <w:tcW w:w="1249"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54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49"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0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5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4"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31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54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8,024.85</w:t>
            </w:r>
          </w:p>
        </w:tc>
        <w:tc>
          <w:tcPr>
            <w:tcW w:w="1249"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31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04"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8,024.85</w:t>
            </w:r>
          </w:p>
        </w:tc>
        <w:tc>
          <w:tcPr>
            <w:tcW w:w="554"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8,024.85</w:t>
            </w:r>
          </w:p>
          <w:p>
            <w:pPr>
              <w:jc w:val="right"/>
              <w:rPr>
                <w:rFonts w:hint="default" w:ascii="Times New Roman" w:hAnsi="Times New Roman" w:eastAsia="宋体" w:cs="Times New Roman"/>
                <w:i w:val="0"/>
                <w:iCs w:val="0"/>
                <w:color w:val="000000"/>
                <w:sz w:val="20"/>
                <w:szCs w:val="20"/>
                <w:highlight w:val="none"/>
                <w:u w:val="none"/>
              </w:rPr>
            </w:pPr>
          </w:p>
        </w:tc>
        <w:tc>
          <w:tcPr>
            <w:tcW w:w="422"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7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pacing w:val="-2"/>
          <w:sz w:val="20"/>
          <w:highlight w:val="none"/>
          <w:lang w:val="en-US" w:eastAsia="zh-CN"/>
        </w:rPr>
      </w:pPr>
    </w:p>
    <w:tbl>
      <w:tblPr>
        <w:tblStyle w:val="7"/>
        <w:tblW w:w="5455"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7"/>
        <w:gridCol w:w="1499"/>
        <w:gridCol w:w="819"/>
        <w:gridCol w:w="1521"/>
        <w:gridCol w:w="1583"/>
        <w:gridCol w:w="757"/>
        <w:gridCol w:w="2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6"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编制部门（单位）：唐山市丰南区退役军人事务局（本级）</w:t>
            </w:r>
          </w:p>
        </w:tc>
        <w:tc>
          <w:tcPr>
            <w:tcW w:w="155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1"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4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4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4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7,889.79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425.78</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7,464.01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7,558.45</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377.34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7,181.11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28.99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28.99</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28.99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28.99</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20807</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就业补助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2080711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就业见习补贴</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5,911.44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5,911.44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382.08</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伤残抚恤</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1,047.17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2080803</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在乡复员、退伍军人生活补助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1,283.58</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1,283.58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义务兵优待</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1,201.64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2080806</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农村籍退役士兵老年生活补助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1,594.67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1,594.67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其他优抚支出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402.30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退役安置</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848.09</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21.22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退役士兵安置</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753.57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2080904</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退役士兵管理教育</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2080905</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军队转业干部安置</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48.00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2080999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其他退役安置支出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33.44</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21.22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20820</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临时救助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80.43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2082001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临时救助支出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80.43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退役军人管理事务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685.51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327.14</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358.37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315.97</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315.97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148.96</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2082804</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拥军优属</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171.80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2082899</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其他退役军人事务管理支出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48.78</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11.17</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307.83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24.93</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24.93</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24.93</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10.72</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10.72</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14.21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21014</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优抚对象医疗</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2101401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优抚对象医疗补助</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4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1169"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23.51</w:t>
            </w:r>
          </w:p>
        </w:tc>
        <w:tc>
          <w:tcPr>
            <w:tcW w:w="121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7"/>
        <w:tblW w:w="6029" w:type="pct"/>
        <w:tblInd w:w="-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4"/>
        <w:gridCol w:w="1369"/>
        <w:gridCol w:w="1164"/>
        <w:gridCol w:w="1100"/>
        <w:gridCol w:w="500"/>
        <w:gridCol w:w="1173"/>
        <w:gridCol w:w="1067"/>
        <w:gridCol w:w="115"/>
        <w:gridCol w:w="1012"/>
        <w:gridCol w:w="1540"/>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3" w:type="pct"/>
            <w:gridSpan w:val="5"/>
            <w:tcBorders>
              <w:top w:val="nil"/>
              <w:left w:val="nil"/>
              <w:bottom w:val="single" w:color="auto" w:sz="4" w:space="0"/>
              <w:right w:val="nil"/>
            </w:tcBorders>
            <w:noWrap/>
            <w:vAlign w:val="bottom"/>
          </w:tcPr>
          <w:p>
            <w:pP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编制部门（单位）：唐山市丰南区退役军人事务局（本级） </w:t>
            </w:r>
            <w:r>
              <w:rPr>
                <w:rFonts w:hint="eastAsia" w:ascii="宋体" w:hAnsi="宋体" w:cs="宋体"/>
                <w:i w:val="0"/>
                <w:iCs w:val="0"/>
                <w:color w:val="000000"/>
                <w:kern w:val="0"/>
                <w:sz w:val="18"/>
                <w:szCs w:val="18"/>
                <w:highlight w:val="none"/>
                <w:u w:val="none"/>
                <w:lang w:val="en-US" w:eastAsia="zh-CN" w:bidi="ar"/>
              </w:rPr>
              <w:t xml:space="preserve">                                                                   </w:t>
            </w:r>
          </w:p>
        </w:tc>
        <w:tc>
          <w:tcPr>
            <w:tcW w:w="101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634" w:type="pct"/>
            <w:gridSpan w:val="4"/>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3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69"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5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339.48</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49.81</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307</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100.19</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30201</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2.90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30701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30102</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43.17</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30202</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0.92</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30702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30103</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20.99</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30203</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30106</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30204</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31001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30107</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r>
              <w:rPr>
                <w:rFonts w:hint="eastAsia" w:ascii="Times New Roman" w:hAnsi="Times New Roman" w:cs="Times New Roman"/>
                <w:sz w:val="18"/>
                <w:szCs w:val="18"/>
                <w:highlight w:val="none"/>
                <w:lang w:eastAsia="zh-CN"/>
              </w:rPr>
              <w:t>60.27</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30205</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0.40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31002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30108</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28.99</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30206</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10.00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31003</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30109</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30207</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3.68</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31005</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30110</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10.72</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30208</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31006</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14.21</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30209</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0.10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31007</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30112</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1.41</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30211</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0.50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31008</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30113</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23.51</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30212</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31009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30114</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30213</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0.50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31010</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30199</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36.02</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30214</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16.30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31011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36.48</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30215</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31012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30216</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31013</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30302</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3.50</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30217</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0.13</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31019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30303</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21.22</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30218</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31021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30304</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30224</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31022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30305</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30225</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31099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30306</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30226</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30307</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30227</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31201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30308</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30228</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2.73</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31203</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30309</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0.60</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30229</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2.43</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31204</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30310</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30231</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4.55</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31205</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30311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30239</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4.68</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31299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30399</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sz w:val="18"/>
                <w:szCs w:val="18"/>
                <w:highlight w:val="none"/>
              </w:rPr>
              <w:t>11.17</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30240</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5"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30299</w:t>
            </w: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39907</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39908</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39909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39910</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49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75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000000"/>
                <w:sz w:val="18"/>
                <w:szCs w:val="18"/>
                <w:highlight w:val="none"/>
                <w:u w:val="none"/>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39999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04"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525"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375.97</w:t>
            </w:r>
          </w:p>
        </w:tc>
        <w:tc>
          <w:tcPr>
            <w:tcW w:w="2940"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2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000000"/>
                <w:sz w:val="18"/>
                <w:szCs w:val="18"/>
                <w:highlight w:val="none"/>
                <w:u w:val="none"/>
              </w:rPr>
            </w:pPr>
            <w:r>
              <w:rPr>
                <w:rFonts w:hint="default" w:ascii="Times New Roman" w:hAnsi="Times New Roman" w:eastAsia="宋体" w:cs="Times New Roman"/>
                <w:sz w:val="18"/>
                <w:szCs w:val="18"/>
                <w:highlight w:val="none"/>
              </w:rPr>
              <w:t>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color w:val="auto"/>
          <w:kern w:val="0"/>
          <w:sz w:val="32"/>
          <w:szCs w:val="32"/>
          <w:highlight w:val="none"/>
        </w:rPr>
      </w:pPr>
    </w:p>
    <w:tbl>
      <w:tblPr>
        <w:tblStyle w:val="7"/>
        <w:tblW w:w="5953" w:type="pct"/>
        <w:tblInd w:w="-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
        <w:gridCol w:w="1682"/>
        <w:gridCol w:w="1490"/>
        <w:gridCol w:w="1172"/>
        <w:gridCol w:w="1263"/>
        <w:gridCol w:w="477"/>
        <w:gridCol w:w="801"/>
        <w:gridCol w:w="1308"/>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编制部门（单位）：唐山市丰南区退役军人事务局（本级）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332"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78"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6"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8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536"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761"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81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6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8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7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8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9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81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6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8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7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8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9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1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69"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8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7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8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9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1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82"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53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7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8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9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81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20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82"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8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9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1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宋体" w:hAnsi="宋体" w:eastAsia="宋体" w:cs="宋体"/>
          <w:spacing w:val="-2"/>
          <w:sz w:val="20"/>
          <w:highlight w:val="none"/>
          <w:lang w:val="en-US"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1"/>
        <w:gridCol w:w="834"/>
        <w:gridCol w:w="1479"/>
        <w:gridCol w:w="1520"/>
        <w:gridCol w:w="6"/>
        <w:gridCol w:w="54"/>
        <w:gridCol w:w="1461"/>
        <w:gridCol w:w="11"/>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8"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编制部门（单位）：唐山市丰南区退役军人事务局（本级）</w:t>
            </w:r>
          </w:p>
        </w:tc>
        <w:tc>
          <w:tcPr>
            <w:tcW w:w="1666"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2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5"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484"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484"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2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831"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831"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821"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260"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31"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31"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21"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5"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828"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828"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82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82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28"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2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注：本表反映部门本年度国有资本经营预算财政拨款收入、支出及结转和结余情况。（如无相关数据，则需注明空表列示）</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7"/>
        <w:tblpPr w:leftFromText="180" w:rightFromText="180" w:vertAnchor="text" w:horzAnchor="page" w:tblpX="901" w:tblpY="39"/>
        <w:tblOverlap w:val="never"/>
        <w:tblW w:w="58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869"/>
        <w:gridCol w:w="929"/>
        <w:gridCol w:w="800"/>
        <w:gridCol w:w="872"/>
        <w:gridCol w:w="186"/>
        <w:gridCol w:w="794"/>
        <w:gridCol w:w="990"/>
        <w:gridCol w:w="907"/>
        <w:gridCol w:w="701"/>
        <w:gridCol w:w="933"/>
        <w:gridCol w:w="1043"/>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064"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编制部门（单位）：唐山市丰南区退役军人事务局（本级）</w:t>
            </w:r>
          </w:p>
        </w:tc>
        <w:tc>
          <w:tcPr>
            <w:tcW w:w="920"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015" w:type="pct"/>
            <w:gridSpan w:val="5"/>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21"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78" w:type="pct"/>
            <w:gridSpan w:val="6"/>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43"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06"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301"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70"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62"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23"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50"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4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4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06"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3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3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9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70"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62"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23"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8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4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43"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40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43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3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9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46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2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3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8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34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43"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4.67</w:t>
            </w:r>
          </w:p>
        </w:tc>
        <w:tc>
          <w:tcPr>
            <w:tcW w:w="40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3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4.55</w:t>
            </w:r>
          </w:p>
        </w:tc>
        <w:tc>
          <w:tcPr>
            <w:tcW w:w="3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9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4.55</w:t>
            </w:r>
          </w:p>
        </w:tc>
        <w:tc>
          <w:tcPr>
            <w:tcW w:w="37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0.13</w:t>
            </w:r>
          </w:p>
        </w:tc>
        <w:tc>
          <w:tcPr>
            <w:tcW w:w="46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4.67</w:t>
            </w:r>
          </w:p>
        </w:tc>
        <w:tc>
          <w:tcPr>
            <w:tcW w:w="4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2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4.55</w:t>
            </w:r>
          </w:p>
        </w:tc>
        <w:tc>
          <w:tcPr>
            <w:tcW w:w="4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8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4.55</w:t>
            </w:r>
          </w:p>
        </w:tc>
        <w:tc>
          <w:tcPr>
            <w:tcW w:w="34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b/>
          <w:color w:val="auto"/>
          <w:kern w:val="0"/>
          <w:sz w:val="32"/>
          <w:szCs w:val="32"/>
          <w:highlight w:val="none"/>
        </w:rPr>
        <w:br w:type="page"/>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2023年度部门决算情况说明</w:t>
      </w:r>
    </w:p>
    <w:p>
      <w:pPr>
        <w:rPr>
          <w:rFonts w:ascii="黑体" w:hAnsi="Calibri" w:eastAsia="黑体" w:cs="Times New Roman"/>
          <w:sz w:val="32"/>
          <w:szCs w:val="32"/>
        </w:rPr>
      </w:pPr>
    </w:p>
    <w:p>
      <w:pPr>
        <w:numPr>
          <w:ilvl w:val="0"/>
          <w:numId w:val="2"/>
        </w:numPr>
        <w:ind w:firstLine="640" w:firstLineChars="200"/>
        <w:rPr>
          <w:rFonts w:hint="eastAsia" w:ascii="黑体" w:hAnsi="Calibri" w:eastAsia="黑体" w:cs="Times New Roman"/>
          <w:sz w:val="32"/>
          <w:szCs w:val="32"/>
        </w:rPr>
      </w:pPr>
      <w:r>
        <w:rPr>
          <w:rFonts w:hint="eastAsia" w:ascii="黑体" w:hAnsi="Calibri" w:eastAsia="黑体" w:cs="Times New Roman"/>
          <w:sz w:val="32"/>
          <w:szCs w:val="32"/>
        </w:rPr>
        <w:t>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本单位2023年度收、支总计（含结转和结余）</w:t>
      </w:r>
      <w:r>
        <w:rPr>
          <w:rFonts w:hint="default" w:ascii="Times New Roman" w:hAnsi="Times New Roman" w:eastAsia="仿宋_GB2312" w:cs="Times New Roman"/>
          <w:kern w:val="2"/>
          <w:sz w:val="32"/>
          <w:szCs w:val="32"/>
          <w:lang w:val="zh-CN" w:eastAsia="zh-CN"/>
        </w:rPr>
        <w:t>8,024.85</w:t>
      </w:r>
      <w:r>
        <w:rPr>
          <w:rFonts w:hint="default" w:ascii="Times New Roman" w:hAnsi="Times New Roman" w:eastAsia="仿宋_GB2312" w:cs="Times New Roman"/>
          <w:kern w:val="2"/>
          <w:sz w:val="32"/>
          <w:szCs w:val="32"/>
          <w:lang w:eastAsia="zh-CN"/>
        </w:rPr>
        <w:t>万元。与2022年度决算相比，收支各增加</w:t>
      </w:r>
      <w:r>
        <w:rPr>
          <w:rFonts w:hint="eastAsia" w:ascii="Times New Roman" w:hAnsi="Times New Roman" w:eastAsia="仿宋_GB2312" w:cs="Times New Roman"/>
          <w:kern w:val="2"/>
          <w:sz w:val="32"/>
          <w:szCs w:val="32"/>
          <w:lang w:val="en-US" w:eastAsia="zh-CN"/>
        </w:rPr>
        <w:t>582.98</w:t>
      </w:r>
      <w:r>
        <w:rPr>
          <w:rFonts w:hint="default" w:ascii="Times New Roman" w:hAnsi="Times New Roman" w:eastAsia="仿宋_GB2312" w:cs="Times New Roman"/>
          <w:kern w:val="2"/>
          <w:sz w:val="32"/>
          <w:szCs w:val="32"/>
          <w:lang w:eastAsia="zh-CN"/>
        </w:rPr>
        <w:t>万元，增长</w:t>
      </w:r>
      <w:r>
        <w:rPr>
          <w:rFonts w:hint="eastAsia" w:ascii="Times New Roman" w:hAnsi="Times New Roman" w:eastAsia="仿宋_GB2312" w:cs="Times New Roman"/>
          <w:kern w:val="2"/>
          <w:sz w:val="32"/>
          <w:szCs w:val="32"/>
          <w:lang w:val="en-US" w:eastAsia="zh-CN"/>
        </w:rPr>
        <w:t>7.83</w:t>
      </w:r>
      <w:r>
        <w:rPr>
          <w:rFonts w:hint="default" w:ascii="Times New Roman" w:hAnsi="Times New Roman" w:eastAsia="仿宋_GB2312" w:cs="Times New Roman"/>
          <w:kern w:val="2"/>
          <w:sz w:val="32"/>
          <w:szCs w:val="32"/>
          <w:lang w:eastAsia="zh-CN"/>
        </w:rPr>
        <w:t>%，主要原因是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kern w:val="2"/>
          <w:sz w:val="32"/>
          <w:szCs w:val="32"/>
          <w:lang w:eastAsia="zh-CN"/>
        </w:rPr>
        <w:t>。</w:t>
      </w:r>
    </w:p>
    <w:p>
      <w:pPr>
        <w:autoSpaceDE w:val="0"/>
        <w:autoSpaceDN w:val="0"/>
        <w:adjustRightInd w:val="0"/>
        <w:spacing w:line="580" w:lineRule="exact"/>
        <w:ind w:firstLine="420" w:firstLineChars="200"/>
        <w:jc w:val="left"/>
        <w:rPr>
          <w:rFonts w:hint="default" w:ascii="Times New Roman" w:hAnsi="Times New Roman" w:eastAsia="仿宋_GB2312" w:cs="Times New Roman"/>
          <w:kern w:val="2"/>
          <w:sz w:val="32"/>
          <w:szCs w:val="32"/>
          <w:lang w:eastAsia="zh-CN"/>
        </w:rPr>
      </w:pPr>
      <w:r>
        <w:pict>
          <v:shape id="Object 20" o:spid="_x0000_s1027" o:spt="75" type="#_x0000_t75" style="position:absolute;left:0pt;margin-left:28pt;margin-top:125.6pt;height:222.75pt;width:366.75pt;mso-wrap-distance-bottom:0pt;mso-wrap-distance-left:9pt;mso-wrap-distance-right:9pt;mso-wrap-distance-top:0pt;z-index:251678720;mso-width-relative:page;mso-height-relative:page;" o:ole="t" filled="f" o:preferrelative="t" stroked="f" coordsize="21600,21600">
            <v:path/>
            <v:fill on="f" focussize="0,0"/>
            <v:stroke on="f"/>
            <v:imagedata r:id="rId16" o:title=""/>
            <o:lock v:ext="edit" aspectratio="t"/>
            <w10:wrap type="square"/>
          </v:shape>
          <o:OLEObject Type="Embed" ProgID="Excel.Chart.8" ShapeID="Object 20" DrawAspect="Content" ObjectID="_1468075725" r:id="rId15">
            <o:LockedField>false</o:LockedField>
          </o:OLEObject>
        </w:pic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hint="eastAsia"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年度本年收入合计</w:t>
      </w:r>
      <w:r>
        <w:rPr>
          <w:rFonts w:hint="default" w:ascii="Times New Roman" w:hAnsi="Times New Roman" w:eastAsia="仿宋_GB2312" w:cs="Times New Roman"/>
          <w:sz w:val="30"/>
          <w:szCs w:val="30"/>
          <w:highlight w:val="none"/>
          <w:lang w:eastAsia="zh-CN"/>
        </w:rPr>
        <w:t>7,855.63</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，其中：财政拨款收入7,855.63万元，占100%；上级补助收入0万元，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0%；事业收入0万元，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0%；经营收入0万元，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0%；附属单位上缴收入0万元，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0%；其他收入0万元，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w:t>
      </w:r>
      <w:r>
        <w:rPr>
          <w:rFonts w:hint="eastAsia" w:ascii="Times New Roman" w:hAnsi="Times New Roman" w:eastAsia="仿宋_GB2312" w:cs="Times New Roman"/>
          <w:kern w:val="2"/>
          <w:sz w:val="32"/>
          <w:szCs w:val="32"/>
          <w:lang w:val="zh-CN"/>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spacing w:line="580" w:lineRule="exact"/>
        <w:ind w:firstLine="600"/>
        <w:jc w:val="left"/>
        <w:rPr>
          <w:rFonts w:hint="eastAsia" w:ascii="Times New Roman" w:hAnsi="Times New Roman" w:eastAsia="仿宋_GB2312" w:cs="Times New Roman"/>
          <w:kern w:val="2"/>
          <w:sz w:val="32"/>
          <w:szCs w:val="32"/>
          <w:lang w:val="zh-CN" w:eastAsia="zh-CN"/>
        </w:rPr>
      </w:pPr>
      <w:r>
        <w:rPr>
          <w:rFonts w:hint="default" w:ascii="Times New Roman" w:hAnsi="Times New Roman" w:eastAsia="仿宋_GB2312" w:cs="Times New Roman"/>
          <w:kern w:val="2"/>
          <w:sz w:val="32"/>
          <w:szCs w:val="32"/>
          <w:lang w:val="zh-CN" w:eastAsia="zh-CN"/>
        </w:rPr>
        <w:t>本单位2023</w:t>
      </w:r>
      <w:r>
        <w:rPr>
          <w:rFonts w:hint="default" w:ascii="Times New Roman" w:hAnsi="Times New Roman" w:eastAsia="仿宋_GB2312" w:cs="Times New Roman"/>
          <w:kern w:val="2"/>
          <w:sz w:val="32"/>
          <w:szCs w:val="32"/>
          <w:lang w:val="zh-CN"/>
        </w:rPr>
        <w:t>年度本年支出合计</w:t>
      </w:r>
      <w:r>
        <w:rPr>
          <w:rFonts w:hint="default" w:ascii="Times New Roman" w:hAnsi="Times New Roman" w:eastAsia="仿宋_GB2312" w:cs="Times New Roman"/>
          <w:kern w:val="2"/>
          <w:sz w:val="32"/>
          <w:szCs w:val="32"/>
          <w:lang w:val="zh-CN" w:eastAsia="zh-CN"/>
        </w:rPr>
        <w:t>7,889.79万元</w:t>
      </w:r>
      <w:r>
        <w:rPr>
          <w:rFonts w:hint="default" w:ascii="Times New Roman" w:hAnsi="Times New Roman" w:eastAsia="仿宋_GB2312" w:cs="Times New Roman"/>
          <w:kern w:val="2"/>
          <w:sz w:val="32"/>
          <w:szCs w:val="32"/>
          <w:lang w:val="zh-CN"/>
        </w:rPr>
        <w:t>，其中：基本支出</w:t>
      </w:r>
      <w:r>
        <w:rPr>
          <w:rFonts w:hint="default" w:ascii="Times New Roman" w:hAnsi="Times New Roman" w:eastAsia="仿宋_GB2312" w:cs="Times New Roman"/>
          <w:kern w:val="2"/>
          <w:sz w:val="32"/>
          <w:szCs w:val="32"/>
          <w:lang w:val="zh-CN" w:eastAsia="zh-CN"/>
        </w:rPr>
        <w:t>425.78万元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占5.4</w:t>
      </w:r>
      <w:r>
        <w:rPr>
          <w:rFonts w:hint="eastAsia" w:ascii="Times New Roman" w:hAnsi="Times New Roman" w:eastAsia="仿宋_GB2312" w:cs="Times New Roman"/>
          <w:kern w:val="2"/>
          <w:sz w:val="32"/>
          <w:szCs w:val="32"/>
          <w:lang w:val="en-US" w:eastAsia="zh-CN"/>
        </w:rPr>
        <w:t>0</w:t>
      </w:r>
      <w:r>
        <w:rPr>
          <w:rFonts w:hint="default" w:ascii="Times New Roman" w:hAnsi="Times New Roman" w:eastAsia="仿宋_GB2312" w:cs="Times New Roman"/>
          <w:kern w:val="2"/>
          <w:sz w:val="32"/>
          <w:szCs w:val="32"/>
          <w:lang w:val="zh-CN" w:eastAsia="zh-CN"/>
        </w:rPr>
        <w:t>%；</w:t>
      </w:r>
      <w:r>
        <w:rPr>
          <w:rFonts w:hint="default" w:ascii="Times New Roman" w:hAnsi="Times New Roman" w:eastAsia="仿宋_GB2312" w:cs="Times New Roman"/>
          <w:kern w:val="2"/>
          <w:sz w:val="32"/>
          <w:szCs w:val="32"/>
          <w:lang w:val="zh-CN"/>
        </w:rPr>
        <w:t>项目支出</w:t>
      </w:r>
      <w:r>
        <w:rPr>
          <w:rFonts w:hint="default" w:ascii="Times New Roman" w:hAnsi="Times New Roman" w:eastAsia="仿宋_GB2312" w:cs="Times New Roman"/>
          <w:kern w:val="2"/>
          <w:sz w:val="32"/>
          <w:szCs w:val="32"/>
          <w:lang w:val="zh-CN" w:eastAsia="zh-CN"/>
        </w:rPr>
        <w:t>7,464.01万元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占94.6</w:t>
      </w:r>
      <w:r>
        <w:rPr>
          <w:rFonts w:hint="eastAsia" w:ascii="Times New Roman" w:hAnsi="Times New Roman" w:eastAsia="仿宋_GB2312" w:cs="Times New Roman"/>
          <w:kern w:val="2"/>
          <w:sz w:val="32"/>
          <w:szCs w:val="32"/>
          <w:lang w:val="en-US" w:eastAsia="zh-CN"/>
        </w:rPr>
        <w:t>0</w:t>
      </w:r>
      <w:r>
        <w:rPr>
          <w:rFonts w:hint="default" w:ascii="Times New Roman" w:hAnsi="Times New Roman" w:eastAsia="仿宋_GB2312" w:cs="Times New Roman"/>
          <w:kern w:val="2"/>
          <w:sz w:val="32"/>
          <w:szCs w:val="32"/>
          <w:lang w:val="zh-CN" w:eastAsia="zh-CN"/>
        </w:rPr>
        <w:t>%；</w:t>
      </w:r>
      <w:r>
        <w:rPr>
          <w:rFonts w:hint="default" w:ascii="Times New Roman" w:hAnsi="Times New Roman" w:eastAsia="仿宋_GB2312" w:cs="Times New Roman"/>
          <w:kern w:val="2"/>
          <w:sz w:val="32"/>
          <w:szCs w:val="32"/>
          <w:lang w:val="zh-CN"/>
        </w:rPr>
        <w:t>上缴上级支出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经营支出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对附属单位补助支出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eastAsia" w:ascii="Times New Roman" w:hAnsi="Times New Roman" w:eastAsia="仿宋_GB2312" w:cs="Times New Roman"/>
          <w:kern w:val="2"/>
          <w:sz w:val="32"/>
          <w:szCs w:val="32"/>
          <w:lang w:val="zh-CN" w:eastAsia="zh-CN"/>
        </w:rPr>
        <w:t>。</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eastAsia="仿宋_GB2312" w:cs="Wingdings"/>
          <w:sz w:val="32"/>
          <w:szCs w:val="32"/>
          <w:lang w:eastAsia="zh-CN"/>
        </w:rPr>
        <w:pict>
          <v:shape id="_x0000_s1028" o:spid="_x0000_s1028" o:spt="75" type="#_x0000_t75" style="position:absolute;left:0pt;margin-left:10.9pt;margin-top:14.55pt;height:222.75pt;width:422.25pt;mso-wrap-distance-bottom:0pt;mso-wrap-distance-left:9pt;mso-wrap-distance-right:9pt;mso-wrap-distance-top:0pt;z-index:251688960;mso-width-relative:page;mso-height-relative:page;" o:ole="t" filled="f" o:preferrelative="t" stroked="f" coordsize="21600,21600">
            <v:path/>
            <v:fill on="f" focussize="0,0"/>
            <v:stroke on="f"/>
            <v:imagedata r:id="rId18" o:title=""/>
            <o:lock v:ext="edit" aspectratio="t"/>
            <w10:wrap type="square"/>
          </v:shape>
          <o:OLEObject Type="Embed" ProgID="Excel.Chart.8" ShapeID="_x0000_s1028" DrawAspect="Content" ObjectID="_1468075726" r:id="rId17">
            <o:LockedField>false</o:LockedField>
          </o:OLEObject>
        </w:pic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年度财政拨款本年收入7,855.63</w:t>
      </w:r>
      <w:r>
        <w:rPr>
          <w:rFonts w:hint="default" w:ascii="Times New Roman" w:hAnsi="Times New Roman" w:eastAsia="仿宋_GB2312" w:cs="Times New Roman"/>
          <w:color w:val="auto"/>
          <w:kern w:val="2"/>
          <w:sz w:val="32"/>
          <w:szCs w:val="32"/>
          <w:lang w:val="en-US" w:eastAsia="zh-CN" w:bidi="ar-SA"/>
        </w:rPr>
        <w:t>万</w:t>
      </w:r>
      <w:r>
        <w:rPr>
          <w:rFonts w:hint="default" w:ascii="Times New Roman" w:hAnsi="Times New Roman" w:eastAsia="仿宋_GB2312" w:cs="Times New Roman"/>
          <w:color w:val="auto"/>
          <w:kern w:val="2"/>
          <w:sz w:val="32"/>
          <w:szCs w:val="32"/>
          <w:lang w:val="zh-CN" w:eastAsia="zh-CN" w:bidi="ar-SA"/>
        </w:rPr>
        <w:t>元,比</w:t>
      </w:r>
      <w:r>
        <w:rPr>
          <w:rFonts w:hint="eastAsia" w:ascii="仿宋_GB2312" w:hAnsi="Times New Roman" w:eastAsia="仿宋_GB2312" w:cs="DengXian-Regular"/>
          <w:sz w:val="32"/>
          <w:szCs w:val="32"/>
        </w:rPr>
        <w:t>2022年度</w:t>
      </w:r>
      <w:r>
        <w:rPr>
          <w:rFonts w:hint="default"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619.49</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8.56</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color w:val="auto"/>
          <w:kern w:val="2"/>
          <w:sz w:val="32"/>
          <w:szCs w:val="32"/>
          <w:lang w:val="zh-CN" w:eastAsia="zh-CN" w:bidi="ar-SA"/>
        </w:rPr>
        <w:t>；本年支出 7,889.79元，比上年增加</w:t>
      </w:r>
      <w:r>
        <w:rPr>
          <w:rFonts w:hint="eastAsia" w:ascii="Times New Roman" w:hAnsi="Times New Roman" w:eastAsia="仿宋_GB2312" w:cs="Times New Roman"/>
          <w:color w:val="auto"/>
          <w:kern w:val="2"/>
          <w:sz w:val="32"/>
          <w:szCs w:val="32"/>
          <w:lang w:val="en-US" w:eastAsia="zh-CN" w:bidi="ar-SA"/>
        </w:rPr>
        <w:t>617.17</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8.49</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color w:val="auto"/>
          <w:kern w:val="2"/>
          <w:sz w:val="32"/>
          <w:szCs w:val="32"/>
          <w:lang w:val="zh-CN" w:eastAsia="zh-CN" w:bidi="ar-SA"/>
        </w:rPr>
        <w:t>。具体情况如下：</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1. 一般公共预算财政拨款本年收入7,855.63</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,比上年增加</w:t>
      </w:r>
      <w:r>
        <w:rPr>
          <w:rFonts w:hint="eastAsia" w:ascii="Times New Roman" w:hAnsi="Times New Roman" w:eastAsia="仿宋_GB2312" w:cs="Times New Roman"/>
          <w:kern w:val="2"/>
          <w:sz w:val="32"/>
          <w:szCs w:val="32"/>
          <w:lang w:val="en-US" w:eastAsia="zh-CN"/>
        </w:rPr>
        <w:t>619.49</w:t>
      </w:r>
      <w:r>
        <w:rPr>
          <w:rFonts w:hint="default" w:ascii="Times New Roman" w:hAnsi="Times New Roman" w:eastAsia="仿宋_GB2312" w:cs="Times New Roman"/>
          <w:kern w:val="2"/>
          <w:sz w:val="32"/>
          <w:szCs w:val="32"/>
          <w:lang w:val="zh-CN"/>
        </w:rPr>
        <w:t>万元</w:t>
      </w:r>
      <w:r>
        <w:rPr>
          <w:rFonts w:hint="eastAsia" w:ascii="Times New Roman" w:hAnsi="Times New Roman" w:eastAsia="仿宋_GB2312" w:cs="Times New Roman"/>
          <w:kern w:val="2"/>
          <w:sz w:val="32"/>
          <w:szCs w:val="32"/>
          <w:lang w:val="zh-CN"/>
        </w:rPr>
        <w:t>，</w:t>
      </w:r>
      <w:r>
        <w:rPr>
          <w:rFonts w:hint="default" w:ascii="Times New Roman" w:hAnsi="Times New Roman" w:eastAsia="仿宋_GB2312" w:cs="Times New Roman"/>
          <w:color w:val="auto"/>
          <w:kern w:val="2"/>
          <w:sz w:val="32"/>
          <w:szCs w:val="32"/>
          <w:lang w:val="zh-CN" w:eastAsia="zh-CN" w:bidi="ar-SA"/>
        </w:rPr>
        <w:t>增长</w:t>
      </w:r>
      <w:r>
        <w:rPr>
          <w:rFonts w:hint="eastAsia" w:ascii="Times New Roman" w:hAnsi="Times New Roman" w:eastAsia="仿宋_GB2312" w:cs="Times New Roman"/>
          <w:color w:val="auto"/>
          <w:kern w:val="2"/>
          <w:sz w:val="32"/>
          <w:szCs w:val="32"/>
          <w:lang w:val="en-US" w:eastAsia="zh-CN" w:bidi="ar-SA"/>
        </w:rPr>
        <w:t>8.56</w:t>
      </w:r>
      <w:r>
        <w:rPr>
          <w:rFonts w:hint="default"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kern w:val="2"/>
          <w:sz w:val="32"/>
          <w:szCs w:val="32"/>
          <w:lang w:val="zh-CN"/>
        </w:rPr>
        <w:t>；本年支出 7,889.79</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元，比上年增加</w:t>
      </w:r>
      <w:r>
        <w:rPr>
          <w:rFonts w:hint="eastAsia" w:ascii="Times New Roman" w:hAnsi="Times New Roman" w:eastAsia="仿宋_GB2312" w:cs="Times New Roman"/>
          <w:kern w:val="2"/>
          <w:sz w:val="32"/>
          <w:szCs w:val="32"/>
          <w:lang w:val="en-US" w:eastAsia="zh-CN"/>
        </w:rPr>
        <w:t>626.17</w:t>
      </w:r>
      <w:r>
        <w:rPr>
          <w:rFonts w:hint="default" w:ascii="Times New Roman" w:hAnsi="Times New Roman" w:eastAsia="仿宋_GB2312" w:cs="Times New Roman"/>
          <w:kern w:val="2"/>
          <w:sz w:val="32"/>
          <w:szCs w:val="32"/>
          <w:lang w:val="zh-CN"/>
        </w:rPr>
        <w:t>万元，增长</w:t>
      </w:r>
      <w:r>
        <w:rPr>
          <w:rFonts w:hint="eastAsia" w:ascii="Times New Roman" w:hAnsi="Times New Roman" w:eastAsia="仿宋_GB2312" w:cs="Times New Roman"/>
          <w:kern w:val="2"/>
          <w:sz w:val="32"/>
          <w:szCs w:val="32"/>
          <w:lang w:val="en-US" w:eastAsia="zh-CN"/>
        </w:rPr>
        <w:t>8.62</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kern w:val="2"/>
          <w:sz w:val="32"/>
          <w:szCs w:val="32"/>
          <w:lang w:val="zh-CN"/>
        </w:rPr>
        <w:t>。</w:t>
      </w:r>
    </w:p>
    <w:p>
      <w:pPr>
        <w:adjustRightInd w:val="0"/>
        <w:snapToGrid w:val="0"/>
        <w:spacing w:line="580" w:lineRule="exact"/>
        <w:ind w:firstLine="643" w:firstLineChars="200"/>
        <w:rPr>
          <w:rFonts w:hint="eastAsia" w:ascii="仿宋_GB2312" w:eastAsia="仿宋_GB2312" w:cs="DengXian-Regular"/>
          <w:sz w:val="32"/>
          <w:szCs w:val="32"/>
          <w:lang w:bidi="ar-SA"/>
        </w:rPr>
      </w:pPr>
      <w:r>
        <w:rPr>
          <w:rFonts w:hint="eastAsia" w:ascii="仿宋_GB2312" w:hAnsi="Times New Roman" w:eastAsia="仿宋_GB2312" w:cs="DengXian-Regular"/>
          <w:b/>
          <w:bCs/>
          <w:sz w:val="32"/>
          <w:szCs w:val="32"/>
        </w:rPr>
        <w:t>2.</w:t>
      </w: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w:t>
      </w:r>
    </w:p>
    <w:p>
      <w:pPr>
        <w:adjustRightInd w:val="0"/>
        <w:snapToGrid w:val="0"/>
        <w:spacing w:line="580" w:lineRule="exact"/>
        <w:ind w:firstLine="643" w:firstLineChars="200"/>
        <w:rPr>
          <w:rFonts w:hint="eastAsia" w:ascii="仿宋_GB2312" w:eastAsia="仿宋_GB2312" w:cs="DengXian-Regular"/>
          <w:sz w:val="32"/>
          <w:szCs w:val="32"/>
          <w:lang w:bidi="ar-SA"/>
        </w:rPr>
      </w:pPr>
      <w:r>
        <w:rPr>
          <w:rFonts w:hint="eastAsia" w:ascii="仿宋_GB2312" w:hAnsi="Times New Roman" w:eastAsia="仿宋_GB2312" w:cs="DengXian-Regular"/>
          <w:b/>
          <w:bCs/>
          <w:sz w:val="32"/>
          <w:szCs w:val="32"/>
        </w:rPr>
        <w:t>3.</w:t>
      </w:r>
      <w:r>
        <w:rPr>
          <w:rFonts w:hint="eastAsia" w:ascii="仿宋_GB2312" w:hAnsi="Times New Roman" w:eastAsia="仿宋_GB2312" w:cs="DengXian-Regular"/>
          <w:sz w:val="32"/>
          <w:szCs w:val="32"/>
        </w:rPr>
        <w:t>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eastAsia="仿宋_GB2312" w:cs="Wingdings"/>
          <w:sz w:val="32"/>
          <w:szCs w:val="32"/>
          <w:lang w:eastAsia="zh-CN"/>
        </w:rPr>
        <w:pict>
          <v:shape id="Object 25" o:spid="_x0000_s1029" o:spt="75" type="#_x0000_t75" style="position:absolute;left:0pt;margin-left:47.35pt;margin-top:63.7pt;height:222.75pt;width:366.75pt;mso-wrap-distance-bottom:0pt;mso-wrap-distance-left:9pt;mso-wrap-distance-right:9pt;mso-wrap-distance-top:0pt;z-index:251700224;mso-width-relative:page;mso-height-relative:page;" o:ole="t" filled="f" o:preferrelative="t" stroked="f" coordsize="21600,21600">
            <v:path/>
            <v:fill on="f" focussize="0,0"/>
            <v:stroke on="f"/>
            <v:imagedata r:id="rId20" o:title=""/>
            <o:lock v:ext="edit" aspectratio="t"/>
            <w10:wrap type="square"/>
          </v:shape>
          <o:OLEObject Type="Embed" ProgID="Excel.Chart.8" ShapeID="Object 25" DrawAspect="Content" ObjectID="_1468075727" r:id="rId19">
            <o:LockedField>false</o:LockedField>
          </o:OLEObject>
        </w:pict>
      </w: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eastAsia="仿宋_GB2312" w:cs="Wingdings"/>
          <w:sz w:val="32"/>
          <w:szCs w:val="32"/>
          <w:highlight w:val="none"/>
          <w:lang w:eastAsia="zh-CN"/>
        </w:rPr>
        <w:pict>
          <v:shape id="Object 26" o:spid="_x0000_s1030" o:spt="75" type="#_x0000_t75" style="position:absolute;left:0pt;margin-left:31.5pt;margin-top:186.35pt;height:222.75pt;width:366.75pt;mso-wrap-distance-bottom:0pt;mso-wrap-distance-left:9pt;mso-wrap-distance-right:9pt;mso-wrap-distance-top:0pt;z-index:251712512;mso-width-relative:page;mso-height-relative:page;" o:ole="t" filled="f" o:preferrelative="t" stroked="f" coordsize="21600,21600">
            <v:path/>
            <v:fill on="f" focussize="0,0"/>
            <v:stroke on="f"/>
            <v:imagedata r:id="rId22" o:title=""/>
            <o:lock v:ext="edit" aspectratio="t"/>
            <w10:wrap type="square"/>
          </v:shape>
          <o:OLEObject Type="Embed" ProgID="Excel.Chart.8" ShapeID="Object 26" DrawAspect="Content" ObjectID="_1468075728" r:id="rId21">
            <o:LockedField>false</o:LockedField>
          </o:OLEObject>
        </w:pict>
      </w: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年度财政拨款本年收入7,855.63万元，完成年初预算的101.76%，比年初预算增加</w:t>
      </w:r>
      <w:r>
        <w:rPr>
          <w:rFonts w:hint="eastAsia" w:ascii="Times New Roman" w:hAnsi="Times New Roman" w:eastAsia="仿宋_GB2312" w:cs="Times New Roman"/>
          <w:color w:val="auto"/>
          <w:kern w:val="2"/>
          <w:sz w:val="32"/>
          <w:szCs w:val="32"/>
          <w:lang w:val="en-US" w:eastAsia="zh-CN" w:bidi="ar-SA"/>
        </w:rPr>
        <w:t>98.08</w:t>
      </w:r>
      <w:r>
        <w:rPr>
          <w:rFonts w:hint="default" w:ascii="Times New Roman" w:hAnsi="Times New Roman" w:eastAsia="仿宋_GB2312" w:cs="Times New Roman"/>
          <w:color w:val="auto"/>
          <w:kern w:val="2"/>
          <w:sz w:val="32"/>
          <w:szCs w:val="32"/>
          <w:lang w:val="zh-CN" w:eastAsia="zh-CN" w:bidi="ar-SA"/>
        </w:rPr>
        <w:t>万元，决算数大于预算数主要原因是</w:t>
      </w:r>
      <w:r>
        <w:rPr>
          <w:rFonts w:hint="eastAsia" w:ascii="仿宋_GB2312" w:hAnsi="Times New Roman" w:eastAsia="仿宋_GB2312" w:cs="DengXian-Regular"/>
          <w:sz w:val="32"/>
          <w:szCs w:val="32"/>
          <w:lang w:eastAsia="zh-CN"/>
        </w:rPr>
        <w:t>上级专款在年初未下达没有列入预算</w:t>
      </w:r>
      <w:r>
        <w:rPr>
          <w:rFonts w:hint="default" w:ascii="Times New Roman" w:hAnsi="Times New Roman" w:eastAsia="仿宋_GB2312" w:cs="Times New Roman"/>
          <w:color w:val="auto"/>
          <w:kern w:val="2"/>
          <w:sz w:val="32"/>
          <w:szCs w:val="32"/>
          <w:lang w:val="zh-CN" w:eastAsia="zh-CN" w:bidi="ar-SA"/>
        </w:rPr>
        <w:t>；本年支出7,889.79万元，完成年初预算的102.2</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%，比年初预算增加</w:t>
      </w:r>
      <w:r>
        <w:rPr>
          <w:rFonts w:hint="eastAsia" w:ascii="Times New Roman" w:hAnsi="Times New Roman" w:eastAsia="仿宋_GB2312" w:cs="Times New Roman"/>
          <w:color w:val="auto"/>
          <w:kern w:val="2"/>
          <w:sz w:val="32"/>
          <w:szCs w:val="32"/>
          <w:lang w:val="en-US" w:eastAsia="zh-CN" w:bidi="ar-SA"/>
        </w:rPr>
        <w:t>169.98</w:t>
      </w:r>
      <w:r>
        <w:rPr>
          <w:rFonts w:hint="default" w:ascii="Times New Roman" w:hAnsi="Times New Roman" w:eastAsia="仿宋_GB2312" w:cs="Times New Roman"/>
          <w:color w:val="auto"/>
          <w:kern w:val="2"/>
          <w:sz w:val="32"/>
          <w:szCs w:val="32"/>
          <w:lang w:val="zh-CN" w:eastAsia="zh-CN" w:bidi="ar-SA"/>
        </w:rPr>
        <w:t>万元，决算数</w:t>
      </w:r>
      <w:r>
        <w:rPr>
          <w:rFonts w:hint="default" w:ascii="Times New Roman" w:hAnsi="Times New Roman" w:eastAsia="仿宋_GB2312" w:cs="Times New Roman"/>
          <w:kern w:val="2"/>
          <w:sz w:val="32"/>
          <w:szCs w:val="32"/>
          <w:lang w:val="zh-CN"/>
        </w:rPr>
        <w:t>大于预算数主要原因是</w:t>
      </w:r>
      <w:r>
        <w:rPr>
          <w:rFonts w:hint="eastAsia" w:ascii="仿宋_GB2312" w:hAnsi="Times New Roman" w:eastAsia="仿宋_GB2312" w:cs="DengXian-Regular"/>
          <w:sz w:val="32"/>
          <w:szCs w:val="32"/>
          <w:lang w:eastAsia="zh-CN"/>
        </w:rPr>
        <w:t>上级专款在年初未下达没有列入预算</w:t>
      </w:r>
      <w:r>
        <w:rPr>
          <w:rFonts w:hint="default" w:ascii="Times New Roman" w:hAnsi="Times New Roman" w:eastAsia="仿宋_GB2312" w:cs="Times New Roman"/>
          <w:kern w:val="2"/>
          <w:sz w:val="32"/>
          <w:szCs w:val="32"/>
          <w:lang w:val="zh-CN"/>
        </w:rPr>
        <w:t>。具体情况如下：</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val="zh-CN"/>
        </w:rPr>
        <w:t>一般公共预算财政拨款</w:t>
      </w:r>
      <w:r>
        <w:rPr>
          <w:rFonts w:hint="default" w:ascii="Times New Roman" w:hAnsi="Times New Roman" w:eastAsia="仿宋_GB2312" w:cs="Times New Roman"/>
          <w:kern w:val="2"/>
          <w:sz w:val="32"/>
          <w:szCs w:val="32"/>
          <w:lang w:val="en-US" w:eastAsia="zh-CN"/>
        </w:rPr>
        <w:t>本年</w:t>
      </w:r>
      <w:r>
        <w:rPr>
          <w:rFonts w:hint="default" w:ascii="Times New Roman" w:hAnsi="Times New Roman" w:eastAsia="仿宋_GB2312" w:cs="Times New Roman"/>
          <w:kern w:val="2"/>
          <w:sz w:val="32"/>
          <w:szCs w:val="32"/>
          <w:lang w:val="zh-CN"/>
        </w:rPr>
        <w:t>收入7,855.63万元，完成年初预算的 101.76%，比年初预算增加</w:t>
      </w:r>
      <w:r>
        <w:rPr>
          <w:rFonts w:hint="eastAsia" w:ascii="Times New Roman" w:hAnsi="Times New Roman" w:eastAsia="仿宋_GB2312" w:cs="Times New Roman"/>
          <w:kern w:val="2"/>
          <w:sz w:val="32"/>
          <w:szCs w:val="32"/>
          <w:lang w:val="en-US" w:eastAsia="zh-CN"/>
        </w:rPr>
        <w:t>135.82</w:t>
      </w:r>
      <w:r>
        <w:rPr>
          <w:rFonts w:hint="default" w:ascii="Times New Roman" w:hAnsi="Times New Roman" w:eastAsia="仿宋_GB2312" w:cs="Times New Roman"/>
          <w:kern w:val="2"/>
          <w:sz w:val="32"/>
          <w:szCs w:val="32"/>
          <w:lang w:val="zh-CN"/>
        </w:rPr>
        <w:t>万元，主要原因是</w:t>
      </w:r>
      <w:r>
        <w:rPr>
          <w:rFonts w:hint="eastAsia" w:ascii="仿宋_GB2312" w:hAnsi="Times New Roman" w:eastAsia="仿宋_GB2312" w:cs="DengXian-Regular"/>
          <w:sz w:val="32"/>
          <w:szCs w:val="32"/>
          <w:lang w:eastAsia="zh-CN"/>
        </w:rPr>
        <w:t>上级专款在年初未下达没有列入预算</w:t>
      </w:r>
      <w:r>
        <w:rPr>
          <w:rFonts w:hint="default" w:ascii="Times New Roman" w:hAnsi="Times New Roman" w:eastAsia="仿宋_GB2312" w:cs="Times New Roman"/>
          <w:kern w:val="2"/>
          <w:sz w:val="32"/>
          <w:szCs w:val="32"/>
          <w:lang w:val="zh-CN"/>
        </w:rPr>
        <w:t>；本年支出7,889.79万元，完成年初预算的102.2</w:t>
      </w:r>
      <w:r>
        <w:rPr>
          <w:rFonts w:hint="eastAsia" w:ascii="Times New Roman" w:hAnsi="Times New Roman" w:eastAsia="仿宋_GB2312" w:cs="Times New Roman"/>
          <w:kern w:val="2"/>
          <w:sz w:val="32"/>
          <w:szCs w:val="32"/>
          <w:lang w:val="en-US" w:eastAsia="zh-CN"/>
        </w:rPr>
        <w:t>0</w:t>
      </w:r>
      <w:r>
        <w:rPr>
          <w:rFonts w:hint="default" w:ascii="Times New Roman" w:hAnsi="Times New Roman" w:eastAsia="仿宋_GB2312" w:cs="Times New Roman"/>
          <w:kern w:val="2"/>
          <w:sz w:val="32"/>
          <w:szCs w:val="32"/>
          <w:lang w:val="zh-CN"/>
        </w:rPr>
        <w:t>%，比年初预算增加</w:t>
      </w:r>
      <w:r>
        <w:rPr>
          <w:rFonts w:hint="eastAsia" w:ascii="Times New Roman" w:hAnsi="Times New Roman" w:eastAsia="仿宋_GB2312" w:cs="Times New Roman"/>
          <w:kern w:val="2"/>
          <w:sz w:val="32"/>
          <w:szCs w:val="32"/>
          <w:lang w:val="en-US" w:eastAsia="zh-CN"/>
        </w:rPr>
        <w:t>169.98</w:t>
      </w:r>
      <w:r>
        <w:rPr>
          <w:rFonts w:hint="default" w:ascii="Times New Roman" w:hAnsi="Times New Roman" w:eastAsia="仿宋_GB2312" w:cs="Times New Roman"/>
          <w:kern w:val="2"/>
          <w:sz w:val="32"/>
          <w:szCs w:val="32"/>
          <w:lang w:val="zh-CN"/>
        </w:rPr>
        <w:t>万元，主要原因是</w:t>
      </w:r>
      <w:r>
        <w:rPr>
          <w:rFonts w:hint="eastAsia" w:ascii="仿宋_GB2312" w:hAnsi="Times New Roman" w:eastAsia="仿宋_GB2312" w:cs="DengXian-Regular"/>
          <w:sz w:val="32"/>
          <w:szCs w:val="32"/>
          <w:lang w:eastAsia="zh-CN"/>
        </w:rPr>
        <w:t>上级专款在年初未下达没有列入预算</w:t>
      </w:r>
      <w:r>
        <w:rPr>
          <w:rFonts w:hint="default" w:ascii="Times New Roman" w:hAnsi="Times New Roman" w:eastAsia="仿宋_GB2312" w:cs="Times New Roman"/>
          <w:kern w:val="2"/>
          <w:sz w:val="32"/>
          <w:szCs w:val="32"/>
          <w:lang w:val="zh-CN"/>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eastAsia="仿宋_GB2312" w:cs="DengXian-Regular"/>
          <w:sz w:val="32"/>
          <w:szCs w:val="32"/>
          <w:lang w:eastAsia="zh-CN" w:bidi="ar-SA"/>
        </w:rPr>
        <w:t>无</w:t>
      </w:r>
      <w:r>
        <w:rPr>
          <w:rFonts w:hint="eastAsia" w:ascii="仿宋_GB2312" w:eastAsia="仿宋_GB2312" w:cs="DengXian-Regular"/>
          <w:sz w:val="32"/>
          <w:szCs w:val="32"/>
          <w:lang w:bidi="ar-SA"/>
        </w:rPr>
        <w:t>政府性基金预算财政拨款收入。</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hAnsi="Times New Roman" w:eastAsia="仿宋_GB2312" w:cs="DengXian-Regular"/>
          <w:sz w:val="32"/>
          <w:szCs w:val="32"/>
        </w:rPr>
        <w:t>3.</w:t>
      </w:r>
      <w:r>
        <w:rPr>
          <w:rFonts w:hint="eastAsia" w:ascii="仿宋_GB2312" w:eastAsia="仿宋_GB2312" w:cs="DengXian-Regular"/>
          <w:sz w:val="32"/>
          <w:szCs w:val="32"/>
          <w:lang w:eastAsia="zh-CN" w:bidi="ar-SA"/>
        </w:rPr>
        <w:t>无</w:t>
      </w:r>
      <w:r>
        <w:rPr>
          <w:rFonts w:hint="eastAsia" w:ascii="仿宋_GB2312" w:eastAsia="仿宋_GB2312" w:cs="DengXian-Regular"/>
          <w:sz w:val="32"/>
          <w:szCs w:val="32"/>
          <w:lang w:bidi="ar-SA"/>
        </w:rPr>
        <w:t>国有资本经营预算财政拨款收入。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kern w:val="2"/>
          <w:sz w:val="32"/>
          <w:szCs w:val="32"/>
          <w:lang w:val="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zh-CN"/>
        </w:rPr>
        <w:t>年度财政拨款支出7,889.79万元，主要用于以下方面：</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default" w:ascii="Times New Roman" w:hAnsi="Times New Roman" w:eastAsia="仿宋_GB2312" w:cs="Times New Roman"/>
          <w:color w:val="auto"/>
          <w:kern w:val="2"/>
          <w:sz w:val="32"/>
          <w:szCs w:val="32"/>
          <w:lang w:val="zh-CN" w:eastAsia="zh-CN" w:bidi="ar-SA"/>
        </w:rPr>
        <w:t>社会保障和就业 （类）支出7,558.45万元，占95.8</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优抚对象各项补助资金</w:t>
      </w:r>
      <w:r>
        <w:rPr>
          <w:rFonts w:hint="eastAsia" w:ascii="仿宋_GB2312" w:eastAsia="仿宋_GB2312" w:cs="DengXian-Regular"/>
          <w:sz w:val="32"/>
          <w:szCs w:val="32"/>
          <w:lang w:bidi="ar-SA"/>
        </w:rPr>
        <w:t>等支出</w:t>
      </w:r>
      <w:r>
        <w:rPr>
          <w:rFonts w:hint="default" w:ascii="Times New Roman" w:hAnsi="Times New Roman" w:eastAsia="仿宋_GB2312" w:cs="Times New Roman"/>
          <w:color w:val="auto"/>
          <w:kern w:val="2"/>
          <w:sz w:val="32"/>
          <w:szCs w:val="32"/>
          <w:lang w:val="zh-CN" w:eastAsia="zh-CN" w:bidi="ar-SA"/>
        </w:rPr>
        <w:t>；卫生健康（类）支出307.83万元，占3.9</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优抚对象医疗补助资金</w:t>
      </w:r>
      <w:r>
        <w:rPr>
          <w:rFonts w:hint="eastAsia" w:ascii="仿宋_GB2312" w:eastAsia="仿宋_GB2312" w:cs="DengXian-Regular"/>
          <w:sz w:val="32"/>
          <w:szCs w:val="32"/>
          <w:lang w:bidi="ar-SA"/>
        </w:rPr>
        <w:t>等支出</w:t>
      </w:r>
      <w:r>
        <w:rPr>
          <w:rFonts w:hint="default" w:ascii="Times New Roman" w:hAnsi="Times New Roman" w:eastAsia="仿宋_GB2312" w:cs="Times New Roman"/>
          <w:color w:val="auto"/>
          <w:kern w:val="2"/>
          <w:sz w:val="32"/>
          <w:szCs w:val="32"/>
          <w:lang w:val="zh-CN" w:eastAsia="zh-CN" w:bidi="ar-SA"/>
        </w:rPr>
        <w:t>；住房保障（类）支出23.51万元，占0.3</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住房公积金支出</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仿宋_GB2312" w:hAnsi="Times New Roman" w:eastAsia="仿宋_GB2312" w:cs="DengXian-Regular"/>
          <w:kern w:val="2"/>
          <w:sz w:val="32"/>
          <w:szCs w:val="32"/>
          <w:lang w:val="zh-CN" w:eastAsia="zh-CN" w:bidi="ar-SA"/>
        </w:rPr>
      </w:pPr>
      <w:r>
        <w:rPr>
          <w:rFonts w:hint="default" w:ascii="仿宋_GB2312" w:hAnsi="Times New Roman" w:eastAsia="仿宋_GB2312" w:cs="DengXian-Regular"/>
          <w:kern w:val="2"/>
          <w:sz w:val="32"/>
          <w:szCs w:val="32"/>
          <w:lang w:val="zh-CN" w:eastAsia="zh-CN" w:bidi="ar-SA"/>
        </w:rPr>
        <w:t>202</w:t>
      </w:r>
      <w:r>
        <w:rPr>
          <w:rFonts w:hint="default" w:ascii="仿宋_GB2312" w:hAnsi="Times New Roman" w:eastAsia="仿宋_GB2312" w:cs="DengXian-Regular"/>
          <w:kern w:val="2"/>
          <w:sz w:val="32"/>
          <w:szCs w:val="32"/>
          <w:lang w:val="en-US" w:eastAsia="zh-CN" w:bidi="ar-SA"/>
        </w:rPr>
        <w:t>3</w:t>
      </w:r>
      <w:r>
        <w:rPr>
          <w:rFonts w:hint="default" w:ascii="仿宋_GB2312" w:hAnsi="Times New Roman" w:eastAsia="仿宋_GB2312" w:cs="DengXian-Regular"/>
          <w:kern w:val="2"/>
          <w:sz w:val="32"/>
          <w:szCs w:val="32"/>
          <w:lang w:val="zh-CN" w:eastAsia="zh-CN" w:bidi="ar-SA"/>
        </w:rPr>
        <w:t>年度财政拨款基本支出425.78万元，其中：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仿宋_GB2312" w:hAnsi="Times New Roman" w:eastAsia="仿宋_GB2312" w:cs="DengXian-Regular"/>
          <w:kern w:val="2"/>
          <w:sz w:val="32"/>
          <w:szCs w:val="32"/>
          <w:lang w:val="en-US" w:eastAsia="zh-CN" w:bidi="ar-SA"/>
        </w:rPr>
      </w:pPr>
      <w:r>
        <w:rPr>
          <w:rFonts w:hint="default" w:ascii="仿宋_GB2312" w:hAnsi="Times New Roman" w:eastAsia="仿宋_GB2312" w:cs="DengXian-Regular"/>
          <w:kern w:val="2"/>
          <w:sz w:val="32"/>
          <w:szCs w:val="32"/>
          <w:lang w:val="zh-CN" w:eastAsia="zh-CN" w:bidi="ar-SA"/>
        </w:rPr>
        <w:t>人员经费375.97万元，主要包括基本工资、津贴补贴、奖金、伙食补助费、绩效工资、机关事业部门基本养老保险缴费、职业年金缴费、职工基本医疗保险缴费、公务员医疗补助缴费、住房公积金、医疗费、其他社会保障缴费、其他工资福利支出、 退休费、 抚恤金、生活补助、医疗费补助、奖励金、其他对</w:t>
      </w:r>
      <w:r>
        <w:rPr>
          <w:rFonts w:hint="default" w:ascii="仿宋_GB2312" w:hAnsi="Times New Roman" w:eastAsia="仿宋_GB2312" w:cs="DengXian-Regular"/>
          <w:kern w:val="2"/>
          <w:sz w:val="32"/>
          <w:szCs w:val="32"/>
          <w:lang w:val="en-US" w:eastAsia="zh-CN" w:bidi="ar-SA"/>
        </w:rPr>
        <w:t>个人和家庭</w:t>
      </w:r>
      <w:r>
        <w:rPr>
          <w:rFonts w:hint="default" w:ascii="仿宋_GB2312" w:hAnsi="Times New Roman" w:eastAsia="仿宋_GB2312" w:cs="DengXian-Regular"/>
          <w:kern w:val="2"/>
          <w:sz w:val="32"/>
          <w:szCs w:val="32"/>
          <w:lang w:val="zh-CN" w:eastAsia="zh-CN" w:bidi="ar-SA"/>
        </w:rPr>
        <w:t>的补助支出。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DengXian-Regular"/>
          <w:kern w:val="2"/>
          <w:sz w:val="32"/>
          <w:szCs w:val="32"/>
          <w:lang w:val="en-US" w:eastAsia="zh-CN" w:bidi="ar-SA"/>
        </w:rPr>
      </w:pPr>
      <w:r>
        <w:rPr>
          <w:rFonts w:hint="default" w:ascii="仿宋_GB2312" w:hAnsi="Times New Roman" w:eastAsia="仿宋_GB2312" w:cs="DengXian-Regular"/>
          <w:kern w:val="2"/>
          <w:sz w:val="32"/>
          <w:szCs w:val="32"/>
          <w:lang w:val="en-US" w:eastAsia="zh-CN" w:bidi="ar-SA"/>
        </w:rPr>
        <w:t xml:space="preserve">    </w:t>
      </w:r>
      <w:r>
        <w:rPr>
          <w:rFonts w:hint="default" w:ascii="仿宋_GB2312" w:hAnsi="Times New Roman" w:eastAsia="仿宋_GB2312" w:cs="DengXian-Regular"/>
          <w:kern w:val="2"/>
          <w:sz w:val="32"/>
          <w:szCs w:val="32"/>
          <w:lang w:val="zh-CN" w:eastAsia="zh-CN" w:bidi="ar-SA"/>
        </w:rPr>
        <w:t>公用经费49.81万元，主要包括办公费、印刷费、咨询费、手续费、水费、电费、邮电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年度“三公”经费财政拨款支出预算为4.67万元，支出决算为 4.67万元，完成预算的 100%，</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预算</w:t>
      </w:r>
      <w:r>
        <w:rPr>
          <w:rFonts w:hint="eastAsia" w:ascii="Times New Roman" w:hAnsi="Times New Roman" w:eastAsia="仿宋_GB2312" w:cs="Times New Roman"/>
          <w:color w:val="auto"/>
          <w:kern w:val="2"/>
          <w:sz w:val="32"/>
          <w:szCs w:val="32"/>
          <w:lang w:val="zh-CN" w:eastAsia="zh-CN" w:bidi="ar-SA"/>
        </w:rPr>
        <w:t>持平</w:t>
      </w:r>
      <w:r>
        <w:rPr>
          <w:rFonts w:hint="default" w:ascii="Times New Roman" w:hAnsi="Times New Roman" w:eastAsia="仿宋_GB2312" w:cs="Times New Roman"/>
          <w:color w:val="auto"/>
          <w:kern w:val="2"/>
          <w:sz w:val="32"/>
          <w:szCs w:val="32"/>
          <w:lang w:val="zh-CN" w:eastAsia="zh-CN" w:bidi="ar-SA"/>
        </w:rPr>
        <w:t>；较2022年度决算增加</w:t>
      </w:r>
      <w:r>
        <w:rPr>
          <w:rFonts w:hint="eastAsia" w:ascii="Times New Roman" w:hAnsi="Times New Roman" w:eastAsia="仿宋_GB2312" w:cs="Times New Roman"/>
          <w:color w:val="auto"/>
          <w:kern w:val="2"/>
          <w:sz w:val="32"/>
          <w:szCs w:val="32"/>
          <w:lang w:val="en-US" w:eastAsia="zh-CN" w:bidi="ar-SA"/>
        </w:rPr>
        <w:t>0.56</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13.63</w:t>
      </w:r>
      <w:r>
        <w:rPr>
          <w:rFonts w:hint="default" w:ascii="Times New Roman" w:hAnsi="Times New Roman" w:eastAsia="仿宋_GB2312" w:cs="Times New Roman"/>
          <w:color w:val="auto"/>
          <w:kern w:val="2"/>
          <w:sz w:val="32"/>
          <w:szCs w:val="32"/>
          <w:lang w:val="zh-CN" w:eastAsia="zh-CN" w:bidi="ar-SA"/>
        </w:rPr>
        <w:t>%，主要是</w:t>
      </w:r>
      <w:r>
        <w:rPr>
          <w:rFonts w:hint="eastAsia" w:ascii="仿宋_GB2312" w:hAnsi="Times New Roman" w:eastAsia="仿宋_GB2312" w:cs="DengXian-Regular"/>
          <w:sz w:val="32"/>
          <w:szCs w:val="32"/>
          <w:lang w:eastAsia="zh-CN"/>
        </w:rPr>
        <w:t>公务用车运行维护费增加</w:t>
      </w:r>
      <w:r>
        <w:rPr>
          <w:rFonts w:hint="default" w:ascii="Times New Roman" w:hAnsi="Times New Roman" w:eastAsia="仿宋_GB2312" w:cs="Times New Roman"/>
          <w:color w:val="auto"/>
          <w:kern w:val="2"/>
          <w:sz w:val="32"/>
          <w:szCs w:val="32"/>
          <w:lang w:val="zh-CN" w:eastAsia="zh-CN" w:bidi="ar-SA"/>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hint="default" w:ascii="Times New Roman" w:hAnsi="Times New Roman" w:eastAsia="仿宋_GB2312" w:cs="Times New Roman"/>
          <w:color w:val="auto"/>
          <w:kern w:val="2"/>
          <w:sz w:val="32"/>
          <w:szCs w:val="32"/>
          <w:lang w:val="en-US" w:eastAsia="zh-CN" w:bidi="ar-SA"/>
        </w:rPr>
      </w:pPr>
      <w:r>
        <w:rPr>
          <w:rFonts w:hint="eastAsia" w:ascii="楷体_GB2312" w:hAnsi="Times New Roman" w:eastAsia="楷体_GB2312" w:cs="DengXian-Bold"/>
          <w:b/>
          <w:bCs/>
          <w:sz w:val="32"/>
          <w:szCs w:val="32"/>
        </w:rPr>
        <w:t>1.因公出国（境）费支出情况。</w:t>
      </w:r>
      <w:r>
        <w:rPr>
          <w:rFonts w:hint="default" w:ascii="Times New Roman" w:hAnsi="Times New Roman" w:eastAsia="仿宋_GB2312" w:cs="Times New Roman"/>
          <w:color w:val="auto"/>
          <w:kern w:val="2"/>
          <w:sz w:val="32"/>
          <w:szCs w:val="32"/>
          <w:lang w:val="zh-CN" w:eastAsia="zh-CN" w:bidi="ar-SA"/>
        </w:rPr>
        <w:t>本单位</w:t>
      </w:r>
      <w:r>
        <w:rPr>
          <w:rFonts w:hint="default" w:ascii="Times New Roman" w:hAnsi="Times New Roman" w:eastAsia="仿宋_GB2312" w:cs="Times New Roman"/>
          <w:color w:val="auto"/>
          <w:kern w:val="2"/>
          <w:sz w:val="32"/>
          <w:szCs w:val="32"/>
          <w:lang w:val="en-US" w:eastAsia="zh-CN" w:bidi="ar-SA"/>
        </w:rPr>
        <w:t>2023年度因公出国（境）费支出预算为0万元,支出决算0万元。完成预算的0</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无本单位组织的出国（境）团组。</w:t>
      </w:r>
    </w:p>
    <w:p>
      <w:pPr>
        <w:keepNext w:val="0"/>
        <w:keepLines w:val="0"/>
        <w:pageBreakBefore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eastAsia" w:ascii="楷体_GB2312" w:hAnsi="Times New Roman" w:eastAsia="楷体_GB2312" w:cs="DengXian-Bold"/>
          <w:b/>
          <w:bCs/>
          <w:sz w:val="32"/>
          <w:szCs w:val="32"/>
        </w:rPr>
        <w:t>2.公务用车购置及运行维护费支出情况。</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年度公务用车购置及运行维护费预算为4.55万元，支出决算 4.55万元，完成预算的100%,</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预算</w:t>
      </w:r>
      <w:r>
        <w:rPr>
          <w:rFonts w:hint="eastAsia" w:ascii="Times New Roman" w:hAnsi="Times New Roman" w:eastAsia="仿宋_GB2312" w:cs="Times New Roman"/>
          <w:color w:val="auto"/>
          <w:kern w:val="2"/>
          <w:sz w:val="32"/>
          <w:szCs w:val="32"/>
          <w:lang w:val="zh-CN" w:eastAsia="zh-CN" w:bidi="ar-SA"/>
        </w:rPr>
        <w:t>持平</w:t>
      </w:r>
      <w:r>
        <w:rPr>
          <w:rFonts w:hint="default" w:ascii="Times New Roman" w:hAnsi="Times New Roman" w:eastAsia="仿宋_GB2312" w:cs="Times New Roman"/>
          <w:color w:val="auto"/>
          <w:kern w:val="2"/>
          <w:sz w:val="32"/>
          <w:szCs w:val="32"/>
          <w:lang w:val="zh-CN" w:eastAsia="zh-CN" w:bidi="ar-SA"/>
        </w:rPr>
        <w:t>；较上年增加</w:t>
      </w:r>
      <w:r>
        <w:rPr>
          <w:rFonts w:hint="eastAsia" w:ascii="Times New Roman" w:hAnsi="Times New Roman" w:eastAsia="仿宋_GB2312" w:cs="Times New Roman"/>
          <w:color w:val="auto"/>
          <w:kern w:val="2"/>
          <w:sz w:val="32"/>
          <w:szCs w:val="32"/>
          <w:lang w:val="en-US" w:eastAsia="zh-CN" w:bidi="ar-SA"/>
        </w:rPr>
        <w:t>0.55</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13.75</w:t>
      </w:r>
      <w:r>
        <w:rPr>
          <w:rFonts w:hint="default" w:ascii="Times New Roman" w:hAnsi="Times New Roman" w:eastAsia="仿宋_GB2312" w:cs="Times New Roman"/>
          <w:color w:val="auto"/>
          <w:kern w:val="2"/>
          <w:sz w:val="32"/>
          <w:szCs w:val="32"/>
          <w:lang w:val="zh-CN" w:eastAsia="zh-CN" w:bidi="ar-SA"/>
        </w:rPr>
        <w:t>%,主要是</w:t>
      </w:r>
      <w:r>
        <w:rPr>
          <w:rFonts w:hint="eastAsia" w:ascii="仿宋_GB2312" w:hAnsi="Times New Roman" w:eastAsia="仿宋_GB2312" w:cs="DengXian-Regular"/>
          <w:sz w:val="32"/>
          <w:szCs w:val="32"/>
          <w:lang w:eastAsia="zh-CN"/>
        </w:rPr>
        <w:t>公务用车运行维护费增加</w:t>
      </w:r>
      <w:r>
        <w:rPr>
          <w:rFonts w:hint="default" w:ascii="Times New Roman" w:hAnsi="Times New Roman" w:eastAsia="仿宋_GB2312" w:cs="Times New Roman"/>
          <w:color w:val="auto"/>
          <w:kern w:val="2"/>
          <w:sz w:val="32"/>
          <w:szCs w:val="32"/>
          <w:lang w:val="zh-CN" w:eastAsia="zh-CN" w:bidi="ar-SA"/>
        </w:rPr>
        <w:t>。其中：</w:t>
      </w:r>
    </w:p>
    <w:p>
      <w:pPr>
        <w:adjustRightInd w:val="0"/>
        <w:snapToGrid w:val="0"/>
        <w:spacing w:line="580" w:lineRule="exact"/>
        <w:ind w:firstLine="643" w:firstLineChars="200"/>
        <w:rPr>
          <w:rFonts w:hint="eastAsia" w:ascii="仿宋_GB2312" w:eastAsia="仿宋_GB2312" w:cs="DengXian-Regular"/>
          <w:sz w:val="32"/>
          <w:szCs w:val="32"/>
          <w:highlight w:val="none"/>
          <w:lang w:bidi="ar-SA"/>
        </w:rPr>
      </w:pPr>
      <w:r>
        <w:rPr>
          <w:rFonts w:hint="default" w:ascii="Times New Roman" w:hAnsi="Times New Roman" w:eastAsia="仿宋_GB2312" w:cs="Times New Roman"/>
          <w:b/>
          <w:sz w:val="32"/>
          <w:szCs w:val="32"/>
        </w:rPr>
        <w:t>公务用车购置费支出</w:t>
      </w:r>
      <w:r>
        <w:rPr>
          <w:rFonts w:hint="eastAsia" w:ascii="Times New Roman" w:hAnsi="Times New Roman" w:eastAsia="楷体_GB2312" w:cs="Times New Roman"/>
          <w:b/>
          <w:bCs/>
          <w:sz w:val="32"/>
          <w:szCs w:val="32"/>
          <w:lang w:val="en-US" w:eastAsia="zh-CN"/>
        </w:rPr>
        <w:t>0</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年度公务用车购置量0辆，发生“公务用车购置”经费支出 0万元。</w:t>
      </w:r>
      <w:r>
        <w:rPr>
          <w:rFonts w:hint="eastAsia" w:ascii="仿宋_GB2312" w:eastAsia="仿宋_GB2312" w:cs="DengXian-Regular"/>
          <w:color w:val="000000"/>
          <w:sz w:val="32"/>
          <w:szCs w:val="32"/>
          <w:highlight w:val="none"/>
          <w:lang w:bidi="ar-SA"/>
        </w:rPr>
        <w:t>未发生‘公务用车购置’经费支出</w:t>
      </w:r>
      <w:r>
        <w:rPr>
          <w:rFonts w:hint="eastAsia" w:ascii="仿宋_GB2312" w:eastAsia="仿宋_GB2312" w:cs="DengXian-Regular"/>
          <w:sz w:val="32"/>
          <w:szCs w:val="32"/>
          <w:highlight w:val="none"/>
          <w:lang w:bidi="ar-SA"/>
        </w:rPr>
        <w:t>。</w:t>
      </w:r>
    </w:p>
    <w:p>
      <w:pPr>
        <w:adjustRightInd w:val="0"/>
        <w:snapToGrid w:val="0"/>
        <w:spacing w:line="580" w:lineRule="exact"/>
        <w:ind w:firstLine="643" w:firstLineChars="200"/>
        <w:rPr>
          <w:rFonts w:hint="eastAsia" w:ascii="仿宋_GB2312" w:hAnsi="Times New Roman" w:eastAsia="仿宋_GB2312" w:cs="DengXian-Regular"/>
          <w:b/>
          <w:sz w:val="32"/>
          <w:szCs w:val="32"/>
        </w:rPr>
      </w:pPr>
      <w:r>
        <w:rPr>
          <w:rFonts w:hint="default"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4.55</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年度单位公务用车保有量2辆，发生运行维护费支出4.55万元。公车运行维护费支出</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预算</w:t>
      </w:r>
      <w:r>
        <w:rPr>
          <w:rFonts w:hint="eastAsia" w:ascii="Times New Roman" w:hAnsi="Times New Roman" w:eastAsia="仿宋_GB2312" w:cs="Times New Roman"/>
          <w:color w:val="auto"/>
          <w:kern w:val="2"/>
          <w:sz w:val="32"/>
          <w:szCs w:val="32"/>
          <w:lang w:val="zh-CN" w:eastAsia="zh-CN" w:bidi="ar-SA"/>
        </w:rPr>
        <w:t>持平</w:t>
      </w:r>
      <w:r>
        <w:rPr>
          <w:rFonts w:hint="default" w:ascii="Times New Roman" w:hAnsi="Times New Roman" w:eastAsia="仿宋_GB2312" w:cs="Times New Roman"/>
          <w:color w:val="auto"/>
          <w:kern w:val="2"/>
          <w:sz w:val="32"/>
          <w:szCs w:val="32"/>
          <w:lang w:val="zh-CN" w:eastAsia="zh-CN" w:bidi="ar-SA"/>
        </w:rPr>
        <w:t>。</w:t>
      </w:r>
    </w:p>
    <w:p>
      <w:pPr>
        <w:numPr>
          <w:ilvl w:val="0"/>
          <w:numId w:val="4"/>
        </w:numPr>
        <w:adjustRightInd w:val="0"/>
        <w:snapToGrid w:val="0"/>
        <w:spacing w:line="580" w:lineRule="exact"/>
        <w:ind w:firstLine="643" w:firstLineChars="200"/>
        <w:rPr>
          <w:rFonts w:hint="default" w:ascii="Times New Roman" w:hAnsi="Times New Roman" w:eastAsia="仿宋_GB2312" w:cs="Times New Roman"/>
          <w:color w:val="auto"/>
          <w:kern w:val="2"/>
          <w:sz w:val="32"/>
          <w:szCs w:val="32"/>
          <w:lang w:val="zh-CN" w:eastAsia="zh-CN" w:bidi="ar-SA"/>
        </w:rPr>
      </w:pPr>
      <w:r>
        <w:rPr>
          <w:rFonts w:hint="eastAsia" w:ascii="楷体_GB2312" w:hAnsi="Times New Roman" w:eastAsia="楷体_GB2312" w:cs="DengXian-Bold"/>
          <w:b/>
          <w:bCs/>
          <w:sz w:val="32"/>
          <w:szCs w:val="32"/>
        </w:rPr>
        <w:t>公务接待费支出情况。</w:t>
      </w: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年度公务接待费支出预算为0.13万元，支出决算0.13万元，完成预算的</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zh-CN" w:eastAsia="zh-CN" w:bidi="ar-SA"/>
        </w:rPr>
        <w:t>%。公务接待费支出较预算减少</w:t>
      </w:r>
      <w:r>
        <w:rPr>
          <w:rFonts w:hint="eastAsia" w:ascii="Times New Roman" w:hAnsi="Times New Roman" w:eastAsia="仿宋_GB2312" w:cs="Times New Roman"/>
          <w:color w:val="auto"/>
          <w:kern w:val="2"/>
          <w:sz w:val="32"/>
          <w:szCs w:val="32"/>
          <w:lang w:val="en-US" w:eastAsia="zh-CN" w:bidi="ar-SA"/>
        </w:rPr>
        <w:t>0.27</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67.50</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节约开支</w:t>
      </w:r>
      <w:r>
        <w:rPr>
          <w:rFonts w:hint="default" w:ascii="Times New Roman" w:hAnsi="Times New Roman" w:eastAsia="仿宋_GB2312" w:cs="Times New Roman"/>
          <w:color w:val="auto"/>
          <w:kern w:val="2"/>
          <w:sz w:val="32"/>
          <w:szCs w:val="32"/>
          <w:lang w:val="zh-CN" w:eastAsia="zh-CN" w:bidi="ar-SA"/>
        </w:rPr>
        <w:t>；较上年度增加</w:t>
      </w:r>
      <w:r>
        <w:rPr>
          <w:rFonts w:hint="eastAsia" w:ascii="Times New Roman" w:hAnsi="Times New Roman" w:eastAsia="仿宋_GB2312" w:cs="Times New Roman"/>
          <w:color w:val="auto"/>
          <w:kern w:val="2"/>
          <w:sz w:val="32"/>
          <w:szCs w:val="32"/>
          <w:lang w:val="en-US" w:eastAsia="zh-CN" w:bidi="ar-SA"/>
        </w:rPr>
        <w:t>0.02</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18.18</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接待人员增加</w:t>
      </w:r>
      <w:r>
        <w:rPr>
          <w:rFonts w:hint="default" w:ascii="Times New Roman" w:hAnsi="Times New Roman" w:eastAsia="仿宋_GB2312" w:cs="Times New Roman"/>
          <w:color w:val="auto"/>
          <w:kern w:val="2"/>
          <w:sz w:val="32"/>
          <w:szCs w:val="32"/>
          <w:lang w:val="zh-CN" w:eastAsia="zh-CN" w:bidi="ar-SA"/>
        </w:rPr>
        <w:t>。本年度共发生公务接待</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批次、</w:t>
      </w:r>
      <w:r>
        <w:rPr>
          <w:rFonts w:hint="eastAsia" w:ascii="Times New Roman" w:hAnsi="Times New Roman" w:eastAsia="仿宋_GB2312" w:cs="Times New Roman"/>
          <w:color w:val="auto"/>
          <w:kern w:val="2"/>
          <w:sz w:val="32"/>
          <w:szCs w:val="32"/>
          <w:lang w:val="en-US" w:eastAsia="zh-CN" w:bidi="ar-SA"/>
        </w:rPr>
        <w:t>16</w:t>
      </w:r>
      <w:r>
        <w:rPr>
          <w:rFonts w:hint="default" w:ascii="Times New Roman" w:hAnsi="Times New Roman" w:eastAsia="仿宋_GB2312" w:cs="Times New Roman"/>
          <w:color w:val="auto"/>
          <w:kern w:val="2"/>
          <w:sz w:val="32"/>
          <w:szCs w:val="32"/>
          <w:lang w:val="zh-CN" w:eastAsia="zh-CN" w:bidi="ar-SA"/>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年度机关运行经费支出49.81万元，较2022年度增加</w:t>
      </w:r>
      <w:r>
        <w:rPr>
          <w:rFonts w:hint="eastAsia" w:ascii="Times New Roman" w:hAnsi="Times New Roman" w:eastAsia="仿宋_GB2312" w:cs="Times New Roman"/>
          <w:color w:val="auto"/>
          <w:kern w:val="2"/>
          <w:sz w:val="32"/>
          <w:szCs w:val="32"/>
          <w:lang w:val="en-US" w:eastAsia="zh-CN" w:bidi="ar-SA"/>
        </w:rPr>
        <w:t>10.27</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25.97</w:t>
      </w:r>
      <w:r>
        <w:rPr>
          <w:rFonts w:hint="default" w:ascii="Times New Roman" w:hAnsi="Times New Roman" w:eastAsia="仿宋_GB2312" w:cs="Times New Roman"/>
          <w:color w:val="auto"/>
          <w:kern w:val="2"/>
          <w:sz w:val="32"/>
          <w:szCs w:val="32"/>
          <w:lang w:val="zh-CN" w:eastAsia="zh-CN" w:bidi="ar-SA"/>
        </w:rPr>
        <w:t>%。主要原因是</w:t>
      </w:r>
      <w:r>
        <w:rPr>
          <w:rFonts w:hint="eastAsia" w:ascii="Times New Roman" w:hAnsi="Times New Roman" w:eastAsia="仿宋_GB2312" w:cs="Times New Roman"/>
          <w:color w:val="auto"/>
          <w:kern w:val="2"/>
          <w:sz w:val="32"/>
          <w:szCs w:val="32"/>
          <w:lang w:val="zh-CN" w:eastAsia="zh-CN" w:bidi="ar-SA"/>
        </w:rPr>
        <w:t>电费增加</w:t>
      </w:r>
      <w:r>
        <w:rPr>
          <w:rFonts w:hint="default" w:ascii="Times New Roman" w:hAnsi="Times New Roman" w:eastAsia="仿宋_GB2312" w:cs="Times New Roman"/>
          <w:color w:val="auto"/>
          <w:kern w:val="2"/>
          <w:sz w:val="32"/>
          <w:szCs w:val="32"/>
          <w:lang w:val="zh-CN" w:eastAsia="zh-CN" w:bidi="ar-SA"/>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本单位202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年度政府采购支出总额0万元，从采购类型来看，政府采购货物支出0万元、政府采购工程支出0万元、政府采购服务支出0万元。授予中小企业</w:t>
      </w:r>
      <w:r>
        <w:rPr>
          <w:rFonts w:hint="default" w:ascii="Times New Roman" w:hAnsi="Times New Roman" w:eastAsia="仿宋_GB2312" w:cs="Times New Roman"/>
          <w:color w:val="auto"/>
          <w:kern w:val="2"/>
          <w:sz w:val="32"/>
          <w:szCs w:val="32"/>
          <w:lang w:val="en-US" w:eastAsia="zh-CN" w:bidi="ar-SA"/>
        </w:rPr>
        <w:t>合同金额</w:t>
      </w:r>
      <w:r>
        <w:rPr>
          <w:rFonts w:hint="default" w:ascii="Times New Roman" w:hAnsi="Times New Roman" w:eastAsia="仿宋_GB2312" w:cs="Times New Roman"/>
          <w:color w:val="auto"/>
          <w:kern w:val="2"/>
          <w:sz w:val="32"/>
          <w:szCs w:val="32"/>
          <w:lang w:val="zh-CN" w:eastAsia="zh-CN" w:bidi="ar-SA"/>
        </w:rPr>
        <w:t>0万元，占政府采购支出总额的0%，其中授予小微企业合同金额0万元，占政府采购支出总额的0%。</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截至202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年12月31日，本单位共有车辆</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辆，</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default" w:ascii="Times New Roman" w:hAnsi="Times New Roman" w:eastAsia="仿宋_GB2312" w:cs="Times New Roman"/>
          <w:color w:val="auto"/>
          <w:kern w:val="2"/>
          <w:sz w:val="32"/>
          <w:szCs w:val="32"/>
          <w:lang w:val="zh-CN" w:eastAsia="zh-CN" w:bidi="ar-SA"/>
        </w:rPr>
        <w:t>其中，副部（省）级及以上领导用车0辆，主要</w:t>
      </w:r>
      <w:r>
        <w:rPr>
          <w:rFonts w:hint="default" w:ascii="Times New Roman" w:hAnsi="Times New Roman" w:eastAsia="仿宋_GB2312" w:cs="Times New Roman"/>
          <w:color w:val="auto"/>
          <w:kern w:val="2"/>
          <w:sz w:val="32"/>
          <w:szCs w:val="32"/>
          <w:lang w:val="en-US" w:eastAsia="zh-CN" w:bidi="ar-SA"/>
        </w:rPr>
        <w:t>负责人</w:t>
      </w:r>
      <w:r>
        <w:rPr>
          <w:rFonts w:hint="default" w:ascii="Times New Roman" w:hAnsi="Times New Roman" w:eastAsia="仿宋_GB2312" w:cs="Times New Roman"/>
          <w:color w:val="auto"/>
          <w:kern w:val="2"/>
          <w:sz w:val="32"/>
          <w:szCs w:val="32"/>
          <w:lang w:val="zh-CN" w:eastAsia="zh-CN" w:bidi="ar-SA"/>
        </w:rPr>
        <w:t>用车0辆，机要通信用车0辆，应急保障用车1辆，执法执勤用车0辆，特种专业技术用车0辆，离退休干部用车0辆，其他用车1辆，其他用车主要是</w:t>
      </w:r>
      <w:r>
        <w:rPr>
          <w:rFonts w:hint="eastAsia" w:ascii="Times New Roman" w:hAnsi="Times New Roman" w:eastAsia="仿宋_GB2312" w:cs="Times New Roman"/>
          <w:color w:val="auto"/>
          <w:kern w:val="2"/>
          <w:sz w:val="32"/>
          <w:szCs w:val="32"/>
          <w:lang w:val="zh-CN" w:eastAsia="zh-CN" w:bidi="ar-SA"/>
        </w:rPr>
        <w:t>业务用车</w:t>
      </w:r>
      <w:r>
        <w:rPr>
          <w:rFonts w:hint="default" w:ascii="Times New Roman" w:hAnsi="Times New Roman" w:eastAsia="仿宋_GB2312" w:cs="Times New Roman"/>
          <w:color w:val="auto"/>
          <w:kern w:val="2"/>
          <w:sz w:val="32"/>
          <w:szCs w:val="32"/>
          <w:lang w:val="zh-CN" w:eastAsia="zh-CN" w:bidi="ar-SA"/>
        </w:rPr>
        <w:t>。单位价值100万元（含）以上设备（不含车辆）0台（套）。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auto"/>
          <w:kern w:val="2"/>
          <w:sz w:val="32"/>
          <w:szCs w:val="32"/>
          <w:lang w:val="zh-CN" w:eastAsia="zh-CN" w:bidi="ar-SA"/>
        </w:rPr>
        <w:t>根据预算绩效管理要求，本单位组织对2023年度一般公共预算项目支出全面开展绩效自评，其中，一级项目</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zh-CN" w:eastAsia="zh-CN" w:bidi="ar-SA"/>
        </w:rPr>
        <w:t>个，二级项目</w:t>
      </w:r>
      <w:r>
        <w:rPr>
          <w:rFonts w:hint="eastAsia" w:ascii="Times New Roman" w:hAnsi="Times New Roman" w:eastAsia="仿宋_GB2312" w:cs="Times New Roman"/>
          <w:color w:val="auto"/>
          <w:kern w:val="2"/>
          <w:sz w:val="32"/>
          <w:szCs w:val="32"/>
          <w:lang w:val="en-US" w:eastAsia="zh-CN" w:bidi="ar-SA"/>
        </w:rPr>
        <w:t>21</w:t>
      </w:r>
      <w:r>
        <w:rPr>
          <w:rFonts w:hint="default" w:ascii="Times New Roman" w:hAnsi="Times New Roman" w:eastAsia="仿宋_GB2312" w:cs="Times New Roman"/>
          <w:color w:val="auto"/>
          <w:kern w:val="2"/>
          <w:sz w:val="32"/>
          <w:szCs w:val="32"/>
          <w:lang w:val="zh-CN" w:eastAsia="zh-CN" w:bidi="ar-SA"/>
        </w:rPr>
        <w:t>个，共涉及资金</w:t>
      </w:r>
      <w:r>
        <w:rPr>
          <w:rFonts w:hint="eastAsia" w:ascii="Times New Roman" w:hAnsi="Times New Roman" w:eastAsia="仿宋_GB2312" w:cs="Times New Roman"/>
          <w:color w:val="auto"/>
          <w:kern w:val="2"/>
          <w:sz w:val="32"/>
          <w:szCs w:val="32"/>
          <w:lang w:val="en-US" w:eastAsia="zh-CN" w:bidi="ar-SA"/>
        </w:rPr>
        <w:t>6297.36</w:t>
      </w:r>
      <w:r>
        <w:rPr>
          <w:rFonts w:hint="default" w:ascii="Times New Roman" w:hAnsi="Times New Roman" w:eastAsia="仿宋_GB2312" w:cs="Times New Roman"/>
          <w:color w:val="auto"/>
          <w:kern w:val="2"/>
          <w:sz w:val="32"/>
          <w:szCs w:val="32"/>
          <w:lang w:val="zh-CN" w:eastAsia="zh-CN" w:bidi="ar-SA"/>
        </w:rPr>
        <w:t>万元，占一般公共预算项目支出总额的</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政府性基金预算项目。</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国有资本经营预算项目</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sz w:val="32"/>
          <w:szCs w:val="32"/>
          <w:highlight w:val="yellow"/>
        </w:rPr>
      </w:pPr>
      <w:r>
        <w:rPr>
          <w:rFonts w:hint="eastAsia" w:ascii="仿宋_GB2312" w:hAnsi="仿宋_GB2312" w:eastAsia="仿宋_GB2312" w:cs="仿宋_GB2312"/>
          <w:sz w:val="32"/>
          <w:szCs w:val="32"/>
        </w:rPr>
        <w:t>组织对</w:t>
      </w:r>
      <w:r>
        <w:rPr>
          <w:rFonts w:hint="eastAsia" w:ascii="仿宋_GB2312" w:eastAsia="仿宋_GB2312" w:cs="仿宋_GB2312"/>
          <w:sz w:val="32"/>
          <w:szCs w:val="32"/>
          <w:lang w:bidi="ar-SA"/>
        </w:rPr>
        <w:t>“</w:t>
      </w:r>
      <w:r>
        <w:rPr>
          <w:rFonts w:hint="eastAsia" w:ascii="仿宋_GB2312" w:eastAsia="仿宋_GB2312" w:cs="仿宋_GB2312"/>
          <w:sz w:val="32"/>
          <w:szCs w:val="32"/>
          <w:highlight w:val="none"/>
          <w:lang w:bidi="ar-SA"/>
        </w:rPr>
        <w:t>自主就业一次性经济补助金</w:t>
      </w:r>
      <w:r>
        <w:rPr>
          <w:rFonts w:hint="eastAsia" w:ascii="仿宋_GB2312" w:eastAsia="仿宋_GB2312" w:cs="仿宋_GB2312"/>
          <w:sz w:val="32"/>
          <w:szCs w:val="32"/>
          <w:highlight w:val="none"/>
          <w:lang w:eastAsia="zh-CN" w:bidi="ar-SA"/>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3307.22</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auto"/>
          <w:kern w:val="2"/>
          <w:sz w:val="32"/>
          <w:szCs w:val="32"/>
          <w:lang w:val="zh-CN" w:eastAsia="zh-CN" w:bidi="ar-SA"/>
        </w:rPr>
        <w:t>国有资本经营预算支出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w:t>
      </w:r>
      <w:r>
        <w:rPr>
          <w:rFonts w:hint="eastAsia" w:ascii="仿宋_GB2312" w:hAnsi="仿宋_GB2312" w:eastAsia="仿宋_GB2312" w:cs="仿宋_GB2312"/>
          <w:sz w:val="32"/>
          <w:szCs w:val="32"/>
        </w:rPr>
        <w:t>从评价情况来看，</w:t>
      </w:r>
      <w:r>
        <w:rPr>
          <w:rFonts w:hint="eastAsia" w:ascii="仿宋_GB2312" w:eastAsia="仿宋_GB2312" w:cs="仿宋_GB2312"/>
          <w:sz w:val="32"/>
          <w:szCs w:val="32"/>
        </w:rPr>
        <w:t>通过发放自主就业一次性经济补助金，提升退役士兵的生活幸福指数</w:t>
      </w:r>
      <w:r>
        <w:rPr>
          <w:rFonts w:hint="eastAsia" w:ascii="仿宋_GB2312" w:eastAsia="仿宋_GB2312" w:cs="仿宋_GB2312"/>
          <w:sz w:val="32"/>
          <w:szCs w:val="32"/>
          <w:lang w:eastAsia="zh-CN"/>
        </w:rPr>
        <w:t>，完成了绩效目标</w:t>
      </w:r>
      <w:r>
        <w:rPr>
          <w:rFonts w:hint="eastAsia" w:ascii="仿宋_GB2312" w:eastAsia="仿宋_GB2312" w:cs="仿宋_GB2312"/>
          <w:sz w:val="32"/>
          <w:szCs w:val="32"/>
          <w:highlight w:val="none"/>
        </w:rPr>
        <w:t>。</w:t>
      </w:r>
    </w:p>
    <w:p>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（二）部门决算中项目绩效自评结果</w:t>
      </w:r>
    </w:p>
    <w:p>
      <w:pPr>
        <w:adjustRightInd w:val="0"/>
        <w:snapToGrid w:val="0"/>
        <w:spacing w:line="580" w:lineRule="exact"/>
        <w:ind w:firstLine="660" w:firstLineChars="200"/>
        <w:rPr>
          <w:rFonts w:ascii="仿宋_GB2312" w:hAnsi="仿宋_GB2312" w:eastAsia="仿宋_GB2312" w:cs="仿宋_GB2312"/>
          <w:sz w:val="32"/>
          <w:szCs w:val="32"/>
        </w:rPr>
      </w:pPr>
      <w:r>
        <w:rPr>
          <w:rFonts w:hint="default" w:ascii="Times New Roman" w:hAnsi="Times New Roman" w:eastAsia="仿宋_GB2312" w:cs="Times New Roman"/>
          <w:i w:val="0"/>
          <w:iCs w:val="0"/>
          <w:caps w:val="0"/>
          <w:color w:val="333333"/>
          <w:spacing w:val="0"/>
          <w:sz w:val="33"/>
          <w:szCs w:val="33"/>
          <w:highlight w:val="none"/>
          <w:shd w:val="clear" w:color="auto" w:fill="FFFFFF"/>
        </w:rPr>
        <w:t>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在今年部门决算公开中反映</w:t>
      </w: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残疾军人补助经费等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个项目绩效自评结果。</w:t>
      </w:r>
    </w:p>
    <w:p>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项目自评综述：根据年初设定的绩效目标，</w:t>
      </w: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746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745.97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。项目绩效目标完成情况：一是自主就业一次性经济补助金发放人数完成率100%；二是自主就业一次性经济补助金发放金额完成率100%。</w:t>
      </w:r>
      <w:r>
        <w:rPr>
          <w:rFonts w:hint="eastAsia" w:ascii="仿宋_GB2312" w:hAnsi="仿宋_GB2312" w:eastAsia="仿宋_GB2312" w:cs="仿宋_GB2312"/>
          <w:sz w:val="32"/>
          <w:szCs w:val="32"/>
          <w:lang w:val="en-US" w:eastAsia="zh-CN"/>
        </w:rPr>
        <w:t>存在问题、原因及下一步整改措施为：</w:t>
      </w:r>
      <w:r>
        <w:rPr>
          <w:rFonts w:hint="default" w:ascii="仿宋_GB2312" w:hAnsi="仿宋_GB2312" w:eastAsia="仿宋_GB2312" w:cs="仿宋_GB2312"/>
          <w:sz w:val="32"/>
          <w:szCs w:val="32"/>
          <w:lang w:val="en-US" w:eastAsia="zh-CN"/>
        </w:rPr>
        <w:t>通过项目实施，完成了年初设定的各项绩效目标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未发现问题。</w:t>
      </w:r>
    </w:p>
    <w:tbl>
      <w:tblPr>
        <w:tblStyle w:val="7"/>
        <w:tblW w:w="9510" w:type="dxa"/>
        <w:tblInd w:w="0" w:type="dxa"/>
        <w:tblLayout w:type="autofit"/>
        <w:tblCellMar>
          <w:top w:w="0" w:type="dxa"/>
          <w:left w:w="0" w:type="dxa"/>
          <w:bottom w:w="0" w:type="dxa"/>
          <w:right w:w="0" w:type="dxa"/>
        </w:tblCellMar>
      </w:tblPr>
      <w:tblGrid>
        <w:gridCol w:w="1215"/>
        <w:gridCol w:w="1080"/>
        <w:gridCol w:w="1015"/>
        <w:gridCol w:w="1225"/>
        <w:gridCol w:w="1665"/>
        <w:gridCol w:w="1080"/>
        <w:gridCol w:w="1080"/>
        <w:gridCol w:w="1150"/>
      </w:tblGrid>
      <w:tr>
        <w:tblPrEx>
          <w:tblCellMar>
            <w:top w:w="0" w:type="dxa"/>
            <w:left w:w="0" w:type="dxa"/>
            <w:bottom w:w="0" w:type="dxa"/>
            <w:right w:w="0" w:type="dxa"/>
          </w:tblCellMar>
        </w:tblPrEx>
        <w:trPr>
          <w:trHeight w:val="510" w:hRule="atLeast"/>
        </w:trPr>
        <w:tc>
          <w:tcPr>
            <w:tcW w:w="9510"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2023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退役士兵自主就业、自谋职业一次性经济补助金</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22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910"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746</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745.97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745.97</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746</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745.97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745.97</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66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8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06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及时接收退役士兵，按照上级政策规定标准计算每一位自主就业退役士兵一次性补助资金，及时足额发放至每一位退役士兵手中。</w:t>
            </w:r>
          </w:p>
        </w:tc>
        <w:tc>
          <w:tcPr>
            <w:tcW w:w="382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通过接收退役士兵，足额发放自主就业退役士兵一次性经济补助金，及时筹措资金，标准执行到位，保障退役士兵合法权益，促进社会和谐，维护社会稳定。</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8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52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自主就业一次性经济补助金发放人数完成率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0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自主就业一次性经济补助金发放金额完成率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自主就业一次性经济补助金到位率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50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自主就业一次性经济补助金发放人数完成率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4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自主就业一次性经济补助金发放金额完成率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0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自主就业一次性经济补助金到位率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2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29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宋体" w:hAnsi="宋体" w:eastAsia="宋体" w:cs="宋体"/>
                <w:i w:val="0"/>
                <w:color w:val="000000"/>
                <w:kern w:val="0"/>
                <w:sz w:val="16"/>
                <w:szCs w:val="16"/>
                <w:u w:val="none"/>
                <w:lang w:val="en-US" w:eastAsia="zh-CN" w:bidi="ar"/>
              </w:rPr>
              <w:t>通过项目实施，完成了年初设定的各项绩效目标</w:t>
            </w:r>
            <w:r>
              <w:rPr>
                <w:rFonts w:hint="eastAsia" w:ascii="宋体" w:hAnsi="宋体" w:eastAsia="宋体" w:cs="宋体"/>
                <w:i w:val="0"/>
                <w:color w:val="000000"/>
                <w:kern w:val="0"/>
                <w:sz w:val="16"/>
                <w:szCs w:val="16"/>
                <w:u w:val="none"/>
                <w:lang w:val="en-US" w:eastAsia="zh-CN" w:bidi="ar"/>
              </w:rPr>
              <w:t>，</w:t>
            </w:r>
            <w:r>
              <w:rPr>
                <w:rFonts w:hint="default" w:ascii="宋体" w:hAnsi="宋体" w:eastAsia="宋体" w:cs="宋体"/>
                <w:i w:val="0"/>
                <w:color w:val="000000"/>
                <w:kern w:val="0"/>
                <w:sz w:val="16"/>
                <w:szCs w:val="16"/>
                <w:u w:val="none"/>
                <w:lang w:val="en-US" w:eastAsia="zh-CN" w:bidi="ar"/>
              </w:rPr>
              <w:t>未发现问题。</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Chars="200" w:right="0" w:rightChars="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numPr>
          <w:ilvl w:val="0"/>
          <w:numId w:val="0"/>
        </w:numPr>
        <w:adjustRightInd w:val="0"/>
        <w:snapToGrid w:val="0"/>
        <w:spacing w:line="580" w:lineRule="exact"/>
        <w:ind w:left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残疾军人补助经费项目绩效自评综述：根据年初设定的绩效目标，残疾军人补助经费项目绩效自评得分为98分（绩效自评表附后）。全年预算数为1273.97万元，执行数为1071.58万元，完成预算的84.11%。项目绩效目标完成情况：一是享受优抚待遇人数完成率100%；二是优抚对象优待抚恤补助金足额兑现率100%。存在问题、原因及下一步整改措施为：我单位部门预算与年度年度绩效目标存在一些偏差，主要原因是政策执行标准有所变化，下一步我们早了解政策，争取与年度绩效目标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tbl>
      <w:tblPr>
        <w:tblStyle w:val="7"/>
        <w:tblW w:w="9285" w:type="dxa"/>
        <w:tblInd w:w="0" w:type="dxa"/>
        <w:tblLayout w:type="autofit"/>
        <w:tblCellMar>
          <w:top w:w="0" w:type="dxa"/>
          <w:left w:w="0" w:type="dxa"/>
          <w:bottom w:w="0" w:type="dxa"/>
          <w:right w:w="0" w:type="dxa"/>
        </w:tblCellMar>
      </w:tblPr>
      <w:tblGrid>
        <w:gridCol w:w="1215"/>
        <w:gridCol w:w="1080"/>
        <w:gridCol w:w="1080"/>
        <w:gridCol w:w="1190"/>
        <w:gridCol w:w="1410"/>
        <w:gridCol w:w="1080"/>
        <w:gridCol w:w="1080"/>
        <w:gridCol w:w="1150"/>
      </w:tblGrid>
      <w:tr>
        <w:tblPrEx>
          <w:tblCellMar>
            <w:top w:w="0" w:type="dxa"/>
            <w:left w:w="0" w:type="dxa"/>
            <w:bottom w:w="0" w:type="dxa"/>
            <w:right w:w="0" w:type="dxa"/>
          </w:tblCellMar>
        </w:tblPrEx>
        <w:trPr>
          <w:trHeight w:val="510" w:hRule="atLeast"/>
        </w:trPr>
        <w:tc>
          <w:tcPr>
            <w:tcW w:w="9285"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2023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残疾军人补助经费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25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1273.97</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1071.58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1071.58</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84.11%</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1273.97</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1071.58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1071.58</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0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保障残疾军人的合法权益，按时足额的将残疾抚恤金发放到位，维护社会稳定</w:t>
            </w:r>
          </w:p>
        </w:tc>
        <w:tc>
          <w:tcPr>
            <w:tcW w:w="357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为胥各庄街道办及光荣院的残疾军人发放定期抚恤金，按时足额的将残疾抚恤金发放到位，保障残疾军人的合法权益，维护社会稳定。</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享受优抚待遇人数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w:t>
            </w:r>
            <w:r>
              <w:rPr>
                <w:rStyle w:val="19"/>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w:t>
            </w:r>
            <w:r>
              <w:rPr>
                <w:rStyle w:val="19"/>
                <w:lang w:val="en-US" w:eastAsia="zh-CN" w:bidi="ar"/>
              </w:rPr>
              <w:t>99%</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0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优抚对象优待抚恤补助金足额兑现率(%)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w:t>
            </w:r>
            <w:r>
              <w:rPr>
                <w:rStyle w:val="19"/>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w:t>
            </w:r>
            <w:r>
              <w:rPr>
                <w:rStyle w:val="19"/>
                <w:lang w:val="en-US" w:eastAsia="zh-CN" w:bidi="ar"/>
              </w:rPr>
              <w:t>99%</w:t>
            </w:r>
          </w:p>
        </w:tc>
        <w:tc>
          <w:tcPr>
            <w:tcW w:w="109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享受优抚待遇审批通过率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及时领取生活补助 提高优抚对象生活质量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社会安定效果　</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落实军人抚恤优待政策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优抚对象对优抚工作的满意度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83.80%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98</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07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我单位部门预算与年度年度绩效目标存在一些偏差，主要原因是政策执行标准有所变化，下一步我们早了解政策，争取与年度绩效目标一致。</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numPr>
          <w:ilvl w:val="0"/>
          <w:numId w:val="0"/>
        </w:numPr>
        <w:adjustRightInd w:val="0"/>
        <w:snapToGrid w:val="0"/>
        <w:spacing w:line="58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60周退役士兵生活补助项目绩效自评综述：根据年初设定的绩效目标，残疾军人补助经费项目绩效自评得分为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1494.45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1489.67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99.68%</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生活补助费覆盖率</w:t>
      </w:r>
      <w:r>
        <w:rPr>
          <w:rFonts w:hint="eastAsia" w:ascii="仿宋_GB2312" w:hAnsi="仿宋_GB2312" w:eastAsia="仿宋_GB2312" w:cs="仿宋_GB2312"/>
          <w:sz w:val="32"/>
          <w:szCs w:val="32"/>
        </w:rPr>
        <w:t>100%；二是</w:t>
      </w:r>
      <w:r>
        <w:rPr>
          <w:rFonts w:hint="eastAsia" w:ascii="仿宋_GB2312" w:hAnsi="仿宋_GB2312" w:eastAsia="仿宋_GB2312" w:cs="仿宋_GB2312"/>
          <w:sz w:val="32"/>
          <w:szCs w:val="32"/>
          <w:lang w:val="en-US" w:eastAsia="zh-CN"/>
        </w:rPr>
        <w:t>发放生活费及时率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存在问题、原因及下一步整改措施为：</w:t>
      </w:r>
      <w:r>
        <w:rPr>
          <w:rFonts w:hint="default" w:ascii="仿宋_GB2312" w:hAnsi="仿宋_GB2312" w:eastAsia="仿宋_GB2312" w:cs="仿宋_GB2312"/>
          <w:sz w:val="32"/>
          <w:szCs w:val="32"/>
          <w:lang w:val="en-US" w:eastAsia="zh-CN"/>
        </w:rPr>
        <w:t>通过项目实施，完成了年初设定的各项绩效目标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未发现问题。</w:t>
      </w:r>
    </w:p>
    <w:tbl>
      <w:tblPr>
        <w:tblStyle w:val="7"/>
        <w:tblW w:w="9285" w:type="dxa"/>
        <w:tblInd w:w="0" w:type="dxa"/>
        <w:tblLayout w:type="autofit"/>
        <w:tblCellMar>
          <w:top w:w="0" w:type="dxa"/>
          <w:left w:w="0" w:type="dxa"/>
          <w:bottom w:w="0" w:type="dxa"/>
          <w:right w:w="0" w:type="dxa"/>
        </w:tblCellMar>
      </w:tblPr>
      <w:tblGrid>
        <w:gridCol w:w="1215"/>
        <w:gridCol w:w="1080"/>
        <w:gridCol w:w="1080"/>
        <w:gridCol w:w="1190"/>
        <w:gridCol w:w="1410"/>
        <w:gridCol w:w="1080"/>
        <w:gridCol w:w="1080"/>
        <w:gridCol w:w="1150"/>
      </w:tblGrid>
      <w:tr>
        <w:tblPrEx>
          <w:tblCellMar>
            <w:top w:w="0" w:type="dxa"/>
            <w:left w:w="0" w:type="dxa"/>
            <w:bottom w:w="0" w:type="dxa"/>
            <w:right w:w="0" w:type="dxa"/>
          </w:tblCellMar>
        </w:tblPrEx>
        <w:trPr>
          <w:trHeight w:val="510" w:hRule="atLeast"/>
        </w:trPr>
        <w:tc>
          <w:tcPr>
            <w:tcW w:w="9285"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2023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Style w:val="20"/>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60周退役士兵生活补助</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25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1494.45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1489.67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1489.67</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99.68%</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1494.45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1489.67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1489.67</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0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发放优抚对象生活补助费，提高军人抚恤优待标准，落实军人抚恤优待政策</w:t>
            </w:r>
          </w:p>
        </w:tc>
        <w:tc>
          <w:tcPr>
            <w:tcW w:w="357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对本年度死亡的优抚对象及时发放生活补助费，给予亲属慰藉。</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Style w:val="20"/>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生活补助费覆盖率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发放生活费及时率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生活费补助领取率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优抚对象优待抚恤补助金足额</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社会安定效果　</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落实军人抚恤优待政策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优抚对象对优抚工作的满意度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91.15%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Style w:val="20"/>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07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宋体" w:hAnsi="宋体" w:eastAsia="宋体" w:cs="宋体"/>
                <w:i w:val="0"/>
                <w:color w:val="000000"/>
                <w:kern w:val="0"/>
                <w:sz w:val="16"/>
                <w:szCs w:val="16"/>
                <w:u w:val="none"/>
                <w:lang w:val="en-US" w:eastAsia="zh-CN" w:bidi="ar"/>
              </w:rPr>
              <w:t>通过项目实施，完成了年初设定的各项绩效目标</w:t>
            </w:r>
            <w:r>
              <w:rPr>
                <w:rFonts w:hint="eastAsia" w:ascii="宋体" w:hAnsi="宋体" w:eastAsia="宋体" w:cs="宋体"/>
                <w:i w:val="0"/>
                <w:color w:val="000000"/>
                <w:kern w:val="0"/>
                <w:sz w:val="16"/>
                <w:szCs w:val="16"/>
                <w:u w:val="none"/>
                <w:lang w:val="en-US" w:eastAsia="zh-CN" w:bidi="ar"/>
              </w:rPr>
              <w:t>，</w:t>
            </w:r>
            <w:r>
              <w:rPr>
                <w:rFonts w:hint="default" w:ascii="宋体" w:hAnsi="宋体" w:eastAsia="宋体" w:cs="宋体"/>
                <w:i w:val="0"/>
                <w:color w:val="000000"/>
                <w:kern w:val="0"/>
                <w:sz w:val="16"/>
                <w:szCs w:val="16"/>
                <w:u w:val="none"/>
                <w:lang w:val="en-US" w:eastAsia="zh-CN" w:bidi="ar"/>
              </w:rPr>
              <w:t>未发现问题。</w:t>
            </w:r>
          </w:p>
        </w:tc>
      </w:tr>
    </w:tbl>
    <w:p>
      <w:pPr>
        <w:numPr>
          <w:ilvl w:val="0"/>
          <w:numId w:val="0"/>
        </w:numPr>
        <w:adjustRightInd w:val="0"/>
        <w:snapToGrid w:val="0"/>
        <w:spacing w:line="580" w:lineRule="exact"/>
        <w:ind w:leftChars="200"/>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numPr>
          <w:ilvl w:val="0"/>
          <w:numId w:val="6"/>
        </w:numPr>
        <w:adjustRightInd w:val="0"/>
        <w:snapToGrid w:val="0"/>
        <w:spacing w:line="580" w:lineRule="exact"/>
        <w:ind w:left="420" w:leftChars="200" w:firstLine="321" w:firstLineChars="1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部门评价项目绩效评价结果</w:t>
      </w:r>
    </w:p>
    <w:p>
      <w:pPr>
        <w:adjustRightInd w:val="0"/>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我单位预算项目绩效目标设定清晰准确，全面反映工作职责和工作任务，绩效指标全面完整、科学合理，能有效的量化绩效目标设定情况，绩效标准恰当适宜、易于评价。我单位年初绩效目标设定和预算执行完毕后的绩效评价工作均有序开展。</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bCs/>
          <w:sz w:val="32"/>
          <w:szCs w:val="32"/>
        </w:rPr>
        <w:t>1</w:t>
      </w: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23</w:t>
      </w:r>
      <w:r>
        <w:rPr>
          <w:rFonts w:hint="eastAsia" w:ascii="仿宋_GB2312" w:hAnsi="Times New Roman" w:eastAsia="仿宋_GB2312" w:cs="DengXian-Regular"/>
          <w:sz w:val="32"/>
          <w:szCs w:val="32"/>
        </w:rPr>
        <w:t>年度政府性基金预算财政拨款收入支出</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无收支及结转结余情况，故政府性基金预算财政拨款收入支出决算表以空表列示。</w:t>
      </w:r>
    </w:p>
    <w:p>
      <w:pPr>
        <w:adjustRightInd w:val="0"/>
        <w:snapToGrid w:val="0"/>
        <w:spacing w:line="600" w:lineRule="exact"/>
        <w:ind w:firstLine="643" w:firstLineChars="200"/>
        <w:rPr>
          <w:rFonts w:hint="eastAsia" w:ascii="仿宋_GB2312" w:eastAsia="仿宋_GB2312" w:cs="仿宋_GB2312"/>
          <w:sz w:val="32"/>
          <w:szCs w:val="32"/>
        </w:rPr>
      </w:pPr>
      <w:r>
        <w:rPr>
          <w:rFonts w:hint="eastAsia" w:ascii="仿宋_GB2312" w:hAnsi="Times New Roman" w:eastAsia="仿宋_GB2312" w:cs="DengXian-Regular"/>
          <w:b/>
          <w:bCs/>
          <w:sz w:val="32"/>
          <w:szCs w:val="32"/>
        </w:rPr>
        <w:t>2</w:t>
      </w:r>
      <w:r>
        <w:rPr>
          <w:rFonts w:hint="eastAsia" w:ascii="仿宋_GB2312" w:hAnsi="Times New Roman" w:eastAsia="仿宋_GB2312" w:cs="DengXian-Regular"/>
          <w:sz w:val="32"/>
          <w:szCs w:val="32"/>
        </w:rPr>
        <w:t>. 本部门20</w:t>
      </w:r>
      <w:r>
        <w:rPr>
          <w:rFonts w:hint="eastAsia" w:ascii="仿宋_GB2312" w:hAnsi="Times New Roman" w:eastAsia="仿宋_GB2312" w:cs="DengXian-Regular"/>
          <w:sz w:val="32"/>
          <w:szCs w:val="32"/>
          <w:lang w:val="en-US" w:eastAsia="zh-CN"/>
        </w:rPr>
        <w:t>23</w:t>
      </w:r>
      <w:r>
        <w:rPr>
          <w:rFonts w:hint="eastAsia" w:ascii="仿宋_GB2312" w:hAnsi="Times New Roman" w:eastAsia="仿宋_GB2312" w:cs="DengXian-Regular"/>
          <w:sz w:val="32"/>
          <w:szCs w:val="32"/>
        </w:rPr>
        <w:t>年度国有资本经营预算财政拨款支出</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无收支及结转结余情况，故国有资本经营预算财政拨款支出决算表以空表列示。</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rPr>
          <w:rFonts w:ascii="仿宋_GB2312" w:hAnsi="宋体" w:eastAsia="仿宋_GB2312" w:cs="ArialUnicodeMS"/>
          <w:sz w:val="32"/>
          <w:szCs w:val="32"/>
        </w:rPr>
      </w:pPr>
    </w:p>
    <w:p>
      <w:pPr>
        <w:numPr>
          <w:ilvl w:val="0"/>
          <w:numId w:val="7"/>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7"/>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7"/>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7"/>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headerReference r:id="rId7"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书宋_GBK">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方正仿宋_GB2312">
    <w:altName w:val="仿宋"/>
    <w:panose1 w:val="02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DA9F4A01"/>
    <w:multiLevelType w:val="singleLevel"/>
    <w:tmpl w:val="DA9F4A01"/>
    <w:lvl w:ilvl="0" w:tentative="0">
      <w:start w:val="1"/>
      <w:numFmt w:val="decimal"/>
      <w:suff w:val="nothing"/>
      <w:lvlText w:val="（%1）"/>
      <w:lvlJc w:val="left"/>
    </w:lvl>
  </w:abstractNum>
  <w:abstractNum w:abstractNumId="2">
    <w:nsid w:val="354AE348"/>
    <w:multiLevelType w:val="singleLevel"/>
    <w:tmpl w:val="354AE348"/>
    <w:lvl w:ilvl="0" w:tentative="0">
      <w:start w:val="1"/>
      <w:numFmt w:val="chineseCounting"/>
      <w:suff w:val="nothing"/>
      <w:lvlText w:val="%1、"/>
      <w:lvlJc w:val="left"/>
      <w:rPr>
        <w:rFonts w:hint="eastAsia"/>
      </w:rPr>
    </w:lvl>
  </w:abstractNum>
  <w:abstractNum w:abstractNumId="3">
    <w:nsid w:val="45DB9A87"/>
    <w:multiLevelType w:val="singleLevel"/>
    <w:tmpl w:val="45DB9A87"/>
    <w:lvl w:ilvl="0" w:tentative="0">
      <w:start w:val="3"/>
      <w:numFmt w:val="chineseCounting"/>
      <w:suff w:val="nothing"/>
      <w:lvlText w:val="（%1）"/>
      <w:lvlJc w:val="left"/>
      <w:rPr>
        <w:rFonts w:hint="eastAsia"/>
      </w:rPr>
    </w:lvl>
  </w:abstractNum>
  <w:abstractNum w:abstractNumId="4">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5">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6">
    <w:nsid w:val="59B7D88A"/>
    <w:multiLevelType w:val="singleLevel"/>
    <w:tmpl w:val="59B7D88A"/>
    <w:lvl w:ilvl="0" w:tentative="0">
      <w:start w:val="3"/>
      <w:numFmt w:val="decimal"/>
      <w:lvlText w:val="%1."/>
      <w:lvlJc w:val="left"/>
      <w:pPr>
        <w:tabs>
          <w:tab w:val="left" w:pos="312"/>
        </w:tabs>
      </w:pPr>
    </w:lvl>
  </w:abstractNum>
  <w:abstractNum w:abstractNumId="7">
    <w:nsid w:val="7CAF219C"/>
    <w:multiLevelType w:val="singleLevel"/>
    <w:tmpl w:val="7CAF219C"/>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AsImhkaWQiOiI4NjIzMTc5NTZjZmU2MzI5NDBmMmM1YWM4ZDQyZjVmMyIsInVzZXJDb3VudCI6MX0="/>
    <w:docVar w:name="KSO_WPS_MARK_KEY" w:val="71c2c6a0-067b-4e3a-b3ef-0dc62715dcd3"/>
  </w:docVars>
  <w:rsids>
    <w:rsidRoot w:val="00172A27"/>
    <w:rsid w:val="000031F7"/>
    <w:rsid w:val="00014862"/>
    <w:rsid w:val="000349BA"/>
    <w:rsid w:val="000C393A"/>
    <w:rsid w:val="00125965"/>
    <w:rsid w:val="00144CC5"/>
    <w:rsid w:val="00172A27"/>
    <w:rsid w:val="00203288"/>
    <w:rsid w:val="00206EB2"/>
    <w:rsid w:val="00262CE0"/>
    <w:rsid w:val="002C2C3F"/>
    <w:rsid w:val="00310221"/>
    <w:rsid w:val="0034600F"/>
    <w:rsid w:val="00366EA1"/>
    <w:rsid w:val="004550B9"/>
    <w:rsid w:val="00473A26"/>
    <w:rsid w:val="00483998"/>
    <w:rsid w:val="004D1145"/>
    <w:rsid w:val="004E274E"/>
    <w:rsid w:val="004F23D0"/>
    <w:rsid w:val="004F5E71"/>
    <w:rsid w:val="0051575E"/>
    <w:rsid w:val="00522C51"/>
    <w:rsid w:val="00550130"/>
    <w:rsid w:val="005B2633"/>
    <w:rsid w:val="00657113"/>
    <w:rsid w:val="00663586"/>
    <w:rsid w:val="006C5D6E"/>
    <w:rsid w:val="007042CC"/>
    <w:rsid w:val="00704A9C"/>
    <w:rsid w:val="00757732"/>
    <w:rsid w:val="00786182"/>
    <w:rsid w:val="007B4464"/>
    <w:rsid w:val="00816BB2"/>
    <w:rsid w:val="008349E7"/>
    <w:rsid w:val="008414F6"/>
    <w:rsid w:val="00853F9E"/>
    <w:rsid w:val="00855E47"/>
    <w:rsid w:val="00896712"/>
    <w:rsid w:val="008E5668"/>
    <w:rsid w:val="009718A8"/>
    <w:rsid w:val="009D7927"/>
    <w:rsid w:val="009E6461"/>
    <w:rsid w:val="00A12180"/>
    <w:rsid w:val="00A66109"/>
    <w:rsid w:val="00B15320"/>
    <w:rsid w:val="00B170B0"/>
    <w:rsid w:val="00B20DC3"/>
    <w:rsid w:val="00B86E38"/>
    <w:rsid w:val="00BE1054"/>
    <w:rsid w:val="00BE7649"/>
    <w:rsid w:val="00C21492"/>
    <w:rsid w:val="00C418F5"/>
    <w:rsid w:val="00CE4C2D"/>
    <w:rsid w:val="00CE755E"/>
    <w:rsid w:val="00D25268"/>
    <w:rsid w:val="00D264B9"/>
    <w:rsid w:val="00D71400"/>
    <w:rsid w:val="00DA0B17"/>
    <w:rsid w:val="00DE4245"/>
    <w:rsid w:val="00DF42C4"/>
    <w:rsid w:val="00DF688D"/>
    <w:rsid w:val="00E039B0"/>
    <w:rsid w:val="00E35F22"/>
    <w:rsid w:val="00E40650"/>
    <w:rsid w:val="00E44B04"/>
    <w:rsid w:val="00E519C7"/>
    <w:rsid w:val="00E54036"/>
    <w:rsid w:val="00E669B9"/>
    <w:rsid w:val="00E818B1"/>
    <w:rsid w:val="00E86E79"/>
    <w:rsid w:val="00EB1655"/>
    <w:rsid w:val="00F242CA"/>
    <w:rsid w:val="00FC3F68"/>
    <w:rsid w:val="00FF453A"/>
    <w:rsid w:val="018E53BB"/>
    <w:rsid w:val="01B752BF"/>
    <w:rsid w:val="02F2691F"/>
    <w:rsid w:val="05273E55"/>
    <w:rsid w:val="06EB1AB6"/>
    <w:rsid w:val="08822A03"/>
    <w:rsid w:val="099D6B31"/>
    <w:rsid w:val="09FD66D9"/>
    <w:rsid w:val="10B242CF"/>
    <w:rsid w:val="11F4604E"/>
    <w:rsid w:val="136D16FB"/>
    <w:rsid w:val="13AA21BF"/>
    <w:rsid w:val="18F4407C"/>
    <w:rsid w:val="1A3D2C72"/>
    <w:rsid w:val="216937C4"/>
    <w:rsid w:val="257C1CB8"/>
    <w:rsid w:val="298605CB"/>
    <w:rsid w:val="2CEF036C"/>
    <w:rsid w:val="2E984040"/>
    <w:rsid w:val="32A31C4C"/>
    <w:rsid w:val="32B53CA7"/>
    <w:rsid w:val="33CD2241"/>
    <w:rsid w:val="34967CFD"/>
    <w:rsid w:val="39C2416B"/>
    <w:rsid w:val="3B744E3E"/>
    <w:rsid w:val="3DC91A1B"/>
    <w:rsid w:val="3F235BB1"/>
    <w:rsid w:val="3F663581"/>
    <w:rsid w:val="42A44BF6"/>
    <w:rsid w:val="4571549B"/>
    <w:rsid w:val="471274FD"/>
    <w:rsid w:val="49717ADD"/>
    <w:rsid w:val="49A50088"/>
    <w:rsid w:val="4A51609B"/>
    <w:rsid w:val="4C194D3B"/>
    <w:rsid w:val="4D304C6C"/>
    <w:rsid w:val="4F2A6A41"/>
    <w:rsid w:val="500373A2"/>
    <w:rsid w:val="507C6383"/>
    <w:rsid w:val="53AD746D"/>
    <w:rsid w:val="561769D4"/>
    <w:rsid w:val="58D844B0"/>
    <w:rsid w:val="59FF3388"/>
    <w:rsid w:val="5EA27F07"/>
    <w:rsid w:val="5F4A1A8C"/>
    <w:rsid w:val="60075621"/>
    <w:rsid w:val="602001C2"/>
    <w:rsid w:val="60CE32E1"/>
    <w:rsid w:val="63DC7B2D"/>
    <w:rsid w:val="649A7590"/>
    <w:rsid w:val="64C00985"/>
    <w:rsid w:val="65225D26"/>
    <w:rsid w:val="65DB5CBA"/>
    <w:rsid w:val="674E6C15"/>
    <w:rsid w:val="67636EEB"/>
    <w:rsid w:val="697609B2"/>
    <w:rsid w:val="69F4671F"/>
    <w:rsid w:val="6BA53F12"/>
    <w:rsid w:val="6CBF282C"/>
    <w:rsid w:val="70E81256"/>
    <w:rsid w:val="71AF11FA"/>
    <w:rsid w:val="722D0FCD"/>
    <w:rsid w:val="73335BEE"/>
    <w:rsid w:val="734B3BFA"/>
    <w:rsid w:val="73753308"/>
    <w:rsid w:val="743444A4"/>
    <w:rsid w:val="74B61AFD"/>
    <w:rsid w:val="7680314F"/>
    <w:rsid w:val="79442C5B"/>
    <w:rsid w:val="7A5063D7"/>
    <w:rsid w:val="7AEB0261"/>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8"/>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4"/>
    <w:qFormat/>
    <w:uiPriority w:val="99"/>
    <w:rPr>
      <w:kern w:val="2"/>
      <w:sz w:val="18"/>
      <w:szCs w:val="18"/>
    </w:rPr>
  </w:style>
  <w:style w:type="character" w:customStyle="1" w:styleId="11">
    <w:name w:val="页眉 Char"/>
    <w:basedOn w:val="9"/>
    <w:link w:val="5"/>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4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华文中宋" w:hAnsi="华文中宋" w:eastAsia="华文中宋" w:cs="华文中宋"/>
      <w:color w:val="000000"/>
      <w:sz w:val="32"/>
      <w:szCs w:val="32"/>
      <w:u w:val="none"/>
    </w:rPr>
  </w:style>
  <w:style w:type="character" w:customStyle="1" w:styleId="16">
    <w:name w:val="font91"/>
    <w:basedOn w:val="9"/>
    <w:qFormat/>
    <w:uiPriority w:val="0"/>
    <w:rPr>
      <w:rFonts w:hint="eastAsia" w:ascii="华文中宋" w:hAnsi="华文中宋" w:eastAsia="华文中宋" w:cs="华文中宋"/>
      <w:color w:val="000000"/>
      <w:sz w:val="32"/>
      <w:szCs w:val="32"/>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Char"/>
    <w:basedOn w:val="9"/>
    <w:link w:val="3"/>
    <w:semiHidden/>
    <w:qFormat/>
    <w:uiPriority w:val="99"/>
    <w:rPr>
      <w:kern w:val="2"/>
      <w:sz w:val="18"/>
      <w:szCs w:val="18"/>
    </w:rPr>
  </w:style>
  <w:style w:type="character" w:customStyle="1" w:styleId="19">
    <w:name w:val="font81"/>
    <w:basedOn w:val="9"/>
    <w:uiPriority w:val="0"/>
    <w:rPr>
      <w:rFonts w:hint="default" w:ascii="方正书宋_GBK" w:hAnsi="方正书宋_GBK" w:eastAsia="方正书宋_GBK" w:cs="方正书宋_GBK"/>
      <w:color w:val="000000"/>
      <w:sz w:val="21"/>
      <w:szCs w:val="21"/>
      <w:u w:val="none"/>
    </w:rPr>
  </w:style>
  <w:style w:type="character" w:customStyle="1" w:styleId="20">
    <w:name w:val="font21"/>
    <w:basedOn w:val="9"/>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emf"/><Relationship Id="rId21" Type="http://schemas.openxmlformats.org/officeDocument/2006/relationships/oleObject" Target="embeddings/oleObject4.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emf"/><Relationship Id="rId17" Type="http://schemas.openxmlformats.org/officeDocument/2006/relationships/oleObject" Target="embeddings/oleObject2.bin"/><Relationship Id="rId16" Type="http://schemas.openxmlformats.org/officeDocument/2006/relationships/image" Target="media/image6.emf"/><Relationship Id="rId15" Type="http://schemas.openxmlformats.org/officeDocument/2006/relationships/oleObject" Target="embeddings/oleObject1.bin"/><Relationship Id="rId14" Type="http://schemas.openxmlformats.org/officeDocument/2006/relationships/image" Target="media/image5.jpeg"/><Relationship Id="rId13" Type="http://schemas.openxmlformats.org/officeDocument/2006/relationships/image" Target="media/image1.sv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textRotate="1"/>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7ABCA-4227-4EFF-8EB9-5F1F21DB3EB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28</Pages>
  <Words>1811</Words>
  <Characters>10327</Characters>
  <Lines>86</Lines>
  <Paragraphs>24</Paragraphs>
  <TotalTime>15</TotalTime>
  <ScaleCrop>false</ScaleCrop>
  <LinksUpToDate>false</LinksUpToDate>
  <CharactersWithSpaces>12114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2024-09-05T07:19:36Z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TemplateUUID">
    <vt:lpwstr>v1.0_mb_S7ajbG3IpAnL1wSthNCxfw==</vt:lpwstr>
  </property>
  <property fmtid="{D5CDD505-2E9C-101B-9397-08002B2CF9AE}" pid="4" name="ICV">
    <vt:lpwstr>6388C71828994EE68F92E15B0CED978C</vt:lpwstr>
  </property>
</Properties>
</file>