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emf" ContentType="image/emf"/>
  <Default Extension="bin" ContentType="application/vnd.openxmlformats-officedocument.oleObject"/>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jc w:val="left"/>
      </w:pPr>
      <w:r>
        <w:drawing>
          <wp:anchor distT="0" distB="0" distL="114300" distR="114300" simplePos="0" relativeHeight="31" behindDoc="0" locked="0" layoutInCell="1" hidden="0" allowOverlap="1">
            <wp:simplePos x="0" y="0"/>
            <wp:positionH relativeFrom="margin">
              <wp:posOffset>-2607945</wp:posOffset>
            </wp:positionH>
            <wp:positionV relativeFrom="margin">
              <wp:posOffset>171452</wp:posOffset>
            </wp:positionV>
            <wp:extent cx="11083289" cy="7844790"/>
            <wp:effectExtent l="0" t="0" r="0" b="0"/>
            <wp:wrapNone/>
            <wp:docPr id="1" name="背景 耗崽"/>
            <wp:cNvGraphicFramePr>
              <a:graphicFrameLocks noChangeAspect="1"/>
            </wp:cNvGraphicFramePr>
            <a:graphic>
              <a:graphicData uri="http://schemas.openxmlformats.org/drawingml/2006/picture">
                <pic:pic>
                  <pic:nvPicPr>
                    <pic:cNvPr id="3" name="背景 耗崽 3"/>
                    <pic:cNvPicPr/>
                  </pic:nvPicPr>
                  <pic:blipFill>
                    <a:blip r:embed="rId6"/>
                    <a:stretch>
                      <a:fillRect/>
                    </a:stretch>
                  </pic:blipFill>
                  <pic:spPr>
                    <a:xfrm rot="16200000">
                      <a:off x="0" y="0"/>
                      <a:ext cx="11083289" cy="7844790"/>
                    </a:xfrm>
                    <a:prstGeom prst="rect"/>
                    <a:noFill/>
                    <a:ln w="9525" cmpd="sng" cap="flat">
                      <a:noFill/>
                      <a:prstDash val="solid"/>
                      <a:miter/>
                    </a:ln>
                  </pic:spPr>
                </pic:pic>
              </a:graphicData>
            </a:graphic>
          </wp:anchor>
        </w:drawing>
      </w:r>
      <w:r>
        <mc:AlternateContent>
          <mc:Choice Requires="wps">
            <w:drawing>
              <wp:anchor distT="0" distB="0" distL="114298" distR="114298" simplePos="0" relativeHeight="59" behindDoc="0" locked="0" layoutInCell="1" hidden="0" allowOverlap="1">
                <wp:simplePos x="0" y="0"/>
                <wp:positionH relativeFrom="column">
                  <wp:posOffset>-621030</wp:posOffset>
                </wp:positionH>
                <wp:positionV relativeFrom="paragraph">
                  <wp:posOffset>-1040764</wp:posOffset>
                </wp:positionV>
                <wp:extent cx="797560" cy="497204"/>
                <wp:effectExtent l="0" t="0" r="0" b="0"/>
                <wp:wrapNone/>
                <wp:docPr id="4" name="文本框 2"/>
                <wp:cNvGraphicFramePr>
                  <a:graphicFrameLocks noChangeAspect="0"/>
                </wp:cNvGraphicFramePr>
                <a:graphic>
                  <a:graphicData uri="http://schemas.microsoft.com/office/word/2010/wordprocessingShape">
                    <wps:wsp>
                      <wps:cNvSpPr/>
                      <wps:spPr>
                        <a:xfrm rot="0">
                          <a:off x="0" y="0"/>
                          <a:ext cx="797560" cy="497204"/>
                        </a:xfrm>
                        <a:prstGeom prst="rect"/>
                        <a:solidFill>
                          <a:srgbClr val="FFFFFF"/>
                        </a:solidFill>
                        <a:ln w="9525" cmpd="sng" cap="flat">
                          <a:solidFill>
                            <a:srgbClr val="000000"/>
                          </a:solidFill>
                          <a:prstDash val="solid"/>
                          <a:miter/>
                        </a:ln>
                      </wps:spPr>
                      <wps:txbx id="5">
                        <w:txbxContent>
                          <w:p>
                            <w:pPr>
                              <w:rPr>
                                <w:rFonts w:ascii="方正黑体_GBK" w:eastAsia="方正黑体_GBK"/>
                                <w:sz w:val="32"/>
                                <w:szCs w:val="32"/>
                              </w:rPr>
                            </w:pPr>
                            <w:r>
                              <w:rPr>
                                <w:rFonts w:ascii="方正黑体_GBK" w:eastAsia="方正黑体_GBK" w:hint="eastAsia"/>
                                <w:sz w:val="32"/>
                                <w:szCs w:val="32"/>
                              </w:rPr>
                              <w:t>附件</w:t>
                            </w:r>
                            <w:r>
                              <w:rPr>
                                <w:rFonts w:ascii="Times New Roman" w:eastAsia="方正黑体_GBK" w:cs="Times New Roman" w:hAnsi="Times New Roman"/>
                                <w:sz w:val="32"/>
                                <w:szCs w:val="32"/>
                              </w:rPr>
                              <w:t>2</w:t>
                            </w:r>
                          </w:p>
                        </w:txbxContent>
                      </wps:txbx>
                      <wps:bodyPr vert="horz" wrap="square" lIns="91440" tIns="45720" rIns="91440" bIns="45720" anchor="t" anchorCtr="0" upright="0">
                        <a:spAutoFit/>
                      </wps:bodyPr>
                    </wps:wsp>
                  </a:graphicData>
                </a:graphic>
              </wp:anchor>
            </w:drawing>
          </mc:Choice>
          <mc:Fallback>
            <w:pict>
              <v:shape type="#_x0000_t202" id="文本框 2 6" o:spid="_x0000_s6" fillcolor="#FFFFFF" stroked="t" style="position:absolute;margin-left:-48.9pt;margin-top:-81.95pt;width:62.799995pt;height:39.14999pt;z-index:59;mso-position-horizontal:absolute;mso-position-vertical:absolute;mso-wrap-distance-left:8.999863pt;mso-wrap-distance-right:8.999863pt;mso-wrap-style:square;">
                <v:stroke color="#000000"/>
                <v:textbox id="848" inset="2.54mm,1.27mm,2.54mm,1.27mm" o:insetmode="custom" style="layout-flow:horizontal;v-text-anchor:top;mso-fit-shape-to-text:t;">
                  <w:txbxContent>
                    <w:p>
                      <w:pPr>
                        <w:rPr>
                          <w:rFonts w:ascii="方正黑体_GBK" w:eastAsia="方正黑体_GBK"/>
                          <w:sz w:val="32"/>
                          <w:szCs w:val="32"/>
                        </w:rPr>
                      </w:pPr>
                      <w:r>
                        <w:rPr>
                          <w:rFonts w:ascii="方正黑体_GBK" w:eastAsia="方正黑体_GBK" w:hint="eastAsia"/>
                          <w:sz w:val="32"/>
                          <w:szCs w:val="32"/>
                        </w:rPr>
                        <w:t>附件</w:t>
                      </w:r>
                      <w:r>
                        <w:rPr>
                          <w:rFonts w:ascii="Times New Roman" w:eastAsia="方正黑体_GBK" w:cs="Times New Roman" w:hAnsi="Times New Roman"/>
                          <w:sz w:val="32"/>
                          <w:szCs w:val="32"/>
                        </w:rPr>
                        <w:t>2</w:t>
                      </w:r>
                    </w:p>
                  </w:txbxContent>
                </v:textbox>
              </v:shape>
            </w:pict>
          </mc:Fallback>
        </mc:AlternateContent>
      </w:r>
      <w:r>
        <w:rPr>
          <w:rFonts w:hint="eastAsia"/>
        </w:rPr>
        <w:drawing>
          <wp:anchor distT="0" distB="0" distL="114300" distR="114300" simplePos="0" relativeHeight="41" behindDoc="0" locked="0" layoutInCell="1" hidden="0" allowOverlap="1">
            <wp:simplePos x="0" y="0"/>
            <wp:positionH relativeFrom="column">
              <wp:posOffset>-32503</wp:posOffset>
            </wp:positionH>
            <wp:positionV relativeFrom="margin">
              <wp:posOffset>-60634</wp:posOffset>
            </wp:positionV>
            <wp:extent cx="610235" cy="610235"/>
            <wp:effectExtent l="0" t="0" r="0" b="0"/>
            <wp:wrapNone/>
            <wp:docPr id="7" name="图片 9" descr="32313539333330313b32313539333238393bb9abb8e6"/>
            <wp:cNvGraphicFramePr>
              <a:graphicFrameLocks noChangeAspect="1"/>
            </wp:cNvGraphicFramePr>
            <a:graphic>
              <a:graphicData uri="http://schemas.openxmlformats.org/drawingml/2006/picture">
                <pic:pic>
                  <pic:nvPicPr>
                    <pic:cNvPr id="9" name="图片 9 9"/>
                    <pic:cNvPicPr/>
                  </pic:nvPicPr>
                  <pic:blipFill>
                    <a:blip r:embed="rId7"/>
                    <a:stretch>
                      <a:fillRect/>
                    </a:stretch>
                  </pic:blipFill>
                  <pic:spPr>
                    <a:xfrm rot="0">
                      <a:off x="0" y="0"/>
                      <a:ext cx="610235" cy="610235"/>
                    </a:xfrm>
                    <a:prstGeom prst="rect"/>
                    <a:noFill/>
                    <a:ln w="9525" cmpd="sng" cap="flat">
                      <a:noFill/>
                      <a:prstDash val="solid"/>
                      <a:miter/>
                    </a:ln>
                  </pic:spPr>
                </pic:pic>
              </a:graphicData>
            </a:graphic>
          </wp:anchor>
        </w:drawing>
      </w:r>
      <w:r>
        <mc:AlternateContent>
          <mc:Choice Requires="wps">
            <w:drawing>
              <wp:anchor distT="0" distB="0" distL="114298" distR="114298" simplePos="0" relativeHeight="45" behindDoc="0" locked="0" layoutInCell="1" hidden="0" allowOverlap="1">
                <wp:simplePos x="0" y="0"/>
                <wp:positionH relativeFrom="column">
                  <wp:posOffset>1120139</wp:posOffset>
                </wp:positionH>
                <wp:positionV relativeFrom="paragraph">
                  <wp:posOffset>7942580</wp:posOffset>
                </wp:positionV>
                <wp:extent cx="3260090" cy="520699"/>
                <wp:effectExtent l="0" t="0" r="0" b="0"/>
                <wp:wrapNone/>
                <wp:docPr id="10" name="文本框 2"/>
                <wp:cNvGraphicFramePr>
                  <a:graphicFrameLocks noChangeAspect="0"/>
                </wp:cNvGraphicFramePr>
                <a:graphic>
                  <a:graphicData uri="http://schemas.microsoft.com/office/word/2010/wordprocessingShape">
                    <wps:wsp>
                      <wps:cNvSpPr/>
                      <wps:spPr>
                        <a:xfrm rot="0">
                          <a:off x="0" y="0"/>
                          <a:ext cx="3260090" cy="520699"/>
                        </a:xfrm>
                        <a:prstGeom prst="rect"/>
                        <a:noFill/>
                        <a:ln w="9525" cmpd="sng" cap="flat">
                          <a:noFill/>
                          <a:prstDash val="solid"/>
                          <a:miter/>
                        </a:ln>
                      </wps:spPr>
                      <wps:txbx id="11">
                        <w:txbxContent>
                          <w:p>
                            <w:pPr>
                              <w:spacing w:line="600" w:lineRule="auto"/>
                              <w:jc w:val="center"/>
                              <w:rPr>
                                <w:rFonts w:ascii="楷体_GB2312" w:eastAsia="楷体_GB2312" w:cs="楷体_GB2312" w:hAnsi="楷体_GB2312"/>
                                <w:color w:val="000000"/>
                                <w:sz w:val="40"/>
                                <w:szCs w:val="40"/>
                              </w:rPr>
                            </w:pPr>
                            <w:r>
                              <w:rPr>
                                <w:rFonts w:ascii="楷体_GB2312" w:eastAsia="楷体_GB2312" w:cs="楷体_GB2312" w:hAnsi="楷体_GB2312" w:hint="eastAsia"/>
                                <w:color w:val="000000"/>
                                <w:sz w:val="40"/>
                                <w:szCs w:val="40"/>
                              </w:rPr>
                              <w:t>二〇二三年</w:t>
                            </w:r>
                            <w:r>
                              <w:rPr>
                                <w:rFonts w:ascii="楷体_GB2312" w:eastAsia="楷体_GB2312" w:cs="楷体_GB2312" w:hAnsi="楷体_GB2312"/>
                                <w:color w:val="000000"/>
                                <w:sz w:val="40"/>
                                <w:szCs w:val="40"/>
                              </w:rPr>
                              <w:t>九</w:t>
                            </w:r>
                            <w:r>
                              <w:rPr>
                                <w:rFonts w:ascii="楷体_GB2312" w:eastAsia="楷体_GB2312" w:cs="楷体_GB2312" w:hAnsi="楷体_GB2312" w:hint="eastAsia"/>
                                <w:color w:val="000000"/>
                                <w:sz w:val="40"/>
                                <w:szCs w:val="40"/>
                              </w:rPr>
                              <w:t>月</w:t>
                            </w:r>
                          </w:p>
                        </w:txbxContent>
                      </wps:txbx>
                      <wps:bodyPr vert="horz" wrap="square" lIns="91440" tIns="45720" rIns="91440" bIns="45720" anchor="t" anchorCtr="0" upright="0">
                        <a:noAutofit/>
                      </wps:bodyPr>
                    </wps:wsp>
                  </a:graphicData>
                </a:graphic>
              </wp:anchor>
            </w:drawing>
          </mc:Choice>
          <mc:Fallback>
            <w:pict>
              <v:shape type="#_x0000_t202" id="文本框 2 12" o:spid="_x0000_s12" filled="f" stroked="f" style="position:absolute;margin-left:88.2pt;margin-top:625.4pt;width:256.7pt;height:40.999985pt;z-index:45;mso-position-horizontal:absolute;mso-position-vertical:absolute;mso-wrap-distance-left:8.999863pt;mso-wrap-distance-right:8.999863pt;mso-wrap-style:square;">
                <v:stroke color="#000000"/>
                <v:textbox id="851" inset="2.54mm,1.27mm,2.54mm,1.27mm" o:insetmode="custom" style="layout-flow:horizontal;v-text-anchor:top;">
                  <w:txbxContent>
                    <w:p>
                      <w:pPr>
                        <w:spacing w:line="600" w:lineRule="auto"/>
                        <w:jc w:val="center"/>
                        <w:rPr>
                          <w:rFonts w:ascii="楷体_GB2312" w:eastAsia="楷体_GB2312" w:cs="楷体_GB2312" w:hAnsi="楷体_GB2312"/>
                          <w:color w:val="000000"/>
                          <w:sz w:val="40"/>
                          <w:szCs w:val="40"/>
                        </w:rPr>
                      </w:pPr>
                      <w:r>
                        <w:rPr>
                          <w:rFonts w:ascii="楷体_GB2312" w:eastAsia="楷体_GB2312" w:cs="楷体_GB2312" w:hAnsi="楷体_GB2312" w:hint="eastAsia"/>
                          <w:color w:val="000000"/>
                          <w:sz w:val="40"/>
                          <w:szCs w:val="40"/>
                        </w:rPr>
                        <w:t>二〇二三年</w:t>
                      </w:r>
                      <w:r>
                        <w:rPr>
                          <w:rFonts w:ascii="楷体_GB2312" w:eastAsia="楷体_GB2312" w:cs="楷体_GB2312" w:hAnsi="楷体_GB2312"/>
                          <w:color w:val="000000"/>
                          <w:sz w:val="40"/>
                          <w:szCs w:val="40"/>
                        </w:rPr>
                        <w:t>九</w:t>
                      </w:r>
                      <w:r>
                        <w:rPr>
                          <w:rFonts w:ascii="楷体_GB2312" w:eastAsia="楷体_GB2312" w:cs="楷体_GB2312" w:hAnsi="楷体_GB2312" w:hint="eastAsia"/>
                          <w:color w:val="000000"/>
                          <w:sz w:val="40"/>
                          <w:szCs w:val="40"/>
                        </w:rPr>
                        <w:t>月</w:t>
                      </w:r>
                    </w:p>
                  </w:txbxContent>
                </v:textbox>
              </v:shape>
            </w:pict>
          </mc:Fallback>
        </mc:AlternateContent>
      </w:r>
      <w:r>
        <mc:AlternateContent>
          <mc:Choice Requires="wps">
            <w:drawing>
              <wp:anchor distT="0" distB="0" distL="114298" distR="114298" simplePos="0" relativeHeight="37" behindDoc="0" locked="0" layoutInCell="1" hidden="0" allowOverlap="1">
                <wp:simplePos x="0" y="0"/>
                <wp:positionH relativeFrom="column">
                  <wp:posOffset>294640</wp:posOffset>
                </wp:positionH>
                <wp:positionV relativeFrom="paragraph">
                  <wp:posOffset>6406515</wp:posOffset>
                </wp:positionV>
                <wp:extent cx="5482590" cy="1066800"/>
                <wp:effectExtent l="0" t="0" r="0" b="0"/>
                <wp:wrapNone/>
                <wp:docPr id="13" name="文本框 2"/>
                <wp:cNvGraphicFramePr>
                  <a:graphicFrameLocks noChangeAspect="0"/>
                </wp:cNvGraphicFramePr>
                <a:graphic>
                  <a:graphicData uri="http://schemas.microsoft.com/office/word/2010/wordprocessingShape">
                    <wps:wsp>
                      <wps:cNvSpPr/>
                      <wps:spPr>
                        <a:xfrm rot="0">
                          <a:off x="0" y="0"/>
                          <a:ext cx="5482590" cy="1066800"/>
                        </a:xfrm>
                        <a:prstGeom prst="rect"/>
                        <a:noFill/>
                        <a:ln w="9525" cmpd="sng" cap="flat">
                          <a:noFill/>
                          <a:prstDash val="solid"/>
                          <a:miter/>
                        </a:ln>
                      </wps:spPr>
                      <wps:txbx id="14">
                        <w:txbxContent>
                          <w:p>
                            <w:pPr>
                              <w:spacing w:line="600" w:lineRule="auto"/>
                              <w:jc w:val="left"/>
                              <w:rPr>
                                <w:rFonts w:ascii="楷体_GB2312" w:eastAsia="楷体_GB2312" w:cs="楷体_GB2312" w:hAnsi="楷体_GB2312"/>
                                <w:color w:val="000000"/>
                                <w:sz w:val="40"/>
                                <w:szCs w:val="40"/>
                              </w:rPr>
                            </w:pPr>
                            <w:r>
                              <w:rPr>
                                <w:rFonts w:ascii="黑体" w:eastAsia="黑体" w:cs="黑体" w:hAnsi="黑体" w:hint="eastAsia"/>
                                <w:color w:val="000000"/>
                                <w:sz w:val="40"/>
                                <w:szCs w:val="40"/>
                              </w:rPr>
                              <w:t>预算代码</w:t>
                            </w:r>
                            <w:r>
                              <w:rPr>
                                <w:rFonts w:ascii="楷体_GB2312" w:eastAsia="楷体_GB2312" w:cs="楷体_GB2312" w:hAnsi="楷体_GB2312" w:hint="eastAsia"/>
                                <w:color w:val="000000"/>
                                <w:sz w:val="40"/>
                                <w:szCs w:val="40"/>
                              </w:rPr>
                              <w:t>：</w:t>
                            </w:r>
                            <w:r>
                              <w:rPr>
                                <w:rFonts w:ascii="楷体_GB2312" w:eastAsia="楷体_GB2312" w:cs="楷体_GB2312" w:hAnsi="楷体_GB2312"/>
                                <w:color w:val="000000"/>
                                <w:sz w:val="40"/>
                                <w:szCs w:val="40"/>
                              </w:rPr>
                              <w:t>402</w:t>
                            </w:r>
                          </w:p>
                          <w:p>
                            <w:pPr>
                              <w:spacing w:line="600" w:lineRule="auto"/>
                              <w:jc w:val="left"/>
                              <w:rPr>
                                <w:rFonts w:ascii="楷体_GB2312" w:eastAsia="楷体_GB2312" w:cs="楷体_GB2312" w:hAnsi="楷体_GB2312"/>
                                <w:color w:val="000000"/>
                                <w:sz w:val="40"/>
                                <w:szCs w:val="40"/>
                              </w:rPr>
                            </w:pPr>
                            <w:r>
                              <w:rPr>
                                <w:rFonts w:ascii="黑体" w:eastAsia="黑体" w:cs="黑体" w:hAnsi="黑体" w:hint="eastAsia"/>
                                <w:color w:val="000000"/>
                                <w:sz w:val="40"/>
                                <w:szCs w:val="40"/>
                              </w:rPr>
                              <w:t>单位名称</w:t>
                            </w:r>
                            <w:r>
                              <w:rPr>
                                <w:rFonts w:ascii="楷体_GB2312" w:eastAsia="楷体_GB2312" w:cs="楷体_GB2312" w:hAnsi="楷体_GB2312" w:hint="eastAsia"/>
                                <w:color w:val="000000"/>
                                <w:sz w:val="40"/>
                                <w:szCs w:val="40"/>
                              </w:rPr>
                              <w:t>：河北省</w:t>
                            </w:r>
                            <w:r>
                              <w:rPr>
                                <w:rFonts w:ascii="楷体_GB2312" w:eastAsia="楷体_GB2312" w:cs="楷体_GB2312" w:hAnsi="楷体_GB2312"/>
                                <w:color w:val="000000"/>
                                <w:sz w:val="40"/>
                                <w:szCs w:val="40"/>
                              </w:rPr>
                              <w:t>农业广播电视学校丰南分校</w:t>
                            </w:r>
                          </w:p>
                        </w:txbxContent>
                      </wps:txbx>
                      <wps:bodyPr vert="horz" wrap="square" lIns="91440" tIns="45720" rIns="91440" bIns="45720" anchor="t" anchorCtr="0" upright="0">
                        <a:noAutofit/>
                      </wps:bodyPr>
                    </wps:wsp>
                  </a:graphicData>
                </a:graphic>
              </wp:anchor>
            </w:drawing>
          </mc:Choice>
          <mc:Fallback>
            <w:pict>
              <v:shape type="#_x0000_t202" id="文本框 2 15" o:spid="_x0000_s15" filled="f" stroked="f" style="position:absolute;margin-left:23.2pt;margin-top:504.44998pt;width:431.7pt;height:84.0pt;z-index:37;mso-position-horizontal:absolute;mso-position-vertical:absolute;mso-wrap-distance-left:8.999863pt;mso-wrap-distance-right:8.999863pt;mso-wrap-style:square;">
                <v:stroke color="#000000"/>
                <v:textbox id="852" inset="2.54mm,1.27mm,2.54mm,1.27mm" o:insetmode="custom" style="layout-flow:horizontal;v-text-anchor:top;">
                  <w:txbxContent>
                    <w:p>
                      <w:pPr>
                        <w:spacing w:line="600" w:lineRule="auto"/>
                        <w:jc w:val="left"/>
                        <w:rPr>
                          <w:rFonts w:ascii="楷体_GB2312" w:eastAsia="楷体_GB2312" w:cs="楷体_GB2312" w:hAnsi="楷体_GB2312"/>
                          <w:color w:val="000000"/>
                          <w:sz w:val="40"/>
                          <w:szCs w:val="40"/>
                        </w:rPr>
                      </w:pPr>
                      <w:r>
                        <w:rPr>
                          <w:rFonts w:ascii="黑体" w:eastAsia="黑体" w:cs="黑体" w:hAnsi="黑体" w:hint="eastAsia"/>
                          <w:color w:val="000000"/>
                          <w:sz w:val="40"/>
                          <w:szCs w:val="40"/>
                        </w:rPr>
                        <w:t>预算代码</w:t>
                      </w:r>
                      <w:r>
                        <w:rPr>
                          <w:rFonts w:ascii="楷体_GB2312" w:eastAsia="楷体_GB2312" w:cs="楷体_GB2312" w:hAnsi="楷体_GB2312" w:hint="eastAsia"/>
                          <w:color w:val="000000"/>
                          <w:sz w:val="40"/>
                          <w:szCs w:val="40"/>
                        </w:rPr>
                        <w:t>：</w:t>
                      </w:r>
                      <w:r>
                        <w:rPr>
                          <w:rFonts w:ascii="楷体_GB2312" w:eastAsia="楷体_GB2312" w:cs="楷体_GB2312" w:hAnsi="楷体_GB2312"/>
                          <w:color w:val="000000"/>
                          <w:sz w:val="40"/>
                          <w:szCs w:val="40"/>
                        </w:rPr>
                        <w:t>402</w:t>
                      </w:r>
                    </w:p>
                    <w:p>
                      <w:pPr>
                        <w:spacing w:line="600" w:lineRule="auto"/>
                        <w:jc w:val="left"/>
                        <w:rPr>
                          <w:rFonts w:ascii="楷体_GB2312" w:eastAsia="楷体_GB2312" w:cs="楷体_GB2312" w:hAnsi="楷体_GB2312"/>
                          <w:color w:val="000000"/>
                          <w:sz w:val="40"/>
                          <w:szCs w:val="40"/>
                        </w:rPr>
                      </w:pPr>
                      <w:r>
                        <w:rPr>
                          <w:rFonts w:ascii="黑体" w:eastAsia="黑体" w:cs="黑体" w:hAnsi="黑体" w:hint="eastAsia"/>
                          <w:color w:val="000000"/>
                          <w:sz w:val="40"/>
                          <w:szCs w:val="40"/>
                        </w:rPr>
                        <w:t>单位名称</w:t>
                      </w:r>
                      <w:r>
                        <w:rPr>
                          <w:rFonts w:ascii="楷体_GB2312" w:eastAsia="楷体_GB2312" w:cs="楷体_GB2312" w:hAnsi="楷体_GB2312" w:hint="eastAsia"/>
                          <w:color w:val="000000"/>
                          <w:sz w:val="40"/>
                          <w:szCs w:val="40"/>
                        </w:rPr>
                        <w:t>：河北省</w:t>
                      </w:r>
                      <w:r>
                        <w:rPr>
                          <w:rFonts w:ascii="楷体_GB2312" w:eastAsia="楷体_GB2312" w:cs="楷体_GB2312" w:hAnsi="楷体_GB2312"/>
                          <w:color w:val="000000"/>
                          <w:sz w:val="40"/>
                          <w:szCs w:val="40"/>
                        </w:rPr>
                        <w:t>农业广播电视学校丰南分校</w:t>
                      </w:r>
                    </w:p>
                  </w:txbxContent>
                </v:textbox>
              </v:shape>
            </w:pict>
          </mc:Fallback>
        </mc:AlternateContent>
      </w:r>
      <w:r>
        <mc:AlternateContent>
          <mc:Choice Requires="wps">
            <w:drawing>
              <wp:anchor distT="0" distB="0" distL="114298" distR="114298" simplePos="0" relativeHeight="43" behindDoc="0" locked="0" layoutInCell="1" hidden="0" allowOverlap="1">
                <wp:simplePos x="0" y="0"/>
                <wp:positionH relativeFrom="column">
                  <wp:posOffset>-1054100</wp:posOffset>
                </wp:positionH>
                <wp:positionV relativeFrom="paragraph">
                  <wp:posOffset>2498725</wp:posOffset>
                </wp:positionV>
                <wp:extent cx="7793355" cy="3491865"/>
                <wp:effectExtent l="0" t="0" r="0" b="0"/>
                <wp:wrapNone/>
                <wp:docPr id="16" name="组合"/>
                <wp:cNvGraphicFramePr>
                  <a:graphicFrameLocks noChangeAspect="0"/>
                </wp:cNvGraphicFramePr>
                <a:graphic>
                  <a:graphicData uri="http://schemas.microsoft.com/office/word/2010/wordprocessingGroup">
                    <wpg:wgp>
                      <wpg:cNvPr id="17" name="组合 17"/>
                      <wpg:cNvGrpSpPr/>
                      <wpg:grpSpPr>
                        <a:xfrm rot="0">
                          <a:off x="0" y="0"/>
                          <a:ext cx="7793355" cy="3491865"/>
                          <a:chOff x="0" y="0"/>
                          <a:chExt cx="7793355" cy="3491865"/>
                        </a:xfrm>
                        <a:prstGeom prst="rect"/>
                        <a:solidFill>
                          <a:srgbClr val="FFFFFF"/>
                        </a:solidFill>
                        <a:ln w="9525" cmpd="sng" cap="flat">
                          <a:solidFill>
                            <a:srgbClr val="000000"/>
                          </a:solidFill>
                          <a:prstDash val="solid"/>
                          <a:miter/>
                        </a:ln>
                      </wpg:grpSpPr>
                      <wps:wsp>
                        <wps:cNvPr id="18" name="_s23 18"/>
                        <wps:cNvSpPr/>
                        <wps:spPr>
                          <a:xfrm rot="0">
                            <a:off x="6353692" y="635"/>
                            <a:ext cx="1439662" cy="3489960"/>
                          </a:xfrm>
                          <a:prstGeom prst="rect"/>
                          <a:solidFill>
                            <a:srgbClr val="2E75B6"/>
                          </a:solidFill>
                          <a:ln w="9525" cmpd="sng" cap="flat">
                            <a:noFill/>
                            <a:prstDash val="solid"/>
                            <a:miter/>
                          </a:ln>
                        </wps:spPr>
                        <wps:txbx id="19">
                          <w:txbxContent>
                            <w:p>
                              <w:pPr>
                                <w:jc w:val="center"/>
                              </w:pPr>
                            </w:p>
                          </w:txbxContent>
                        </wps:txbx>
                        <wps:bodyPr vert="horz" wrap="square" lIns="91440" tIns="45720" rIns="91440" bIns="45720" anchor="ctr" anchorCtr="0" upright="0">
                          <a:noAutofit/>
                        </wps:bodyPr>
                      </wps:wsp>
                      <pic:pic>
                        <pic:nvPicPr>
                          <pic:cNvPr id="21" name="_s24 21"/>
                          <pic:cNvPicPr/>
                        </pic:nvPicPr>
                        <pic:blipFill>
                          <a:blip r:embed="rId8"/>
                          <a:stretch>
                            <a:fillRect/>
                          </a:stretch>
                        </pic:blipFill>
                        <pic:spPr>
                          <a:xfrm rot="0">
                            <a:off x="0" y="0"/>
                            <a:ext cx="6367028" cy="3490595"/>
                          </a:xfrm>
                          <a:prstGeom prst="rect"/>
                          <a:noFill/>
                          <a:ln w="9525" cmpd="sng" cap="flat">
                            <a:noFill/>
                            <a:prstDash val="solid"/>
                            <a:miter/>
                          </a:ln>
                        </pic:spPr>
                      </pic:pic>
                      <wps:bodyPr vert="horz" wrap="square" lIns="91440" tIns="45720" rIns="91440" bIns="45720" anchor="t" anchorCtr="0" upright="1">
                        <a:noAutofit/>
                      </wps:bodyPr>
                    </wpg:wgp>
                  </a:graphicData>
                </a:graphic>
              </wp:anchor>
            </w:drawing>
          </mc:Choice>
          <mc:Fallback>
            <w:pict>
              <v:group type="#_x0000_t1" id="组合 22" o:spid="_x0000_s22" coordorigin="-129,5409" coordsize="12272,5499" style="position:absolute;margin-left:-83.00001pt;margin-top:196.75002pt;width:613.64996pt;height:274.95pt;z-index:43;mso-position-horizontal:absolute;mso-position-vertical:absolute;mso-wrap-distance-left:8.999863pt;mso-wrap-distance-right:8.999863pt;">
                <v:rect type="#_x0000_t1" id="_s23" o:spid="_x0000_s23" style="position:absolute;left:9876;top:5410;width:2267;height:5496;mso-wrap-style:square;" fillcolor="#2E75B6" stroked="f">
                  <v:textbox id="868" inset="2.54mm,1.27mm,2.54mm,1.27mm" o:insetmode="custom" style="layout-flow:horizontal;v-text-anchor:middle;">
                    <w:txbxContent>
                      <w:p>
                        <w:pPr>
                          <w:jc w:val="center"/>
                        </w:pPr>
                      </w:p>
                    </w:txbxContent>
                  </v:textbox>
                  <v:stroke color="#000000"/>
                </v:rect>
                <v:shape type="#_x0000_t75" id="_s24" o:spid="_x0000_s24" alt="&amp;pky00123992966_sjzg_VCG211245312518&amp;2&amp;src_toppic_drop1&amp;" style="position:absolute;left:-129;top:5409;width:10026;height:5497;" filled="f" stroked="f">
                  <v:imagedata r:id="rId9" o:title="20"/>
                  <o:lock aspectratio="t"/>
                  <v:stroke color="#000000"/>
                </v:shape>
              </v:group>
            </w:pict>
          </mc:Fallback>
        </mc:AlternateContent>
      </w:r>
      <w:r>
        <mc:AlternateContent>
          <mc:Choice Requires="wps">
            <w:drawing>
              <wp:anchor distT="0" distB="0" distL="114298" distR="114298" simplePos="0" relativeHeight="35" behindDoc="0" locked="0" layoutInCell="1" hidden="0" allowOverlap="1">
                <wp:simplePos x="0" y="0"/>
                <wp:positionH relativeFrom="column">
                  <wp:posOffset>-253365</wp:posOffset>
                </wp:positionH>
                <wp:positionV relativeFrom="paragraph">
                  <wp:posOffset>1611630</wp:posOffset>
                </wp:positionV>
                <wp:extent cx="5494020" cy="570230"/>
                <wp:effectExtent l="0" t="0" r="0" b="0"/>
                <wp:wrapNone/>
                <wp:docPr id="25" name="文本框 33"/>
                <wp:cNvGraphicFramePr>
                  <a:graphicFrameLocks noChangeAspect="0"/>
                </wp:cNvGraphicFramePr>
                <a:graphic>
                  <a:graphicData uri="http://schemas.microsoft.com/office/word/2010/wordprocessingShape">
                    <wps:wsp>
                      <wps:cNvSpPr/>
                      <wps:spPr>
                        <a:xfrm rot="0">
                          <a:off x="0" y="0"/>
                          <a:ext cx="5494020" cy="570230"/>
                        </a:xfrm>
                        <a:prstGeom prst="rect"/>
                        <a:noFill/>
                        <a:ln w="9525" cmpd="sng" cap="flat">
                          <a:noFill/>
                          <a:prstDash val="solid"/>
                          <a:miter/>
                        </a:ln>
                      </wps:spPr>
                      <wps:txbx id="26">
                        <w:txbxContent>
                          <w:p>
                            <w:pPr>
                              <w:jc w:val="distribute"/>
                              <w:rPr>
                                <w:rFonts w:ascii="思源黑体 CN Heavy" w:eastAsia="思源黑体 CN Heavy" w:hAnsi="思源黑体 CN Heavy"/>
                                <w:color w:val="A6A6A6"/>
                                <w:kern w:val="0"/>
                                <w:sz w:val="40"/>
                                <w:szCs w:val="40"/>
                              </w:rPr>
                            </w:pPr>
                          </w:p>
                        </w:txbxContent>
                      </wps:txbx>
                      <wps:bodyPr vert="horz" wrap="square" lIns="91440" tIns="45720" rIns="91440" bIns="45720" anchor="t" anchorCtr="0" upright="0">
                        <a:noAutofit/>
                      </wps:bodyPr>
                    </wps:wsp>
                  </a:graphicData>
                </a:graphic>
              </wp:anchor>
            </w:drawing>
          </mc:Choice>
          <mc:Fallback>
            <w:pict>
              <v:shape type="#_x0000_t202" id="文本框 33 27" o:spid="_x0000_s27" filled="f" stroked="f" style="position:absolute;margin-left:-19.95pt;margin-top:126.9pt;width:432.6pt;height:44.900005pt;z-index:35;mso-position-horizontal:absolute;mso-position-vertical:absolute;mso-wrap-distance-left:8.999863pt;mso-wrap-distance-right:8.999863pt;mso-wrap-style:square;">
                <v:stroke color="#000000"/>
                <v:textbox id="854" inset="2.54mm,1.27mm,2.54mm,1.27mm" o:insetmode="custom" style="layout-flow:horizontal;v-text-anchor:top;">
                  <w:txbxContent>
                    <w:p>
                      <w:pPr>
                        <w:jc w:val="distribute"/>
                        <w:rPr>
                          <w:rFonts w:ascii="思源黑体 CN Heavy" w:eastAsia="思源黑体 CN Heavy" w:hAnsi="思源黑体 CN Heavy"/>
                          <w:color w:val="A6A6A6"/>
                          <w:kern w:val="0"/>
                          <w:sz w:val="40"/>
                          <w:szCs w:val="40"/>
                        </w:rPr>
                      </w:pPr>
                    </w:p>
                  </w:txbxContent>
                </v:textbox>
              </v:shape>
            </w:pict>
          </mc:Fallback>
        </mc:AlternateContent>
      </w:r>
      <w:r>
        <mc:AlternateContent>
          <mc:Choice Requires="wps">
            <w:drawing>
              <wp:anchor distT="0" distB="0" distL="114298" distR="114298" simplePos="0" relativeHeight="39" behindDoc="0" locked="0" layoutInCell="1" hidden="0" allowOverlap="1">
                <wp:simplePos x="0" y="0"/>
                <wp:positionH relativeFrom="column">
                  <wp:posOffset>-280669</wp:posOffset>
                </wp:positionH>
                <wp:positionV relativeFrom="paragraph">
                  <wp:posOffset>700405</wp:posOffset>
                </wp:positionV>
                <wp:extent cx="5736590" cy="871855"/>
                <wp:effectExtent l="0" t="0" r="0" b="0"/>
                <wp:wrapNone/>
                <wp:docPr id="28" name="组合"/>
                <wp:cNvGraphicFramePr>
                  <a:graphicFrameLocks noChangeAspect="0"/>
                </wp:cNvGraphicFramePr>
                <a:graphic>
                  <a:graphicData uri="http://schemas.microsoft.com/office/word/2010/wordprocessingGroup">
                    <wpg:wgp>
                      <wpg:cNvPr id="29" name="组合 29"/>
                      <wpg:cNvGrpSpPr/>
                      <wpg:grpSpPr>
                        <a:xfrm rot="0">
                          <a:off x="0" y="0"/>
                          <a:ext cx="5736590" cy="871855"/>
                          <a:chOff x="0" y="0"/>
                          <a:chExt cx="5736590" cy="871855"/>
                        </a:xfrm>
                        <a:prstGeom prst="rect"/>
                        <a:solidFill>
                          <a:srgbClr val="FFFFFF"/>
                        </a:solidFill>
                        <a:ln w="9525" cmpd="sng" cap="flat">
                          <a:solidFill>
                            <a:srgbClr val="000000"/>
                          </a:solidFill>
                          <a:prstDash val="solid"/>
                          <a:miter/>
                        </a:ln>
                      </wpg:grpSpPr>
                      <wps:wsp>
                        <wps:cNvPr id="30" name="_s34 30"/>
                        <wps:cNvSpPr/>
                        <wps:spPr>
                          <a:xfrm rot="0">
                            <a:off x="0" y="0"/>
                            <a:ext cx="5736590" cy="751839"/>
                          </a:xfrm>
                          <a:prstGeom prst="rect"/>
                          <a:noFill/>
                          <a:ln w="9525" cmpd="sng" cap="flat">
                            <a:noFill/>
                            <a:prstDash val="solid"/>
                            <a:miter/>
                          </a:ln>
                        </wps:spPr>
                        <wps:txbx id="31">
                          <w:txbxContent>
                            <w:p>
                              <w:pPr>
                                <w:jc w:val="left"/>
                                <w:rPr>
                                  <w:rFonts w:ascii="思源黑体 CN Bold" w:eastAsia="思源黑体 CN Bold" w:hAnsi="思源黑体 CN Bold"/>
                                  <w:b/>
                                  <w:bCs/>
                                  <w:color w:val="002060"/>
                                  <w:kern w:val="0"/>
                                  <w:sz w:val="24"/>
                                  <w:szCs w:val="24"/>
                                </w:rPr>
                              </w:pPr>
                              <w:r>
                                <w:rPr>
                                  <w:rFonts w:ascii="思源黑体 CN Bold" w:eastAsia="思源黑体 CN Bold" w:hAnsi="思源黑体 CN Bold" w:hint="eastAsia"/>
                                  <w:b/>
                                  <w:bCs/>
                                  <w:color w:val="002060"/>
                                  <w:spacing w:val="60"/>
                                  <w:kern w:val="24"/>
                                  <w:sz w:val="96"/>
                                  <w:szCs w:val="96"/>
                                </w:rPr>
                                <w:t>部门决算公开文本</w:t>
                              </w:r>
                            </w:p>
                          </w:txbxContent>
                        </wps:txbx>
                        <wps:bodyPr vert="horz" wrap="square" lIns="91440" tIns="45720" rIns="91440" bIns="45720" anchor="t" anchorCtr="0" upright="0">
                          <a:noAutofit/>
                        </wps:bodyPr>
                      </wps:wsp>
                      <wps:wsp>
                        <wps:cNvPr id="32" name="_s35 32"/>
                        <wps:cNvSpPr/>
                        <wps:spPr>
                          <a:xfrm rot="0">
                            <a:off x="67945" y="873760"/>
                            <a:ext cx="5524500" cy="0"/>
                          </a:xfrm>
                          <a:prstGeom prst="line"/>
                          <a:noFill/>
                          <a:ln w="28575" cmpd="sng" cap="rnd">
                            <a:solidFill>
                              <a:srgbClr val="41719C"/>
                            </a:solidFill>
                            <a:prstDash val="sysDot"/>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33" o:spid="_x0000_s33" coordorigin="1089,2576" coordsize="9034,1373" style="position:absolute;margin-left:-22.09999pt;margin-top:55.15pt;width:451.70004pt;height:68.65pt;z-index:39;mso-position-horizontal:absolute;mso-position-vertical:absolute;mso-wrap-distance-left:8.999863pt;mso-wrap-distance-right:8.999863pt;">
                <v:shape type="#_x0000_t202" id="_s34" o:spid="_x0000_s34" style="position:absolute;left:1089;top:2576;width:9034;height:1183;mso-wrap-style:square;" filled="f" stroked="f">
                  <v:textbox id="855" inset="2.54mm,1.27mm,2.54mm,1.27mm" o:insetmode="custom" style="layout-flow:horizontal;v-text-anchor:top;">
                    <w:txbxContent>
                      <w:p>
                        <w:pPr>
                          <w:jc w:val="left"/>
                          <w:rPr>
                            <w:rFonts w:ascii="思源黑体 CN Bold" w:eastAsia="思源黑体 CN Bold" w:hAnsi="思源黑体 CN Bold"/>
                            <w:b/>
                            <w:bCs/>
                            <w:color w:val="002060"/>
                            <w:kern w:val="0"/>
                            <w:sz w:val="24"/>
                            <w:szCs w:val="24"/>
                          </w:rPr>
                        </w:pPr>
                        <w:r>
                          <w:rPr>
                            <w:rFonts w:ascii="思源黑体 CN Bold" w:eastAsia="思源黑体 CN Bold" w:hAnsi="思源黑体 CN Bold" w:hint="eastAsia"/>
                            <w:b/>
                            <w:bCs/>
                            <w:color w:val="002060"/>
                            <w:spacing w:val="60"/>
                            <w:kern w:val="24"/>
                            <w:sz w:val="96"/>
                            <w:szCs w:val="96"/>
                          </w:rPr>
                          <w:t>部门决算公开文本</w:t>
                        </w:r>
                      </w:p>
                    </w:txbxContent>
                  </v:textbox>
                  <v:stroke color="#000000"/>
                </v:shape>
                <v:line type="#_x0000_t20" id="_s35" o:spid="_x0000_s35" style="position:absolute;visibility:visible;" from="1196.0015,3953.0005" to="9896.003,3953.0007" filled="f" stroked="t" strokeweight="2.25pt">
                  <v:stroke endcap="round" dashstyle="1 1" color="#41719C"/>
                </v:line>
              </v:group>
            </w:pict>
          </mc:Fallback>
        </mc:AlternateContent>
      </w:r>
      <w:r>
        <mc:AlternateContent>
          <mc:Choice Requires="wps">
            <w:drawing>
              <wp:anchor distT="0" distB="0" distL="114298" distR="114298" simplePos="0" relativeHeight="33" behindDoc="0" locked="0" layoutInCell="1" hidden="0" allowOverlap="1">
                <wp:simplePos x="0" y="0"/>
                <wp:positionH relativeFrom="column">
                  <wp:posOffset>498475</wp:posOffset>
                </wp:positionH>
                <wp:positionV relativeFrom="paragraph">
                  <wp:posOffset>-245110</wp:posOffset>
                </wp:positionV>
                <wp:extent cx="2833370" cy="788034"/>
                <wp:effectExtent l="0" t="0" r="0" b="0"/>
                <wp:wrapNone/>
                <wp:docPr id="36" name="文本框 32"/>
                <wp:cNvGraphicFramePr>
                  <a:graphicFrameLocks noChangeAspect="0"/>
                </wp:cNvGraphicFramePr>
                <a:graphic>
                  <a:graphicData uri="http://schemas.microsoft.com/office/word/2010/wordprocessingShape">
                    <wps:wsp>
                      <wps:cNvSpPr/>
                      <wps:spPr>
                        <a:xfrm rot="0">
                          <a:off x="0" y="0"/>
                          <a:ext cx="2833370" cy="788034"/>
                        </a:xfrm>
                        <a:prstGeom prst="rect"/>
                        <a:noFill/>
                        <a:ln w="9525" cmpd="sng" cap="flat">
                          <a:noFill/>
                          <a:prstDash val="solid"/>
                          <a:miter/>
                        </a:ln>
                      </wps:spPr>
                      <wps:txbx id="37">
                        <w:txbxContent>
                          <w:p>
                            <w:pPr>
                              <w:jc w:val="distribute"/>
                              <w:rPr>
                                <w:rFonts w:ascii="方正魏碑简体" w:eastAsia="方正魏碑简体" w:cs="Arial" w:hAnsi="Arial"/>
                                <w:b/>
                                <w:bCs/>
                                <w:color w:val="002060"/>
                                <w:kern w:val="0"/>
                                <w:sz w:val="22"/>
                              </w:rPr>
                            </w:pPr>
                            <w:r>
                              <w:rPr>
                                <w:rFonts w:ascii="方正魏碑简体" w:eastAsia="方正魏碑简体" w:cs="Arial" w:hAnsi="Arial" w:hint="eastAsia"/>
                                <w:b/>
                                <w:bCs/>
                                <w:color w:val="002060"/>
                                <w:spacing w:val="60"/>
                                <w:kern w:val="24"/>
                                <w:sz w:val="72"/>
                                <w:szCs w:val="72"/>
                              </w:rPr>
                              <w:t>2022年度</w:t>
                            </w:r>
                          </w:p>
                        </w:txbxContent>
                      </wps:txbx>
                      <wps:bodyPr vert="horz" wrap="square" lIns="91440" tIns="45720" rIns="91440" bIns="45720" anchor="t" anchorCtr="0" upright="0">
                        <a:noAutofit/>
                      </wps:bodyPr>
                    </wps:wsp>
                  </a:graphicData>
                </a:graphic>
              </wp:anchor>
            </w:drawing>
          </mc:Choice>
          <mc:Fallback>
            <w:pict>
              <v:shape type="#_x0000_t202" id="文本框 32 38" o:spid="_x0000_s38" filled="f" stroked="f" style="position:absolute;margin-left:39.25pt;margin-top:-19.3pt;width:223.09999pt;height:62.049995pt;z-index:33;mso-position-horizontal:absolute;mso-position-vertical:absolute;mso-wrap-distance-left:8.999863pt;mso-wrap-distance-right:8.999863pt;mso-wrap-style:square;">
                <v:stroke color="#000000"/>
                <v:textbox id="856" inset="2.54mm,1.27mm,2.54mm,1.27mm" o:insetmode="custom" style="layout-flow:horizontal;v-text-anchor:top;">
                  <w:txbxContent>
                    <w:p>
                      <w:pPr>
                        <w:jc w:val="distribute"/>
                        <w:rPr>
                          <w:rFonts w:ascii="方正魏碑简体" w:eastAsia="方正魏碑简体" w:cs="Arial" w:hAnsi="Arial"/>
                          <w:b/>
                          <w:bCs/>
                          <w:color w:val="002060"/>
                          <w:kern w:val="0"/>
                          <w:sz w:val="22"/>
                        </w:rPr>
                      </w:pPr>
                      <w:r>
                        <w:rPr>
                          <w:rFonts w:ascii="方正魏碑简体" w:eastAsia="方正魏碑简体" w:cs="Arial" w:hAnsi="Arial" w:hint="eastAsia"/>
                          <w:b/>
                          <w:bCs/>
                          <w:color w:val="002060"/>
                          <w:spacing w:val="60"/>
                          <w:kern w:val="24"/>
                          <w:sz w:val="72"/>
                          <w:szCs w:val="72"/>
                        </w:rPr>
                        <w:t>2022年度</w:t>
                      </w:r>
                    </w:p>
                  </w:txbxContent>
                </v:textbox>
              </v:shape>
            </w:pict>
          </mc:Fallback>
        </mc:AlternateContent>
      </w:r>
      <w:r>
        <w:rPr>
          <w:rFonts w:hint="eastAsia"/>
        </w:rPr>
        <w:t>1</w:t>
      </w:r>
      <w:r>
        <w:br w:type="page"/>
      </w:r>
    </w:p>
    <w:p>
      <w:pPr>
        <w:widowControl/>
        <w:spacing w:line="600" w:lineRule="exact"/>
        <w:jc w:val="left"/>
        <w:rPr>
          <w:rFonts w:ascii="黑体" w:eastAsia="黑体" w:cs="黑体" w:hAnsi="黑体"/>
          <w:bCs/>
          <w:sz w:val="32"/>
          <w:szCs w:val="32"/>
        </w:rPr>
      </w:pPr>
    </w:p>
    <w:p>
      <w:pPr>
        <w:tabs>
          <w:tab w:val="left" w:pos="2728"/>
        </w:tabs>
        <w:jc w:val="center"/>
        <w:rPr>
          <w:rFonts w:ascii="黑体" w:eastAsia="黑体" w:cs="Times New Roman" w:hAnsi="Times New Roman"/>
          <w:sz w:val="44"/>
          <w:szCs w:val="44"/>
        </w:rPr>
      </w:pPr>
      <w:r>
        <w:rPr>
          <w:rFonts w:ascii="黑体" w:eastAsia="黑体" w:cs="Times New Roman" w:hAnsi="Times New Roman" w:hint="eastAsia"/>
          <w:sz w:val="48"/>
          <w:szCs w:val="48"/>
        </w:rPr>
        <w:drawing>
          <wp:anchor distT="0" distB="0" distL="114300" distR="114300" simplePos="0" relativeHeight="53" behindDoc="0" locked="0" layoutInCell="1" hidden="0" allowOverlap="1">
            <wp:simplePos x="0" y="0"/>
            <wp:positionH relativeFrom="column">
              <wp:posOffset>1283335</wp:posOffset>
            </wp:positionH>
            <wp:positionV relativeFrom="margin">
              <wp:posOffset>259080</wp:posOffset>
            </wp:positionV>
            <wp:extent cx="639445" cy="639445"/>
            <wp:effectExtent l="0" t="0" r="0" b="0"/>
            <wp:wrapNone/>
            <wp:docPr id="39" name="图片 71" descr="32313538393631303b32313538393632373bc4bfc2bc"/>
            <wp:cNvGraphicFramePr>
              <a:graphicFrameLocks noChangeAspect="1"/>
            </wp:cNvGraphicFramePr>
            <a:graphic>
              <a:graphicData uri="http://schemas.openxmlformats.org/drawingml/2006/picture">
                <pic:pic>
                  <pic:nvPicPr>
                    <pic:cNvPr id="41" name="图片 71 41"/>
                    <pic:cNvPicPr/>
                  </pic:nvPicPr>
                  <pic:blipFill>
                    <a:blip r:embed="rId10"/>
                    <a:stretch>
                      <a:fillRect/>
                    </a:stretch>
                  </pic:blipFill>
                  <pic:spPr>
                    <a:xfrm rot="0">
                      <a:off x="0" y="0"/>
                      <a:ext cx="639445" cy="639445"/>
                    </a:xfrm>
                    <a:prstGeom prst="rect"/>
                    <a:noFill/>
                    <a:ln w="9525" cmpd="sng" cap="flat">
                      <a:noFill/>
                      <a:prstDash val="solid"/>
                      <a:miter/>
                    </a:ln>
                  </pic:spPr>
                </pic:pic>
              </a:graphicData>
            </a:graphic>
          </wp:anchor>
        </w:drawing>
      </w:r>
      <w:r>
        <w:rPr>
          <w:rFonts w:ascii="黑体" w:eastAsia="黑体" w:cs="Times New Roman" w:hAnsi="Times New Roman" w:hint="eastAsia"/>
          <w:sz w:val="44"/>
          <w:szCs w:val="44"/>
        </w:rPr>
        <w:t>目    录</w:t>
      </w:r>
    </w:p>
    <w:p>
      <w:pPr>
        <w:widowControl/>
        <w:spacing w:after="160" w:line="580" w:lineRule="exact"/>
        <w:ind w:firstLineChars="200" w:firstLine="640"/>
        <w:rPr>
          <w:rFonts w:ascii="Times New Roman" w:eastAsia="黑体" w:cs="Times New Roman" w:hAnsi="Times New Roman"/>
          <w:sz w:val="32"/>
          <w:szCs w:val="32"/>
        </w:rPr>
      </w:pPr>
    </w:p>
    <w:p>
      <w:pPr>
        <w:widowControl/>
        <w:spacing w:after="160" w:line="580" w:lineRule="exact"/>
        <w:ind w:firstLineChars="200" w:firstLine="640"/>
        <w:rPr>
          <w:rFonts w:ascii="Times New Roman" w:eastAsia="仿宋_GB2312" w:cs="Times New Roman" w:hAnsi="Times New Roman"/>
          <w:sz w:val="24"/>
          <w:szCs w:val="32"/>
        </w:rPr>
      </w:pPr>
      <w:r>
        <w:rPr>
          <w:rFonts w:ascii="Times New Roman" w:eastAsia="黑体" w:cs="Times New Roman" w:hAnsi="Times New Roman"/>
          <w:sz w:val="32"/>
          <w:szCs w:val="32"/>
        </w:rPr>
        <w:t>第一部分   部门概况</w:t>
      </w:r>
    </w:p>
    <w:p>
      <w:pPr>
        <w:widowControl/>
        <w:spacing w:after="160" w:line="580" w:lineRule="exact"/>
        <w:ind w:firstLineChars="398" w:firstLine="1274"/>
        <w:rPr>
          <w:rFonts w:ascii="Times New Roman" w:eastAsia="仿宋_GB2312" w:cs="Times New Roman" w:hAnsi="Times New Roman"/>
          <w:sz w:val="32"/>
          <w:szCs w:val="32"/>
        </w:rPr>
      </w:pPr>
      <w:r>
        <w:rPr>
          <w:rFonts w:ascii="Times New Roman" w:eastAsia="仿宋_GB2312" w:cs="Times New Roman" w:hAnsi="Times New Roman"/>
          <w:sz w:val="32"/>
          <w:szCs w:val="32"/>
        </w:rPr>
        <w:t>一、部门</w:t>
      </w:r>
      <w:r>
        <w:rPr>
          <w:rFonts w:ascii="Times New Roman" w:eastAsia="仿宋_GB2312" w:cs="Times New Roman" w:hAnsi="Times New Roman" w:hint="eastAsia"/>
          <w:sz w:val="32"/>
          <w:szCs w:val="32"/>
        </w:rPr>
        <w:t>职责</w:t>
      </w:r>
    </w:p>
    <w:p>
      <w:pPr>
        <w:widowControl/>
        <w:spacing w:after="160" w:line="580" w:lineRule="exact"/>
        <w:ind w:firstLineChars="398" w:firstLine="1274"/>
        <w:rPr>
          <w:rFonts w:ascii="Times New Roman" w:eastAsia="仿宋_GB2312" w:cs="Times New Roman" w:hAnsi="Times New Roman"/>
          <w:sz w:val="32"/>
          <w:szCs w:val="32"/>
        </w:rPr>
      </w:pPr>
      <w:r>
        <w:rPr>
          <w:rFonts w:ascii="Times New Roman" w:eastAsia="仿宋_GB2312" w:cs="Times New Roman" w:hAnsi="Times New Roman"/>
          <w:sz w:val="32"/>
          <w:szCs w:val="32"/>
        </w:rPr>
        <w:t>二、</w:t>
      </w:r>
      <w:r>
        <w:rPr>
          <w:rFonts w:ascii="Times New Roman" w:eastAsia="仿宋_GB2312" w:cs="Times New Roman" w:hAnsi="Times New Roman" w:hint="eastAsia"/>
          <w:sz w:val="32"/>
          <w:szCs w:val="32"/>
        </w:rPr>
        <w:t>机构设置</w:t>
      </w:r>
    </w:p>
    <w:p>
      <w:pPr>
        <w:widowControl/>
        <w:spacing w:after="160" w:line="58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第二部分</w:t>
      </w:r>
      <w:r>
        <w:rPr>
          <w:rFonts w:ascii="Times New Roman" w:eastAsia="黑体" w:cs="Times New Roman" w:hAnsi="Times New Roman" w:hint="eastAsia"/>
          <w:sz w:val="32"/>
          <w:szCs w:val="32"/>
        </w:rPr>
        <w:t xml:space="preserve">   2022年</w:t>
      </w:r>
      <w:r>
        <w:rPr>
          <w:rFonts w:ascii="Times New Roman" w:eastAsia="黑体" w:cs="Times New Roman" w:hAnsi="Times New Roman"/>
          <w:sz w:val="32"/>
          <w:szCs w:val="32"/>
        </w:rPr>
        <w:t>度部门决算报表</w:t>
      </w:r>
    </w:p>
    <w:p>
      <w:pPr>
        <w:widowControl/>
        <w:spacing w:after="160" w:line="580" w:lineRule="exact"/>
        <w:ind w:firstLineChars="400" w:firstLine="1280"/>
        <w:rPr>
          <w:rFonts w:ascii="Times New Roman" w:eastAsia="仿宋_GB2312" w:cs="Times New Roman" w:hAnsi="Times New Roman"/>
          <w:sz w:val="32"/>
          <w:szCs w:val="32"/>
        </w:rPr>
      </w:pPr>
      <w:r>
        <w:rPr>
          <w:rFonts w:ascii="Times New Roman" w:eastAsia="仿宋_GB2312" w:cs="Times New Roman" w:hAnsi="Times New Roman"/>
          <w:sz w:val="32"/>
          <w:szCs w:val="32"/>
        </w:rPr>
        <w:t>一、</w:t>
      </w:r>
      <w:r>
        <w:rPr>
          <w:rFonts w:ascii="Times New Roman" w:eastAsia="仿宋_GB2312" w:cs="Times New Roman" w:hAnsi="Times New Roman" w:hint="eastAsia"/>
          <w:sz w:val="32"/>
          <w:szCs w:val="32"/>
        </w:rPr>
        <w:t>收入支出决算总表</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二、收入决算</w:t>
      </w:r>
      <w:r>
        <w:rPr>
          <w:rFonts w:ascii="Times New Roman" w:eastAsia="仿宋_GB2312" w:cs="Times New Roman" w:hAnsi="Times New Roman" w:hint="eastAsia"/>
          <w:sz w:val="32"/>
          <w:szCs w:val="32"/>
        </w:rPr>
        <w:t>表</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三、支出决算</w:t>
      </w:r>
      <w:r>
        <w:rPr>
          <w:rFonts w:ascii="Times New Roman" w:eastAsia="仿宋_GB2312" w:cs="Times New Roman" w:hAnsi="Times New Roman" w:hint="eastAsia"/>
          <w:sz w:val="32"/>
          <w:szCs w:val="32"/>
        </w:rPr>
        <w:t>表</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四、</w:t>
      </w:r>
      <w:r>
        <w:rPr>
          <w:rFonts w:ascii="Times New Roman" w:eastAsia="仿宋_GB2312" w:cs="Times New Roman" w:hAnsi="Times New Roman" w:hint="eastAsia"/>
          <w:sz w:val="32"/>
          <w:szCs w:val="32"/>
        </w:rPr>
        <w:t>财政拨款收入支出决算总表</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hint="eastAsia"/>
          <w:sz w:val="32"/>
          <w:szCs w:val="32"/>
        </w:rPr>
        <w:t>五、一般公共预算财政拨款支出决算表</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hint="eastAsia"/>
          <w:sz w:val="32"/>
          <w:szCs w:val="32"/>
        </w:rPr>
        <w:t>六、一般公共预算财政拨款基本支出决算明细表</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hint="eastAsia"/>
          <w:sz w:val="32"/>
          <w:szCs w:val="32"/>
        </w:rPr>
        <w:t>七、政府性基金预算财政拨款收入支出决算表</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hint="eastAsia"/>
          <w:sz w:val="32"/>
          <w:szCs w:val="32"/>
        </w:rPr>
        <w:t>八</w:t>
      </w:r>
      <w:r>
        <w:rPr>
          <w:rFonts w:ascii="Times New Roman" w:eastAsia="仿宋_GB2312" w:cs="Times New Roman" w:hAnsi="Times New Roman"/>
          <w:sz w:val="32"/>
          <w:szCs w:val="32"/>
        </w:rPr>
        <w:t>、</w:t>
      </w:r>
      <w:r>
        <w:rPr>
          <w:rFonts w:ascii="Times New Roman" w:eastAsia="仿宋_GB2312" w:cs="Times New Roman" w:hAnsi="Times New Roman" w:hint="eastAsia"/>
          <w:sz w:val="32"/>
          <w:szCs w:val="32"/>
        </w:rPr>
        <w:t>国有资本经营预算财政拨款支出决算表</w:t>
      </w:r>
    </w:p>
    <w:p>
      <w:pPr>
        <w:widowControl/>
        <w:spacing w:after="160" w:line="580" w:lineRule="exact"/>
        <w:ind w:left="640" w:firstLineChars="200" w:firstLine="640"/>
        <w:rPr>
          <w:rFonts w:ascii="Times New Roman" w:eastAsia="仿宋_GB2312" w:cs="Times New Roman" w:hAnsi="Times New Roman"/>
          <w:sz w:val="20"/>
          <w:szCs w:val="32"/>
        </w:rPr>
      </w:pPr>
      <w:r>
        <w:rPr>
          <w:rFonts w:ascii="Times New Roman" w:eastAsia="仿宋_GB2312" w:cs="Times New Roman" w:hAnsi="Times New Roman" w:hint="eastAsia"/>
          <w:sz w:val="32"/>
          <w:szCs w:val="32"/>
        </w:rPr>
        <w:t>九、财政拨款“三公”经费支出决算表</w:t>
      </w:r>
    </w:p>
    <w:p>
      <w:pPr>
        <w:widowControl/>
        <w:spacing w:after="160" w:line="58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 xml:space="preserve">第三部分   </w:t>
      </w:r>
      <w:r>
        <w:rPr>
          <w:rFonts w:ascii="Times New Roman" w:eastAsia="黑体" w:cs="Times New Roman" w:hAnsi="Times New Roman" w:hint="eastAsia"/>
          <w:sz w:val="32"/>
          <w:szCs w:val="32"/>
        </w:rPr>
        <w:t>2022年度</w:t>
      </w:r>
      <w:r>
        <w:rPr>
          <w:rFonts w:ascii="Times New Roman" w:eastAsia="黑体" w:cs="Times New Roman" w:hAnsi="Times New Roman"/>
          <w:sz w:val="32"/>
          <w:szCs w:val="32"/>
        </w:rPr>
        <w:t>部门决算情况说明</w:t>
      </w:r>
    </w:p>
    <w:p>
      <w:pPr>
        <w:widowControl/>
        <w:spacing w:after="160" w:line="580" w:lineRule="exact"/>
        <w:ind w:firstLineChars="400" w:firstLine="1280"/>
        <w:rPr>
          <w:rFonts w:ascii="Times New Roman" w:eastAsia="仿宋_GB2312" w:cs="Times New Roman" w:hAnsi="Times New Roman"/>
          <w:sz w:val="32"/>
          <w:szCs w:val="32"/>
        </w:rPr>
      </w:pPr>
      <w:r>
        <w:rPr>
          <w:rFonts w:ascii="Times New Roman" w:eastAsia="仿宋_GB2312" w:cs="Times New Roman" w:hAnsi="Times New Roman"/>
          <w:sz w:val="32"/>
          <w:szCs w:val="32"/>
        </w:rPr>
        <w:t>一、</w:t>
      </w:r>
      <w:r>
        <w:rPr>
          <w:rFonts w:ascii="Times New Roman" w:eastAsia="仿宋_GB2312" w:cs="Times New Roman" w:hAnsi="Times New Roman" w:hint="eastAsia"/>
          <w:sz w:val="32"/>
          <w:szCs w:val="32"/>
        </w:rPr>
        <w:t>收入支出决算总体情况说明</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二、收入决算情况说明</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三、支出决算情况说明</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hint="eastAsia"/>
          <w:sz w:val="32"/>
          <w:szCs w:val="32"/>
        </w:rPr>
        <w:t>四、财政拨款收入支出决算总体情况说明</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hint="eastAsia"/>
          <w:sz w:val="32"/>
          <w:szCs w:val="32"/>
        </w:rPr>
        <w:t>五、财政拨款“三公” 经费支出决算情况说明</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hint="eastAsia"/>
          <w:sz w:val="32"/>
          <w:szCs w:val="32"/>
        </w:rPr>
        <w:t>六、机关运行经费支出说明</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hint="eastAsia"/>
          <w:sz w:val="32"/>
          <w:szCs w:val="32"/>
        </w:rPr>
        <w:t>七、政府采购支出说明</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hint="eastAsia"/>
          <w:sz w:val="32"/>
          <w:szCs w:val="32"/>
        </w:rPr>
        <w:t>八、国有资产占用情况说明</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hint="eastAsia"/>
          <w:sz w:val="32"/>
          <w:szCs w:val="32"/>
        </w:rPr>
        <w:t>九、预算绩效情况说明</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hint="eastAsia"/>
          <w:sz w:val="32"/>
          <w:szCs w:val="32"/>
        </w:rPr>
        <w:t>十、其他需要说明的情况</w:t>
      </w:r>
    </w:p>
    <w:p>
      <w:pPr>
        <w:widowControl/>
        <w:spacing w:after="160" w:line="58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第</w:t>
      </w:r>
      <w:r>
        <w:rPr>
          <w:rFonts w:ascii="Times New Roman" w:eastAsia="黑体" w:cs="Times New Roman" w:hAnsi="Times New Roman" w:hint="eastAsia"/>
          <w:sz w:val="32"/>
          <w:szCs w:val="32"/>
        </w:rPr>
        <w:t>四</w:t>
      </w:r>
      <w:r>
        <w:rPr>
          <w:rFonts w:ascii="Times New Roman" w:eastAsia="黑体" w:cs="Times New Roman" w:hAnsi="Times New Roman"/>
          <w:sz w:val="32"/>
          <w:szCs w:val="32"/>
        </w:rPr>
        <w:t>部分</w:t>
      </w:r>
      <w:r>
        <w:rPr>
          <w:rFonts w:ascii="Times New Roman" w:eastAsia="黑体" w:cs="Times New Roman" w:hAnsi="Times New Roman" w:hint="eastAsia"/>
          <w:sz w:val="32"/>
          <w:szCs w:val="32"/>
        </w:rPr>
        <w:t xml:space="preserve">  </w:t>
      </w:r>
      <w:r>
        <w:rPr>
          <w:rFonts w:ascii="Times New Roman" w:eastAsia="黑体" w:cs="Times New Roman" w:hAnsi="Times New Roman"/>
          <w:sz w:val="32"/>
          <w:szCs w:val="32"/>
        </w:rPr>
        <w:t>名词解释</w:t>
      </w:r>
    </w:p>
    <w:p>
      <w:pPr>
        <w:widowControl/>
        <w:spacing w:after="160" w:line="580" w:lineRule="exact"/>
        <w:ind w:firstLineChars="200" w:firstLine="640"/>
        <w:rPr>
          <w:rFonts w:ascii="Times New Roman" w:eastAsia="黑体" w:cs="Times New Roman" w:hAnsi="Times New Roman"/>
          <w:sz w:val="32"/>
          <w:szCs w:val="32"/>
        </w:rPr>
        <w:sectPr>
          <w:headerReference w:type="default" r:id="rId2"/>
          <w:headerReference w:type="first" r:id="rId3"/>
          <w:footerReference w:type="default" r:id="rId4"/>
          <w:footerReference w:type="first" r:id="rId5"/>
          <w:pgSz w:w="11906" w:h="16838"/>
          <w:pgMar w:top="1474" w:right="1531" w:bottom="1474" w:left="1531" w:header="851" w:footer="992" w:gutter="0"/>
          <w:titlePg/>
          <w:docGrid w:type="lines" w:linePitch="312" w:charSpace="0"/>
        </w:sectPr>
      </w:pPr>
    </w:p>
    <w:p>
      <w:pPr>
        <w:widowControl/>
        <w:jc w:val="center"/>
        <w:rPr>
          <w:rFonts w:ascii="黑体" w:eastAsia="黑体" w:cs="黑体" w:hAnsi="黑体"/>
          <w:color w:val="000000"/>
          <w:sz w:val="48"/>
          <w:szCs w:val="48"/>
          <w14:shadow w14:sx="100000" w14:sy="100000" w14:blurRad="38100" w14:dir="5400000" w14:dist="22860" w14:algn="tl">
            <w14:srgbClr w14:val="000000">
              <w14:alpha w14:val="70000"/>
            </w14:srgbClr>
          </w14:shadow>
        </w:rPr>
      </w:pPr>
    </w:p>
    <w:p>
      <w:pPr>
        <w:widowControl/>
        <w:jc w:val="center"/>
        <w:rPr>
          <w:rFonts w:ascii="黑体" w:eastAsia="黑体" w:cs="黑体" w:hAnsi="黑体"/>
          <w:color w:val="000000"/>
          <w:sz w:val="48"/>
          <w:szCs w:val="48"/>
          <w14:shadow w14:sx="100000" w14:sy="100000" w14:blurRad="38100" w14:dir="5400000" w14:dist="22860" w14:algn="tl">
            <w14:srgbClr w14:val="000000">
              <w14:alpha w14:val="70000"/>
            </w14:srgbClr>
          </w14:shadow>
        </w:rPr>
      </w:pPr>
    </w:p>
    <w:p>
      <w:pPr>
        <w:widowControl/>
        <w:jc w:val="center"/>
        <w:rPr>
          <w:rFonts w:ascii="黑体" w:eastAsia="黑体" w:cs="黑体" w:hAnsi="黑体"/>
          <w:color w:val="000000"/>
          <w:sz w:val="48"/>
          <w:szCs w:val="48"/>
          <w14:shadow w14:sx="100000" w14:sy="100000" w14:blurRad="38100" w14:dir="5400000" w14:dist="22860" w14:algn="tl">
            <w14:srgbClr w14:val="000000">
              <w14:alpha w14:val="70000"/>
            </w14:srgbClr>
          </w14:shadow>
        </w:rPr>
      </w:pPr>
    </w:p>
    <w:p>
      <w:pPr>
        <w:widowControl/>
        <w:jc w:val="center"/>
        <w:rPr>
          <w:rFonts w:ascii="黑体" w:eastAsia="黑体" w:cs="黑体" w:hAnsi="黑体"/>
          <w:color w:val="000000"/>
          <w:sz w:val="48"/>
          <w:szCs w:val="48"/>
          <w14:shadow w14:sx="100000" w14:sy="100000" w14:blurRad="38100" w14:dir="5400000" w14:dist="22860" w14:algn="tl">
            <w14:srgbClr w14:val="000000">
              <w14:alpha w14:val="70000"/>
            </w14:srgbClr>
          </w14:shadow>
        </w:rPr>
      </w:pPr>
    </w:p>
    <w:p>
      <w:pPr>
        <w:widowControl/>
        <w:jc w:val="center"/>
        <w:rPr>
          <w:rFonts w:ascii="黑体" w:eastAsia="黑体" w:cs="黑体" w:hAnsi="黑体"/>
          <w:color w:val="000000"/>
          <w:sz w:val="48"/>
          <w:szCs w:val="48"/>
          <w14:shadow w14:sx="100000" w14:sy="100000" w14:blurRad="38100" w14:dir="5400000" w14:dist="22860" w14:algn="tl">
            <w14:srgbClr w14:val="000000">
              <w14:alpha w14:val="70000"/>
            </w14:srgbClr>
          </w14:shadow>
        </w:rPr>
      </w:pPr>
      <w:r>
        <w:rPr>
          <w:sz w:val="32"/>
        </w:rPr>
        <w:drawing>
          <wp:anchor distT="0" distB="0" distL="114300" distR="114300" simplePos="0" relativeHeight="49" behindDoc="0" locked="0" layoutInCell="1" hidden="0" allowOverlap="1">
            <wp:simplePos x="0" y="0"/>
            <wp:positionH relativeFrom="column">
              <wp:posOffset>403224</wp:posOffset>
            </wp:positionH>
            <wp:positionV relativeFrom="margin">
              <wp:posOffset>1801512</wp:posOffset>
            </wp:positionV>
            <wp:extent cx="739770" cy="739773"/>
            <wp:effectExtent l="0" t="0" r="0" b="0"/>
            <wp:wrapNone/>
            <wp:docPr id="42" name="图片 67" descr="32313535393135353b32313535393132353bd0b4d7d6c2a5"/>
            <wp:cNvGraphicFramePr>
              <a:graphicFrameLocks noChangeAspect="1"/>
            </wp:cNvGraphicFramePr>
            <a:graphic>
              <a:graphicData uri="http://schemas.openxmlformats.org/drawingml/2006/picture">
                <pic:pic>
                  <pic:nvPicPr>
                    <pic:cNvPr id="44" name="图片 67 44"/>
                    <pic:cNvPicPr/>
                  </pic:nvPicPr>
                  <pic:blipFill>
                    <a:blip r:embed="rId12"/>
                    <a:stretch>
                      <a:fillRect/>
                    </a:stretch>
                  </pic:blipFill>
                  <pic:spPr>
                    <a:xfrm rot="0">
                      <a:off x="0" y="0"/>
                      <a:ext cx="739770" cy="739773"/>
                    </a:xfrm>
                    <a:prstGeom prst="rect"/>
                    <a:noFill/>
                    <a:ln w="9525" cmpd="sng" cap="flat">
                      <a:noFill/>
                      <a:prstDash val="solid"/>
                      <a:miter/>
                    </a:ln>
                  </pic:spPr>
                </pic:pic>
              </a:graphicData>
            </a:graphic>
          </wp:anchor>
        </w:drawing>
      </w:r>
    </w:p>
    <w:p>
      <w:pPr>
        <w:widowControl/>
        <w:jc w:val="center"/>
        <w:rPr>
          <w:rFonts w:ascii="黑体" w:eastAsia="黑体" w:cs="黑体" w:hAnsi="黑体"/>
          <w:color w:val="000000"/>
          <w:sz w:val="44"/>
          <w:szCs w:val="44"/>
          <w14:shadow w14:sx="100000" w14:sy="100000" w14:blurRad="38100" w14:dir="5400000" w14:dist="22860" w14:algn="tl">
            <w14:srgbClr w14:val="000000">
              <w14:alpha w14:val="70000"/>
            </w14:srgbClr>
          </w14:shadow>
        </w:rPr>
      </w:pPr>
      <w:r>
        <w:rPr>
          <w:rFonts w:ascii="黑体" w:eastAsia="黑体" w:cs="黑体" w:hAnsi="黑体" w:hint="eastAsia"/>
          <w:color w:val="000000"/>
          <w:sz w:val="44"/>
          <w:szCs w:val="44"/>
          <w14:shadow w14:sx="100000" w14:sy="100000" w14:blurRad="38100" w14:dir="5400000" w14:dist="22860" w14:algn="tl">
            <w14:srgbClr w14:val="000000">
              <w14:alpha w14:val="70000"/>
            </w14:srgbClr>
          </w14:shadow>
        </w:rPr>
        <w:t xml:space="preserve"> 第一部分  部门概况</w:t>
      </w:r>
    </w:p>
    <w:p>
      <w:pPr>
        <w:widowControl/>
        <w:spacing w:line="580" w:lineRule="exact"/>
        <w:ind w:firstLineChars="200" w:firstLine="640"/>
        <w:rPr>
          <w:rFonts w:eastAsia="黑体"/>
          <w:sz w:val="32"/>
          <w:szCs w:val="32"/>
        </w:rPr>
      </w:pPr>
    </w:p>
    <w:p>
      <w:pPr>
        <w:rPr>
          <w:rFonts w:ascii="黑体" w:eastAsia="黑体" w:cs="黑体"/>
          <w:kern w:val="0"/>
          <w:sz w:val="32"/>
          <w:szCs w:val="32"/>
        </w:rPr>
      </w:pPr>
      <w:r>
        <w:rPr>
          <w:rFonts w:ascii="黑体" w:eastAsia="黑体" w:cs="黑体" w:hint="eastAsia"/>
          <w:kern w:val="0"/>
          <w:sz w:val="32"/>
          <w:szCs w:val="32"/>
        </w:rPr>
        <w:br w:type="page"/>
      </w:r>
    </w:p>
    <w:p>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t>一、部门职责</w:t>
      </w:r>
    </w:p>
    <w:p>
      <w:pPr>
        <w:widowControl/>
        <w:spacing w:line="580" w:lineRule="exact"/>
        <w:ind w:firstLineChars="200" w:firstLine="640"/>
        <w:rPr>
          <w:rFonts w:ascii="仿宋_GB2312" w:eastAsia="仿宋_GB2312" w:cs="ArialUnicodeMS" w:hAnsi="Calibri"/>
          <w:kern w:val="0"/>
          <w:sz w:val="32"/>
          <w:szCs w:val="32"/>
          <w:highlight w:val="yellow"/>
        </w:rPr>
      </w:pPr>
      <w:r>
        <w:rPr>
          <w:rFonts w:ascii="仿宋" w:eastAsia="仿宋" w:hint="eastAsia"/>
          <w:sz w:val="32"/>
          <w:szCs w:val="32"/>
        </w:rPr>
        <w:t>开展中专、大专、本科等多层次成人在职学历教育；开展农民科技教育培训，举办短期实用技术培训班和初等农业技术教育，加强示范基地建设和农业新技术、新品种、新模式的普及推广；组织学员开展科教兴农活动，推进农业行业特有职业资格认证工作，培训农村基层党员干部和后备干部；落实新型职业农民培育工程教育培训。</w:t>
      </w:r>
    </w:p>
    <w:p>
      <w:pPr>
        <w:keepNext/>
        <w:keepLines/>
        <w:widowControl w:val="0"/>
        <w:spacing w:line="580" w:lineRule="exact"/>
        <w:ind w:firstLineChars="200" w:firstLine="640"/>
        <w:jc w:val="left"/>
        <w:outlineLvl w:val="0"/>
        <w:rPr>
          <w:rFonts w:ascii="黑体" w:eastAsia="黑体" w:cs="黑体" w:hAnsi="Calibri"/>
          <w:kern w:val="0"/>
          <w:sz w:val="32"/>
          <w:szCs w:val="32"/>
        </w:rPr>
      </w:pPr>
      <w:r>
        <w:rPr>
          <w:rFonts w:ascii="黑体" w:eastAsia="黑体" w:cs="黑体" w:hAnsi="Calibri" w:hint="eastAsia"/>
          <w:kern w:val="0"/>
          <w:sz w:val="32"/>
          <w:szCs w:val="32"/>
        </w:rPr>
        <w:t>二、机构设置</w:t>
      </w:r>
    </w:p>
    <w:p>
      <w:pPr>
        <w:spacing w:line="580" w:lineRule="exact"/>
        <w:ind w:firstLineChars="200" w:firstLine="640"/>
        <w:rPr>
          <w:rFonts w:ascii="仿宋_GB2312" w:eastAsia="仿宋_GB2312" w:cs="ArialUnicodeMS" w:hAnsi="Calibri"/>
          <w:kern w:val="0"/>
          <w:sz w:val="32"/>
          <w:szCs w:val="32"/>
        </w:rPr>
      </w:pPr>
      <w:r>
        <w:rPr>
          <w:rFonts w:ascii="仿宋_GB2312" w:eastAsia="仿宋_GB2312" w:cs="ArialUnicodeMS" w:hAnsi="Calibri" w:hint="eastAsia"/>
          <w:kern w:val="0"/>
          <w:sz w:val="32"/>
          <w:szCs w:val="32"/>
        </w:rPr>
        <w:t>从决算编报单位构成看，纳入2022年度本部门决算汇编范围的独立核算单位（以下简称“单位”）共</w:t>
      </w:r>
      <w:r>
        <w:rPr>
          <w:rFonts w:ascii="仿宋_GB2312" w:eastAsia="仿宋_GB2312" w:cs="ArialUnicodeMS" w:hAnsi="Calibri"/>
          <w:kern w:val="0"/>
          <w:sz w:val="32"/>
          <w:szCs w:val="32"/>
        </w:rPr>
        <w:t>1</w:t>
      </w:r>
      <w:r>
        <w:rPr>
          <w:rFonts w:ascii="仿宋_GB2312" w:eastAsia="仿宋_GB2312" w:cs="ArialUnicodeMS" w:hAnsi="Calibri" w:hint="eastAsia"/>
          <w:kern w:val="0"/>
          <w:sz w:val="32"/>
          <w:szCs w:val="32"/>
        </w:rPr>
        <w:t>个，具体情况如下：</w:t>
      </w: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85"/>
        <w:gridCol w:w="3485"/>
        <w:gridCol w:w="2445"/>
        <w:gridCol w:w="2665"/>
      </w:tblGrid>
      <w:tr>
        <w:trPr>
          <w:trHeight w:val="811"/>
        </w:trPr>
        <w:tc>
          <w:tcPr>
            <w:tcW w:w="985" w:type="dxa"/>
            <w:tcBorders>
              <w:top w:val="single" w:sz="4" w:space="0" w:color="auto"/>
              <w:left w:val="single" w:sz="4" w:space="0" w:color="auto"/>
              <w:bottom w:val="single" w:sz="4" w:space="0" w:color="auto"/>
              <w:right w:val="single" w:sz="4" w:space="0" w:color="auto"/>
            </w:tcBorders>
            <w:vAlign w:val="center"/>
          </w:tcPr>
          <w:p>
            <w:pPr>
              <w:spacing w:line="560" w:lineRule="exact"/>
              <w:jc w:val="center"/>
              <w:rPr>
                <w:rFonts w:ascii="仿宋_GB2312" w:eastAsia="仿宋_GB2312" w:cs="ArialUnicodeMS" w:hAnsi="Calibri"/>
                <w:b/>
                <w:bCs/>
                <w:kern w:val="0"/>
                <w:sz w:val="28"/>
                <w:szCs w:val="28"/>
              </w:rPr>
            </w:pPr>
            <w:r>
              <w:rPr>
                <w:rFonts w:ascii="仿宋_GB2312" w:eastAsia="仿宋_GB2312" w:cs="ArialUnicodeMS" w:hAnsi="Calibri" w:hint="eastAsia"/>
                <w:b/>
                <w:bCs/>
                <w:kern w:val="0"/>
                <w:sz w:val="28"/>
                <w:szCs w:val="28"/>
              </w:rPr>
              <w:t>序号</w:t>
            </w:r>
          </w:p>
        </w:tc>
        <w:tc>
          <w:tcPr>
            <w:tcW w:w="3485" w:type="dxa"/>
            <w:tcBorders>
              <w:top w:val="single" w:sz="4" w:space="0" w:color="auto"/>
              <w:left w:val="single" w:sz="4" w:space="0" w:color="auto"/>
              <w:bottom w:val="single" w:sz="4" w:space="0" w:color="auto"/>
              <w:right w:val="single" w:sz="4" w:space="0" w:color="auto"/>
            </w:tcBorders>
            <w:vAlign w:val="center"/>
          </w:tcPr>
          <w:p>
            <w:pPr>
              <w:spacing w:line="560" w:lineRule="exact"/>
              <w:jc w:val="center"/>
              <w:rPr>
                <w:rFonts w:ascii="仿宋_GB2312" w:eastAsia="仿宋_GB2312" w:cs="ArialUnicodeMS" w:hAnsi="Calibri"/>
                <w:b/>
                <w:bCs/>
                <w:kern w:val="0"/>
                <w:sz w:val="28"/>
                <w:szCs w:val="28"/>
              </w:rPr>
            </w:pPr>
            <w:r>
              <w:rPr>
                <w:rFonts w:ascii="仿宋_GB2312" w:eastAsia="仿宋_GB2312" w:cs="ArialUnicodeMS" w:hAnsi="Calibri" w:hint="eastAsia"/>
                <w:b/>
                <w:bCs/>
                <w:kern w:val="0"/>
                <w:sz w:val="28"/>
                <w:szCs w:val="28"/>
              </w:rPr>
              <w:t>单位名称</w:t>
            </w:r>
          </w:p>
        </w:tc>
        <w:tc>
          <w:tcPr>
            <w:tcW w:w="2445" w:type="dxa"/>
            <w:tcBorders>
              <w:top w:val="single" w:sz="4" w:space="0" w:color="auto"/>
              <w:left w:val="single" w:sz="4" w:space="0" w:color="auto"/>
              <w:bottom w:val="single" w:sz="4" w:space="0" w:color="auto"/>
              <w:right w:val="single" w:sz="4" w:space="0" w:color="auto"/>
            </w:tcBorders>
            <w:vAlign w:val="center"/>
          </w:tcPr>
          <w:p>
            <w:pPr>
              <w:spacing w:line="560" w:lineRule="exact"/>
              <w:jc w:val="center"/>
              <w:rPr>
                <w:rFonts w:ascii="仿宋_GB2312" w:eastAsia="仿宋_GB2312" w:cs="ArialUnicodeMS" w:hAnsi="Calibri"/>
                <w:b/>
                <w:bCs/>
                <w:kern w:val="0"/>
                <w:sz w:val="28"/>
                <w:szCs w:val="28"/>
              </w:rPr>
            </w:pPr>
            <w:r>
              <w:rPr>
                <w:rFonts w:ascii="仿宋_GB2312" w:eastAsia="仿宋_GB2312" w:cs="ArialUnicodeMS" w:hAnsi="Calibri" w:hint="eastAsia"/>
                <w:b/>
                <w:bCs/>
                <w:kern w:val="0"/>
                <w:sz w:val="28"/>
                <w:szCs w:val="28"/>
              </w:rPr>
              <w:t>单位基本性质</w:t>
            </w:r>
          </w:p>
        </w:tc>
        <w:tc>
          <w:tcPr>
            <w:tcW w:w="2665" w:type="dxa"/>
            <w:tcBorders>
              <w:top w:val="single" w:sz="4" w:space="0" w:color="auto"/>
              <w:left w:val="single" w:sz="4" w:space="0" w:color="auto"/>
              <w:bottom w:val="single" w:sz="4" w:space="0" w:color="auto"/>
              <w:right w:val="single" w:sz="4" w:space="0" w:color="auto"/>
            </w:tcBorders>
            <w:vAlign w:val="center"/>
          </w:tcPr>
          <w:p>
            <w:pPr>
              <w:spacing w:line="560" w:lineRule="exact"/>
              <w:jc w:val="center"/>
              <w:rPr>
                <w:rFonts w:ascii="仿宋_GB2312" w:eastAsia="仿宋_GB2312" w:cs="ArialUnicodeMS" w:hAnsi="Calibri"/>
                <w:b/>
                <w:bCs/>
                <w:kern w:val="0"/>
                <w:sz w:val="28"/>
                <w:szCs w:val="28"/>
              </w:rPr>
            </w:pPr>
            <w:r>
              <w:rPr>
                <w:rFonts w:ascii="仿宋_GB2312" w:eastAsia="仿宋_GB2312" w:cs="ArialUnicodeMS" w:hAnsi="Calibri" w:hint="eastAsia"/>
                <w:b/>
                <w:bCs/>
                <w:kern w:val="0"/>
                <w:sz w:val="28"/>
                <w:szCs w:val="28"/>
              </w:rPr>
              <w:t>经费形式</w:t>
            </w:r>
          </w:p>
        </w:tc>
      </w:tr>
      <w:tr>
        <w:trPr>
          <w:trHeight w:val="596"/>
        </w:trPr>
        <w:tc>
          <w:tcPr>
            <w:tcW w:w="985" w:type="dxa"/>
            <w:tcBorders>
              <w:top w:val="single" w:sz="4" w:space="0" w:color="auto"/>
              <w:left w:val="single" w:sz="4" w:space="0" w:color="auto"/>
              <w:bottom w:val="single" w:sz="4" w:space="0" w:color="auto"/>
              <w:right w:val="single" w:sz="4" w:space="0" w:color="auto"/>
            </w:tcBorders>
          </w:tcPr>
          <w:p>
            <w:pPr>
              <w:spacing w:line="560" w:lineRule="exact"/>
              <w:jc w:val="center"/>
              <w:rPr>
                <w:rFonts w:ascii="仿宋_GB2312" w:eastAsia="仿宋_GB2312" w:cs="ArialUnicodeMS" w:hAnsi="Calibri"/>
                <w:kern w:val="0"/>
                <w:sz w:val="28"/>
                <w:szCs w:val="28"/>
              </w:rPr>
            </w:pPr>
            <w:r>
              <w:rPr>
                <w:rFonts w:ascii="仿宋_GB2312" w:eastAsia="仿宋_GB2312" w:cs="ArialUnicodeMS" w:hAnsi="Calibri" w:hint="eastAsia"/>
                <w:kern w:val="0"/>
                <w:sz w:val="28"/>
                <w:szCs w:val="28"/>
              </w:rPr>
              <w:t>1</w:t>
            </w:r>
          </w:p>
        </w:tc>
        <w:tc>
          <w:tcPr>
            <w:tcW w:w="3485" w:type="dxa"/>
            <w:tcBorders>
              <w:left w:val="single" w:sz="4" w:space="0" w:color="auto"/>
              <w:right w:val="single" w:sz="4" w:space="0" w:color="auto"/>
            </w:tcBorders>
          </w:tcPr>
          <w:p>
            <w:pPr>
              <w:spacing w:line="560" w:lineRule="exact"/>
              <w:rPr>
                <w:rFonts w:ascii="仿宋_GB2312" w:eastAsia="仿宋_GB2312" w:cs="ArialUnicodeMS" w:hAnsi="Calibri"/>
                <w:kern w:val="0"/>
                <w:sz w:val="28"/>
                <w:szCs w:val="28"/>
              </w:rPr>
            </w:pPr>
            <w:r>
              <w:rPr>
                <w:rFonts w:ascii="仿宋_GB2312" w:eastAsia="仿宋_GB2312" w:cs="ArialUnicodeMS" w:hint="eastAsia"/>
                <w:kern w:val="0"/>
                <w:sz w:val="28"/>
                <w:szCs w:val="28"/>
                <w:lang w:bidi="ar-SA"/>
              </w:rPr>
              <w:t>河北省农业广播电视学校丰南分校</w:t>
            </w:r>
            <w:r>
              <w:rPr>
                <w:rFonts w:ascii="仿宋_GB2312" w:eastAsia="仿宋_GB2312" w:cs="ArialUnicodeMS" w:hAnsi="Calibri" w:hint="eastAsia"/>
                <w:kern w:val="0"/>
                <w:sz w:val="28"/>
                <w:szCs w:val="28"/>
              </w:rPr>
              <w:t>(本级)</w:t>
            </w:r>
          </w:p>
        </w:tc>
        <w:tc>
          <w:tcPr>
            <w:tcW w:w="2445" w:type="dxa"/>
            <w:tcBorders>
              <w:left w:val="single" w:sz="4" w:space="0" w:color="auto"/>
              <w:right w:val="single" w:sz="4" w:space="0" w:color="auto"/>
            </w:tcBorders>
          </w:tcPr>
          <w:p>
            <w:pPr>
              <w:spacing w:line="560" w:lineRule="exact"/>
              <w:jc w:val="center"/>
              <w:rPr>
                <w:rFonts w:ascii="仿宋_GB2312" w:eastAsia="仿宋_GB2312" w:cs="ArialUnicodeMS" w:hAnsi="Calibri"/>
                <w:kern w:val="0"/>
                <w:sz w:val="28"/>
                <w:szCs w:val="28"/>
              </w:rPr>
            </w:pPr>
            <w:r>
              <w:rPr>
                <w:rFonts w:ascii="仿宋_GB2312" w:eastAsia="仿宋_GB2312" w:cs="ArialUnicodeMS" w:hint="eastAsia"/>
                <w:kern w:val="0"/>
                <w:sz w:val="28"/>
                <w:szCs w:val="28"/>
                <w:lang w:bidi="ar-SA"/>
              </w:rPr>
              <w:t>财政补助事业单位</w:t>
            </w:r>
          </w:p>
        </w:tc>
        <w:tc>
          <w:tcPr>
            <w:tcW w:w="2665" w:type="dxa"/>
            <w:tcBorders>
              <w:top w:val="single" w:sz="4" w:space="0" w:color="auto"/>
              <w:left w:val="single" w:sz="4" w:space="0" w:color="auto"/>
              <w:bottom w:val="single" w:sz="4" w:space="0" w:color="auto"/>
              <w:right w:val="single" w:sz="4" w:space="0" w:color="auto"/>
            </w:tcBorders>
          </w:tcPr>
          <w:p>
            <w:pPr>
              <w:spacing w:line="560" w:lineRule="exact"/>
              <w:jc w:val="center"/>
              <w:rPr>
                <w:rFonts w:ascii="仿宋_GB2312" w:eastAsia="仿宋_GB2312" w:cs="ArialUnicodeMS" w:hAnsi="Calibri"/>
                <w:kern w:val="0"/>
                <w:sz w:val="28"/>
                <w:szCs w:val="28"/>
              </w:rPr>
            </w:pPr>
            <w:r>
              <w:rPr>
                <w:rFonts w:ascii="仿宋_GB2312" w:eastAsia="仿宋_GB2312" w:cs="ArialUnicodeMS" w:hint="eastAsia"/>
                <w:kern w:val="0"/>
                <w:sz w:val="28"/>
                <w:szCs w:val="28"/>
                <w:lang w:bidi="ar-SA"/>
              </w:rPr>
              <w:t>财政拨款</w:t>
            </w:r>
          </w:p>
        </w:tc>
      </w:tr>
      <w:tr>
        <w:trPr>
          <w:trHeight w:val="606"/>
        </w:trPr>
        <w:tc>
          <w:tcPr>
            <w:tcW w:w="9580" w:type="dxa"/>
            <w:gridSpan w:val="4"/>
            <w:tcBorders>
              <w:top w:val="single" w:sz="4" w:space="0" w:color="auto"/>
              <w:left w:val="nil"/>
              <w:bottom w:val="nil"/>
              <w:right w:val="nil"/>
            </w:tcBorders>
          </w:tcPr>
          <w:p>
            <w:pPr>
              <w:spacing w:line="560" w:lineRule="exact"/>
              <w:jc w:val="left"/>
              <w:rPr>
                <w:rFonts w:ascii="仿宋_GB2312" w:eastAsia="仿宋_GB2312" w:cs="ArialUnicodeMS" w:hAnsi="Calibri"/>
                <w:kern w:val="0"/>
                <w:sz w:val="28"/>
                <w:szCs w:val="28"/>
              </w:rPr>
            </w:pPr>
            <w:r>
              <w:rPr>
                <w:rFonts w:ascii="仿宋_GB2312" w:eastAsia="仿宋_GB2312" w:cs="ArialUnicodeMS" w:hAnsi="Calibri" w:hint="eastAsia"/>
                <w:kern w:val="0"/>
                <w:sz w:val="28"/>
                <w:szCs w:val="28"/>
              </w:rPr>
              <w:t>注：1、单位基本性质分为行政单位、参公事业单位、财政补助事业单位、经费自理事业单位四类。</w:t>
            </w:r>
          </w:p>
          <w:p>
            <w:pPr>
              <w:spacing w:line="560" w:lineRule="exact"/>
              <w:ind w:firstLineChars="200" w:firstLine="560"/>
              <w:jc w:val="left"/>
              <w:rPr>
                <w:rFonts w:ascii="仿宋_GB2312" w:eastAsia="仿宋_GB2312" w:cs="ArialUnicodeMS" w:hAnsi="Calibri"/>
                <w:kern w:val="0"/>
                <w:sz w:val="28"/>
                <w:szCs w:val="28"/>
              </w:rPr>
            </w:pPr>
            <w:r>
              <w:rPr>
                <w:rFonts w:ascii="仿宋_GB2312" w:eastAsia="仿宋_GB2312" w:cs="ArialUnicodeMS" w:hAnsi="Calibri" w:hint="eastAsia"/>
                <w:kern w:val="0"/>
                <w:sz w:val="28"/>
                <w:szCs w:val="28"/>
              </w:rPr>
              <w:t>2、经费形式分为财政拨款、财政性资金基本保证、财政性资金定额或定项补助、财政性资金零补助四类。</w:t>
            </w:r>
          </w:p>
        </w:tc>
      </w:tr>
    </w:tbl>
    <w:p>
      <w:pPr>
        <w:widowControl/>
        <w:spacing w:after="160" w:line="580" w:lineRule="exact"/>
        <w:ind w:firstLineChars="200" w:firstLine="640"/>
        <w:rPr>
          <w:rFonts w:ascii="仿宋" w:eastAsia="仿宋" w:cs="Times New Roman" w:hAnsi="Times New Roman" w:hint="eastAsia"/>
          <w:sz w:val="32"/>
          <w:szCs w:val="32"/>
        </w:rPr>
      </w:pPr>
      <w:r>
        <w:rPr>
          <w:rFonts w:ascii="仿宋" w:eastAsia="仿宋" w:cs="Times New Roman" w:hAnsi="Times New Roman" w:hint="eastAsia"/>
          <w:sz w:val="32"/>
          <w:szCs w:val="32"/>
        </w:rPr>
        <w:t>我部门无二级预算单位，因此，</w:t>
      </w:r>
      <w:r>
        <w:rPr>
          <w:rFonts w:ascii="仿宋" w:eastAsia="仿宋" w:cs="ArialUnicodeMS" w:hint="eastAsia"/>
          <w:sz w:val="32"/>
          <w:szCs w:val="32"/>
          <w:lang w:bidi="ar-SA"/>
        </w:rPr>
        <w:t>河北省农业广播电视学校丰南分校</w:t>
      </w:r>
      <w:r>
        <w:rPr>
          <w:rFonts w:ascii="仿宋" w:eastAsia="仿宋" w:cs="Times New Roman" w:hAnsi="Times New Roman" w:hint="eastAsia"/>
          <w:sz w:val="32"/>
          <w:szCs w:val="32"/>
        </w:rPr>
        <w:t>2022年度部门决算即</w:t>
      </w:r>
      <w:r>
        <w:rPr>
          <w:rFonts w:ascii="仿宋" w:eastAsia="仿宋" w:cs="ArialUnicodeMS" w:hint="eastAsia"/>
          <w:sz w:val="32"/>
          <w:szCs w:val="32"/>
          <w:lang w:bidi="ar-SA"/>
        </w:rPr>
        <w:t>河北省农业广播电视学校丰南分校</w:t>
      </w:r>
      <w:r>
        <w:rPr>
          <w:rFonts w:ascii="仿宋" w:eastAsia="仿宋" w:cs="Times New Roman" w:hAnsi="Times New Roman" w:hint="eastAsia"/>
          <w:sz w:val="32"/>
          <w:szCs w:val="32"/>
        </w:rPr>
        <w:t>本级2022年度决算。</w:t>
      </w:r>
    </w:p>
    <w:p>
      <w:pPr>
        <w:widowControl/>
        <w:spacing w:after="160" w:line="580" w:lineRule="exact"/>
        <w:ind w:firstLineChars="200" w:firstLine="880"/>
        <w:rPr>
          <w:rFonts w:ascii="黑体" w:eastAsia="黑体" w:cs="黑体" w:hAnsi="黑体"/>
          <w:color w:val="000000"/>
          <w:sz w:val="44"/>
          <w:szCs w:val="44"/>
          <w14:shadow w14:sx="100000" w14:sy="100000" w14:blurRad="38100" w14:dir="5400000" w14:dist="22860" w14:algn="tl">
            <w14:srgbClr w14:val="000000">
              <w14:alpha w14:val="70000"/>
            </w14:srgbClr>
          </w14:shadow>
        </w:rPr>
      </w:pPr>
    </w:p>
    <w:p>
      <w:pPr>
        <w:widowControl/>
        <w:spacing w:after="160" w:line="580" w:lineRule="exact"/>
        <w:ind w:firstLineChars="200" w:firstLine="880"/>
        <w:rPr>
          <w:rFonts w:ascii="黑体" w:eastAsia="黑体" w:cs="黑体" w:hAnsi="黑体"/>
          <w:color w:val="000000"/>
          <w:sz w:val="44"/>
          <w:szCs w:val="44"/>
          <w14:shadow w14:sx="100000" w14:sy="100000" w14:blurRad="38100" w14:dir="5400000" w14:dist="22860" w14:algn="tl">
            <w14:srgbClr w14:val="000000">
              <w14:alpha w14:val="70000"/>
            </w14:srgbClr>
          </w14:shadow>
        </w:rPr>
      </w:pPr>
    </w:p>
    <w:p>
      <w:pPr>
        <w:widowControl/>
        <w:spacing w:after="160" w:line="580" w:lineRule="exact"/>
        <w:ind w:firstLineChars="200" w:firstLine="880"/>
        <w:rPr>
          <w:rFonts w:ascii="黑体" w:eastAsia="黑体" w:cs="黑体" w:hAnsi="黑体"/>
          <w:color w:val="000000"/>
          <w:sz w:val="44"/>
          <w:szCs w:val="44"/>
          <w14:shadow w14:sx="100000" w14:sy="100000" w14:blurRad="38100" w14:dir="5400000" w14:dist="22860" w14:algn="tl">
            <w14:srgbClr w14:val="000000">
              <w14:alpha w14:val="70000"/>
            </w14:srgbClr>
          </w14:shadow>
        </w:rPr>
      </w:pPr>
    </w:p>
    <w:p>
      <w:pPr>
        <w:widowControl/>
        <w:spacing w:after="160" w:line="580" w:lineRule="exact"/>
        <w:ind w:firstLineChars="200" w:firstLine="880"/>
        <w:rPr>
          <w:rFonts w:ascii="黑体" w:eastAsia="黑体" w:cs="黑体" w:hAnsi="黑体"/>
          <w:color w:val="000000"/>
          <w:sz w:val="44"/>
          <w:szCs w:val="44"/>
          <w14:shadow w14:sx="100000" w14:sy="100000" w14:blurRad="38100" w14:dir="5400000" w14:dist="22860" w14:algn="tl">
            <w14:srgbClr w14:val="000000">
              <w14:alpha w14:val="70000"/>
            </w14:srgbClr>
          </w14:shadow>
        </w:rPr>
      </w:pPr>
    </w:p>
    <w:p>
      <w:pPr>
        <w:widowControl/>
        <w:spacing w:after="160" w:line="580" w:lineRule="exact"/>
        <w:ind w:firstLineChars="200" w:firstLine="880"/>
        <w:rPr>
          <w:rFonts w:ascii="黑体" w:eastAsia="黑体" w:cs="黑体" w:hAnsi="黑体"/>
          <w:color w:val="000000"/>
          <w:sz w:val="44"/>
          <w:szCs w:val="44"/>
          <w14:shadow w14:sx="100000" w14:sy="100000" w14:blurRad="38100" w14:dir="5400000" w14:dist="22860" w14:algn="tl">
            <w14:srgbClr w14:val="000000">
              <w14:alpha w14:val="70000"/>
            </w14:srgbClr>
          </w14:shadow>
        </w:rPr>
      </w:pPr>
    </w:p>
    <w:p>
      <w:pPr>
        <w:widowControl/>
        <w:spacing w:after="160" w:line="580" w:lineRule="exact"/>
        <w:ind w:firstLineChars="200" w:firstLine="880"/>
        <w:rPr>
          <w:rFonts w:ascii="黑体" w:eastAsia="黑体" w:cs="黑体" w:hAnsi="黑体"/>
          <w:color w:val="000000"/>
          <w:sz w:val="44"/>
          <w:szCs w:val="44"/>
          <w14:shadow w14:sx="100000" w14:sy="100000" w14:blurRad="38100" w14:dir="5400000" w14:dist="22860" w14:algn="tl">
            <w14:srgbClr w14:val="000000">
              <w14:alpha w14:val="70000"/>
            </w14:srgbClr>
          </w14:shadow>
        </w:rPr>
      </w:pPr>
    </w:p>
    <w:p>
      <w:pPr>
        <w:widowControl/>
        <w:spacing w:after="160" w:line="580" w:lineRule="exact"/>
        <w:ind w:firstLineChars="200" w:firstLine="880"/>
        <w:rPr>
          <w:rFonts w:ascii="黑体" w:eastAsia="黑体" w:cs="黑体" w:hAnsi="黑体"/>
          <w:color w:val="000000"/>
          <w:sz w:val="44"/>
          <w:szCs w:val="44"/>
          <w14:shadow w14:sx="100000" w14:sy="100000" w14:blurRad="38100" w14:dir="5400000" w14:dist="22860" w14:algn="tl">
            <w14:srgbClr w14:val="000000">
              <w14:alpha w14:val="70000"/>
            </w14:srgbClr>
          </w14:shadow>
        </w:rPr>
      </w:pPr>
    </w:p>
    <w:p>
      <w:pPr>
        <w:widowControl/>
        <w:spacing w:after="160" w:line="580" w:lineRule="exact"/>
        <w:ind w:firstLineChars="200" w:firstLine="640"/>
        <w:rPr>
          <w:rFonts w:ascii="黑体" w:eastAsia="黑体" w:cs="黑体" w:hAnsi="黑体"/>
          <w:color w:val="000000"/>
          <w:sz w:val="44"/>
          <w:szCs w:val="44"/>
          <w14:shadow w14:sx="100000" w14:sy="100000" w14:blurRad="38100" w14:dir="5400000" w14:dist="22860" w14:algn="tl">
            <w14:srgbClr w14:val="000000">
              <w14:alpha w14:val="70000"/>
            </w14:srgbClr>
          </w14:shadow>
        </w:rPr>
      </w:pPr>
      <w:r>
        <w:rPr>
          <w:rFonts w:ascii="Times New Roman" w:eastAsia="黑体" w:cs="Times New Roman" w:hAnsi="Times New Roman" w:hint="eastAsia"/>
          <w:sz w:val="32"/>
          <w:szCs w:val="32"/>
        </w:rPr>
        <w:drawing>
          <wp:anchor distT="0" distB="0" distL="114300" distR="114300" simplePos="0" relativeHeight="51" behindDoc="0" locked="0" layoutInCell="1" hidden="0" allowOverlap="1">
            <wp:simplePos x="0" y="0"/>
            <wp:positionH relativeFrom="column">
              <wp:posOffset>304802</wp:posOffset>
            </wp:positionH>
            <wp:positionV relativeFrom="margin">
              <wp:posOffset>3100692</wp:posOffset>
            </wp:positionV>
            <wp:extent cx="579119" cy="579118"/>
            <wp:effectExtent l="0" t="0" r="0" b="0"/>
            <wp:wrapNone/>
            <wp:docPr id="45" name="图片 70" descr="32303235303832303b32303235353434303bcec4bcfeb1edb8f1"/>
            <wp:cNvGraphicFramePr>
              <a:graphicFrameLocks noChangeAspect="1"/>
            </wp:cNvGraphicFramePr>
            <a:graphic>
              <a:graphicData uri="http://schemas.openxmlformats.org/drawingml/2006/picture">
                <pic:pic>
                  <pic:nvPicPr>
                    <pic:cNvPr id="47" name="图片 70 47"/>
                    <pic:cNvPicPr/>
                  </pic:nvPicPr>
                  <pic:blipFill>
                    <a:blip r:embed="rId13"/>
                    <a:stretch>
                      <a:fillRect/>
                    </a:stretch>
                  </pic:blipFill>
                  <pic:spPr>
                    <a:xfrm rot="0">
                      <a:off x="0" y="0"/>
                      <a:ext cx="579119" cy="579118"/>
                    </a:xfrm>
                    <a:prstGeom prst="rect"/>
                    <a:noFill/>
                    <a:ln w="9525" cmpd="sng" cap="flat">
                      <a:noFill/>
                      <a:prstDash val="solid"/>
                      <a:miter/>
                    </a:ln>
                  </pic:spPr>
                </pic:pic>
              </a:graphicData>
            </a:graphic>
          </wp:anchor>
        </w:drawing>
      </w:r>
    </w:p>
    <w:p>
      <w:pPr>
        <w:widowControl/>
        <w:spacing w:after="160" w:line="580" w:lineRule="exact"/>
        <w:ind w:firstLineChars="200" w:firstLine="880"/>
        <w:rPr>
          <w:rFonts w:ascii="黑体" w:eastAsia="黑体" w:cs="黑体" w:hAnsi="黑体"/>
          <w:color w:val="000000"/>
          <w:sz w:val="44"/>
          <w:szCs w:val="44"/>
          <w14:shadow w14:sx="100000" w14:sy="100000" w14:blurRad="38100" w14:dir="5400000" w14:dist="22860" w14:algn="tl">
            <w14:srgbClr w14:val="000000">
              <w14:alpha w14:val="70000"/>
            </w14:srgbClr>
          </w14:shadow>
        </w:rPr>
        <w:sectPr>
          <w:headerReference w:type="default" r:id="rId11"/>
          <w:pgSz w:w="11906" w:h="16838"/>
          <w:pgMar w:top="2041" w:right="1531" w:bottom="1774" w:left="1531" w:header="851" w:footer="992" w:gutter="0"/>
          <w:pgNumType w:fmt="numberInDash"/>
          <w:titlePg/>
          <w:docGrid w:type="lines" w:linePitch="312" w:charSpace="0"/>
        </w:sectPr>
      </w:pPr>
      <w:r>
        <w:rPr>
          <w:rFonts w:ascii="黑体" w:eastAsia="黑体" w:cs="黑体" w:hAnsi="黑体" w:hint="eastAsia"/>
          <w:color w:val="000000"/>
          <w:sz w:val="44"/>
          <w:szCs w:val="44"/>
          <w14:shadow w14:sx="100000" w14:sy="100000" w14:blurRad="38100" w14:dir="5400000" w14:dist="22860" w14:algn="tl">
            <w14:srgbClr w14:val="000000">
              <w14:alpha w14:val="70000"/>
            </w14:srgbClr>
          </w14:shadow>
        </w:rPr>
        <w:t xml:space="preserve">    第二部分  2022年度部门决算表</w:t>
      </w:r>
    </w:p>
    <w:tbl>
      <w:tblPr>
        <w:jc w:val="left"/>
        <w:tblW w:w="16797" w:type="dxa"/>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3648"/>
        <w:gridCol w:w="381"/>
        <w:gridCol w:w="182"/>
        <w:gridCol w:w="214"/>
        <w:gridCol w:w="1192"/>
        <w:gridCol w:w="3431"/>
        <w:gridCol w:w="525"/>
        <w:gridCol w:w="61"/>
        <w:gridCol w:w="1083"/>
        <w:gridCol w:w="1708"/>
        <w:gridCol w:w="1891"/>
        <w:gridCol w:w="240"/>
        <w:gridCol w:w="2241"/>
      </w:tblGrid>
      <w:tr>
        <w:trPr>
          <w:trHeight w:val="360"/>
          <w:gridAfter w:val="5"/>
          <w:wAfter w:w="7163" w:type="dxa"/>
        </w:trPr>
        <w:tc>
          <w:tcPr>
            <w:tcW w:w="9634" w:type="dxa"/>
            <w:gridSpan w:val="8"/>
            <w:tcBorders>
              <w:top w:val="nil"/>
              <w:left w:val="nil"/>
              <w:bottom w:val="nil"/>
              <w:right w:val="nil"/>
            </w:tcBorders>
            <w:shd w:val="clear" w:color="auto" w:fill="auto"/>
            <w:vAlign w:val="center"/>
          </w:tcPr>
          <w:p>
            <w:pPr>
              <w:widowControl/>
              <w:jc w:val="center"/>
              <w:textAlignment w:val="center"/>
              <w:rPr>
                <w:rFonts w:ascii="华文中宋" w:eastAsia="华文中宋" w:cs="华文中宋" w:hAnsi="华文中宋"/>
                <w:color w:val="000000"/>
                <w:sz w:val="32"/>
                <w:szCs w:val="32"/>
              </w:rPr>
            </w:pPr>
            <w:r>
              <w:rPr>
                <w:rFonts w:ascii="华文中宋" w:eastAsia="华文中宋" w:cs="华文中宋" w:hAnsi="华文中宋" w:hint="eastAsia"/>
                <w:color w:val="000000"/>
                <w:kern w:val="0"/>
                <w:sz w:val="32"/>
                <w:szCs w:val="32"/>
              </w:rPr>
              <w:t xml:space="preserve">         收入支出决算总表</w:t>
            </w:r>
          </w:p>
        </w:tc>
      </w:tr>
      <w:tr>
        <w:trPr>
          <w:trHeight w:val="196"/>
          <w:gridAfter w:val="1"/>
          <w:wAfter w:w="2241" w:type="dxa"/>
        </w:trPr>
        <w:tc>
          <w:tcPr>
            <w:tcW w:w="4029" w:type="dxa"/>
            <w:gridSpan w:val="2"/>
            <w:tcBorders>
              <w:top w:val="nil"/>
              <w:left w:val="nil"/>
              <w:bottom w:val="nil"/>
              <w:right w:val="nil"/>
            </w:tcBorders>
            <w:shd w:val="clear" w:color="auto" w:fill="FFFFFF"/>
            <w:vAlign w:val="center"/>
          </w:tcPr>
          <w:p>
            <w:pPr>
              <w:jc w:val="right"/>
              <w:rPr>
                <w:rFonts w:ascii="宋体" w:eastAsia="宋体" w:cs="宋体" w:hAnsi="宋体"/>
                <w:color w:val="000000"/>
                <w:sz w:val="24"/>
              </w:rPr>
            </w:pPr>
          </w:p>
        </w:tc>
        <w:tc>
          <w:tcPr>
            <w:tcW w:w="396" w:type="dxa"/>
            <w:gridSpan w:val="2"/>
            <w:tcBorders>
              <w:top w:val="nil"/>
              <w:left w:val="nil"/>
              <w:bottom w:val="nil"/>
              <w:right w:val="nil"/>
            </w:tcBorders>
            <w:shd w:val="clear" w:color="auto" w:fill="FFFFFF"/>
            <w:vAlign w:val="center"/>
          </w:tcPr>
          <w:p>
            <w:pPr>
              <w:jc w:val="right"/>
              <w:rPr>
                <w:rFonts w:ascii="宋体" w:eastAsia="宋体" w:cs="宋体" w:hAnsi="宋体"/>
                <w:color w:val="000000"/>
                <w:sz w:val="24"/>
              </w:rPr>
            </w:pPr>
          </w:p>
        </w:tc>
        <w:tc>
          <w:tcPr>
            <w:tcW w:w="1192" w:type="dxa"/>
            <w:tcBorders>
              <w:top w:val="nil"/>
              <w:left w:val="nil"/>
              <w:bottom w:val="nil"/>
              <w:right w:val="nil"/>
            </w:tcBorders>
            <w:shd w:val="clear" w:color="auto" w:fill="FFFFFF"/>
            <w:vAlign w:val="center"/>
          </w:tcPr>
          <w:p>
            <w:pPr>
              <w:jc w:val="right"/>
              <w:rPr>
                <w:rFonts w:ascii="宋体" w:eastAsia="宋体" w:cs="宋体" w:hAnsi="宋体"/>
                <w:color w:val="000000"/>
                <w:sz w:val="24"/>
              </w:rPr>
            </w:pPr>
          </w:p>
        </w:tc>
        <w:tc>
          <w:tcPr>
            <w:tcW w:w="6808" w:type="dxa"/>
            <w:gridSpan w:val="5"/>
            <w:tcBorders>
              <w:top w:val="nil"/>
              <w:left w:val="nil"/>
              <w:bottom w:val="nil"/>
              <w:right w:val="nil"/>
            </w:tcBorders>
            <w:shd w:val="clear" w:color="auto" w:fill="FFFFFF"/>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0"/>
                <w:szCs w:val="20"/>
              </w:rPr>
              <w:t xml:space="preserve">                       公开01表</w:t>
            </w:r>
          </w:p>
        </w:tc>
        <w:tc>
          <w:tcPr>
            <w:tcW w:w="1891" w:type="dxa"/>
            <w:tcBorders>
              <w:top w:val="nil"/>
              <w:left w:val="nil"/>
              <w:bottom w:val="nil"/>
              <w:right w:val="nil"/>
            </w:tcBorders>
            <w:shd w:val="clear" w:color="auto" w:fill="FFFFFF"/>
            <w:vAlign w:val="center"/>
          </w:tcPr>
          <w:p>
            <w:pPr>
              <w:jc w:val="right"/>
              <w:rPr>
                <w:rFonts w:ascii="宋体" w:eastAsia="宋体" w:cs="宋体" w:hAnsi="宋体"/>
                <w:color w:val="000000"/>
                <w:sz w:val="24"/>
              </w:rPr>
            </w:pPr>
          </w:p>
        </w:tc>
        <w:tc>
          <w:tcPr>
            <w:tcW w:w="240" w:type="dxa"/>
            <w:tcBorders>
              <w:top w:val="nil"/>
              <w:left w:val="nil"/>
              <w:bottom w:val="nil"/>
              <w:right w:val="nil"/>
            </w:tcBorders>
            <w:shd w:val="clear" w:color="auto" w:fill="FFFFFF"/>
            <w:vAlign w:val="center"/>
          </w:tcPr>
          <w:p>
            <w:pPr>
              <w:widowControl/>
              <w:jc w:val="right"/>
              <w:textAlignment w:val="center"/>
              <w:rPr>
                <w:rFonts w:ascii="宋体" w:eastAsia="宋体" w:cs="宋体" w:hAnsi="宋体"/>
                <w:color w:val="000000"/>
                <w:sz w:val="20"/>
                <w:szCs w:val="20"/>
              </w:rPr>
            </w:pPr>
          </w:p>
        </w:tc>
      </w:tr>
      <w:tr>
        <w:trPr>
          <w:trHeight w:val="301"/>
          <w:gridAfter w:val="1"/>
          <w:wAfter w:w="2241" w:type="dxa"/>
        </w:trPr>
        <w:tc>
          <w:tcPr>
            <w:tcW w:w="4029" w:type="dxa"/>
            <w:gridSpan w:val="2"/>
            <w:tcBorders>
              <w:top w:val="nil"/>
              <w:left w:val="nil"/>
              <w:bottom w:val="nil"/>
              <w:right w:val="nil"/>
            </w:tcBorders>
            <w:shd w:val="clear" w:color="auto" w:fill="FFFFFF"/>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部门：</w:t>
            </w:r>
          </w:p>
        </w:tc>
        <w:tc>
          <w:tcPr>
            <w:tcW w:w="396" w:type="dxa"/>
            <w:gridSpan w:val="2"/>
            <w:tcBorders>
              <w:top w:val="nil"/>
              <w:left w:val="nil"/>
              <w:bottom w:val="nil"/>
              <w:right w:val="nil"/>
            </w:tcBorders>
            <w:shd w:val="clear" w:color="auto" w:fill="FFFFFF"/>
            <w:vAlign w:val="center"/>
          </w:tcPr>
          <w:p>
            <w:pPr>
              <w:jc w:val="right"/>
              <w:rPr>
                <w:rFonts w:ascii="宋体" w:eastAsia="宋体" w:cs="宋体" w:hAnsi="宋体"/>
                <w:color w:val="000000"/>
                <w:sz w:val="24"/>
              </w:rPr>
            </w:pPr>
          </w:p>
        </w:tc>
        <w:tc>
          <w:tcPr>
            <w:tcW w:w="1192" w:type="dxa"/>
            <w:tcBorders>
              <w:top w:val="nil"/>
              <w:left w:val="nil"/>
              <w:bottom w:val="nil"/>
              <w:right w:val="nil"/>
            </w:tcBorders>
            <w:shd w:val="clear" w:color="auto" w:fill="FFFFFF"/>
            <w:vAlign w:val="center"/>
          </w:tcPr>
          <w:p>
            <w:pPr>
              <w:jc w:val="right"/>
              <w:rPr>
                <w:rFonts w:ascii="宋体" w:eastAsia="宋体" w:cs="宋体" w:hAnsi="宋体"/>
                <w:color w:val="000000"/>
                <w:sz w:val="24"/>
              </w:rPr>
            </w:pPr>
            <w:r>
              <w:rPr>
                <w:rFonts w:ascii="宋体" w:eastAsia="宋体" w:cs="宋体" w:hAnsi="宋体" w:hint="eastAsia"/>
                <w:color w:val="000000"/>
                <w:sz w:val="24"/>
                <w:szCs w:val="24"/>
              </w:rPr>
              <w:t xml:space="preserve"> 2022年度</w:t>
            </w:r>
          </w:p>
        </w:tc>
        <w:tc>
          <w:tcPr>
            <w:tcW w:w="6808" w:type="dxa"/>
            <w:gridSpan w:val="5"/>
            <w:tcBorders>
              <w:top w:val="nil"/>
              <w:left w:val="nil"/>
              <w:bottom w:val="nil"/>
              <w:right w:val="nil"/>
            </w:tcBorders>
            <w:shd w:val="clear" w:color="auto" w:fill="FFFFFF"/>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0"/>
                <w:szCs w:val="20"/>
              </w:rPr>
              <w:t xml:space="preserve">                       单位：万元</w:t>
            </w:r>
          </w:p>
        </w:tc>
        <w:tc>
          <w:tcPr>
            <w:tcW w:w="1891" w:type="dxa"/>
            <w:tcBorders>
              <w:top w:val="nil"/>
              <w:left w:val="nil"/>
              <w:bottom w:val="nil"/>
              <w:right w:val="nil"/>
            </w:tcBorders>
            <w:shd w:val="clear" w:color="auto" w:fill="FFFFFF"/>
            <w:vAlign w:val="center"/>
          </w:tcPr>
          <w:p>
            <w:pPr>
              <w:jc w:val="right"/>
              <w:rPr>
                <w:rFonts w:ascii="宋体" w:eastAsia="宋体" w:cs="宋体" w:hAnsi="宋体"/>
                <w:color w:val="000000"/>
                <w:sz w:val="24"/>
              </w:rPr>
            </w:pPr>
          </w:p>
        </w:tc>
        <w:tc>
          <w:tcPr>
            <w:tcW w:w="240" w:type="dxa"/>
            <w:tcBorders>
              <w:top w:val="nil"/>
              <w:left w:val="nil"/>
              <w:bottom w:val="nil"/>
              <w:right w:val="nil"/>
            </w:tcBorders>
            <w:shd w:val="clear" w:color="auto" w:fill="FFFFFF"/>
            <w:vAlign w:val="center"/>
          </w:tcPr>
          <w:p>
            <w:pPr>
              <w:widowControl/>
              <w:jc w:val="right"/>
              <w:textAlignment w:val="center"/>
              <w:rPr>
                <w:rFonts w:ascii="宋体" w:eastAsia="宋体" w:cs="宋体" w:hAnsi="宋体"/>
                <w:color w:val="000000"/>
                <w:sz w:val="20"/>
                <w:szCs w:val="20"/>
              </w:rPr>
            </w:pPr>
          </w:p>
        </w:tc>
      </w:tr>
      <w:tr>
        <w:trPr>
          <w:trHeight w:hRule="exact" w:val="340"/>
          <w:gridAfter w:val="4"/>
          <w:wAfter w:w="6080" w:type="dxa"/>
        </w:trPr>
        <w:tc>
          <w:tcPr>
            <w:tcW w:w="561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收入</w:t>
            </w:r>
          </w:p>
        </w:tc>
        <w:tc>
          <w:tcPr>
            <w:tcW w:w="510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支出</w:t>
            </w:r>
          </w:p>
        </w:tc>
      </w:tr>
      <w:tr>
        <w:trPr>
          <w:trHeight w:hRule="exact" w:val="340"/>
          <w:gridAfter w:val="4"/>
          <w:wAfter w:w="6080" w:type="dxa"/>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项    目</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行次</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决算数</w:t>
            </w: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项    目</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行次</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决算数</w:t>
            </w:r>
          </w:p>
        </w:tc>
      </w:tr>
      <w:tr>
        <w:trPr>
          <w:trHeight w:hRule="exact" w:val="340"/>
          <w:gridAfter w:val="4"/>
          <w:wAfter w:w="6080" w:type="dxa"/>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栏    次</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cs="宋体" w:hAnsi="宋体"/>
                <w:color w:val="000000"/>
                <w:sz w:val="24"/>
              </w:rPr>
            </w:pP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1</w:t>
            </w: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栏    次</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cs="宋体" w:hAnsi="宋体"/>
                <w:color w:val="000000"/>
                <w:sz w:val="24"/>
              </w:rPr>
            </w:pP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2</w:t>
            </w:r>
          </w:p>
        </w:tc>
      </w:tr>
      <w:tr>
        <w:trPr>
          <w:trHeight w:hRule="exact" w:val="340"/>
          <w:gridAfter w:val="4"/>
          <w:wAfter w:w="6080" w:type="dxa"/>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2"/>
              </w:rPr>
            </w:pPr>
            <w:r>
              <w:rPr>
                <w:rFonts w:hint="eastAsia"/>
              </w:rPr>
              <w:t>一、一般公共预算财政拨款收入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2"/>
              </w:rPr>
            </w:pPr>
            <w:r>
              <w:rPr>
                <w:rFonts w:hint="eastAsia"/>
              </w:rPr>
              <w:t>1</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r>
              <w:rPr>
                <w:rFonts w:ascii="宋体" w:eastAsia="宋体" w:cs="宋体" w:hAnsi="宋体"/>
                <w:color w:val="000000"/>
                <w:sz w:val="22"/>
              </w:rPr>
              <w:t>653.86</w:t>
            </w: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宋体" w:eastAsia="宋体" w:cs="宋体" w:hAnsi="宋体"/>
                <w:color w:val="000000"/>
                <w:sz w:val="22"/>
              </w:rPr>
            </w:pPr>
            <w:r>
              <w:rPr>
                <w:rFonts w:hint="eastAsia"/>
              </w:rPr>
              <w:t>一、一般公共服务支出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2"/>
              </w:rPr>
            </w:pPr>
            <w:r>
              <w:rPr>
                <w:rFonts w:hint="eastAsia"/>
              </w:rPr>
              <w:t>32</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p>
        </w:tc>
      </w:tr>
      <w:tr>
        <w:trPr>
          <w:trHeight w:hRule="exact" w:val="340"/>
          <w:gridAfter w:val="4"/>
          <w:wAfter w:w="6080" w:type="dxa"/>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宋体" w:eastAsia="宋体" w:cs="宋体" w:hAnsi="宋体"/>
                <w:color w:val="000000"/>
                <w:sz w:val="22"/>
              </w:rPr>
            </w:pPr>
            <w:r>
              <w:rPr>
                <w:rFonts w:hint="eastAsia"/>
              </w:rPr>
              <w:t>二、政府性基金预算财政拨款收入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2"/>
              </w:rPr>
            </w:pPr>
            <w:r>
              <w:rPr>
                <w:rFonts w:hint="eastAsia"/>
              </w:rPr>
              <w:t>2</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宋体" w:eastAsia="宋体" w:cs="宋体" w:hAnsi="宋体"/>
                <w:color w:val="000000"/>
                <w:sz w:val="22"/>
              </w:rPr>
            </w:pPr>
            <w:r>
              <w:rPr>
                <w:rFonts w:hint="eastAsia"/>
              </w:rPr>
              <w:t>二、外交支出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2"/>
              </w:rPr>
            </w:pPr>
            <w:r>
              <w:rPr>
                <w:rFonts w:hint="eastAsia"/>
              </w:rPr>
              <w:t>33</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p>
        </w:tc>
      </w:tr>
      <w:tr>
        <w:trPr>
          <w:trHeight w:hRule="exact" w:val="340"/>
          <w:gridAfter w:val="4"/>
          <w:wAfter w:w="6080" w:type="dxa"/>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2"/>
              </w:rPr>
            </w:pPr>
            <w:r>
              <w:rPr>
                <w:rFonts w:hint="eastAsia"/>
              </w:rPr>
              <w:t>三、国有资本经营预算财政拨款收入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2"/>
              </w:rPr>
            </w:pPr>
            <w:r>
              <w:rPr>
                <w:rFonts w:hint="eastAsia"/>
              </w:rPr>
              <w:t>3</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宋体" w:eastAsia="宋体" w:cs="宋体" w:hAnsi="宋体"/>
                <w:color w:val="000000"/>
                <w:sz w:val="22"/>
              </w:rPr>
            </w:pPr>
            <w:r>
              <w:rPr>
                <w:rFonts w:hint="eastAsia"/>
              </w:rPr>
              <w:t>三、国防支出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2"/>
              </w:rPr>
            </w:pPr>
            <w:r>
              <w:rPr>
                <w:rFonts w:hint="eastAsia"/>
              </w:rPr>
              <w:t>34</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p>
        </w:tc>
      </w:tr>
      <w:tr>
        <w:trPr>
          <w:trHeight w:hRule="exact" w:val="340"/>
          <w:gridAfter w:val="4"/>
          <w:wAfter w:w="6080" w:type="dxa"/>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宋体" w:eastAsia="宋体" w:cs="宋体" w:hAnsi="宋体"/>
                <w:color w:val="000000"/>
                <w:sz w:val="22"/>
              </w:rPr>
            </w:pPr>
            <w:r>
              <w:rPr>
                <w:rFonts w:hint="eastAsia"/>
              </w:rPr>
              <w:t>四、上级补助收入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2"/>
              </w:rPr>
            </w:pPr>
            <w:r>
              <w:rPr>
                <w:rFonts w:hint="eastAsia"/>
              </w:rPr>
              <w:t>4</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宋体" w:eastAsia="宋体" w:cs="宋体" w:hAnsi="宋体"/>
                <w:color w:val="000000"/>
                <w:sz w:val="22"/>
              </w:rPr>
            </w:pPr>
            <w:r>
              <w:rPr>
                <w:rFonts w:hint="eastAsia"/>
              </w:rPr>
              <w:t>四、公共安全支出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2"/>
              </w:rPr>
            </w:pPr>
            <w:r>
              <w:rPr>
                <w:rFonts w:hint="eastAsia"/>
              </w:rPr>
              <w:t>35</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p>
        </w:tc>
      </w:tr>
      <w:tr>
        <w:trPr>
          <w:trHeight w:hRule="exact" w:val="340"/>
          <w:gridAfter w:val="4"/>
          <w:wAfter w:w="6080" w:type="dxa"/>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宋体" w:eastAsia="宋体" w:cs="宋体" w:hAnsi="宋体"/>
                <w:color w:val="000000"/>
                <w:sz w:val="22"/>
              </w:rPr>
            </w:pPr>
            <w:r>
              <w:rPr>
                <w:rFonts w:hint="eastAsia"/>
              </w:rPr>
              <w:t>五、事业收入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2"/>
              </w:rPr>
            </w:pPr>
            <w:r>
              <w:rPr>
                <w:rFonts w:hint="eastAsia"/>
              </w:rPr>
              <w:t>5</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宋体" w:eastAsia="宋体" w:cs="宋体" w:hAnsi="宋体"/>
                <w:color w:val="000000"/>
                <w:sz w:val="22"/>
              </w:rPr>
            </w:pPr>
            <w:r>
              <w:rPr>
                <w:rFonts w:hint="eastAsia"/>
              </w:rPr>
              <w:t>五、教育支出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2"/>
              </w:rPr>
            </w:pPr>
            <w:r>
              <w:rPr>
                <w:rFonts w:hint="eastAsia"/>
              </w:rPr>
              <w:t>36</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r>
              <w:rPr>
                <w:rFonts w:ascii="宋体" w:eastAsia="宋体" w:cs="宋体" w:hAnsi="宋体"/>
                <w:color w:val="000000"/>
                <w:sz w:val="22"/>
              </w:rPr>
              <w:t>531.06</w:t>
            </w:r>
          </w:p>
        </w:tc>
      </w:tr>
      <w:tr>
        <w:trPr>
          <w:trHeight w:hRule="exact" w:val="340"/>
          <w:gridAfter w:val="4"/>
          <w:wAfter w:w="6080" w:type="dxa"/>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宋体" w:eastAsia="宋体" w:cs="宋体" w:hAnsi="宋体"/>
                <w:color w:val="000000"/>
                <w:sz w:val="22"/>
              </w:rPr>
            </w:pPr>
            <w:r>
              <w:rPr>
                <w:rFonts w:hint="eastAsia"/>
              </w:rPr>
              <w:t>六、经营收入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2"/>
              </w:rPr>
            </w:pPr>
            <w:r>
              <w:rPr>
                <w:rFonts w:hint="eastAsia"/>
              </w:rPr>
              <w:t>6</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宋体" w:eastAsia="宋体" w:cs="宋体" w:hAnsi="宋体"/>
                <w:color w:val="000000"/>
                <w:sz w:val="22"/>
              </w:rPr>
            </w:pPr>
            <w:r>
              <w:rPr>
                <w:rFonts w:hint="eastAsia"/>
              </w:rPr>
              <w:t>六、科学技术支出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2"/>
              </w:rPr>
            </w:pPr>
            <w:r>
              <w:rPr>
                <w:rFonts w:hint="eastAsia"/>
              </w:rPr>
              <w:t>37</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r>
      <w:tr>
        <w:trPr>
          <w:trHeight w:hRule="exact" w:val="340"/>
          <w:gridAfter w:val="4"/>
          <w:wAfter w:w="6080" w:type="dxa"/>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宋体" w:eastAsia="宋体" w:cs="宋体" w:hAnsi="宋体"/>
                <w:color w:val="000000"/>
                <w:sz w:val="22"/>
              </w:rPr>
            </w:pPr>
            <w:r>
              <w:rPr>
                <w:rFonts w:hint="eastAsia"/>
              </w:rPr>
              <w:t>七、附属单位上缴收入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2"/>
              </w:rPr>
            </w:pPr>
            <w:r>
              <w:rPr>
                <w:rFonts w:hint="eastAsia"/>
              </w:rPr>
              <w:t>7</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4"/>
              </w:rPr>
            </w:pPr>
            <w:r>
              <w:rPr>
                <w:rFonts w:hint="eastAsia"/>
              </w:rPr>
              <w:t>七、文化旅游体育与传媒支出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2"/>
              </w:rPr>
            </w:pPr>
            <w:r>
              <w:rPr>
                <w:rFonts w:hint="eastAsia"/>
              </w:rPr>
              <w:t>38</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r>
      <w:tr>
        <w:trPr>
          <w:trHeight w:hRule="exact" w:val="340"/>
          <w:gridAfter w:val="4"/>
          <w:wAfter w:w="6080" w:type="dxa"/>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宋体" w:eastAsia="宋体" w:cs="宋体" w:hAnsi="宋体"/>
                <w:color w:val="000000"/>
                <w:sz w:val="22"/>
              </w:rPr>
            </w:pPr>
            <w:r>
              <w:rPr>
                <w:rFonts w:hint="eastAsia"/>
              </w:rPr>
              <w:t>八、其他收入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2"/>
              </w:rPr>
            </w:pPr>
            <w:r>
              <w:rPr>
                <w:rFonts w:hint="eastAsia"/>
              </w:rPr>
              <w:t>8</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2"/>
              </w:rPr>
            </w:pPr>
            <w:r>
              <w:rPr>
                <w:rFonts w:hint="eastAsia"/>
              </w:rPr>
              <w:t>八、社会保障和就业支出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2"/>
              </w:rPr>
            </w:pPr>
            <w:r>
              <w:rPr>
                <w:rFonts w:hint="eastAsia"/>
              </w:rPr>
              <w:t>39</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r>
              <w:rPr>
                <w:rFonts w:ascii="宋体" w:eastAsia="宋体" w:cs="宋体" w:hAnsi="宋体"/>
                <w:color w:val="000000"/>
                <w:sz w:val="22"/>
              </w:rPr>
              <w:t>62.92</w:t>
            </w:r>
          </w:p>
        </w:tc>
      </w:tr>
      <w:tr>
        <w:trPr>
          <w:trHeight w:hRule="exact" w:val="340"/>
          <w:gridAfter w:val="4"/>
          <w:wAfter w:w="6080" w:type="dxa"/>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2"/>
              </w:rPr>
            </w:pPr>
            <w:r>
              <w:rPr>
                <w:rFonts w:hint="eastAsia"/>
              </w:rPr>
              <w:t>9</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0"/>
                <w:szCs w:val="20"/>
              </w:rPr>
            </w:pPr>
            <w:r>
              <w:rPr>
                <w:rFonts w:hint="eastAsia"/>
              </w:rPr>
              <w:t>九、卫生健康支出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2"/>
              </w:rPr>
            </w:pPr>
            <w:r>
              <w:rPr>
                <w:rFonts w:hint="eastAsia"/>
              </w:rPr>
              <w:t>40</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b/>
                <w:color w:val="000000"/>
                <w:sz w:val="22"/>
              </w:rPr>
            </w:pPr>
            <w:r>
              <w:rPr>
                <w:rFonts w:ascii="宋体" w:eastAsia="宋体" w:cs="宋体" w:hAnsi="宋体"/>
                <w:b/>
                <w:color w:val="000000"/>
                <w:sz w:val="22"/>
              </w:rPr>
              <w:t>31.23</w:t>
            </w:r>
          </w:p>
        </w:tc>
      </w:tr>
      <w:tr>
        <w:trPr>
          <w:trHeight w:hRule="exact" w:val="340"/>
          <w:gridAfter w:val="4"/>
          <w:wAfter w:w="6080" w:type="dxa"/>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10</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0"/>
                <w:szCs w:val="20"/>
              </w:rPr>
            </w:pPr>
            <w:r>
              <w:rPr>
                <w:rFonts w:hint="eastAsia"/>
              </w:rPr>
              <w:t>十、节能环保支出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41</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b/>
                <w:color w:val="000000"/>
                <w:sz w:val="22"/>
              </w:rPr>
            </w:pPr>
          </w:p>
        </w:tc>
      </w:tr>
      <w:tr>
        <w:trPr>
          <w:trHeight w:hRule="exact" w:val="340"/>
          <w:gridAfter w:val="4"/>
          <w:wAfter w:w="6080" w:type="dxa"/>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11</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0"/>
                <w:szCs w:val="20"/>
              </w:rPr>
            </w:pPr>
            <w:r>
              <w:rPr>
                <w:rFonts w:hint="eastAsia"/>
              </w:rPr>
              <w:t>十一、城乡社区支出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42</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b/>
                <w:color w:val="000000"/>
                <w:sz w:val="22"/>
              </w:rPr>
            </w:pPr>
          </w:p>
        </w:tc>
      </w:tr>
      <w:tr>
        <w:trPr>
          <w:trHeight w:hRule="exact" w:val="340"/>
          <w:gridAfter w:val="4"/>
          <w:wAfter w:w="6080" w:type="dxa"/>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12</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0"/>
                <w:szCs w:val="20"/>
              </w:rPr>
            </w:pPr>
            <w:r>
              <w:rPr>
                <w:rFonts w:hint="eastAsia"/>
              </w:rPr>
              <w:t>十二、农林水支出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43</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b/>
                <w:color w:val="000000"/>
                <w:sz w:val="22"/>
              </w:rPr>
            </w:pPr>
            <w:r>
              <w:rPr>
                <w:rFonts w:ascii="宋体" w:eastAsia="宋体" w:cs="宋体" w:hAnsi="宋体"/>
                <w:b/>
                <w:color w:val="000000"/>
                <w:sz w:val="22"/>
              </w:rPr>
              <w:t>1.01</w:t>
            </w:r>
          </w:p>
        </w:tc>
      </w:tr>
      <w:tr>
        <w:trPr>
          <w:trHeight w:hRule="exact" w:val="340"/>
          <w:gridAfter w:val="4"/>
          <w:wAfter w:w="6080" w:type="dxa"/>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13</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0"/>
                <w:szCs w:val="20"/>
              </w:rPr>
            </w:pPr>
            <w:r>
              <w:rPr>
                <w:rFonts w:hint="eastAsia"/>
              </w:rPr>
              <w:t>十三、交通运输支出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44</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b/>
                <w:color w:val="000000"/>
                <w:sz w:val="22"/>
              </w:rPr>
            </w:pPr>
          </w:p>
        </w:tc>
      </w:tr>
      <w:tr>
        <w:trPr>
          <w:trHeight w:hRule="exact" w:val="340"/>
          <w:gridAfter w:val="4"/>
          <w:wAfter w:w="6080" w:type="dxa"/>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14</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0"/>
                <w:szCs w:val="20"/>
              </w:rPr>
            </w:pPr>
            <w:r>
              <w:rPr>
                <w:rFonts w:hint="eastAsia"/>
              </w:rPr>
              <w:t>十四、资源勘探工业信息等支出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45</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b/>
                <w:color w:val="000000"/>
                <w:sz w:val="22"/>
              </w:rPr>
            </w:pPr>
          </w:p>
        </w:tc>
      </w:tr>
      <w:tr>
        <w:trPr>
          <w:trHeight w:hRule="exact" w:val="340"/>
          <w:gridAfter w:val="4"/>
          <w:wAfter w:w="6080" w:type="dxa"/>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15</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0"/>
                <w:szCs w:val="20"/>
              </w:rPr>
            </w:pPr>
            <w:r>
              <w:rPr>
                <w:rFonts w:hint="eastAsia"/>
              </w:rPr>
              <w:t>十五、商业服务业等支出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46</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b/>
                <w:color w:val="000000"/>
                <w:sz w:val="22"/>
              </w:rPr>
            </w:pPr>
          </w:p>
        </w:tc>
      </w:tr>
      <w:tr>
        <w:trPr>
          <w:trHeight w:hRule="exact" w:val="340"/>
          <w:gridAfter w:val="4"/>
          <w:wAfter w:w="6080" w:type="dxa"/>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16</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0"/>
                <w:szCs w:val="20"/>
              </w:rPr>
            </w:pPr>
            <w:r>
              <w:rPr>
                <w:rFonts w:hint="eastAsia"/>
              </w:rPr>
              <w:t>十六、金融支出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47</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b/>
                <w:color w:val="000000"/>
                <w:sz w:val="22"/>
              </w:rPr>
            </w:pPr>
          </w:p>
        </w:tc>
      </w:tr>
      <w:tr>
        <w:trPr>
          <w:trHeight w:hRule="exact" w:val="340"/>
          <w:gridAfter w:val="4"/>
          <w:wAfter w:w="6080" w:type="dxa"/>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17</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0"/>
                <w:szCs w:val="20"/>
              </w:rPr>
            </w:pPr>
            <w:r>
              <w:rPr>
                <w:rFonts w:hint="eastAsia"/>
              </w:rPr>
              <w:t>十七、援助其他地区支出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48</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b/>
                <w:color w:val="000000"/>
                <w:sz w:val="22"/>
              </w:rPr>
            </w:pPr>
          </w:p>
        </w:tc>
      </w:tr>
      <w:tr>
        <w:trPr>
          <w:trHeight w:hRule="exact" w:val="340"/>
          <w:gridAfter w:val="4"/>
          <w:wAfter w:w="6080" w:type="dxa"/>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18</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0"/>
                <w:szCs w:val="20"/>
              </w:rPr>
            </w:pPr>
            <w:r>
              <w:rPr>
                <w:rFonts w:hint="eastAsia"/>
              </w:rPr>
              <w:t>十八、自然资源海洋气象等支出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49</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b/>
                <w:color w:val="000000"/>
                <w:sz w:val="22"/>
              </w:rPr>
            </w:pPr>
          </w:p>
        </w:tc>
      </w:tr>
      <w:tr>
        <w:trPr>
          <w:trHeight w:hRule="exact" w:val="340"/>
          <w:gridAfter w:val="4"/>
          <w:wAfter w:w="6080" w:type="dxa"/>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19</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0"/>
                <w:szCs w:val="20"/>
              </w:rPr>
            </w:pPr>
            <w:r>
              <w:rPr>
                <w:rFonts w:hint="eastAsia"/>
              </w:rPr>
              <w:t>十九、住房保障支出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50</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b/>
                <w:color w:val="000000"/>
                <w:sz w:val="22"/>
              </w:rPr>
            </w:pPr>
            <w:r>
              <w:rPr>
                <w:rFonts w:ascii="宋体" w:eastAsia="宋体" w:cs="宋体" w:hAnsi="宋体"/>
                <w:b/>
                <w:color w:val="000000"/>
                <w:sz w:val="22"/>
              </w:rPr>
              <w:t>31.15</w:t>
            </w:r>
          </w:p>
        </w:tc>
      </w:tr>
      <w:tr>
        <w:trPr>
          <w:trHeight w:hRule="exact" w:val="340"/>
          <w:gridAfter w:val="4"/>
          <w:wAfter w:w="6080" w:type="dxa"/>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20</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0"/>
                <w:szCs w:val="20"/>
              </w:rPr>
            </w:pPr>
            <w:r>
              <w:rPr>
                <w:rFonts w:hint="eastAsia"/>
              </w:rPr>
              <w:t>二十、粮油物资储备支出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51</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b/>
                <w:color w:val="000000"/>
                <w:sz w:val="22"/>
              </w:rPr>
            </w:pPr>
          </w:p>
        </w:tc>
      </w:tr>
      <w:tr>
        <w:trPr>
          <w:trHeight w:hRule="exact" w:val="340"/>
          <w:gridAfter w:val="4"/>
          <w:wAfter w:w="6080" w:type="dxa"/>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21</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0"/>
                <w:szCs w:val="20"/>
              </w:rPr>
            </w:pPr>
            <w:r>
              <w:rPr>
                <w:rFonts w:hint="eastAsia"/>
              </w:rPr>
              <w:t>二十一、国有资本经营预算支出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52</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b/>
                <w:color w:val="000000"/>
                <w:sz w:val="22"/>
              </w:rPr>
            </w:pPr>
          </w:p>
        </w:tc>
      </w:tr>
      <w:tr>
        <w:trPr>
          <w:trHeight w:hRule="exact" w:val="340"/>
          <w:gridAfter w:val="4"/>
          <w:wAfter w:w="6080" w:type="dxa"/>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22</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0"/>
                <w:szCs w:val="20"/>
              </w:rPr>
            </w:pPr>
            <w:r>
              <w:rPr>
                <w:rFonts w:hint="eastAsia"/>
              </w:rPr>
              <w:t>二十二、灾害防治及应急管理支出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53</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b/>
                <w:color w:val="000000"/>
                <w:sz w:val="22"/>
              </w:rPr>
            </w:pPr>
          </w:p>
        </w:tc>
      </w:tr>
      <w:tr>
        <w:trPr>
          <w:trHeight w:hRule="exact" w:val="340"/>
          <w:gridAfter w:val="4"/>
          <w:wAfter w:w="6080" w:type="dxa"/>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23</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0"/>
                <w:szCs w:val="20"/>
              </w:rPr>
            </w:pPr>
            <w:r>
              <w:rPr>
                <w:rFonts w:hint="eastAsia"/>
              </w:rPr>
              <w:t>二十三、其他支出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54</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b/>
                <w:color w:val="000000"/>
                <w:sz w:val="22"/>
              </w:rPr>
            </w:pPr>
          </w:p>
        </w:tc>
      </w:tr>
      <w:tr>
        <w:trPr>
          <w:trHeight w:hRule="exact" w:val="340"/>
          <w:gridAfter w:val="4"/>
          <w:wAfter w:w="6080" w:type="dxa"/>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24</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0"/>
                <w:szCs w:val="20"/>
              </w:rPr>
            </w:pPr>
            <w:r>
              <w:rPr>
                <w:rFonts w:hint="eastAsia"/>
              </w:rPr>
              <w:t>二十四、债务还本支出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55</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b/>
                <w:color w:val="000000"/>
                <w:sz w:val="22"/>
              </w:rPr>
            </w:pPr>
          </w:p>
        </w:tc>
      </w:tr>
      <w:tr>
        <w:trPr>
          <w:trHeight w:hRule="exact" w:val="340"/>
          <w:gridAfter w:val="4"/>
          <w:wAfter w:w="6080" w:type="dxa"/>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25</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0"/>
                <w:szCs w:val="20"/>
              </w:rPr>
            </w:pPr>
            <w:r>
              <w:rPr>
                <w:rFonts w:hint="eastAsia"/>
              </w:rPr>
              <w:t>二十五、债务付息支出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56</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b/>
                <w:color w:val="000000"/>
                <w:sz w:val="22"/>
              </w:rPr>
            </w:pPr>
          </w:p>
        </w:tc>
      </w:tr>
      <w:tr>
        <w:trPr>
          <w:trHeight w:hRule="exact" w:val="340"/>
          <w:gridAfter w:val="4"/>
          <w:wAfter w:w="6080" w:type="dxa"/>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26</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0"/>
                <w:szCs w:val="20"/>
              </w:rPr>
            </w:pPr>
            <w:r>
              <w:rPr>
                <w:rFonts w:hint="eastAsia"/>
              </w:rPr>
              <w:t>二十六、抗疫特别国债安排的支出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57</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b/>
                <w:color w:val="000000"/>
                <w:sz w:val="22"/>
              </w:rPr>
            </w:pPr>
          </w:p>
        </w:tc>
      </w:tr>
      <w:tr>
        <w:trPr>
          <w:trHeight w:hRule="exact" w:val="340"/>
          <w:gridAfter w:val="4"/>
          <w:wAfter w:w="6080" w:type="dxa"/>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0"/>
                <w:szCs w:val="20"/>
              </w:rPr>
            </w:pPr>
            <w:r>
              <w:rPr>
                <w:rFonts w:hint="eastAsia"/>
                <w:b/>
                <w:bCs/>
              </w:rPr>
              <w:t>本年收入合计</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27</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r>
              <w:rPr>
                <w:rFonts w:ascii="宋体" w:eastAsia="宋体" w:cs="宋体" w:hAnsi="宋体"/>
                <w:color w:val="000000"/>
                <w:sz w:val="22"/>
              </w:rPr>
              <w:t>653.86</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0"/>
                <w:szCs w:val="20"/>
              </w:rPr>
            </w:pPr>
            <w:r>
              <w:rPr>
                <w:rFonts w:hint="eastAsia"/>
                <w:b/>
                <w:bCs/>
              </w:rPr>
              <w:t>本年支出合计</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58</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b/>
                <w:color w:val="000000"/>
                <w:sz w:val="22"/>
              </w:rPr>
            </w:pPr>
            <w:r>
              <w:rPr>
                <w:rFonts w:ascii="宋体" w:eastAsia="宋体" w:cs="宋体" w:hAnsi="宋体"/>
                <w:b/>
                <w:color w:val="000000"/>
                <w:sz w:val="22"/>
              </w:rPr>
              <w:t>657.36</w:t>
            </w:r>
          </w:p>
        </w:tc>
      </w:tr>
      <w:tr>
        <w:trPr>
          <w:trHeight w:hRule="exact" w:val="340"/>
          <w:gridAfter w:val="4"/>
          <w:wAfter w:w="6080" w:type="dxa"/>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0"/>
                <w:szCs w:val="20"/>
              </w:rPr>
            </w:pPr>
            <w:r>
              <w:rPr>
                <w:rFonts w:hint="eastAsia"/>
              </w:rPr>
              <w:t>使用非财政拨款结余</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28</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0"/>
                <w:szCs w:val="20"/>
              </w:rPr>
            </w:pPr>
            <w:r>
              <w:rPr>
                <w:rFonts w:hint="eastAsia"/>
              </w:rPr>
              <w:t>结余分配</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59</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b/>
                <w:color w:val="000000"/>
                <w:sz w:val="22"/>
              </w:rPr>
            </w:pPr>
          </w:p>
        </w:tc>
      </w:tr>
      <w:tr>
        <w:trPr>
          <w:trHeight w:hRule="exact" w:val="340"/>
          <w:gridAfter w:val="4"/>
          <w:wAfter w:w="6080" w:type="dxa"/>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0"/>
                <w:szCs w:val="20"/>
              </w:rPr>
            </w:pPr>
            <w:r>
              <w:rPr>
                <w:rFonts w:hint="eastAsia"/>
              </w:rPr>
              <w:t>年初结转和结余</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29</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r>
              <w:rPr>
                <w:rFonts w:ascii="宋体" w:eastAsia="宋体" w:cs="宋体" w:hAnsi="宋体"/>
                <w:color w:val="000000"/>
                <w:sz w:val="22"/>
              </w:rPr>
              <w:t>3.64</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0"/>
                <w:szCs w:val="20"/>
              </w:rPr>
            </w:pPr>
            <w:r>
              <w:rPr>
                <w:rFonts w:hint="eastAsia"/>
              </w:rPr>
              <w:t>年末结转和结余</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60</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b/>
                <w:color w:val="000000"/>
                <w:sz w:val="22"/>
              </w:rPr>
            </w:pPr>
            <w:r>
              <w:rPr>
                <w:rFonts w:ascii="宋体" w:eastAsia="宋体" w:cs="宋体" w:hAnsi="宋体"/>
                <w:b/>
                <w:color w:val="000000"/>
                <w:sz w:val="22"/>
              </w:rPr>
              <w:t>0.13</w:t>
            </w:r>
          </w:p>
        </w:tc>
      </w:tr>
      <w:tr>
        <w:trPr>
          <w:trHeight w:hRule="exact" w:val="340"/>
          <w:gridAfter w:val="4"/>
          <w:wAfter w:w="6080" w:type="dxa"/>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30</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61</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b/>
                <w:color w:val="000000"/>
                <w:sz w:val="22"/>
              </w:rPr>
            </w:pPr>
          </w:p>
        </w:tc>
      </w:tr>
      <w:tr>
        <w:trPr>
          <w:trHeight w:hRule="exact" w:val="340"/>
          <w:gridAfter w:val="4"/>
          <w:wAfter w:w="6080" w:type="dxa"/>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b/>
                <w:color w:val="000000"/>
                <w:sz w:val="22"/>
              </w:rPr>
            </w:pPr>
            <w:r>
              <w:rPr>
                <w:rFonts w:hint="eastAsia"/>
                <w:b/>
                <w:bCs/>
              </w:rPr>
              <w:t>总计</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2"/>
              </w:rPr>
            </w:pPr>
            <w:r>
              <w:rPr>
                <w:rFonts w:hint="eastAsia"/>
              </w:rPr>
              <w:t>31</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r>
              <w:rPr>
                <w:rFonts w:ascii="宋体" w:eastAsia="宋体" w:cs="宋体" w:hAnsi="宋体"/>
                <w:color w:val="000000"/>
                <w:sz w:val="22"/>
              </w:rPr>
              <w:t>657.49</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b/>
                <w:color w:val="000000"/>
                <w:sz w:val="22"/>
              </w:rPr>
            </w:pPr>
            <w:r>
              <w:rPr>
                <w:rFonts w:hint="eastAsia"/>
                <w:b/>
                <w:bCs/>
              </w:rPr>
              <w:t>总计</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2"/>
              </w:rPr>
            </w:pPr>
            <w:r>
              <w:rPr>
                <w:rFonts w:hint="eastAsia"/>
              </w:rPr>
              <w:t>62</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r>
              <w:rPr>
                <w:rFonts w:ascii="宋体" w:eastAsia="宋体" w:cs="宋体" w:hAnsi="宋体"/>
                <w:color w:val="000000"/>
                <w:sz w:val="22"/>
              </w:rPr>
              <w:t>657.49</w:t>
            </w:r>
          </w:p>
        </w:tc>
      </w:tr>
      <w:tr>
        <w:trPr>
          <w:trHeight w:val="1020"/>
        </w:trPr>
        <w:tc>
          <w:tcPr>
            <w:tcW w:w="16797" w:type="dxa"/>
            <w:gridSpan w:val="13"/>
            <w:tcBorders>
              <w:top w:val="nil"/>
              <w:left w:val="nil"/>
              <w:bottom w:val="nil"/>
              <w:right w:val="nil"/>
            </w:tcBorders>
            <w:shd w:val="clear" w:color="auto" w:fill="auto"/>
            <w:vAlign w:val="center"/>
          </w:tcPr>
          <w:p>
            <w:pPr>
              <w:widowControl/>
              <w:jc w:val="left"/>
              <w:textAlignment w:val="center"/>
              <w:rPr>
                <w:rFonts w:ascii="宋体" w:eastAsia="宋体" w:cs="宋体" w:hAnsi="宋体"/>
                <w:color w:val="000000"/>
                <w:sz w:val="24"/>
              </w:rPr>
            </w:pPr>
            <w:r>
              <w:rPr>
                <w:rFonts w:ascii="宋体" w:eastAsia="宋体" w:cs="宋体" w:hAnsi="宋体" w:hint="eastAsia"/>
                <w:color w:val="000000"/>
                <w:kern w:val="0"/>
                <w:sz w:val="24"/>
                <w:szCs w:val="24"/>
              </w:rPr>
              <w:t>注：1.本表反映部门本年度的总收支和年末结转结余情况。</w:t>
              <w:br/>
              <w:t xml:space="preserve">    2.本套报表金额单位转换时可能存在尾数误差。</w:t>
            </w:r>
          </w:p>
        </w:tc>
      </w:tr>
    </w:tbl>
    <w:p>
      <w:pPr>
        <w:sectPr>
          <w:pgSz w:w="11906" w:h="16838"/>
          <w:pgMar w:top="567" w:right="567" w:bottom="567" w:left="567" w:header="851" w:footer="992" w:gutter="0"/>
          <w:docGrid w:type="lines" w:linePitch="312" w:charSpace="0"/>
        </w:sectPr>
      </w:pPr>
    </w:p>
    <w:tbl>
      <w:tblPr>
        <w:jc w:val="left"/>
        <w:tblW w:w="11039" w:type="dxa"/>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555"/>
        <w:gridCol w:w="532"/>
        <w:gridCol w:w="1839"/>
        <w:gridCol w:w="1635"/>
        <w:gridCol w:w="1080"/>
        <w:gridCol w:w="1080"/>
        <w:gridCol w:w="1080"/>
        <w:gridCol w:w="1080"/>
        <w:gridCol w:w="1080"/>
        <w:gridCol w:w="1078"/>
      </w:tblGrid>
      <w:tr>
        <w:trPr>
          <w:trHeight w:val="435"/>
        </w:trPr>
        <w:tc>
          <w:tcPr>
            <w:tcW w:w="11039" w:type="dxa"/>
            <w:gridSpan w:val="10"/>
            <w:tcBorders>
              <w:top w:val="nil"/>
              <w:left w:val="nil"/>
              <w:bottom w:val="nil"/>
              <w:right w:val="nil"/>
            </w:tcBorders>
            <w:shd w:val="clear" w:color="auto" w:fill="auto"/>
            <w:vAlign w:val="center"/>
          </w:tcPr>
          <w:p>
            <w:pPr>
              <w:widowControl/>
              <w:jc w:val="center"/>
              <w:textAlignment w:val="center"/>
              <w:rPr>
                <w:rFonts w:ascii="华文中宋" w:eastAsia="华文中宋" w:cs="华文中宋" w:hAnsi="华文中宋"/>
                <w:color w:val="000000"/>
                <w:sz w:val="32"/>
                <w:szCs w:val="32"/>
              </w:rPr>
            </w:pPr>
            <w:r>
              <w:rPr>
                <w:rFonts w:ascii="华文中宋" w:eastAsia="华文中宋" w:cs="华文中宋" w:hAnsi="华文中宋" w:hint="eastAsia"/>
                <w:color w:val="000000"/>
                <w:kern w:val="0"/>
                <w:sz w:val="32"/>
                <w:szCs w:val="32"/>
              </w:rPr>
              <w:t>收入决算表</w:t>
            </w:r>
          </w:p>
        </w:tc>
      </w:tr>
      <w:tr>
        <w:trPr>
          <w:trHeight w:val="286"/>
        </w:trPr>
        <w:tc>
          <w:tcPr>
            <w:tcW w:w="555" w:type="dxa"/>
            <w:tcBorders>
              <w:top w:val="nil"/>
              <w:left w:val="nil"/>
              <w:bottom w:val="nil"/>
              <w:right w:val="nil"/>
            </w:tcBorders>
            <w:shd w:val="clear" w:color="auto" w:fill="FFFFFF"/>
            <w:vAlign w:val="center"/>
          </w:tcPr>
          <w:p>
            <w:pPr>
              <w:jc w:val="right"/>
              <w:rPr>
                <w:rFonts w:ascii="宋体" w:eastAsia="宋体" w:cs="宋体" w:hAnsi="宋体"/>
                <w:color w:val="000000"/>
                <w:sz w:val="24"/>
              </w:rPr>
            </w:pPr>
          </w:p>
        </w:tc>
        <w:tc>
          <w:tcPr>
            <w:tcW w:w="532" w:type="dxa"/>
            <w:tcBorders>
              <w:top w:val="nil"/>
              <w:left w:val="nil"/>
              <w:bottom w:val="nil"/>
              <w:right w:val="nil"/>
            </w:tcBorders>
            <w:shd w:val="clear" w:color="auto" w:fill="FFFFFF"/>
            <w:vAlign w:val="center"/>
          </w:tcPr>
          <w:p>
            <w:pPr>
              <w:jc w:val="right"/>
              <w:rPr>
                <w:rFonts w:ascii="宋体" w:eastAsia="宋体" w:cs="宋体" w:hAnsi="宋体"/>
                <w:color w:val="000000"/>
                <w:sz w:val="24"/>
              </w:rPr>
            </w:pPr>
          </w:p>
        </w:tc>
        <w:tc>
          <w:tcPr>
            <w:tcW w:w="1838" w:type="dxa"/>
            <w:tcBorders>
              <w:top w:val="nil"/>
              <w:left w:val="nil"/>
              <w:bottom w:val="nil"/>
              <w:right w:val="nil"/>
            </w:tcBorders>
            <w:shd w:val="clear" w:color="auto" w:fill="FFFFFF"/>
            <w:vAlign w:val="center"/>
          </w:tcPr>
          <w:p>
            <w:pPr>
              <w:jc w:val="right"/>
              <w:rPr>
                <w:rFonts w:ascii="宋体" w:eastAsia="宋体" w:cs="宋体" w:hAnsi="宋体"/>
                <w:color w:val="000000"/>
                <w:sz w:val="24"/>
              </w:rPr>
            </w:pPr>
          </w:p>
        </w:tc>
        <w:tc>
          <w:tcPr>
            <w:tcW w:w="1635" w:type="dxa"/>
            <w:tcBorders>
              <w:top w:val="nil"/>
              <w:left w:val="nil"/>
              <w:bottom w:val="nil"/>
              <w:right w:val="nil"/>
            </w:tcBorders>
            <w:shd w:val="clear" w:color="auto" w:fill="FFFFFF"/>
            <w:vAlign w:val="center"/>
          </w:tcPr>
          <w:p>
            <w:pPr>
              <w:jc w:val="right"/>
              <w:rPr>
                <w:rFonts w:ascii="宋体" w:eastAsia="宋体" w:cs="宋体" w:hAnsi="宋体"/>
                <w:color w:val="000000"/>
                <w:sz w:val="24"/>
              </w:rPr>
            </w:pPr>
          </w:p>
        </w:tc>
        <w:tc>
          <w:tcPr>
            <w:tcW w:w="1080" w:type="dxa"/>
            <w:tcBorders>
              <w:top w:val="nil"/>
              <w:left w:val="nil"/>
              <w:bottom w:val="nil"/>
              <w:right w:val="nil"/>
            </w:tcBorders>
            <w:shd w:val="clear" w:color="auto" w:fill="FFFFFF"/>
            <w:vAlign w:val="center"/>
          </w:tcPr>
          <w:p>
            <w:pPr>
              <w:jc w:val="right"/>
              <w:rPr>
                <w:rFonts w:ascii="宋体" w:eastAsia="宋体" w:cs="宋体" w:hAnsi="宋体"/>
                <w:color w:val="000000"/>
                <w:sz w:val="24"/>
              </w:rPr>
            </w:pPr>
          </w:p>
        </w:tc>
        <w:tc>
          <w:tcPr>
            <w:tcW w:w="1080" w:type="dxa"/>
            <w:tcBorders>
              <w:top w:val="nil"/>
              <w:left w:val="nil"/>
              <w:bottom w:val="nil"/>
              <w:right w:val="nil"/>
            </w:tcBorders>
            <w:shd w:val="clear" w:color="auto" w:fill="FFFFFF"/>
            <w:vAlign w:val="center"/>
          </w:tcPr>
          <w:p>
            <w:pPr>
              <w:jc w:val="right"/>
              <w:rPr>
                <w:rFonts w:ascii="宋体" w:eastAsia="宋体" w:cs="宋体" w:hAnsi="宋体"/>
                <w:color w:val="000000"/>
                <w:sz w:val="24"/>
              </w:rPr>
            </w:pPr>
          </w:p>
        </w:tc>
        <w:tc>
          <w:tcPr>
            <w:tcW w:w="1080" w:type="dxa"/>
            <w:tcBorders>
              <w:top w:val="nil"/>
              <w:left w:val="nil"/>
              <w:bottom w:val="nil"/>
              <w:right w:val="nil"/>
            </w:tcBorders>
            <w:shd w:val="clear" w:color="auto" w:fill="FFFFFF"/>
            <w:vAlign w:val="center"/>
          </w:tcPr>
          <w:p>
            <w:pPr>
              <w:jc w:val="right"/>
              <w:rPr>
                <w:rFonts w:ascii="宋体" w:eastAsia="宋体" w:cs="宋体" w:hAnsi="宋体"/>
                <w:color w:val="000000"/>
                <w:sz w:val="24"/>
              </w:rPr>
            </w:pPr>
          </w:p>
        </w:tc>
        <w:tc>
          <w:tcPr>
            <w:tcW w:w="1080" w:type="dxa"/>
            <w:tcBorders>
              <w:top w:val="nil"/>
              <w:left w:val="nil"/>
              <w:bottom w:val="nil"/>
              <w:right w:val="nil"/>
            </w:tcBorders>
            <w:shd w:val="clear" w:color="auto" w:fill="FFFFFF"/>
            <w:vAlign w:val="center"/>
          </w:tcPr>
          <w:p>
            <w:pPr>
              <w:jc w:val="right"/>
              <w:rPr>
                <w:rFonts w:ascii="宋体" w:eastAsia="宋体" w:cs="宋体" w:hAnsi="宋体"/>
                <w:color w:val="000000"/>
                <w:sz w:val="24"/>
              </w:rPr>
            </w:pPr>
          </w:p>
        </w:tc>
        <w:tc>
          <w:tcPr>
            <w:tcW w:w="1080" w:type="dxa"/>
            <w:tcBorders>
              <w:top w:val="nil"/>
              <w:left w:val="nil"/>
              <w:bottom w:val="nil"/>
              <w:right w:val="nil"/>
            </w:tcBorders>
            <w:shd w:val="clear" w:color="auto" w:fill="FFFFFF"/>
            <w:vAlign w:val="center"/>
          </w:tcPr>
          <w:p>
            <w:pPr>
              <w:jc w:val="right"/>
              <w:rPr>
                <w:rFonts w:ascii="宋体" w:eastAsia="宋体" w:cs="宋体" w:hAnsi="宋体"/>
                <w:color w:val="000000"/>
                <w:sz w:val="24"/>
              </w:rPr>
            </w:pPr>
          </w:p>
        </w:tc>
        <w:tc>
          <w:tcPr>
            <w:tcW w:w="1078" w:type="dxa"/>
            <w:tcBorders>
              <w:top w:val="nil"/>
              <w:left w:val="nil"/>
              <w:bottom w:val="nil"/>
              <w:right w:val="nil"/>
            </w:tcBorders>
            <w:shd w:val="clear" w:color="auto" w:fill="FFFFFF"/>
            <w:vAlign w:val="center"/>
          </w:tcPr>
          <w:p>
            <w:pPr>
              <w:widowControl/>
              <w:jc w:val="righ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公开02表</w:t>
            </w:r>
          </w:p>
        </w:tc>
      </w:tr>
      <w:tr>
        <w:trPr>
          <w:trHeight w:val="286"/>
        </w:trPr>
        <w:tc>
          <w:tcPr>
            <w:tcW w:w="555" w:type="dxa"/>
            <w:tcBorders>
              <w:top w:val="nil"/>
              <w:left w:val="nil"/>
              <w:bottom w:val="nil"/>
              <w:right w:val="nil"/>
            </w:tcBorders>
            <w:shd w:val="clear" w:color="auto" w:fill="FFFFFF"/>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部门：</w:t>
            </w:r>
          </w:p>
        </w:tc>
        <w:tc>
          <w:tcPr>
            <w:tcW w:w="532" w:type="dxa"/>
            <w:tcBorders>
              <w:top w:val="nil"/>
              <w:left w:val="nil"/>
              <w:bottom w:val="nil"/>
              <w:right w:val="nil"/>
            </w:tcBorders>
            <w:shd w:val="clear" w:color="auto" w:fill="FFFFFF"/>
            <w:vAlign w:val="center"/>
          </w:tcPr>
          <w:p>
            <w:pPr>
              <w:jc w:val="right"/>
              <w:rPr>
                <w:rFonts w:ascii="宋体" w:eastAsia="宋体" w:cs="宋体" w:hAnsi="宋体"/>
                <w:color w:val="000000"/>
                <w:sz w:val="24"/>
              </w:rPr>
            </w:pPr>
          </w:p>
        </w:tc>
        <w:tc>
          <w:tcPr>
            <w:tcW w:w="1838" w:type="dxa"/>
            <w:tcBorders>
              <w:top w:val="nil"/>
              <w:left w:val="nil"/>
              <w:bottom w:val="nil"/>
              <w:right w:val="nil"/>
            </w:tcBorders>
            <w:shd w:val="clear" w:color="auto" w:fill="FFFFFF"/>
            <w:vAlign w:val="center"/>
          </w:tcPr>
          <w:p>
            <w:pPr>
              <w:jc w:val="right"/>
              <w:rPr>
                <w:rFonts w:ascii="宋体" w:eastAsia="宋体" w:cs="宋体" w:hAnsi="宋体"/>
                <w:color w:val="000000"/>
                <w:sz w:val="24"/>
              </w:rPr>
            </w:pPr>
          </w:p>
        </w:tc>
        <w:tc>
          <w:tcPr>
            <w:tcW w:w="1635" w:type="dxa"/>
            <w:tcBorders>
              <w:top w:val="nil"/>
              <w:left w:val="nil"/>
              <w:bottom w:val="nil"/>
              <w:right w:val="nil"/>
            </w:tcBorders>
            <w:shd w:val="clear" w:color="auto" w:fill="FFFFFF"/>
            <w:vAlign w:val="center"/>
          </w:tcPr>
          <w:p>
            <w:pPr>
              <w:jc w:val="right"/>
              <w:rPr>
                <w:rFonts w:ascii="宋体" w:eastAsia="宋体" w:cs="宋体" w:hAnsi="宋体"/>
                <w:color w:val="000000"/>
                <w:sz w:val="24"/>
              </w:rPr>
            </w:pPr>
          </w:p>
        </w:tc>
        <w:tc>
          <w:tcPr>
            <w:tcW w:w="1080" w:type="dxa"/>
            <w:tcBorders>
              <w:top w:val="nil"/>
              <w:left w:val="nil"/>
              <w:bottom w:val="nil"/>
              <w:right w:val="nil"/>
            </w:tcBorders>
            <w:shd w:val="clear" w:color="auto" w:fill="FFFFFF"/>
            <w:vAlign w:val="center"/>
          </w:tcPr>
          <w:p>
            <w:pPr>
              <w:jc w:val="right"/>
              <w:rPr>
                <w:rFonts w:ascii="宋体" w:eastAsia="宋体" w:cs="宋体" w:hAnsi="宋体"/>
                <w:color w:val="000000"/>
                <w:sz w:val="24"/>
              </w:rPr>
            </w:pPr>
            <w:r>
              <w:rPr>
                <w:rFonts w:ascii="宋体" w:eastAsia="宋体" w:cs="宋体" w:hAnsi="宋体" w:hint="eastAsia"/>
                <w:color w:val="000000"/>
                <w:sz w:val="24"/>
                <w:szCs w:val="24"/>
              </w:rPr>
              <w:t>2022年度</w:t>
            </w:r>
          </w:p>
        </w:tc>
        <w:tc>
          <w:tcPr>
            <w:tcW w:w="1080" w:type="dxa"/>
            <w:tcBorders>
              <w:top w:val="nil"/>
              <w:left w:val="nil"/>
              <w:bottom w:val="nil"/>
              <w:right w:val="nil"/>
            </w:tcBorders>
            <w:shd w:val="clear" w:color="auto" w:fill="FFFFFF"/>
            <w:vAlign w:val="center"/>
          </w:tcPr>
          <w:p>
            <w:pPr>
              <w:jc w:val="center"/>
              <w:rPr>
                <w:rFonts w:ascii="宋体" w:eastAsia="宋体" w:cs="宋体" w:hAnsi="宋体"/>
                <w:color w:val="000000"/>
                <w:sz w:val="20"/>
                <w:szCs w:val="20"/>
              </w:rPr>
            </w:pPr>
          </w:p>
        </w:tc>
        <w:tc>
          <w:tcPr>
            <w:tcW w:w="1080" w:type="dxa"/>
            <w:tcBorders>
              <w:top w:val="nil"/>
              <w:left w:val="nil"/>
              <w:bottom w:val="nil"/>
              <w:right w:val="nil"/>
            </w:tcBorders>
            <w:shd w:val="clear" w:color="auto" w:fill="FFFFFF"/>
            <w:vAlign w:val="center"/>
          </w:tcPr>
          <w:p>
            <w:pPr>
              <w:jc w:val="right"/>
              <w:rPr>
                <w:rFonts w:ascii="宋体" w:eastAsia="宋体" w:cs="宋体" w:hAnsi="宋体"/>
                <w:color w:val="000000"/>
                <w:sz w:val="24"/>
              </w:rPr>
            </w:pPr>
          </w:p>
        </w:tc>
        <w:tc>
          <w:tcPr>
            <w:tcW w:w="1080" w:type="dxa"/>
            <w:tcBorders>
              <w:top w:val="nil"/>
              <w:left w:val="nil"/>
              <w:bottom w:val="nil"/>
              <w:right w:val="nil"/>
            </w:tcBorders>
            <w:shd w:val="clear" w:color="auto" w:fill="FFFFFF"/>
            <w:vAlign w:val="center"/>
          </w:tcPr>
          <w:p>
            <w:pPr>
              <w:jc w:val="right"/>
              <w:rPr>
                <w:rFonts w:ascii="宋体" w:eastAsia="宋体" w:cs="宋体" w:hAnsi="宋体"/>
                <w:color w:val="000000"/>
                <w:sz w:val="24"/>
              </w:rPr>
            </w:pPr>
          </w:p>
        </w:tc>
        <w:tc>
          <w:tcPr>
            <w:tcW w:w="1080" w:type="dxa"/>
            <w:tcBorders>
              <w:top w:val="nil"/>
              <w:left w:val="nil"/>
              <w:bottom w:val="nil"/>
              <w:right w:val="nil"/>
            </w:tcBorders>
            <w:shd w:val="clear" w:color="auto" w:fill="FFFFFF"/>
            <w:vAlign w:val="center"/>
          </w:tcPr>
          <w:p>
            <w:pPr>
              <w:jc w:val="right"/>
              <w:rPr>
                <w:rFonts w:ascii="宋体" w:eastAsia="宋体" w:cs="宋体" w:hAnsi="宋体"/>
                <w:color w:val="000000"/>
                <w:sz w:val="24"/>
              </w:rPr>
            </w:pPr>
          </w:p>
        </w:tc>
        <w:tc>
          <w:tcPr>
            <w:tcW w:w="1078" w:type="dxa"/>
            <w:tcBorders>
              <w:top w:val="nil"/>
              <w:left w:val="nil"/>
              <w:bottom w:val="nil"/>
              <w:right w:val="nil"/>
            </w:tcBorders>
            <w:shd w:val="clear" w:color="auto" w:fill="FFFFFF"/>
            <w:vAlign w:val="center"/>
          </w:tcPr>
          <w:p>
            <w:pPr>
              <w:widowControl/>
              <w:jc w:val="righ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单位：万元</w:t>
            </w:r>
          </w:p>
        </w:tc>
      </w:tr>
      <w:tr>
        <w:trPr>
          <w:trHeight w:val="450"/>
        </w:trPr>
        <w:tc>
          <w:tcPr>
            <w:tcW w:w="292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项    目</w:t>
            </w:r>
          </w:p>
        </w:tc>
        <w:tc>
          <w:tcPr>
            <w:tcW w:w="16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本年收入合计</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财政拨款收入</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上级补助收入</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事业收入</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经营收入</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附属单位上缴收入</w:t>
            </w:r>
          </w:p>
        </w:tc>
        <w:tc>
          <w:tcPr>
            <w:tcW w:w="10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其他收入</w:t>
            </w:r>
          </w:p>
        </w:tc>
      </w:tr>
      <w:tr>
        <w:trPr>
          <w:trHeight w:val="450"/>
        </w:trPr>
        <w:tc>
          <w:tcPr>
            <w:tcW w:w="108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科目代码</w:t>
            </w:r>
          </w:p>
        </w:tc>
        <w:tc>
          <w:tcPr>
            <w:tcW w:w="18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科目名称</w:t>
            </w:r>
          </w:p>
        </w:tc>
        <w:tc>
          <w:tcPr>
            <w:tcW w:w="1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r>
      <w:tr>
        <w:trPr>
          <w:trHeight w:val="450"/>
        </w:trPr>
        <w:tc>
          <w:tcPr>
            <w:tcW w:w="1635"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29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6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r>
      <w:tr>
        <w:trPr>
          <w:trHeight w:val="450"/>
        </w:trPr>
        <w:tc>
          <w:tcPr>
            <w:tcW w:w="292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栏次</w:t>
            </w:r>
          </w:p>
        </w:tc>
        <w:tc>
          <w:tcPr>
            <w:tcW w:w="163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6</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7</w:t>
            </w:r>
          </w:p>
        </w:tc>
      </w:tr>
      <w:tr>
        <w:trPr>
          <w:trHeight w:val="450"/>
        </w:trPr>
        <w:tc>
          <w:tcPr>
            <w:tcW w:w="292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合计</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653.86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653.86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r>
      <w:tr>
        <w:trPr>
          <w:trHeight w:val="450"/>
        </w:trPr>
        <w:tc>
          <w:tcPr>
            <w:tcW w:w="10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205</w:t>
            </w:r>
          </w:p>
        </w:tc>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教育支出</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528.57</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528.57</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r>
      <w:tr>
        <w:trPr>
          <w:trHeight w:val="450"/>
        </w:trPr>
        <w:tc>
          <w:tcPr>
            <w:tcW w:w="10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20505</w:t>
            </w:r>
          </w:p>
        </w:tc>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广播电视教育</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华文中宋" w:eastAsia="华文中宋" w:cs="华文中宋" w:hAnsi="华文中宋"/>
                <w:color w:val="000000"/>
                <w:sz w:val="24"/>
              </w:rPr>
            </w:pPr>
            <w:r>
              <w:rPr>
                <w:rFonts w:ascii="宋体" w:cs="宋体" w:hAnsi="宋体"/>
                <w:color w:val="000000"/>
                <w:sz w:val="24"/>
              </w:rPr>
              <w:t>528.57</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528.57</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r>
      <w:tr>
        <w:trPr>
          <w:trHeight w:val="450"/>
        </w:trPr>
        <w:tc>
          <w:tcPr>
            <w:tcW w:w="10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2050599</w:t>
            </w:r>
          </w:p>
        </w:tc>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其他广播电视教育支出</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528.57</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528.57</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r>
      <w:tr>
        <w:trPr>
          <w:trHeight w:val="450"/>
        </w:trPr>
        <w:tc>
          <w:tcPr>
            <w:tcW w:w="10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208</w:t>
            </w:r>
          </w:p>
        </w:tc>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社会保障和就业支出</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62.92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62.92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r>
      <w:tr>
        <w:trPr>
          <w:trHeight w:val="450"/>
        </w:trPr>
        <w:tc>
          <w:tcPr>
            <w:tcW w:w="10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20805</w:t>
            </w:r>
          </w:p>
        </w:tc>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行政事业单位养老支出</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62.92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62.92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r>
      <w:tr>
        <w:trPr>
          <w:trHeight w:val="450"/>
        </w:trPr>
        <w:tc>
          <w:tcPr>
            <w:tcW w:w="10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2080502</w:t>
            </w:r>
          </w:p>
        </w:tc>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事业单位离退休</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27.92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27.92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r>
      <w:tr>
        <w:trPr>
          <w:trHeight w:val="450"/>
        </w:trPr>
        <w:tc>
          <w:tcPr>
            <w:tcW w:w="10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2080505</w:t>
            </w:r>
          </w:p>
        </w:tc>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机关事业单位基本养老保险缴费支出</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35.00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35.00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r>
      <w:tr>
        <w:trPr>
          <w:trHeight w:val="450"/>
        </w:trPr>
        <w:tc>
          <w:tcPr>
            <w:tcW w:w="10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210</w:t>
            </w:r>
          </w:p>
        </w:tc>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卫生健康支出</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31.23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31.23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r>
      <w:tr>
        <w:trPr>
          <w:trHeight w:val="450"/>
        </w:trPr>
        <w:tc>
          <w:tcPr>
            <w:tcW w:w="10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21011</w:t>
            </w:r>
          </w:p>
        </w:tc>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行政事业单位医疗</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31.23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31.23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r>
      <w:tr>
        <w:trPr>
          <w:trHeight w:val="450"/>
        </w:trPr>
        <w:tc>
          <w:tcPr>
            <w:tcW w:w="10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2101102</w:t>
            </w:r>
          </w:p>
        </w:tc>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事业单位医疗</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13.70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13.70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r>
      <w:tr>
        <w:trPr>
          <w:trHeight w:val="450"/>
        </w:trPr>
        <w:tc>
          <w:tcPr>
            <w:tcW w:w="10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2101103</w:t>
            </w:r>
          </w:p>
        </w:tc>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公务员医疗补助</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17.53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17.53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r>
      <w:tr>
        <w:trPr>
          <w:trHeight w:val="450"/>
        </w:trPr>
        <w:tc>
          <w:tcPr>
            <w:tcW w:w="10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221</w:t>
            </w:r>
          </w:p>
        </w:tc>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住房保障支出</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31.15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31.15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r>
      <w:tr>
        <w:trPr>
          <w:trHeight w:val="450"/>
        </w:trPr>
        <w:tc>
          <w:tcPr>
            <w:tcW w:w="10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22102</w:t>
            </w:r>
          </w:p>
        </w:tc>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住房改革支出</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31.15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31.15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r>
      <w:tr>
        <w:trPr>
          <w:trHeight w:val="450"/>
        </w:trPr>
        <w:tc>
          <w:tcPr>
            <w:tcW w:w="10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2210201</w:t>
            </w:r>
          </w:p>
        </w:tc>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住房公积金</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31.15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31.15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r>
      <w:tr>
        <w:trPr>
          <w:trHeight w:val="615"/>
        </w:trPr>
        <w:tc>
          <w:tcPr>
            <w:tcW w:w="11039" w:type="dxa"/>
            <w:gridSpan w:val="10"/>
            <w:tcBorders>
              <w:top w:val="nil"/>
              <w:left w:val="nil"/>
              <w:bottom w:val="nil"/>
              <w:right w:val="nil"/>
            </w:tcBorders>
            <w:shd w:val="clear" w:color="auto" w:fill="auto"/>
            <w:vAlign w:val="center"/>
          </w:tcPr>
          <w:p>
            <w:pPr>
              <w:widowControl/>
              <w:jc w:val="left"/>
              <w:textAlignment w:val="center"/>
              <w:rPr>
                <w:rFonts w:ascii="宋体" w:eastAsia="宋体" w:cs="宋体" w:hAnsi="宋体"/>
                <w:color w:val="000000"/>
                <w:sz w:val="24"/>
              </w:rPr>
            </w:pPr>
            <w:r>
              <w:rPr>
                <w:rFonts w:ascii="宋体" w:eastAsia="宋体" w:cs="宋体" w:hAnsi="宋体" w:hint="eastAsia"/>
                <w:color w:val="000000"/>
                <w:kern w:val="0"/>
                <w:sz w:val="24"/>
                <w:szCs w:val="24"/>
              </w:rPr>
              <w:t>注：本表反映部门本年度取得的各项收入情况。</w:t>
            </w:r>
          </w:p>
        </w:tc>
      </w:tr>
    </w:tbl>
    <w:p>
      <w:pPr>
        <w:sectPr>
          <w:pgSz w:w="11906" w:h="16838"/>
          <w:pgMar w:top="567" w:right="567" w:bottom="567" w:left="567" w:header="851" w:footer="992" w:gutter="0"/>
          <w:docGrid w:type="lines" w:linePitch="312" w:charSpace="0"/>
        </w:sectPr>
      </w:pPr>
    </w:p>
    <w:tbl>
      <w:tblPr>
        <w:jc w:val="left"/>
        <w:tblW w:w="10285" w:type="dxa"/>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671"/>
        <w:gridCol w:w="327"/>
        <w:gridCol w:w="1967"/>
        <w:gridCol w:w="1310"/>
        <w:gridCol w:w="1739"/>
        <w:gridCol w:w="1069"/>
        <w:gridCol w:w="1069"/>
        <w:gridCol w:w="1069"/>
        <w:gridCol w:w="1065"/>
      </w:tblGrid>
      <w:tr>
        <w:trPr>
          <w:trHeight w:val="435"/>
        </w:trPr>
        <w:tc>
          <w:tcPr>
            <w:tcW w:w="10285" w:type="dxa"/>
            <w:gridSpan w:val="9"/>
            <w:tcBorders>
              <w:top w:val="nil"/>
              <w:left w:val="nil"/>
              <w:bottom w:val="nil"/>
              <w:right w:val="nil"/>
            </w:tcBorders>
            <w:shd w:val="clear" w:color="auto" w:fill="auto"/>
            <w:vAlign w:val="center"/>
          </w:tcPr>
          <w:p>
            <w:pPr>
              <w:widowControl/>
              <w:jc w:val="center"/>
              <w:textAlignment w:val="center"/>
              <w:rPr>
                <w:rFonts w:ascii="华文中宋" w:eastAsia="华文中宋" w:cs="华文中宋" w:hAnsi="华文中宋"/>
                <w:color w:val="000000"/>
                <w:sz w:val="32"/>
                <w:szCs w:val="32"/>
              </w:rPr>
            </w:pPr>
            <w:r>
              <w:rPr>
                <w:rFonts w:ascii="华文中宋" w:eastAsia="华文中宋" w:cs="华文中宋" w:hAnsi="华文中宋" w:hint="eastAsia"/>
                <w:color w:val="000000"/>
                <w:kern w:val="0"/>
                <w:sz w:val="32"/>
                <w:szCs w:val="32"/>
              </w:rPr>
              <w:t>支出决算表</w:t>
            </w:r>
          </w:p>
        </w:tc>
      </w:tr>
      <w:tr>
        <w:trPr>
          <w:trHeight w:val="286"/>
        </w:trPr>
        <w:tc>
          <w:tcPr>
            <w:tcW w:w="671" w:type="dxa"/>
            <w:tcBorders>
              <w:top w:val="nil"/>
              <w:left w:val="nil"/>
              <w:bottom w:val="nil"/>
              <w:right w:val="nil"/>
            </w:tcBorders>
            <w:shd w:val="clear" w:color="auto" w:fill="FFFFFF"/>
            <w:vAlign w:val="center"/>
          </w:tcPr>
          <w:p>
            <w:pPr>
              <w:jc w:val="right"/>
              <w:rPr>
                <w:rFonts w:ascii="宋体" w:eastAsia="宋体" w:cs="宋体" w:hAnsi="宋体"/>
                <w:color w:val="000000"/>
                <w:sz w:val="24"/>
              </w:rPr>
            </w:pPr>
          </w:p>
        </w:tc>
        <w:tc>
          <w:tcPr>
            <w:tcW w:w="327" w:type="dxa"/>
            <w:tcBorders>
              <w:top w:val="nil"/>
              <w:left w:val="nil"/>
              <w:bottom w:val="nil"/>
              <w:right w:val="nil"/>
            </w:tcBorders>
            <w:shd w:val="clear" w:color="auto" w:fill="FFFFFF"/>
            <w:vAlign w:val="center"/>
          </w:tcPr>
          <w:p>
            <w:pPr>
              <w:jc w:val="right"/>
              <w:rPr>
                <w:rFonts w:ascii="宋体" w:eastAsia="宋体" w:cs="宋体" w:hAnsi="宋体"/>
                <w:color w:val="000000"/>
                <w:sz w:val="24"/>
              </w:rPr>
            </w:pPr>
          </w:p>
        </w:tc>
        <w:tc>
          <w:tcPr>
            <w:tcW w:w="1967" w:type="dxa"/>
            <w:tcBorders>
              <w:top w:val="nil"/>
              <w:left w:val="nil"/>
              <w:bottom w:val="nil"/>
              <w:right w:val="nil"/>
            </w:tcBorders>
            <w:shd w:val="clear" w:color="auto" w:fill="FFFFFF"/>
            <w:vAlign w:val="center"/>
          </w:tcPr>
          <w:p>
            <w:pPr>
              <w:jc w:val="right"/>
              <w:rPr>
                <w:rFonts w:ascii="宋体" w:eastAsia="宋体" w:cs="宋体" w:hAnsi="宋体"/>
                <w:color w:val="000000"/>
                <w:sz w:val="24"/>
              </w:rPr>
            </w:pPr>
          </w:p>
        </w:tc>
        <w:tc>
          <w:tcPr>
            <w:tcW w:w="1310" w:type="dxa"/>
            <w:tcBorders>
              <w:top w:val="nil"/>
              <w:left w:val="nil"/>
              <w:bottom w:val="nil"/>
              <w:right w:val="nil"/>
            </w:tcBorders>
            <w:shd w:val="clear" w:color="auto" w:fill="FFFFFF"/>
            <w:vAlign w:val="center"/>
          </w:tcPr>
          <w:p>
            <w:pPr>
              <w:jc w:val="right"/>
              <w:rPr>
                <w:rFonts w:ascii="宋体" w:eastAsia="宋体" w:cs="宋体" w:hAnsi="宋体"/>
                <w:color w:val="000000"/>
                <w:sz w:val="24"/>
              </w:rPr>
            </w:pPr>
          </w:p>
        </w:tc>
        <w:tc>
          <w:tcPr>
            <w:tcW w:w="1739" w:type="dxa"/>
            <w:tcBorders>
              <w:top w:val="nil"/>
              <w:left w:val="nil"/>
              <w:bottom w:val="nil"/>
              <w:right w:val="nil"/>
            </w:tcBorders>
            <w:shd w:val="clear" w:color="auto" w:fill="FFFFFF"/>
            <w:vAlign w:val="center"/>
          </w:tcPr>
          <w:p>
            <w:pPr>
              <w:jc w:val="right"/>
              <w:rPr>
                <w:rFonts w:ascii="宋体" w:eastAsia="宋体" w:cs="宋体" w:hAnsi="宋体"/>
                <w:color w:val="000000"/>
                <w:sz w:val="24"/>
              </w:rPr>
            </w:pPr>
          </w:p>
        </w:tc>
        <w:tc>
          <w:tcPr>
            <w:tcW w:w="1069" w:type="dxa"/>
            <w:tcBorders>
              <w:top w:val="nil"/>
              <w:left w:val="nil"/>
              <w:bottom w:val="nil"/>
              <w:right w:val="nil"/>
            </w:tcBorders>
            <w:shd w:val="clear" w:color="auto" w:fill="FFFFFF"/>
            <w:vAlign w:val="center"/>
          </w:tcPr>
          <w:p>
            <w:pPr>
              <w:jc w:val="right"/>
              <w:rPr>
                <w:rFonts w:ascii="宋体" w:eastAsia="宋体" w:cs="宋体" w:hAnsi="宋体"/>
                <w:color w:val="000000"/>
                <w:sz w:val="24"/>
              </w:rPr>
            </w:pPr>
          </w:p>
        </w:tc>
        <w:tc>
          <w:tcPr>
            <w:tcW w:w="1069" w:type="dxa"/>
            <w:tcBorders>
              <w:top w:val="nil"/>
              <w:left w:val="nil"/>
              <w:bottom w:val="nil"/>
              <w:right w:val="nil"/>
            </w:tcBorders>
            <w:shd w:val="clear" w:color="auto" w:fill="FFFFFF"/>
            <w:vAlign w:val="center"/>
          </w:tcPr>
          <w:p>
            <w:pPr>
              <w:jc w:val="right"/>
              <w:rPr>
                <w:rFonts w:ascii="宋体" w:eastAsia="宋体" w:cs="宋体" w:hAnsi="宋体"/>
                <w:color w:val="000000"/>
                <w:sz w:val="24"/>
              </w:rPr>
            </w:pPr>
          </w:p>
        </w:tc>
        <w:tc>
          <w:tcPr>
            <w:tcW w:w="1069" w:type="dxa"/>
            <w:tcBorders>
              <w:top w:val="nil"/>
              <w:left w:val="nil"/>
              <w:bottom w:val="nil"/>
              <w:right w:val="nil"/>
            </w:tcBorders>
            <w:shd w:val="clear" w:color="auto" w:fill="FFFFFF"/>
            <w:vAlign w:val="center"/>
          </w:tcPr>
          <w:p>
            <w:pPr>
              <w:jc w:val="right"/>
              <w:rPr>
                <w:rFonts w:ascii="宋体" w:eastAsia="宋体" w:cs="宋体" w:hAnsi="宋体"/>
                <w:color w:val="000000"/>
                <w:sz w:val="24"/>
              </w:rPr>
            </w:pPr>
          </w:p>
        </w:tc>
        <w:tc>
          <w:tcPr>
            <w:tcW w:w="1065" w:type="dxa"/>
            <w:tcBorders>
              <w:top w:val="nil"/>
              <w:left w:val="nil"/>
              <w:bottom w:val="nil"/>
              <w:right w:val="nil"/>
            </w:tcBorders>
            <w:shd w:val="clear" w:color="auto" w:fill="FFFFFF"/>
            <w:vAlign w:val="center"/>
          </w:tcPr>
          <w:p>
            <w:pPr>
              <w:widowControl/>
              <w:jc w:val="righ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公开03表</w:t>
            </w:r>
          </w:p>
        </w:tc>
      </w:tr>
      <w:tr>
        <w:trPr>
          <w:trHeight w:val="286"/>
        </w:trPr>
        <w:tc>
          <w:tcPr>
            <w:tcW w:w="671" w:type="dxa"/>
            <w:tcBorders>
              <w:top w:val="nil"/>
              <w:left w:val="nil"/>
              <w:bottom w:val="nil"/>
              <w:right w:val="nil"/>
            </w:tcBorders>
            <w:shd w:val="clear" w:color="auto" w:fill="FFFFFF"/>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部门：</w:t>
            </w:r>
          </w:p>
        </w:tc>
        <w:tc>
          <w:tcPr>
            <w:tcW w:w="327" w:type="dxa"/>
            <w:tcBorders>
              <w:top w:val="nil"/>
              <w:left w:val="nil"/>
              <w:bottom w:val="nil"/>
              <w:right w:val="nil"/>
            </w:tcBorders>
            <w:shd w:val="clear" w:color="auto" w:fill="FFFFFF"/>
            <w:vAlign w:val="center"/>
          </w:tcPr>
          <w:p>
            <w:pPr>
              <w:jc w:val="right"/>
              <w:rPr>
                <w:rFonts w:ascii="宋体" w:eastAsia="宋体" w:cs="宋体" w:hAnsi="宋体"/>
                <w:color w:val="000000"/>
                <w:sz w:val="24"/>
              </w:rPr>
            </w:pPr>
          </w:p>
        </w:tc>
        <w:tc>
          <w:tcPr>
            <w:tcW w:w="1967" w:type="dxa"/>
            <w:tcBorders>
              <w:top w:val="nil"/>
              <w:left w:val="nil"/>
              <w:bottom w:val="nil"/>
              <w:right w:val="nil"/>
            </w:tcBorders>
            <w:shd w:val="clear" w:color="auto" w:fill="FFFFFF"/>
            <w:vAlign w:val="center"/>
          </w:tcPr>
          <w:p>
            <w:pPr>
              <w:jc w:val="right"/>
              <w:rPr>
                <w:rFonts w:ascii="宋体" w:eastAsia="宋体" w:cs="宋体" w:hAnsi="宋体"/>
                <w:color w:val="000000"/>
                <w:sz w:val="24"/>
              </w:rPr>
            </w:pPr>
          </w:p>
        </w:tc>
        <w:tc>
          <w:tcPr>
            <w:tcW w:w="1310" w:type="dxa"/>
            <w:tcBorders>
              <w:top w:val="nil"/>
              <w:left w:val="nil"/>
              <w:bottom w:val="nil"/>
              <w:right w:val="nil"/>
            </w:tcBorders>
            <w:shd w:val="clear" w:color="auto" w:fill="FFFFFF"/>
            <w:vAlign w:val="center"/>
          </w:tcPr>
          <w:p>
            <w:pPr>
              <w:wordWrap w:val="0"/>
              <w:jc w:val="right"/>
              <w:rPr>
                <w:rFonts w:ascii="宋体" w:eastAsia="宋体" w:cs="宋体" w:hAnsi="宋体"/>
                <w:color w:val="000000"/>
                <w:sz w:val="24"/>
              </w:rPr>
            </w:pPr>
            <w:r>
              <w:rPr>
                <w:rFonts w:ascii="宋体" w:eastAsia="宋体" w:cs="宋体" w:hAnsi="宋体" w:hint="eastAsia"/>
                <w:color w:val="000000"/>
                <w:sz w:val="24"/>
                <w:szCs w:val="24"/>
              </w:rPr>
              <w:t xml:space="preserve"> </w:t>
            </w:r>
          </w:p>
        </w:tc>
        <w:tc>
          <w:tcPr>
            <w:tcW w:w="1739" w:type="dxa"/>
            <w:tcBorders>
              <w:top w:val="nil"/>
              <w:left w:val="nil"/>
              <w:bottom w:val="nil"/>
              <w:right w:val="nil"/>
            </w:tcBorders>
            <w:shd w:val="clear" w:color="auto" w:fill="FFFFFF"/>
            <w:vAlign w:val="center"/>
          </w:tcPr>
          <w:p>
            <w:pPr>
              <w:rPr>
                <w:rFonts w:ascii="宋体" w:eastAsia="宋体" w:cs="宋体" w:hAnsi="宋体"/>
                <w:color w:val="000000"/>
                <w:sz w:val="24"/>
              </w:rPr>
            </w:pPr>
            <w:r>
              <w:rPr>
                <w:rFonts w:ascii="宋体" w:eastAsia="宋体" w:cs="宋体" w:hAnsi="宋体" w:hint="eastAsia"/>
                <w:color w:val="000000"/>
                <w:sz w:val="24"/>
                <w:szCs w:val="24"/>
              </w:rPr>
              <w:t>2022年度</w:t>
            </w:r>
          </w:p>
        </w:tc>
        <w:tc>
          <w:tcPr>
            <w:tcW w:w="1069" w:type="dxa"/>
            <w:tcBorders>
              <w:top w:val="nil"/>
              <w:left w:val="nil"/>
              <w:bottom w:val="nil"/>
              <w:right w:val="nil"/>
            </w:tcBorders>
            <w:shd w:val="clear" w:color="auto" w:fill="FFFFFF"/>
            <w:vAlign w:val="center"/>
          </w:tcPr>
          <w:p>
            <w:pPr>
              <w:jc w:val="center"/>
              <w:rPr>
                <w:rFonts w:ascii="宋体" w:eastAsia="宋体" w:cs="宋体" w:hAnsi="宋体"/>
                <w:color w:val="000000"/>
                <w:sz w:val="20"/>
                <w:szCs w:val="20"/>
              </w:rPr>
            </w:pPr>
          </w:p>
        </w:tc>
        <w:tc>
          <w:tcPr>
            <w:tcW w:w="1069" w:type="dxa"/>
            <w:tcBorders>
              <w:top w:val="nil"/>
              <w:left w:val="nil"/>
              <w:bottom w:val="nil"/>
              <w:right w:val="nil"/>
            </w:tcBorders>
            <w:shd w:val="clear" w:color="auto" w:fill="FFFFFF"/>
            <w:vAlign w:val="center"/>
          </w:tcPr>
          <w:p>
            <w:pPr>
              <w:jc w:val="right"/>
              <w:rPr>
                <w:rFonts w:ascii="宋体" w:eastAsia="宋体" w:cs="宋体" w:hAnsi="宋体"/>
                <w:color w:val="000000"/>
                <w:sz w:val="24"/>
              </w:rPr>
            </w:pPr>
          </w:p>
        </w:tc>
        <w:tc>
          <w:tcPr>
            <w:tcW w:w="1069" w:type="dxa"/>
            <w:tcBorders>
              <w:top w:val="nil"/>
              <w:left w:val="nil"/>
              <w:bottom w:val="nil"/>
              <w:right w:val="nil"/>
            </w:tcBorders>
            <w:shd w:val="clear" w:color="auto" w:fill="FFFFFF"/>
            <w:vAlign w:val="center"/>
          </w:tcPr>
          <w:p>
            <w:pPr>
              <w:jc w:val="right"/>
              <w:rPr>
                <w:rFonts w:ascii="宋体" w:eastAsia="宋体" w:cs="宋体" w:hAnsi="宋体"/>
                <w:color w:val="000000"/>
                <w:sz w:val="24"/>
              </w:rPr>
            </w:pPr>
          </w:p>
        </w:tc>
        <w:tc>
          <w:tcPr>
            <w:tcW w:w="1065" w:type="dxa"/>
            <w:tcBorders>
              <w:top w:val="nil"/>
              <w:left w:val="nil"/>
              <w:bottom w:val="nil"/>
              <w:right w:val="nil"/>
            </w:tcBorders>
            <w:shd w:val="clear" w:color="auto" w:fill="FFFFFF"/>
            <w:vAlign w:val="center"/>
          </w:tcPr>
          <w:p>
            <w:pPr>
              <w:widowControl/>
              <w:jc w:val="righ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单位：万元</w:t>
            </w:r>
          </w:p>
        </w:tc>
      </w:tr>
      <w:tr>
        <w:trPr>
          <w:trHeight w:val="450"/>
        </w:trPr>
        <w:tc>
          <w:tcPr>
            <w:tcW w:w="296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项    目</w:t>
            </w:r>
          </w:p>
        </w:tc>
        <w:tc>
          <w:tcPr>
            <w:tcW w:w="13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本年支出合计</w:t>
            </w:r>
          </w:p>
        </w:tc>
        <w:tc>
          <w:tcPr>
            <w:tcW w:w="173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基本支出</w:t>
            </w:r>
          </w:p>
        </w:tc>
        <w:tc>
          <w:tcPr>
            <w:tcW w:w="106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项目支出</w:t>
            </w:r>
          </w:p>
        </w:tc>
        <w:tc>
          <w:tcPr>
            <w:tcW w:w="106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上缴上级支出</w:t>
            </w:r>
          </w:p>
        </w:tc>
        <w:tc>
          <w:tcPr>
            <w:tcW w:w="106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经营支出</w:t>
            </w:r>
          </w:p>
        </w:tc>
        <w:tc>
          <w:tcPr>
            <w:tcW w:w="10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对附属单位补助支出</w:t>
            </w:r>
          </w:p>
        </w:tc>
      </w:tr>
      <w:tr>
        <w:trPr>
          <w:trHeight w:val="450"/>
        </w:trPr>
        <w:tc>
          <w:tcPr>
            <w:tcW w:w="99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科目代码</w:t>
            </w:r>
          </w:p>
        </w:tc>
        <w:tc>
          <w:tcPr>
            <w:tcW w:w="19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科目名称</w:t>
            </w:r>
          </w:p>
        </w:tc>
        <w:tc>
          <w:tcPr>
            <w:tcW w:w="170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7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6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6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6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r>
      <w:tr>
        <w:trPr>
          <w:trHeight w:val="450"/>
        </w:trPr>
        <w:tc>
          <w:tcPr>
            <w:tcW w:w="133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2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7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6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6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6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r>
      <w:tr>
        <w:trPr>
          <w:trHeight w:val="450"/>
        </w:trPr>
        <w:tc>
          <w:tcPr>
            <w:tcW w:w="296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栏次</w:t>
            </w:r>
          </w:p>
        </w:tc>
        <w:tc>
          <w:tcPr>
            <w:tcW w:w="131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1</w:t>
            </w:r>
          </w:p>
        </w:tc>
        <w:tc>
          <w:tcPr>
            <w:tcW w:w="1739"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2</w:t>
            </w:r>
          </w:p>
        </w:tc>
        <w:tc>
          <w:tcPr>
            <w:tcW w:w="10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3</w:t>
            </w:r>
          </w:p>
        </w:tc>
        <w:tc>
          <w:tcPr>
            <w:tcW w:w="10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4</w:t>
            </w:r>
          </w:p>
        </w:tc>
        <w:tc>
          <w:tcPr>
            <w:tcW w:w="10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5</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6</w:t>
            </w:r>
          </w:p>
        </w:tc>
      </w:tr>
      <w:tr>
        <w:trPr>
          <w:trHeight w:val="450"/>
        </w:trPr>
        <w:tc>
          <w:tcPr>
            <w:tcW w:w="296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合计</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657.36</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495.19</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162.17</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r>
      <w:tr>
        <w:trPr>
          <w:trHeight w:val="450"/>
        </w:trPr>
        <w:tc>
          <w:tcPr>
            <w:tcW w:w="9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205</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教育支出</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531.06</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369.90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161.16</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r>
      <w:tr>
        <w:trPr>
          <w:trHeight w:val="450"/>
        </w:trPr>
        <w:tc>
          <w:tcPr>
            <w:tcW w:w="9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20505</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广播电视教育</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528.58</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369.90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158.67</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r>
      <w:tr>
        <w:trPr>
          <w:trHeight w:val="450"/>
        </w:trPr>
        <w:tc>
          <w:tcPr>
            <w:tcW w:w="9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2050599</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其他广播电视教育支出</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528.58</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369.90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158.67</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r>
      <w:tr>
        <w:trPr>
          <w:trHeight w:val="450"/>
        </w:trPr>
        <w:tc>
          <w:tcPr>
            <w:tcW w:w="9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20599</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其他教育支出</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2.48</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2.48</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r>
      <w:tr>
        <w:trPr>
          <w:trHeight w:val="450"/>
        </w:trPr>
        <w:tc>
          <w:tcPr>
            <w:tcW w:w="9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2059999</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其他教育支出</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2.48</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2.48</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r>
      <w:tr>
        <w:trPr>
          <w:trHeight w:val="450"/>
        </w:trPr>
        <w:tc>
          <w:tcPr>
            <w:tcW w:w="9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208</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社会保障和就业支出</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62.92</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62.92</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r>
      <w:tr>
        <w:trPr>
          <w:trHeight w:val="450"/>
        </w:trPr>
        <w:tc>
          <w:tcPr>
            <w:tcW w:w="9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20805</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行政事业单位养老支出</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62.92</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62.92</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r>
      <w:tr>
        <w:trPr>
          <w:trHeight w:val="450"/>
        </w:trPr>
        <w:tc>
          <w:tcPr>
            <w:tcW w:w="9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2080502</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事业单位离退休</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27.92</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27.92</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r>
      <w:tr>
        <w:trPr>
          <w:trHeight w:val="450"/>
        </w:trPr>
        <w:tc>
          <w:tcPr>
            <w:tcW w:w="9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2080505</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机关事业单位基本养老保险缴费支出</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35.00</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35.00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r>
      <w:tr>
        <w:trPr>
          <w:trHeight w:val="450"/>
        </w:trPr>
        <w:tc>
          <w:tcPr>
            <w:tcW w:w="9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210</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卫生健康支出</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31.23</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31.23</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r>
      <w:tr>
        <w:trPr>
          <w:trHeight w:val="450"/>
        </w:trPr>
        <w:tc>
          <w:tcPr>
            <w:tcW w:w="9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21011</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行政事业单位医疗</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31.23</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31.23</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r>
      <w:tr>
        <w:trPr>
          <w:trHeight w:val="450"/>
        </w:trPr>
        <w:tc>
          <w:tcPr>
            <w:tcW w:w="9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2101102</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事业单位医疗</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13.70</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13.70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r>
      <w:tr>
        <w:trPr>
          <w:trHeight w:val="450"/>
        </w:trPr>
        <w:tc>
          <w:tcPr>
            <w:tcW w:w="9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2101103</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公务员医疗补助</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17.53</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17.53</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r>
      <w:tr>
        <w:trPr>
          <w:trHeight w:val="450"/>
        </w:trPr>
        <w:tc>
          <w:tcPr>
            <w:tcW w:w="9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213</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农林水支出</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1.01</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1.01</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r>
      <w:tr>
        <w:trPr>
          <w:trHeight w:val="450"/>
        </w:trPr>
        <w:tc>
          <w:tcPr>
            <w:tcW w:w="9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21301</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农业农村</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1.01</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1.01</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r>
      <w:tr>
        <w:trPr>
          <w:trHeight w:val="450"/>
        </w:trPr>
        <w:tc>
          <w:tcPr>
            <w:tcW w:w="9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2130121</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农业结构调整补贴</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1.01</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1.01</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r>
      <w:tr>
        <w:trPr>
          <w:trHeight w:val="450"/>
        </w:trPr>
        <w:tc>
          <w:tcPr>
            <w:tcW w:w="9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221</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住房保障支出</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31.15</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31.15</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r>
      <w:tr>
        <w:trPr>
          <w:trHeight w:val="450"/>
        </w:trPr>
        <w:tc>
          <w:tcPr>
            <w:tcW w:w="9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22102</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住房改革支出</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31.15</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31.15</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r>
      <w:tr>
        <w:trPr>
          <w:trHeight w:val="450"/>
        </w:trPr>
        <w:tc>
          <w:tcPr>
            <w:tcW w:w="9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2210201</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cs="宋体" w:hAnsi="宋体"/>
                <w:color w:val="000000"/>
                <w:sz w:val="24"/>
              </w:rPr>
            </w:pPr>
            <w:r>
              <w:rPr>
                <w:rFonts w:ascii="宋体" w:eastAsia="宋体" w:cs="宋体" w:hAnsi="宋体"/>
                <w:color w:val="000000"/>
                <w:sz w:val="24"/>
              </w:rPr>
              <w:t>住房公积金</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31.15</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31.15</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r>
      <w:tr>
        <w:trPr>
          <w:trHeight w:val="630"/>
        </w:trPr>
        <w:tc>
          <w:tcPr>
            <w:tcW w:w="10285" w:type="dxa"/>
            <w:gridSpan w:val="9"/>
            <w:tcBorders>
              <w:top w:val="nil"/>
              <w:left w:val="nil"/>
              <w:bottom w:val="nil"/>
              <w:right w:val="nil"/>
            </w:tcBorders>
            <w:shd w:val="clear" w:color="auto" w:fill="auto"/>
            <w:vAlign w:val="center"/>
          </w:tcPr>
          <w:p>
            <w:pPr>
              <w:widowControl/>
              <w:jc w:val="left"/>
              <w:textAlignment w:val="center"/>
              <w:rPr>
                <w:rFonts w:ascii="宋体" w:eastAsia="宋体" w:cs="宋体" w:hAnsi="宋体"/>
                <w:color w:val="000000"/>
                <w:sz w:val="24"/>
              </w:rPr>
            </w:pPr>
            <w:r>
              <w:rPr>
                <w:rFonts w:ascii="宋体" w:eastAsia="宋体" w:cs="宋体" w:hAnsi="宋体" w:hint="eastAsia"/>
                <w:color w:val="000000"/>
                <w:kern w:val="0"/>
                <w:sz w:val="24"/>
                <w:szCs w:val="24"/>
              </w:rPr>
              <w:t>注：本表反映部门本年度各项支出情况。</w:t>
            </w:r>
          </w:p>
        </w:tc>
      </w:tr>
    </w:tbl>
    <w:p>
      <w:pPr>
        <w:sectPr>
          <w:pgSz w:w="11906" w:h="16838"/>
          <w:pgMar w:top="567" w:right="567" w:bottom="567" w:left="567" w:header="851" w:footer="992" w:gutter="0"/>
          <w:docGrid w:type="lines" w:linePitch="312" w:charSpace="0"/>
        </w:sectPr>
      </w:pPr>
    </w:p>
    <w:tbl>
      <w:tblPr>
        <w:jc w:val="left"/>
        <w:tblW w:w="14182" w:type="dxa"/>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600"/>
        <w:gridCol w:w="1080"/>
        <w:gridCol w:w="640"/>
        <w:gridCol w:w="371"/>
        <w:gridCol w:w="863"/>
        <w:gridCol w:w="778"/>
        <w:gridCol w:w="1265"/>
        <w:gridCol w:w="319"/>
        <w:gridCol w:w="475"/>
        <w:gridCol w:w="479"/>
        <w:gridCol w:w="1483"/>
        <w:gridCol w:w="213"/>
        <w:gridCol w:w="1103"/>
        <w:gridCol w:w="1158"/>
        <w:gridCol w:w="18"/>
        <w:gridCol w:w="3337"/>
      </w:tblGrid>
      <w:tr>
        <w:trPr>
          <w:trHeight w:val="360"/>
        </w:trPr>
        <w:tc>
          <w:tcPr>
            <w:tcW w:w="14182" w:type="dxa"/>
            <w:gridSpan w:val="16"/>
            <w:tcBorders>
              <w:top w:val="nil"/>
              <w:left w:val="nil"/>
              <w:bottom w:val="nil"/>
              <w:right w:val="nil"/>
            </w:tcBorders>
            <w:shd w:val="clear" w:color="auto" w:fill="auto"/>
            <w:vAlign w:val="center"/>
          </w:tcPr>
          <w:p>
            <w:pPr>
              <w:widowControl/>
              <w:ind w:firstLineChars="1100" w:firstLine="3520"/>
              <w:textAlignment w:val="center"/>
              <w:rPr>
                <w:rFonts w:ascii="华文中宋" w:eastAsia="华文中宋" w:cs="华文中宋" w:hAnsi="华文中宋"/>
                <w:color w:val="000000"/>
                <w:kern w:val="0"/>
                <w:sz w:val="32"/>
                <w:szCs w:val="32"/>
              </w:rPr>
            </w:pPr>
            <w:r>
              <w:rPr>
                <w:rFonts w:ascii="华文中宋" w:eastAsia="华文中宋" w:cs="华文中宋" w:hAnsi="华文中宋" w:hint="eastAsia"/>
                <w:color w:val="000000"/>
                <w:kern w:val="0"/>
                <w:sz w:val="32"/>
                <w:szCs w:val="32"/>
              </w:rPr>
              <w:t>财政拨款收入支出决算总表</w:t>
            </w:r>
          </w:p>
          <w:tbl>
            <w:tblPr>
              <w:jc w:val="left"/>
              <w:tblW w:w="10815" w:type="dxa"/>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675"/>
              <w:gridCol w:w="570"/>
              <w:gridCol w:w="1245"/>
              <w:gridCol w:w="1727"/>
              <w:gridCol w:w="1757"/>
              <w:gridCol w:w="1080"/>
              <w:gridCol w:w="1080"/>
              <w:gridCol w:w="1080"/>
              <w:gridCol w:w="1601"/>
            </w:tblGrid>
            <w:tr>
              <w:trPr>
                <w:trHeight w:val="286"/>
              </w:trPr>
              <w:tc>
                <w:tcPr>
                  <w:tcW w:w="675" w:type="dxa"/>
                  <w:tcBorders>
                    <w:top w:val="nil"/>
                    <w:left w:val="nil"/>
                    <w:bottom w:val="nil"/>
                    <w:right w:val="nil"/>
                  </w:tcBorders>
                  <w:shd w:val="clear" w:color="auto" w:fill="FFFFFF"/>
                  <w:vAlign w:val="center"/>
                </w:tcPr>
                <w:p>
                  <w:pPr>
                    <w:jc w:val="right"/>
                    <w:rPr>
                      <w:rFonts w:ascii="宋体" w:eastAsia="宋体" w:cs="宋体" w:hAnsi="宋体"/>
                      <w:color w:val="000000"/>
                      <w:sz w:val="24"/>
                    </w:rPr>
                  </w:pPr>
                </w:p>
              </w:tc>
              <w:tc>
                <w:tcPr>
                  <w:tcW w:w="570" w:type="dxa"/>
                  <w:tcBorders>
                    <w:top w:val="nil"/>
                    <w:left w:val="nil"/>
                    <w:bottom w:val="nil"/>
                    <w:right w:val="nil"/>
                  </w:tcBorders>
                  <w:shd w:val="clear" w:color="auto" w:fill="FFFFFF"/>
                  <w:vAlign w:val="center"/>
                </w:tcPr>
                <w:p>
                  <w:pPr>
                    <w:jc w:val="right"/>
                    <w:rPr>
                      <w:rFonts w:ascii="宋体" w:eastAsia="宋体" w:cs="宋体" w:hAnsi="宋体"/>
                      <w:color w:val="000000"/>
                      <w:sz w:val="24"/>
                    </w:rPr>
                  </w:pPr>
                </w:p>
              </w:tc>
              <w:tc>
                <w:tcPr>
                  <w:tcW w:w="1245" w:type="dxa"/>
                  <w:tcBorders>
                    <w:top w:val="nil"/>
                    <w:left w:val="nil"/>
                    <w:bottom w:val="nil"/>
                    <w:right w:val="nil"/>
                  </w:tcBorders>
                  <w:shd w:val="clear" w:color="auto" w:fill="FFFFFF"/>
                  <w:vAlign w:val="center"/>
                </w:tcPr>
                <w:p>
                  <w:pPr>
                    <w:jc w:val="right"/>
                    <w:rPr>
                      <w:rFonts w:ascii="宋体" w:eastAsia="宋体" w:cs="宋体" w:hAnsi="宋体"/>
                      <w:color w:val="000000"/>
                      <w:sz w:val="24"/>
                    </w:rPr>
                  </w:pPr>
                </w:p>
              </w:tc>
              <w:tc>
                <w:tcPr>
                  <w:tcW w:w="1727" w:type="dxa"/>
                  <w:tcBorders>
                    <w:top w:val="nil"/>
                    <w:left w:val="nil"/>
                    <w:bottom w:val="nil"/>
                    <w:right w:val="nil"/>
                  </w:tcBorders>
                  <w:shd w:val="clear" w:color="auto" w:fill="FFFFFF"/>
                  <w:vAlign w:val="center"/>
                </w:tcPr>
                <w:p>
                  <w:pPr>
                    <w:jc w:val="right"/>
                    <w:rPr>
                      <w:rFonts w:ascii="宋体" w:eastAsia="宋体" w:cs="宋体" w:hAnsi="宋体"/>
                      <w:color w:val="000000"/>
                      <w:sz w:val="24"/>
                    </w:rPr>
                  </w:pPr>
                </w:p>
              </w:tc>
              <w:tc>
                <w:tcPr>
                  <w:tcW w:w="1757" w:type="dxa"/>
                  <w:tcBorders>
                    <w:top w:val="nil"/>
                    <w:left w:val="nil"/>
                    <w:bottom w:val="nil"/>
                    <w:right w:val="nil"/>
                  </w:tcBorders>
                  <w:shd w:val="clear" w:color="auto" w:fill="FFFFFF"/>
                  <w:vAlign w:val="center"/>
                </w:tcPr>
                <w:p>
                  <w:pPr>
                    <w:jc w:val="right"/>
                    <w:rPr>
                      <w:rFonts w:ascii="宋体" w:eastAsia="宋体" w:cs="宋体" w:hAnsi="宋体"/>
                      <w:color w:val="000000"/>
                      <w:sz w:val="24"/>
                    </w:rPr>
                  </w:pPr>
                </w:p>
              </w:tc>
              <w:tc>
                <w:tcPr>
                  <w:tcW w:w="1080" w:type="dxa"/>
                  <w:tcBorders>
                    <w:top w:val="nil"/>
                    <w:left w:val="nil"/>
                    <w:bottom w:val="nil"/>
                    <w:right w:val="nil"/>
                  </w:tcBorders>
                  <w:shd w:val="clear" w:color="auto" w:fill="FFFFFF"/>
                  <w:vAlign w:val="center"/>
                </w:tcPr>
                <w:p>
                  <w:pPr>
                    <w:jc w:val="right"/>
                    <w:rPr>
                      <w:rFonts w:ascii="宋体" w:eastAsia="宋体" w:cs="宋体" w:hAnsi="宋体"/>
                      <w:color w:val="000000"/>
                      <w:sz w:val="24"/>
                    </w:rPr>
                  </w:pPr>
                </w:p>
              </w:tc>
              <w:tc>
                <w:tcPr>
                  <w:tcW w:w="1080" w:type="dxa"/>
                  <w:tcBorders>
                    <w:top w:val="nil"/>
                    <w:left w:val="nil"/>
                    <w:bottom w:val="nil"/>
                    <w:right w:val="nil"/>
                  </w:tcBorders>
                  <w:shd w:val="clear" w:color="auto" w:fill="FFFFFF"/>
                  <w:vAlign w:val="center"/>
                </w:tcPr>
                <w:p>
                  <w:pPr>
                    <w:jc w:val="right"/>
                    <w:rPr>
                      <w:rFonts w:ascii="宋体" w:eastAsia="宋体" w:cs="宋体" w:hAnsi="宋体"/>
                      <w:color w:val="000000"/>
                      <w:sz w:val="24"/>
                    </w:rPr>
                  </w:pPr>
                </w:p>
              </w:tc>
              <w:tc>
                <w:tcPr>
                  <w:tcW w:w="1080" w:type="dxa"/>
                  <w:tcBorders>
                    <w:top w:val="nil"/>
                    <w:left w:val="nil"/>
                    <w:bottom w:val="nil"/>
                    <w:right w:val="nil"/>
                  </w:tcBorders>
                  <w:shd w:val="clear" w:color="auto" w:fill="FFFFFF"/>
                  <w:vAlign w:val="center"/>
                </w:tcPr>
                <w:p>
                  <w:pPr>
                    <w:jc w:val="right"/>
                    <w:rPr>
                      <w:rFonts w:ascii="宋体" w:eastAsia="宋体" w:cs="宋体" w:hAnsi="宋体"/>
                      <w:color w:val="000000"/>
                      <w:sz w:val="24"/>
                    </w:rPr>
                  </w:pPr>
                </w:p>
              </w:tc>
              <w:tc>
                <w:tcPr>
                  <w:tcW w:w="1601" w:type="dxa"/>
                  <w:tcBorders>
                    <w:top w:val="nil"/>
                    <w:left w:val="nil"/>
                    <w:bottom w:val="nil"/>
                    <w:right w:val="nil"/>
                  </w:tcBorders>
                  <w:shd w:val="clear" w:color="auto" w:fill="FFFFFF"/>
                  <w:vAlign w:val="center"/>
                </w:tcPr>
                <w:p>
                  <w:pPr>
                    <w:widowControl/>
                    <w:ind w:rightChars="-208" w:right="-437"/>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公开04表</w:t>
                  </w:r>
                </w:p>
              </w:tc>
            </w:tr>
            <w:tr>
              <w:trPr>
                <w:trHeight w:val="140"/>
              </w:trPr>
              <w:tc>
                <w:tcPr>
                  <w:tcW w:w="675" w:type="dxa"/>
                  <w:tcBorders>
                    <w:top w:val="nil"/>
                    <w:left w:val="nil"/>
                    <w:bottom w:val="nil"/>
                    <w:right w:val="nil"/>
                  </w:tcBorders>
                  <w:shd w:val="clear" w:color="auto" w:fill="FFFFFF"/>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部门：</w:t>
                  </w:r>
                </w:p>
              </w:tc>
              <w:tc>
                <w:tcPr>
                  <w:tcW w:w="570" w:type="dxa"/>
                  <w:tcBorders>
                    <w:top w:val="nil"/>
                    <w:left w:val="nil"/>
                    <w:bottom w:val="nil"/>
                    <w:right w:val="nil"/>
                  </w:tcBorders>
                  <w:shd w:val="clear" w:color="auto" w:fill="FFFFFF"/>
                  <w:vAlign w:val="center"/>
                </w:tcPr>
                <w:p>
                  <w:pPr>
                    <w:jc w:val="right"/>
                    <w:rPr>
                      <w:rFonts w:ascii="宋体" w:eastAsia="宋体" w:cs="宋体" w:hAnsi="宋体"/>
                      <w:color w:val="000000"/>
                      <w:sz w:val="24"/>
                    </w:rPr>
                  </w:pPr>
                </w:p>
              </w:tc>
              <w:tc>
                <w:tcPr>
                  <w:tcW w:w="1245" w:type="dxa"/>
                  <w:tcBorders>
                    <w:top w:val="nil"/>
                    <w:left w:val="nil"/>
                    <w:bottom w:val="nil"/>
                    <w:right w:val="nil"/>
                  </w:tcBorders>
                  <w:shd w:val="clear" w:color="auto" w:fill="FFFFFF"/>
                  <w:vAlign w:val="center"/>
                </w:tcPr>
                <w:p>
                  <w:pPr>
                    <w:jc w:val="right"/>
                    <w:rPr>
                      <w:rFonts w:ascii="宋体" w:eastAsia="宋体" w:cs="宋体" w:hAnsi="宋体"/>
                      <w:color w:val="000000"/>
                      <w:sz w:val="24"/>
                    </w:rPr>
                  </w:pPr>
                </w:p>
              </w:tc>
              <w:tc>
                <w:tcPr>
                  <w:tcW w:w="1727" w:type="dxa"/>
                  <w:tcBorders>
                    <w:top w:val="nil"/>
                    <w:left w:val="nil"/>
                    <w:bottom w:val="nil"/>
                    <w:right w:val="nil"/>
                  </w:tcBorders>
                  <w:shd w:val="clear" w:color="auto" w:fill="FFFFFF"/>
                  <w:vAlign w:val="center"/>
                </w:tcPr>
                <w:p>
                  <w:pPr>
                    <w:wordWrap w:val="0"/>
                    <w:jc w:val="right"/>
                    <w:rPr>
                      <w:rFonts w:ascii="宋体" w:eastAsia="宋体" w:cs="宋体" w:hAnsi="宋体"/>
                      <w:color w:val="000000"/>
                      <w:sz w:val="24"/>
                    </w:rPr>
                  </w:pPr>
                  <w:r>
                    <w:rPr>
                      <w:rFonts w:ascii="宋体" w:eastAsia="宋体" w:cs="宋体" w:hAnsi="宋体" w:hint="eastAsia"/>
                      <w:color w:val="000000"/>
                      <w:sz w:val="24"/>
                      <w:szCs w:val="24"/>
                    </w:rPr>
                    <w:t xml:space="preserve">  </w:t>
                  </w:r>
                </w:p>
              </w:tc>
              <w:tc>
                <w:tcPr>
                  <w:tcW w:w="1757" w:type="dxa"/>
                  <w:tcBorders>
                    <w:top w:val="nil"/>
                    <w:left w:val="nil"/>
                    <w:bottom w:val="nil"/>
                    <w:right w:val="nil"/>
                  </w:tcBorders>
                  <w:shd w:val="clear" w:color="auto" w:fill="FFFFFF"/>
                  <w:vAlign w:val="center"/>
                </w:tcPr>
                <w:p>
                  <w:pPr>
                    <w:ind w:firstLineChars="300" w:firstLine="720"/>
                    <w:rPr>
                      <w:rFonts w:ascii="宋体" w:eastAsia="宋体" w:cs="宋体" w:hAnsi="宋体"/>
                      <w:color w:val="000000"/>
                      <w:sz w:val="24"/>
                    </w:rPr>
                  </w:pPr>
                  <w:r>
                    <w:rPr>
                      <w:rFonts w:ascii="宋体" w:eastAsia="宋体" w:cs="宋体" w:hAnsi="宋体" w:hint="eastAsia"/>
                      <w:color w:val="000000"/>
                      <w:sz w:val="24"/>
                      <w:szCs w:val="24"/>
                    </w:rPr>
                    <w:t>2022年度</w:t>
                  </w:r>
                </w:p>
              </w:tc>
              <w:tc>
                <w:tcPr>
                  <w:tcW w:w="1080" w:type="dxa"/>
                  <w:tcBorders>
                    <w:top w:val="nil"/>
                    <w:left w:val="nil"/>
                    <w:bottom w:val="nil"/>
                    <w:right w:val="nil"/>
                  </w:tcBorders>
                  <w:shd w:val="clear" w:color="auto" w:fill="FFFFFF"/>
                  <w:vAlign w:val="center"/>
                </w:tcPr>
                <w:p>
                  <w:pPr>
                    <w:jc w:val="center"/>
                    <w:rPr>
                      <w:rFonts w:ascii="宋体" w:eastAsia="宋体" w:cs="宋体" w:hAnsi="宋体"/>
                      <w:color w:val="000000"/>
                      <w:sz w:val="20"/>
                      <w:szCs w:val="20"/>
                    </w:rPr>
                  </w:pPr>
                </w:p>
              </w:tc>
              <w:tc>
                <w:tcPr>
                  <w:tcW w:w="1080" w:type="dxa"/>
                  <w:tcBorders>
                    <w:top w:val="nil"/>
                    <w:left w:val="nil"/>
                    <w:bottom w:val="nil"/>
                    <w:right w:val="nil"/>
                  </w:tcBorders>
                  <w:shd w:val="clear" w:color="auto" w:fill="FFFFFF"/>
                  <w:vAlign w:val="center"/>
                </w:tcPr>
                <w:p>
                  <w:pPr>
                    <w:jc w:val="right"/>
                    <w:rPr>
                      <w:rFonts w:ascii="宋体" w:eastAsia="宋体" w:cs="宋体" w:hAnsi="宋体"/>
                      <w:color w:val="000000"/>
                      <w:sz w:val="24"/>
                    </w:rPr>
                  </w:pPr>
                </w:p>
              </w:tc>
              <w:tc>
                <w:tcPr>
                  <w:tcW w:w="1080" w:type="dxa"/>
                  <w:tcBorders>
                    <w:top w:val="nil"/>
                    <w:left w:val="nil"/>
                    <w:bottom w:val="nil"/>
                    <w:right w:val="nil"/>
                  </w:tcBorders>
                  <w:shd w:val="clear" w:color="auto" w:fill="FFFFFF"/>
                  <w:vAlign w:val="center"/>
                </w:tcPr>
                <w:p>
                  <w:pPr>
                    <w:wordWrap w:val="0"/>
                    <w:jc w:val="right"/>
                    <w:rPr>
                      <w:rFonts w:ascii="宋体" w:eastAsia="宋体" w:cs="宋体" w:hAnsi="宋体"/>
                      <w:color w:val="000000"/>
                      <w:sz w:val="24"/>
                    </w:rPr>
                  </w:pPr>
                  <w:r>
                    <w:rPr>
                      <w:rFonts w:ascii="宋体" w:eastAsia="宋体" w:cs="宋体" w:hAnsi="宋体" w:hint="eastAsia"/>
                      <w:color w:val="000000"/>
                      <w:sz w:val="24"/>
                      <w:szCs w:val="24"/>
                    </w:rPr>
                    <w:t xml:space="preserve">      </w:t>
                  </w:r>
                </w:p>
              </w:tc>
              <w:tc>
                <w:tcPr>
                  <w:tcW w:w="1601" w:type="dxa"/>
                  <w:tcBorders>
                    <w:top w:val="nil"/>
                    <w:left w:val="nil"/>
                    <w:bottom w:val="nil"/>
                    <w:right w:val="nil"/>
                  </w:tcBorders>
                  <w:shd w:val="clear" w:color="auto" w:fill="FFFFFF"/>
                  <w:vAlign w:val="center"/>
                </w:tcPr>
                <w:p>
                  <w:pPr>
                    <w:widowControl/>
                    <w:tabs>
                      <w:tab w:val="left" w:pos="1680"/>
                    </w:tabs>
                    <w:ind w:left="1476" w:rightChars="-304" w:right="-638" w:hangingChars="738" w:hanging="1476"/>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单位：万元</w:t>
                  </w:r>
                </w:p>
              </w:tc>
            </w:tr>
          </w:tbl>
          <w:p>
            <w:pPr>
              <w:widowControl/>
              <w:jc w:val="center"/>
              <w:textAlignment w:val="center"/>
              <w:rPr>
                <w:rFonts w:ascii="华文中宋" w:eastAsia="华文中宋" w:cs="华文中宋" w:hAnsi="华文中宋"/>
                <w:color w:val="000000"/>
                <w:kern w:val="0"/>
                <w:sz w:val="32"/>
                <w:szCs w:val="32"/>
              </w:rPr>
            </w:pPr>
          </w:p>
        </w:tc>
      </w:tr>
      <w:tr>
        <w:trPr>
          <w:trHeight w:val="221"/>
          <w:gridAfter w:val="2"/>
          <w:wAfter w:w="3355" w:type="dxa"/>
        </w:trPr>
        <w:tc>
          <w:tcPr>
            <w:tcW w:w="355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收入</w:t>
            </w:r>
          </w:p>
        </w:tc>
        <w:tc>
          <w:tcPr>
            <w:tcW w:w="7273"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支出</w:t>
            </w:r>
          </w:p>
        </w:tc>
      </w:tr>
      <w:tr>
        <w:trPr>
          <w:trHeight w:val="580"/>
          <w:gridAfter w:val="2"/>
          <w:wAfter w:w="3355" w:type="dxa"/>
        </w:trPr>
        <w:tc>
          <w:tcPr>
            <w:tcW w:w="2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项    目</w:t>
            </w: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行次</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金额</w:t>
            </w: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项    目</w:t>
            </w:r>
          </w:p>
        </w:tc>
        <w:tc>
          <w:tcPr>
            <w:tcW w:w="31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行次</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合计</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一般公共预算财政拨款</w:t>
            </w: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政府性基金预算财政拨款</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国有资本经营预算财政拨款</w:t>
            </w:r>
          </w:p>
        </w:tc>
      </w:tr>
      <w:tr>
        <w:trPr>
          <w:trHeight w:val="295"/>
          <w:gridAfter w:val="2"/>
          <w:wAfter w:w="3355" w:type="dxa"/>
        </w:trPr>
        <w:tc>
          <w:tcPr>
            <w:tcW w:w="2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栏    次</w:t>
            </w: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1</w:t>
            </w: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栏    次</w:t>
            </w:r>
          </w:p>
        </w:tc>
        <w:tc>
          <w:tcPr>
            <w:tcW w:w="31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4"/>
              </w:rPr>
            </w:pP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2</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3</w:t>
            </w: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4</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5</w:t>
            </w:r>
          </w:p>
        </w:tc>
      </w:tr>
      <w:tr>
        <w:trPr>
          <w:trHeight w:hRule="exact" w:val="329"/>
          <w:gridAfter w:val="2"/>
          <w:wAfter w:w="3355" w:type="dxa"/>
        </w:trPr>
        <w:tc>
          <w:tcPr>
            <w:tcW w:w="2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11"/>
                <w:szCs w:val="11"/>
              </w:rPr>
            </w:pPr>
            <w:r>
              <w:rPr>
                <w:rFonts w:hint="eastAsia"/>
                <w:sz w:val="18"/>
                <w:szCs w:val="21"/>
              </w:rPr>
              <w:t>一、一般公共预算财政拨款</w:t>
            </w: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2"/>
              </w:rPr>
            </w:pPr>
            <w:r>
              <w:rPr>
                <w:rFonts w:hint="eastAsia"/>
              </w:rPr>
              <w:t>1</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r>
              <w:rPr>
                <w:rFonts w:ascii="宋体" w:eastAsia="宋体" w:cs="宋体" w:hAnsi="宋体"/>
                <w:color w:val="000000"/>
                <w:sz w:val="22"/>
              </w:rPr>
              <w:t>653.86</w:t>
            </w: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13"/>
                <w:szCs w:val="13"/>
              </w:rPr>
            </w:pPr>
            <w:r>
              <w:rPr>
                <w:rFonts w:hint="eastAsia"/>
                <w:sz w:val="20"/>
              </w:rPr>
              <w:t>一、一般公共服务支出</w:t>
            </w:r>
          </w:p>
        </w:tc>
        <w:tc>
          <w:tcPr>
            <w:tcW w:w="31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Cs w:val="21"/>
              </w:rPr>
            </w:pPr>
            <w:r>
              <w:rPr>
                <w:rFonts w:hint="eastAsia"/>
                <w:sz w:val="20"/>
              </w:rPr>
              <w:t>33</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p>
        </w:tc>
      </w:tr>
      <w:tr>
        <w:trPr>
          <w:trHeight w:hRule="exact" w:val="329"/>
          <w:gridAfter w:val="2"/>
          <w:wAfter w:w="3355" w:type="dxa"/>
        </w:trPr>
        <w:tc>
          <w:tcPr>
            <w:tcW w:w="2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11"/>
                <w:szCs w:val="11"/>
              </w:rPr>
            </w:pPr>
            <w:r>
              <w:rPr>
                <w:rFonts w:hint="eastAsia"/>
                <w:sz w:val="18"/>
                <w:szCs w:val="21"/>
              </w:rPr>
              <w:t>二、政府性基金预算财政拨款</w:t>
            </w: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2"/>
              </w:rPr>
            </w:pPr>
            <w:r>
              <w:rPr>
                <w:rFonts w:hint="eastAsia"/>
              </w:rPr>
              <w:t>2</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13"/>
                <w:szCs w:val="13"/>
              </w:rPr>
            </w:pPr>
            <w:r>
              <w:rPr>
                <w:rFonts w:hint="eastAsia"/>
                <w:sz w:val="20"/>
              </w:rPr>
              <w:t>二、外交支出</w:t>
            </w:r>
          </w:p>
        </w:tc>
        <w:tc>
          <w:tcPr>
            <w:tcW w:w="31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Cs w:val="21"/>
              </w:rPr>
            </w:pPr>
            <w:r>
              <w:rPr>
                <w:rFonts w:hint="eastAsia"/>
                <w:sz w:val="20"/>
              </w:rPr>
              <w:t>34</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p>
        </w:tc>
      </w:tr>
      <w:tr>
        <w:trPr>
          <w:trHeight w:hRule="exact" w:val="329"/>
          <w:gridAfter w:val="2"/>
          <w:wAfter w:w="3355" w:type="dxa"/>
        </w:trPr>
        <w:tc>
          <w:tcPr>
            <w:tcW w:w="2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11"/>
                <w:szCs w:val="11"/>
              </w:rPr>
            </w:pPr>
            <w:r>
              <w:rPr>
                <w:rFonts w:hint="eastAsia"/>
                <w:sz w:val="16"/>
                <w:szCs w:val="20"/>
              </w:rPr>
              <w:t>三、国有资本经营预算财政拨款</w:t>
            </w: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2"/>
              </w:rPr>
            </w:pPr>
            <w:r>
              <w:rPr>
                <w:rFonts w:hint="eastAsia"/>
              </w:rPr>
              <w:t>3</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13"/>
                <w:szCs w:val="13"/>
              </w:rPr>
            </w:pPr>
            <w:r>
              <w:rPr>
                <w:rFonts w:hint="eastAsia"/>
                <w:sz w:val="20"/>
              </w:rPr>
              <w:t>三、国防支出</w:t>
            </w:r>
          </w:p>
        </w:tc>
        <w:tc>
          <w:tcPr>
            <w:tcW w:w="31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Cs w:val="21"/>
              </w:rPr>
            </w:pPr>
            <w:r>
              <w:rPr>
                <w:rFonts w:hint="eastAsia"/>
                <w:sz w:val="20"/>
              </w:rPr>
              <w:t>35</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p>
        </w:tc>
      </w:tr>
      <w:tr>
        <w:trPr>
          <w:trHeight w:hRule="exact" w:val="329"/>
          <w:gridAfter w:val="2"/>
          <w:wAfter w:w="3355" w:type="dxa"/>
        </w:trPr>
        <w:tc>
          <w:tcPr>
            <w:tcW w:w="2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15"/>
                <w:szCs w:val="15"/>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2"/>
              </w:rPr>
            </w:pPr>
            <w:r>
              <w:rPr>
                <w:rFonts w:hint="eastAsia"/>
              </w:rPr>
              <w:t>4</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13"/>
                <w:szCs w:val="13"/>
              </w:rPr>
            </w:pPr>
            <w:r>
              <w:rPr>
                <w:rFonts w:hint="eastAsia"/>
                <w:sz w:val="20"/>
              </w:rPr>
              <w:t>四、公共安全支出</w:t>
            </w:r>
          </w:p>
        </w:tc>
        <w:tc>
          <w:tcPr>
            <w:tcW w:w="31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Cs w:val="21"/>
              </w:rPr>
            </w:pPr>
            <w:r>
              <w:rPr>
                <w:rFonts w:hint="eastAsia"/>
                <w:sz w:val="20"/>
              </w:rPr>
              <w:t>36</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p>
        </w:tc>
      </w:tr>
      <w:tr>
        <w:trPr>
          <w:trHeight w:hRule="exact" w:val="329"/>
          <w:gridAfter w:val="2"/>
          <w:wAfter w:w="3355" w:type="dxa"/>
        </w:trPr>
        <w:tc>
          <w:tcPr>
            <w:tcW w:w="2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15"/>
                <w:szCs w:val="15"/>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2"/>
              </w:rPr>
            </w:pPr>
            <w:r>
              <w:rPr>
                <w:rFonts w:hint="eastAsia"/>
              </w:rPr>
              <w:t>5</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13"/>
                <w:szCs w:val="13"/>
              </w:rPr>
            </w:pPr>
            <w:r>
              <w:rPr>
                <w:rFonts w:hint="eastAsia"/>
                <w:sz w:val="20"/>
              </w:rPr>
              <w:t>五、教育支出</w:t>
            </w:r>
          </w:p>
        </w:tc>
        <w:tc>
          <w:tcPr>
            <w:tcW w:w="31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Cs w:val="21"/>
              </w:rPr>
            </w:pPr>
            <w:r>
              <w:rPr>
                <w:rFonts w:hint="eastAsia"/>
                <w:sz w:val="20"/>
              </w:rPr>
              <w:t>37</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r>
              <w:rPr>
                <w:rFonts w:ascii="宋体" w:eastAsia="宋体" w:cs="宋体" w:hAnsi="宋体"/>
                <w:color w:val="000000"/>
                <w:sz w:val="22"/>
              </w:rPr>
              <w:t>531.06</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r>
              <w:rPr>
                <w:rFonts w:ascii="宋体" w:eastAsia="宋体" w:cs="宋体" w:hAnsi="宋体"/>
                <w:color w:val="000000"/>
                <w:sz w:val="22"/>
              </w:rPr>
              <w:t>531.06</w:t>
            </w: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p>
        </w:tc>
      </w:tr>
      <w:tr>
        <w:trPr>
          <w:trHeight w:hRule="exact" w:val="329"/>
          <w:gridAfter w:val="2"/>
          <w:wAfter w:w="3355" w:type="dxa"/>
        </w:trPr>
        <w:tc>
          <w:tcPr>
            <w:tcW w:w="2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15"/>
                <w:szCs w:val="15"/>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2"/>
              </w:rPr>
            </w:pPr>
            <w:r>
              <w:rPr>
                <w:rFonts w:hint="eastAsia"/>
              </w:rPr>
              <w:t>6</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13"/>
                <w:szCs w:val="13"/>
              </w:rPr>
            </w:pPr>
            <w:r>
              <w:rPr>
                <w:rFonts w:hint="eastAsia"/>
                <w:sz w:val="20"/>
              </w:rPr>
              <w:t>六、科学技术支出</w:t>
            </w:r>
          </w:p>
        </w:tc>
        <w:tc>
          <w:tcPr>
            <w:tcW w:w="31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Cs w:val="21"/>
              </w:rPr>
            </w:pPr>
            <w:r>
              <w:rPr>
                <w:rFonts w:hint="eastAsia"/>
                <w:sz w:val="20"/>
              </w:rPr>
              <w:t>38</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p>
        </w:tc>
      </w:tr>
      <w:tr>
        <w:trPr>
          <w:trHeight w:hRule="exact" w:val="329"/>
          <w:gridAfter w:val="2"/>
          <w:wAfter w:w="3355" w:type="dxa"/>
        </w:trPr>
        <w:tc>
          <w:tcPr>
            <w:tcW w:w="2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15"/>
                <w:szCs w:val="15"/>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2"/>
              </w:rPr>
            </w:pPr>
            <w:r>
              <w:rPr>
                <w:rFonts w:hint="eastAsia"/>
              </w:rPr>
              <w:t>7</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15"/>
                <w:szCs w:val="15"/>
              </w:rPr>
            </w:pPr>
            <w:r>
              <w:rPr>
                <w:rFonts w:hint="eastAsia"/>
                <w:sz w:val="20"/>
              </w:rPr>
              <w:t>七、文化旅游体育与传媒支出</w:t>
            </w:r>
          </w:p>
        </w:tc>
        <w:tc>
          <w:tcPr>
            <w:tcW w:w="31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Cs w:val="21"/>
              </w:rPr>
            </w:pPr>
            <w:r>
              <w:rPr>
                <w:rFonts w:hint="eastAsia"/>
                <w:sz w:val="20"/>
              </w:rPr>
              <w:t>39</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p>
        </w:tc>
      </w:tr>
      <w:tr>
        <w:trPr>
          <w:trHeight w:hRule="exact" w:val="329"/>
          <w:gridAfter w:val="2"/>
          <w:wAfter w:w="3355" w:type="dxa"/>
        </w:trPr>
        <w:tc>
          <w:tcPr>
            <w:tcW w:w="2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15"/>
                <w:szCs w:val="15"/>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2"/>
              </w:rPr>
            </w:pPr>
            <w:r>
              <w:rPr>
                <w:rFonts w:hint="eastAsia"/>
              </w:rPr>
              <w:t>8</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2"/>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13"/>
                <w:szCs w:val="13"/>
              </w:rPr>
            </w:pPr>
            <w:r>
              <w:rPr>
                <w:rFonts w:hint="eastAsia"/>
                <w:sz w:val="20"/>
              </w:rPr>
              <w:t>八、社会保障和就业支出</w:t>
            </w:r>
          </w:p>
        </w:tc>
        <w:tc>
          <w:tcPr>
            <w:tcW w:w="31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Cs w:val="21"/>
              </w:rPr>
            </w:pPr>
            <w:r>
              <w:rPr>
                <w:rFonts w:hint="eastAsia"/>
                <w:sz w:val="20"/>
              </w:rPr>
              <w:t>40</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r>
              <w:rPr>
                <w:rFonts w:ascii="宋体" w:eastAsia="宋体" w:cs="宋体" w:hAnsi="宋体"/>
                <w:color w:val="000000"/>
                <w:sz w:val="22"/>
              </w:rPr>
              <w:t>62.92</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r>
              <w:rPr>
                <w:rFonts w:ascii="宋体" w:eastAsia="宋体" w:cs="宋体" w:hAnsi="宋体"/>
                <w:color w:val="000000"/>
                <w:sz w:val="22"/>
              </w:rPr>
              <w:t>62.92</w:t>
            </w: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r>
      <w:tr>
        <w:trPr>
          <w:trHeight w:hRule="exact" w:val="329"/>
          <w:gridAfter w:val="2"/>
          <w:wAfter w:w="3355" w:type="dxa"/>
        </w:trPr>
        <w:tc>
          <w:tcPr>
            <w:tcW w:w="2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b/>
                <w:color w:val="000000"/>
                <w:sz w:val="15"/>
                <w:szCs w:val="15"/>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2"/>
              </w:rPr>
            </w:pPr>
            <w:r>
              <w:rPr>
                <w:rFonts w:hint="eastAsia"/>
              </w:rPr>
              <w:t>9</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b/>
                <w:color w:val="000000"/>
                <w:sz w:val="13"/>
                <w:szCs w:val="13"/>
              </w:rPr>
            </w:pPr>
            <w:r>
              <w:rPr>
                <w:rFonts w:hint="eastAsia"/>
                <w:sz w:val="20"/>
              </w:rPr>
              <w:t>九、卫生健康支出</w:t>
            </w:r>
          </w:p>
        </w:tc>
        <w:tc>
          <w:tcPr>
            <w:tcW w:w="31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Cs w:val="21"/>
              </w:rPr>
            </w:pPr>
            <w:r>
              <w:rPr>
                <w:rFonts w:hint="eastAsia"/>
                <w:sz w:val="20"/>
              </w:rPr>
              <w:t>41</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r>
              <w:rPr>
                <w:rFonts w:ascii="宋体" w:eastAsia="宋体" w:cs="宋体" w:hAnsi="宋体"/>
                <w:color w:val="000000"/>
                <w:sz w:val="22"/>
              </w:rPr>
              <w:t>31.23</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r>
              <w:rPr>
                <w:rFonts w:ascii="宋体" w:eastAsia="宋体" w:cs="宋体" w:hAnsi="宋体"/>
                <w:color w:val="000000"/>
                <w:sz w:val="22"/>
              </w:rPr>
              <w:t>31.23</w:t>
            </w: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b/>
                <w:color w:val="000000"/>
                <w:sz w:val="22"/>
              </w:rPr>
            </w:pPr>
          </w:p>
        </w:tc>
      </w:tr>
      <w:tr>
        <w:trPr>
          <w:trHeight w:hRule="exact" w:val="329"/>
          <w:gridAfter w:val="2"/>
          <w:wAfter w:w="3355" w:type="dxa"/>
        </w:trPr>
        <w:tc>
          <w:tcPr>
            <w:tcW w:w="2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15"/>
                <w:szCs w:val="15"/>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2"/>
              </w:rPr>
            </w:pPr>
            <w:r>
              <w:rPr>
                <w:rFonts w:hint="eastAsia"/>
              </w:rPr>
              <w:t>10</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13"/>
                <w:szCs w:val="13"/>
              </w:rPr>
            </w:pPr>
            <w:r>
              <w:rPr>
                <w:rFonts w:hint="eastAsia"/>
                <w:sz w:val="20"/>
              </w:rPr>
              <w:t>十、节能环保支出</w:t>
            </w:r>
          </w:p>
        </w:tc>
        <w:tc>
          <w:tcPr>
            <w:tcW w:w="31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Cs w:val="21"/>
              </w:rPr>
            </w:pPr>
            <w:r>
              <w:rPr>
                <w:rFonts w:hint="eastAsia"/>
                <w:sz w:val="20"/>
              </w:rPr>
              <w:t>42</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2"/>
              </w:rPr>
            </w:pPr>
          </w:p>
        </w:tc>
      </w:tr>
      <w:tr>
        <w:trPr>
          <w:trHeight w:hRule="exact" w:val="329"/>
          <w:gridAfter w:val="2"/>
          <w:wAfter w:w="3355" w:type="dxa"/>
        </w:trPr>
        <w:tc>
          <w:tcPr>
            <w:tcW w:w="2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15"/>
                <w:szCs w:val="15"/>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2"/>
              </w:rPr>
            </w:pPr>
            <w:r>
              <w:rPr>
                <w:rFonts w:hint="eastAsia"/>
              </w:rPr>
              <w:t>11</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13"/>
                <w:szCs w:val="13"/>
              </w:rPr>
            </w:pPr>
            <w:r>
              <w:rPr>
                <w:rFonts w:hint="eastAsia"/>
                <w:sz w:val="20"/>
              </w:rPr>
              <w:t>十一、城乡社区支出</w:t>
            </w:r>
          </w:p>
        </w:tc>
        <w:tc>
          <w:tcPr>
            <w:tcW w:w="31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Cs w:val="21"/>
              </w:rPr>
            </w:pPr>
            <w:r>
              <w:rPr>
                <w:rFonts w:hint="eastAsia"/>
                <w:sz w:val="20"/>
              </w:rPr>
              <w:t>43</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2"/>
              </w:rPr>
            </w:pPr>
          </w:p>
        </w:tc>
      </w:tr>
      <w:tr>
        <w:trPr>
          <w:trHeight w:hRule="exact" w:val="329"/>
          <w:gridAfter w:val="2"/>
          <w:wAfter w:w="3355" w:type="dxa"/>
        </w:trPr>
        <w:tc>
          <w:tcPr>
            <w:tcW w:w="2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15"/>
                <w:szCs w:val="15"/>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2"/>
              </w:rPr>
            </w:pPr>
            <w:r>
              <w:rPr>
                <w:rFonts w:hint="eastAsia"/>
              </w:rPr>
              <w:t>12</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13"/>
                <w:szCs w:val="13"/>
              </w:rPr>
            </w:pPr>
            <w:r>
              <w:rPr>
                <w:rFonts w:hint="eastAsia"/>
                <w:sz w:val="20"/>
              </w:rPr>
              <w:t>十二、农林水支出</w:t>
            </w:r>
          </w:p>
        </w:tc>
        <w:tc>
          <w:tcPr>
            <w:tcW w:w="31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Cs w:val="21"/>
              </w:rPr>
            </w:pPr>
            <w:r>
              <w:rPr>
                <w:rFonts w:hint="eastAsia"/>
                <w:sz w:val="20"/>
              </w:rPr>
              <w:t>44</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r>
              <w:rPr>
                <w:rFonts w:ascii="宋体" w:eastAsia="宋体" w:cs="宋体" w:hAnsi="宋体"/>
                <w:color w:val="000000"/>
                <w:sz w:val="22"/>
              </w:rPr>
              <w:t>1.01</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r>
              <w:rPr>
                <w:rFonts w:ascii="宋体" w:eastAsia="宋体" w:cs="宋体" w:hAnsi="宋体"/>
                <w:color w:val="000000"/>
                <w:sz w:val="22"/>
              </w:rPr>
              <w:t>1.01</w:t>
            </w: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2"/>
              </w:rPr>
            </w:pPr>
          </w:p>
        </w:tc>
      </w:tr>
      <w:tr>
        <w:trPr>
          <w:trHeight w:hRule="exact" w:val="329"/>
          <w:gridAfter w:val="2"/>
          <w:wAfter w:w="3355" w:type="dxa"/>
        </w:trPr>
        <w:tc>
          <w:tcPr>
            <w:tcW w:w="2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15"/>
                <w:szCs w:val="15"/>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2"/>
              </w:rPr>
            </w:pPr>
            <w:r>
              <w:rPr>
                <w:rFonts w:hint="eastAsia"/>
              </w:rPr>
              <w:t>13</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13"/>
                <w:szCs w:val="13"/>
              </w:rPr>
            </w:pPr>
            <w:r>
              <w:rPr>
                <w:rFonts w:hint="eastAsia"/>
                <w:sz w:val="20"/>
              </w:rPr>
              <w:t>十三、交通运输支出</w:t>
            </w:r>
          </w:p>
        </w:tc>
        <w:tc>
          <w:tcPr>
            <w:tcW w:w="31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Cs w:val="21"/>
              </w:rPr>
            </w:pPr>
            <w:r>
              <w:rPr>
                <w:rFonts w:hint="eastAsia"/>
                <w:sz w:val="20"/>
              </w:rPr>
              <w:t>45</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2"/>
              </w:rPr>
            </w:pPr>
          </w:p>
        </w:tc>
      </w:tr>
      <w:tr>
        <w:trPr>
          <w:trHeight w:hRule="exact" w:val="329"/>
          <w:gridAfter w:val="2"/>
          <w:wAfter w:w="3355" w:type="dxa"/>
        </w:trPr>
        <w:tc>
          <w:tcPr>
            <w:tcW w:w="232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b/>
                <w:color w:val="000000"/>
                <w:sz w:val="15"/>
                <w:szCs w:val="15"/>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2"/>
              </w:rPr>
            </w:pPr>
            <w:r>
              <w:rPr>
                <w:rFonts w:hint="eastAsia"/>
              </w:rPr>
              <w:t>14</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宋体" w:eastAsia="宋体" w:cs="宋体" w:hAnsi="宋体"/>
                <w:b/>
                <w:color w:val="000000"/>
                <w:sz w:val="13"/>
                <w:szCs w:val="13"/>
              </w:rPr>
            </w:pPr>
            <w:r>
              <w:rPr>
                <w:rFonts w:hint="eastAsia"/>
                <w:sz w:val="18"/>
                <w:szCs w:val="21"/>
              </w:rPr>
              <w:t>十四、资源勘探工业信息等支出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Cs w:val="21"/>
              </w:rPr>
            </w:pPr>
            <w:r>
              <w:rPr>
                <w:rFonts w:hint="eastAsia"/>
                <w:sz w:val="20"/>
              </w:rPr>
              <w:t>46</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cs="宋体" w:hAnsi="宋体"/>
                <w:color w:val="000000"/>
                <w:sz w:val="22"/>
              </w:rPr>
            </w:pPr>
          </w:p>
        </w:tc>
        <w:tc>
          <w:tcPr>
            <w:tcW w:w="14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cs="宋体" w:hAnsi="宋体"/>
                <w:color w:val="000000"/>
                <w:sz w:val="22"/>
              </w:rPr>
            </w:pP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b/>
                <w:color w:val="000000"/>
                <w:sz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b/>
                <w:color w:val="000000"/>
                <w:sz w:val="22"/>
              </w:rPr>
            </w:pPr>
          </w:p>
        </w:tc>
      </w:tr>
      <w:tr>
        <w:trPr>
          <w:trHeight w:hRule="exact" w:val="329"/>
          <w:gridAfter w:val="2"/>
          <w:wAfter w:w="3355" w:type="dxa"/>
        </w:trPr>
        <w:tc>
          <w:tcPr>
            <w:tcW w:w="232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b/>
                <w:color w:val="000000"/>
                <w:kern w:val="0"/>
                <w:sz w:val="22"/>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15</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宋体" w:eastAsia="宋体" w:cs="宋体" w:hAnsi="宋体"/>
                <w:b/>
                <w:color w:val="000000"/>
                <w:kern w:val="0"/>
                <w:szCs w:val="21"/>
              </w:rPr>
            </w:pPr>
            <w:r>
              <w:rPr>
                <w:rFonts w:hint="eastAsia"/>
                <w:sz w:val="20"/>
              </w:rPr>
              <w:t>十五、商业服务业等支出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Cs w:val="21"/>
              </w:rPr>
            </w:pPr>
            <w:r>
              <w:rPr>
                <w:rFonts w:hint="eastAsia"/>
                <w:sz w:val="20"/>
              </w:rPr>
              <w:t>47</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cs="宋体" w:hAnsi="宋体"/>
                <w:color w:val="000000"/>
                <w:sz w:val="22"/>
              </w:rPr>
            </w:pPr>
          </w:p>
        </w:tc>
        <w:tc>
          <w:tcPr>
            <w:tcW w:w="14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cs="宋体" w:hAnsi="宋体"/>
                <w:color w:val="000000"/>
                <w:sz w:val="22"/>
              </w:rPr>
            </w:pP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b/>
                <w:color w:val="000000"/>
                <w:sz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b/>
                <w:color w:val="000000"/>
                <w:sz w:val="22"/>
              </w:rPr>
            </w:pPr>
          </w:p>
        </w:tc>
      </w:tr>
      <w:tr>
        <w:trPr>
          <w:trHeight w:hRule="exact" w:val="329"/>
          <w:gridAfter w:val="2"/>
          <w:wAfter w:w="3355" w:type="dxa"/>
        </w:trPr>
        <w:tc>
          <w:tcPr>
            <w:tcW w:w="232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b/>
                <w:color w:val="000000"/>
                <w:kern w:val="0"/>
                <w:sz w:val="22"/>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16</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宋体" w:eastAsia="宋体" w:cs="宋体" w:hAnsi="宋体"/>
                <w:b/>
                <w:color w:val="000000"/>
                <w:kern w:val="0"/>
                <w:szCs w:val="21"/>
              </w:rPr>
            </w:pPr>
            <w:r>
              <w:rPr>
                <w:rFonts w:hint="eastAsia"/>
                <w:sz w:val="20"/>
              </w:rPr>
              <w:t>十六、金融支出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Cs w:val="21"/>
              </w:rPr>
            </w:pPr>
            <w:r>
              <w:rPr>
                <w:rFonts w:hint="eastAsia"/>
                <w:sz w:val="20"/>
              </w:rPr>
              <w:t>48</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cs="宋体" w:hAnsi="宋体"/>
                <w:color w:val="000000"/>
                <w:sz w:val="22"/>
              </w:rPr>
            </w:pPr>
          </w:p>
        </w:tc>
        <w:tc>
          <w:tcPr>
            <w:tcW w:w="14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cs="宋体" w:hAnsi="宋体"/>
                <w:color w:val="000000"/>
                <w:sz w:val="22"/>
              </w:rPr>
            </w:pP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b/>
                <w:color w:val="000000"/>
                <w:sz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b/>
                <w:color w:val="000000"/>
                <w:sz w:val="22"/>
              </w:rPr>
            </w:pPr>
          </w:p>
        </w:tc>
      </w:tr>
      <w:tr>
        <w:trPr>
          <w:trHeight w:hRule="exact" w:val="329"/>
          <w:gridAfter w:val="2"/>
          <w:wAfter w:w="3355" w:type="dxa"/>
        </w:trPr>
        <w:tc>
          <w:tcPr>
            <w:tcW w:w="232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b/>
                <w:color w:val="000000"/>
                <w:kern w:val="0"/>
                <w:sz w:val="22"/>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17</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宋体" w:eastAsia="宋体" w:cs="宋体" w:hAnsi="宋体"/>
                <w:b/>
                <w:color w:val="000000"/>
                <w:kern w:val="0"/>
                <w:szCs w:val="21"/>
              </w:rPr>
            </w:pPr>
            <w:r>
              <w:rPr>
                <w:rFonts w:hint="eastAsia"/>
                <w:sz w:val="20"/>
              </w:rPr>
              <w:t>十七、援助其他地区支出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Cs w:val="21"/>
              </w:rPr>
            </w:pPr>
            <w:r>
              <w:rPr>
                <w:rFonts w:hint="eastAsia"/>
                <w:sz w:val="20"/>
              </w:rPr>
              <w:t>49</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cs="宋体" w:hAnsi="宋体"/>
                <w:color w:val="000000"/>
                <w:sz w:val="22"/>
              </w:rPr>
            </w:pPr>
          </w:p>
        </w:tc>
        <w:tc>
          <w:tcPr>
            <w:tcW w:w="14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cs="宋体" w:hAnsi="宋体"/>
                <w:color w:val="000000"/>
                <w:sz w:val="22"/>
              </w:rPr>
            </w:pP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b/>
                <w:color w:val="000000"/>
                <w:sz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b/>
                <w:color w:val="000000"/>
                <w:sz w:val="22"/>
              </w:rPr>
            </w:pPr>
          </w:p>
        </w:tc>
      </w:tr>
      <w:tr>
        <w:trPr>
          <w:trHeight w:hRule="exact" w:val="329"/>
          <w:gridAfter w:val="2"/>
          <w:wAfter w:w="3355" w:type="dxa"/>
        </w:trPr>
        <w:tc>
          <w:tcPr>
            <w:tcW w:w="232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b/>
                <w:color w:val="000000"/>
                <w:kern w:val="0"/>
                <w:sz w:val="22"/>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18</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宋体" w:eastAsia="宋体" w:cs="宋体" w:hAnsi="宋体"/>
                <w:b/>
                <w:color w:val="000000"/>
                <w:kern w:val="0"/>
                <w:szCs w:val="21"/>
              </w:rPr>
            </w:pPr>
            <w:r>
              <w:rPr>
                <w:rFonts w:hint="eastAsia"/>
                <w:sz w:val="18"/>
                <w:szCs w:val="21"/>
              </w:rPr>
              <w:t>十八、自然资源海洋气象等支出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Cs w:val="21"/>
              </w:rPr>
            </w:pPr>
            <w:r>
              <w:rPr>
                <w:rFonts w:hint="eastAsia"/>
                <w:sz w:val="20"/>
              </w:rPr>
              <w:t>50</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cs="宋体" w:hAnsi="宋体"/>
                <w:color w:val="000000"/>
                <w:sz w:val="22"/>
              </w:rPr>
            </w:pPr>
          </w:p>
        </w:tc>
        <w:tc>
          <w:tcPr>
            <w:tcW w:w="14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cs="宋体" w:hAnsi="宋体"/>
                <w:color w:val="000000"/>
                <w:sz w:val="22"/>
              </w:rPr>
            </w:pP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b/>
                <w:color w:val="000000"/>
                <w:sz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b/>
                <w:color w:val="000000"/>
                <w:sz w:val="22"/>
              </w:rPr>
            </w:pPr>
          </w:p>
        </w:tc>
      </w:tr>
      <w:tr>
        <w:trPr>
          <w:trHeight w:hRule="exact" w:val="329"/>
          <w:gridAfter w:val="2"/>
          <w:wAfter w:w="3355" w:type="dxa"/>
        </w:trPr>
        <w:tc>
          <w:tcPr>
            <w:tcW w:w="232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b/>
                <w:color w:val="000000"/>
                <w:kern w:val="0"/>
                <w:sz w:val="22"/>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19</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宋体" w:eastAsia="宋体" w:cs="宋体" w:hAnsi="宋体"/>
                <w:b/>
                <w:color w:val="000000"/>
                <w:kern w:val="0"/>
                <w:szCs w:val="21"/>
              </w:rPr>
            </w:pPr>
            <w:r>
              <w:rPr>
                <w:rFonts w:hint="eastAsia"/>
                <w:sz w:val="20"/>
              </w:rPr>
              <w:t>十九、住房保障支出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Cs w:val="21"/>
              </w:rPr>
            </w:pPr>
            <w:r>
              <w:rPr>
                <w:rFonts w:hint="eastAsia"/>
                <w:sz w:val="20"/>
              </w:rPr>
              <w:t>51</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cs="宋体" w:hAnsi="宋体"/>
                <w:color w:val="000000"/>
                <w:sz w:val="22"/>
              </w:rPr>
            </w:pPr>
            <w:r>
              <w:rPr>
                <w:rFonts w:ascii="宋体" w:eastAsia="宋体" w:cs="宋体" w:hAnsi="宋体"/>
                <w:color w:val="000000"/>
                <w:sz w:val="22"/>
              </w:rPr>
              <w:t>31.15</w:t>
            </w:r>
          </w:p>
        </w:tc>
        <w:tc>
          <w:tcPr>
            <w:tcW w:w="14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cs="宋体" w:hAnsi="宋体"/>
                <w:color w:val="000000"/>
                <w:sz w:val="22"/>
              </w:rPr>
            </w:pPr>
            <w:r>
              <w:rPr>
                <w:rFonts w:ascii="宋体" w:eastAsia="宋体" w:cs="宋体" w:hAnsi="宋体"/>
                <w:color w:val="000000"/>
                <w:sz w:val="22"/>
              </w:rPr>
              <w:t>31.15</w:t>
            </w: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b/>
                <w:color w:val="000000"/>
                <w:sz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b/>
                <w:color w:val="000000"/>
                <w:sz w:val="22"/>
              </w:rPr>
            </w:pPr>
          </w:p>
        </w:tc>
      </w:tr>
      <w:tr>
        <w:trPr>
          <w:trHeight w:hRule="exact" w:val="329"/>
          <w:gridAfter w:val="2"/>
          <w:wAfter w:w="3355" w:type="dxa"/>
        </w:trPr>
        <w:tc>
          <w:tcPr>
            <w:tcW w:w="232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b/>
                <w:color w:val="000000"/>
                <w:kern w:val="0"/>
                <w:sz w:val="22"/>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20</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宋体" w:eastAsia="宋体" w:cs="宋体" w:hAnsi="宋体"/>
                <w:b/>
                <w:color w:val="000000"/>
                <w:kern w:val="0"/>
                <w:szCs w:val="21"/>
              </w:rPr>
            </w:pPr>
            <w:r>
              <w:rPr>
                <w:rFonts w:hint="eastAsia"/>
                <w:sz w:val="20"/>
              </w:rPr>
              <w:t>二十、粮油物资储备支出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Cs w:val="21"/>
              </w:rPr>
            </w:pPr>
            <w:r>
              <w:rPr>
                <w:rFonts w:hint="eastAsia"/>
                <w:sz w:val="20"/>
              </w:rPr>
              <w:t>52</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cs="宋体" w:hAnsi="宋体"/>
                <w:color w:val="000000"/>
                <w:sz w:val="22"/>
              </w:rPr>
            </w:pPr>
          </w:p>
        </w:tc>
        <w:tc>
          <w:tcPr>
            <w:tcW w:w="14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cs="宋体" w:hAnsi="宋体"/>
                <w:color w:val="000000"/>
                <w:sz w:val="22"/>
              </w:rPr>
            </w:pP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b/>
                <w:color w:val="000000"/>
                <w:sz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b/>
                <w:color w:val="000000"/>
                <w:sz w:val="22"/>
              </w:rPr>
            </w:pPr>
          </w:p>
        </w:tc>
      </w:tr>
      <w:tr>
        <w:trPr>
          <w:trHeight w:hRule="exact" w:val="329"/>
          <w:gridAfter w:val="2"/>
          <w:wAfter w:w="3355" w:type="dxa"/>
        </w:trPr>
        <w:tc>
          <w:tcPr>
            <w:tcW w:w="232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b/>
                <w:color w:val="000000"/>
                <w:kern w:val="0"/>
                <w:sz w:val="22"/>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21</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宋体" w:eastAsia="宋体" w:cs="宋体" w:hAnsi="宋体"/>
                <w:b/>
                <w:color w:val="000000"/>
                <w:kern w:val="0"/>
                <w:szCs w:val="21"/>
              </w:rPr>
            </w:pPr>
            <w:r>
              <w:rPr>
                <w:rFonts w:hint="eastAsia"/>
                <w:sz w:val="18"/>
                <w:szCs w:val="21"/>
              </w:rPr>
              <w:t>二十一、国有资本经营预算支出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Cs w:val="21"/>
              </w:rPr>
            </w:pPr>
            <w:r>
              <w:rPr>
                <w:rFonts w:hint="eastAsia"/>
                <w:sz w:val="20"/>
              </w:rPr>
              <w:t>53</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cs="宋体" w:hAnsi="宋体"/>
                <w:color w:val="000000"/>
                <w:sz w:val="22"/>
              </w:rPr>
            </w:pPr>
          </w:p>
        </w:tc>
        <w:tc>
          <w:tcPr>
            <w:tcW w:w="14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cs="宋体" w:hAnsi="宋体"/>
                <w:color w:val="000000"/>
                <w:sz w:val="22"/>
              </w:rPr>
            </w:pP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b/>
                <w:color w:val="000000"/>
                <w:sz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b/>
                <w:color w:val="000000"/>
                <w:sz w:val="22"/>
              </w:rPr>
            </w:pPr>
          </w:p>
        </w:tc>
      </w:tr>
      <w:tr>
        <w:trPr>
          <w:trHeight w:hRule="exact" w:val="329"/>
          <w:gridAfter w:val="2"/>
          <w:wAfter w:w="3355" w:type="dxa"/>
        </w:trPr>
        <w:tc>
          <w:tcPr>
            <w:tcW w:w="232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b/>
                <w:color w:val="000000"/>
                <w:kern w:val="0"/>
                <w:sz w:val="22"/>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22</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宋体" w:eastAsia="宋体" w:cs="宋体" w:hAnsi="宋体"/>
                <w:b/>
                <w:color w:val="000000"/>
                <w:kern w:val="0"/>
                <w:szCs w:val="21"/>
              </w:rPr>
            </w:pPr>
            <w:r>
              <w:rPr>
                <w:rFonts w:hint="eastAsia"/>
                <w:sz w:val="16"/>
                <w:szCs w:val="20"/>
              </w:rPr>
              <w:t>二十二、灾害防治及应急管理支出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Cs w:val="21"/>
              </w:rPr>
            </w:pPr>
            <w:r>
              <w:rPr>
                <w:rFonts w:hint="eastAsia"/>
                <w:sz w:val="20"/>
              </w:rPr>
              <w:t>54</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cs="宋体" w:hAnsi="宋体"/>
                <w:color w:val="000000"/>
                <w:sz w:val="22"/>
              </w:rPr>
            </w:pPr>
          </w:p>
        </w:tc>
        <w:tc>
          <w:tcPr>
            <w:tcW w:w="14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cs="宋体" w:hAnsi="宋体"/>
                <w:color w:val="000000"/>
                <w:sz w:val="22"/>
              </w:rPr>
            </w:pP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b/>
                <w:color w:val="000000"/>
                <w:sz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b/>
                <w:color w:val="000000"/>
                <w:sz w:val="22"/>
              </w:rPr>
            </w:pPr>
          </w:p>
        </w:tc>
      </w:tr>
      <w:tr>
        <w:trPr>
          <w:trHeight w:hRule="exact" w:val="329"/>
          <w:gridAfter w:val="2"/>
          <w:wAfter w:w="3355" w:type="dxa"/>
        </w:trPr>
        <w:tc>
          <w:tcPr>
            <w:tcW w:w="232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b/>
                <w:color w:val="000000"/>
                <w:kern w:val="0"/>
                <w:sz w:val="22"/>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23</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宋体" w:eastAsia="宋体" w:cs="宋体" w:hAnsi="宋体"/>
                <w:b/>
                <w:color w:val="000000"/>
                <w:kern w:val="0"/>
                <w:szCs w:val="21"/>
              </w:rPr>
            </w:pPr>
            <w:r>
              <w:rPr>
                <w:rFonts w:hint="eastAsia"/>
                <w:sz w:val="20"/>
              </w:rPr>
              <w:t>二十三、其他支出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Cs w:val="21"/>
              </w:rPr>
            </w:pPr>
            <w:r>
              <w:rPr>
                <w:rFonts w:hint="eastAsia"/>
                <w:sz w:val="20"/>
              </w:rPr>
              <w:t>55</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cs="宋体" w:hAnsi="宋体"/>
                <w:color w:val="000000"/>
                <w:sz w:val="22"/>
              </w:rPr>
            </w:pPr>
          </w:p>
        </w:tc>
        <w:tc>
          <w:tcPr>
            <w:tcW w:w="14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cs="宋体" w:hAnsi="宋体"/>
                <w:color w:val="000000"/>
                <w:sz w:val="22"/>
              </w:rPr>
            </w:pP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b/>
                <w:color w:val="000000"/>
                <w:sz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b/>
                <w:color w:val="000000"/>
                <w:sz w:val="22"/>
              </w:rPr>
            </w:pPr>
          </w:p>
        </w:tc>
      </w:tr>
      <w:tr>
        <w:trPr>
          <w:trHeight w:hRule="exact" w:val="329"/>
          <w:gridAfter w:val="2"/>
          <w:wAfter w:w="3355" w:type="dxa"/>
        </w:trPr>
        <w:tc>
          <w:tcPr>
            <w:tcW w:w="232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b/>
                <w:color w:val="000000"/>
                <w:kern w:val="0"/>
                <w:sz w:val="22"/>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24</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宋体" w:eastAsia="宋体" w:cs="宋体" w:hAnsi="宋体"/>
                <w:b/>
                <w:color w:val="000000"/>
                <w:kern w:val="0"/>
                <w:szCs w:val="21"/>
              </w:rPr>
            </w:pPr>
            <w:r>
              <w:rPr>
                <w:rFonts w:hint="eastAsia"/>
                <w:sz w:val="20"/>
              </w:rPr>
              <w:t>二十四、债务还本支出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Cs w:val="21"/>
              </w:rPr>
            </w:pPr>
            <w:r>
              <w:rPr>
                <w:rFonts w:hint="eastAsia"/>
                <w:sz w:val="20"/>
              </w:rPr>
              <w:t>56</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cs="宋体" w:hAnsi="宋体"/>
                <w:color w:val="000000"/>
                <w:sz w:val="22"/>
              </w:rPr>
            </w:pPr>
          </w:p>
        </w:tc>
        <w:tc>
          <w:tcPr>
            <w:tcW w:w="14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cs="宋体" w:hAnsi="宋体"/>
                <w:color w:val="000000"/>
                <w:sz w:val="22"/>
              </w:rPr>
            </w:pP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b/>
                <w:color w:val="000000"/>
                <w:sz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b/>
                <w:color w:val="000000"/>
                <w:sz w:val="22"/>
              </w:rPr>
            </w:pPr>
          </w:p>
        </w:tc>
      </w:tr>
      <w:tr>
        <w:trPr>
          <w:trHeight w:hRule="exact" w:val="329"/>
          <w:gridAfter w:val="2"/>
          <w:wAfter w:w="3355" w:type="dxa"/>
        </w:trPr>
        <w:tc>
          <w:tcPr>
            <w:tcW w:w="232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b/>
                <w:color w:val="000000"/>
                <w:kern w:val="0"/>
                <w:sz w:val="22"/>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25</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宋体" w:eastAsia="宋体" w:cs="宋体" w:hAnsi="宋体"/>
                <w:b/>
                <w:color w:val="000000"/>
                <w:kern w:val="0"/>
                <w:szCs w:val="21"/>
              </w:rPr>
            </w:pPr>
            <w:r>
              <w:rPr>
                <w:rFonts w:hint="eastAsia"/>
                <w:sz w:val="20"/>
              </w:rPr>
              <w:t>二十五、债务付息支出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Cs w:val="21"/>
              </w:rPr>
            </w:pPr>
            <w:r>
              <w:rPr>
                <w:rFonts w:hint="eastAsia"/>
                <w:sz w:val="20"/>
              </w:rPr>
              <w:t>57</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cs="宋体" w:hAnsi="宋体"/>
                <w:color w:val="000000"/>
                <w:sz w:val="22"/>
              </w:rPr>
            </w:pPr>
          </w:p>
        </w:tc>
        <w:tc>
          <w:tcPr>
            <w:tcW w:w="14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cs="宋体" w:hAnsi="宋体"/>
                <w:color w:val="000000"/>
                <w:sz w:val="22"/>
              </w:rPr>
            </w:pP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b/>
                <w:color w:val="000000"/>
                <w:sz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b/>
                <w:color w:val="000000"/>
                <w:sz w:val="22"/>
              </w:rPr>
            </w:pPr>
          </w:p>
        </w:tc>
      </w:tr>
      <w:tr>
        <w:trPr>
          <w:trHeight w:hRule="exact" w:val="329"/>
          <w:gridAfter w:val="2"/>
          <w:wAfter w:w="3355" w:type="dxa"/>
        </w:trPr>
        <w:tc>
          <w:tcPr>
            <w:tcW w:w="232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b/>
                <w:color w:val="000000"/>
                <w:kern w:val="0"/>
                <w:sz w:val="22"/>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26</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宋体" w:eastAsia="宋体" w:cs="宋体" w:hAnsi="宋体"/>
                <w:b/>
                <w:color w:val="000000"/>
                <w:kern w:val="0"/>
                <w:szCs w:val="21"/>
              </w:rPr>
            </w:pPr>
            <w:r>
              <w:rPr>
                <w:rFonts w:hint="eastAsia"/>
                <w:sz w:val="16"/>
                <w:szCs w:val="20"/>
              </w:rPr>
              <w:t>二十六、抗疫特别国债安排的支出</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Cs w:val="21"/>
              </w:rPr>
            </w:pPr>
            <w:r>
              <w:rPr>
                <w:rFonts w:hint="eastAsia"/>
                <w:sz w:val="20"/>
              </w:rPr>
              <w:t>58</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cs="宋体" w:hAnsi="宋体"/>
                <w:color w:val="000000"/>
                <w:sz w:val="22"/>
              </w:rPr>
            </w:pPr>
          </w:p>
        </w:tc>
        <w:tc>
          <w:tcPr>
            <w:tcW w:w="14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cs="宋体" w:hAnsi="宋体"/>
                <w:color w:val="000000"/>
                <w:sz w:val="22"/>
              </w:rPr>
            </w:pP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b/>
                <w:color w:val="000000"/>
                <w:sz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b/>
                <w:color w:val="000000"/>
                <w:sz w:val="22"/>
              </w:rPr>
            </w:pPr>
          </w:p>
        </w:tc>
      </w:tr>
      <w:tr>
        <w:trPr>
          <w:trHeight w:hRule="exact" w:val="329"/>
          <w:gridAfter w:val="2"/>
          <w:wAfter w:w="3355" w:type="dxa"/>
        </w:trPr>
        <w:tc>
          <w:tcPr>
            <w:tcW w:w="232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b/>
                <w:color w:val="000000"/>
                <w:kern w:val="0"/>
                <w:sz w:val="22"/>
              </w:rPr>
            </w:pPr>
            <w:r>
              <w:rPr>
                <w:rFonts w:hint="eastAsia"/>
                <w:b/>
                <w:bCs/>
              </w:rPr>
              <w:t>本年收入合计</w:t>
            </w: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27</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r>
              <w:rPr>
                <w:rFonts w:ascii="宋体" w:eastAsia="宋体" w:cs="宋体" w:hAnsi="宋体"/>
                <w:color w:val="000000"/>
                <w:sz w:val="22"/>
              </w:rPr>
              <w:t>653.86</w:t>
            </w: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b/>
                <w:color w:val="000000"/>
                <w:kern w:val="0"/>
                <w:szCs w:val="21"/>
              </w:rPr>
            </w:pPr>
            <w:r>
              <w:rPr>
                <w:rFonts w:hint="eastAsia"/>
                <w:b/>
                <w:bCs/>
                <w:sz w:val="20"/>
              </w:rPr>
              <w:t>本年支出合计</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Cs w:val="21"/>
              </w:rPr>
            </w:pPr>
            <w:r>
              <w:rPr>
                <w:rFonts w:hint="eastAsia"/>
                <w:sz w:val="20"/>
              </w:rPr>
              <w:t>59</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cs="宋体" w:hAnsi="宋体"/>
                <w:color w:val="000000"/>
                <w:sz w:val="22"/>
              </w:rPr>
            </w:pPr>
            <w:r>
              <w:rPr>
                <w:rFonts w:ascii="宋体" w:eastAsia="宋体" w:cs="宋体" w:hAnsi="宋体"/>
                <w:color w:val="000000"/>
                <w:sz w:val="22"/>
              </w:rPr>
              <w:t>657.36</w:t>
            </w:r>
          </w:p>
        </w:tc>
        <w:tc>
          <w:tcPr>
            <w:tcW w:w="14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cs="宋体" w:hAnsi="宋体"/>
                <w:color w:val="000000"/>
                <w:sz w:val="22"/>
              </w:rPr>
            </w:pPr>
            <w:r>
              <w:rPr>
                <w:rFonts w:ascii="宋体" w:eastAsia="宋体" w:cs="宋体" w:hAnsi="宋体"/>
                <w:color w:val="000000"/>
                <w:sz w:val="22"/>
              </w:rPr>
              <w:t>657.36</w:t>
            </w: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b/>
                <w:color w:val="000000"/>
                <w:sz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b/>
                <w:color w:val="000000"/>
                <w:sz w:val="22"/>
              </w:rPr>
            </w:pPr>
          </w:p>
        </w:tc>
      </w:tr>
      <w:tr>
        <w:trPr>
          <w:trHeight w:hRule="exact" w:val="329"/>
          <w:gridAfter w:val="2"/>
          <w:wAfter w:w="3355" w:type="dxa"/>
        </w:trPr>
        <w:tc>
          <w:tcPr>
            <w:tcW w:w="232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宋体" w:eastAsia="宋体" w:cs="宋体" w:hAnsi="宋体"/>
                <w:b/>
                <w:color w:val="000000"/>
                <w:kern w:val="0"/>
                <w:sz w:val="20"/>
                <w:szCs w:val="20"/>
              </w:rPr>
            </w:pPr>
            <w:r>
              <w:rPr>
                <w:rFonts w:hint="eastAsia"/>
                <w:sz w:val="18"/>
                <w:szCs w:val="21"/>
              </w:rPr>
              <w:t>年初财政拨款结转和结余</w:t>
            </w: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28</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r>
              <w:rPr>
                <w:rFonts w:ascii="宋体" w:eastAsia="宋体" w:cs="宋体" w:hAnsi="宋体"/>
                <w:color w:val="000000"/>
                <w:sz w:val="22"/>
              </w:rPr>
              <w:t>3.64</w:t>
            </w: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宋体" w:eastAsia="宋体" w:cs="宋体" w:hAnsi="宋体"/>
                <w:b/>
                <w:color w:val="000000"/>
                <w:kern w:val="0"/>
                <w:szCs w:val="21"/>
              </w:rPr>
            </w:pPr>
            <w:r>
              <w:rPr>
                <w:rFonts w:hint="eastAsia"/>
                <w:sz w:val="20"/>
              </w:rPr>
              <w:t>年末财政拨款结转和结余</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Cs w:val="21"/>
              </w:rPr>
            </w:pPr>
            <w:r>
              <w:rPr>
                <w:rFonts w:hint="eastAsia"/>
                <w:sz w:val="20"/>
              </w:rPr>
              <w:t>60</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cs="宋体" w:hAnsi="宋体"/>
                <w:color w:val="000000"/>
                <w:sz w:val="22"/>
              </w:rPr>
            </w:pPr>
            <w:r>
              <w:rPr>
                <w:rFonts w:ascii="宋体" w:eastAsia="宋体" w:cs="宋体" w:hAnsi="宋体"/>
                <w:color w:val="000000"/>
                <w:sz w:val="22"/>
              </w:rPr>
              <w:t>0.13</w:t>
            </w:r>
          </w:p>
        </w:tc>
        <w:tc>
          <w:tcPr>
            <w:tcW w:w="14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cs="宋体" w:hAnsi="宋体"/>
                <w:color w:val="000000"/>
                <w:sz w:val="22"/>
              </w:rPr>
            </w:pPr>
            <w:r>
              <w:rPr>
                <w:rFonts w:ascii="宋体" w:eastAsia="宋体" w:cs="宋体" w:hAnsi="宋体"/>
                <w:color w:val="000000"/>
                <w:sz w:val="22"/>
              </w:rPr>
              <w:t>0.13</w:t>
            </w: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b/>
                <w:color w:val="000000"/>
                <w:sz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b/>
                <w:color w:val="000000"/>
                <w:sz w:val="22"/>
              </w:rPr>
            </w:pPr>
          </w:p>
        </w:tc>
      </w:tr>
      <w:tr>
        <w:trPr>
          <w:trHeight w:hRule="exact" w:val="329"/>
          <w:gridAfter w:val="2"/>
          <w:wAfter w:w="3355" w:type="dxa"/>
        </w:trPr>
        <w:tc>
          <w:tcPr>
            <w:tcW w:w="232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宋体" w:eastAsia="宋体" w:cs="宋体" w:hAnsi="宋体"/>
                <w:b/>
                <w:color w:val="000000"/>
                <w:kern w:val="0"/>
                <w:sz w:val="20"/>
                <w:szCs w:val="20"/>
              </w:rPr>
            </w:pPr>
            <w:r>
              <w:rPr>
                <w:rFonts w:hint="eastAsia"/>
                <w:sz w:val="18"/>
                <w:szCs w:val="21"/>
              </w:rPr>
              <w:t xml:space="preserve">  一般公共预算财政拨款</w:t>
            </w: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29</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r>
              <w:rPr>
                <w:rFonts w:ascii="宋体" w:eastAsia="宋体" w:cs="宋体" w:hAnsi="宋体"/>
                <w:color w:val="000000"/>
                <w:sz w:val="22"/>
              </w:rPr>
              <w:t>3.64</w:t>
            </w: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宋体" w:eastAsia="宋体" w:cs="宋体" w:hAnsi="宋体"/>
                <w:b/>
                <w:color w:val="000000"/>
                <w:kern w:val="0"/>
                <w:szCs w:val="21"/>
              </w:rPr>
            </w:pP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Cs w:val="21"/>
              </w:rPr>
            </w:pPr>
            <w:r>
              <w:rPr>
                <w:rFonts w:hint="eastAsia"/>
                <w:sz w:val="20"/>
              </w:rPr>
              <w:t>61</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cs="宋体" w:hAnsi="宋体"/>
                <w:color w:val="000000"/>
                <w:sz w:val="22"/>
              </w:rPr>
            </w:pPr>
          </w:p>
        </w:tc>
        <w:tc>
          <w:tcPr>
            <w:tcW w:w="14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cs="宋体" w:hAnsi="宋体"/>
                <w:color w:val="000000"/>
                <w:sz w:val="22"/>
              </w:rPr>
            </w:pP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b/>
                <w:color w:val="000000"/>
                <w:sz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b/>
                <w:color w:val="000000"/>
                <w:sz w:val="22"/>
              </w:rPr>
            </w:pPr>
          </w:p>
        </w:tc>
      </w:tr>
      <w:tr>
        <w:trPr>
          <w:trHeight w:hRule="exact" w:val="329"/>
          <w:gridAfter w:val="2"/>
          <w:wAfter w:w="3355" w:type="dxa"/>
        </w:trPr>
        <w:tc>
          <w:tcPr>
            <w:tcW w:w="232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宋体" w:eastAsia="宋体" w:cs="宋体" w:hAnsi="宋体"/>
                <w:b/>
                <w:color w:val="000000"/>
                <w:kern w:val="0"/>
                <w:sz w:val="20"/>
                <w:szCs w:val="20"/>
              </w:rPr>
            </w:pPr>
            <w:r>
              <w:rPr>
                <w:rFonts w:hint="eastAsia"/>
                <w:sz w:val="18"/>
                <w:szCs w:val="21"/>
              </w:rPr>
              <w:t xml:space="preserve">  政府性基金预算财政拨款</w:t>
            </w: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30</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宋体" w:eastAsia="宋体" w:cs="宋体" w:hAnsi="宋体"/>
                <w:b/>
                <w:color w:val="000000"/>
                <w:kern w:val="0"/>
                <w:szCs w:val="21"/>
              </w:rPr>
            </w:pP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Cs w:val="21"/>
              </w:rPr>
            </w:pPr>
            <w:r>
              <w:rPr>
                <w:rFonts w:hint="eastAsia"/>
                <w:sz w:val="20"/>
              </w:rPr>
              <w:t>62</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cs="宋体" w:hAnsi="宋体"/>
                <w:color w:val="000000"/>
                <w:sz w:val="22"/>
              </w:rPr>
            </w:pPr>
          </w:p>
        </w:tc>
        <w:tc>
          <w:tcPr>
            <w:tcW w:w="14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cs="宋体" w:hAnsi="宋体"/>
                <w:color w:val="000000"/>
                <w:sz w:val="22"/>
              </w:rPr>
            </w:pP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b/>
                <w:color w:val="000000"/>
                <w:sz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b/>
                <w:color w:val="000000"/>
                <w:sz w:val="22"/>
              </w:rPr>
            </w:pPr>
          </w:p>
        </w:tc>
      </w:tr>
      <w:tr>
        <w:trPr>
          <w:trHeight w:hRule="exact" w:val="329"/>
          <w:gridAfter w:val="2"/>
          <w:wAfter w:w="3355" w:type="dxa"/>
        </w:trPr>
        <w:tc>
          <w:tcPr>
            <w:tcW w:w="232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textAlignment w:val="center"/>
              <w:rPr>
                <w:rFonts w:ascii="宋体" w:eastAsia="宋体" w:cs="宋体" w:hAnsi="宋体"/>
                <w:b/>
                <w:color w:val="000000"/>
                <w:kern w:val="0"/>
                <w:sz w:val="20"/>
                <w:szCs w:val="20"/>
              </w:rPr>
            </w:pPr>
            <w:r>
              <w:rPr>
                <w:rFonts w:hint="eastAsia"/>
                <w:sz w:val="16"/>
                <w:szCs w:val="20"/>
              </w:rPr>
              <w:t xml:space="preserve">  国有资本经营预算财政拨款</w:t>
            </w: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 w:val="22"/>
              </w:rPr>
            </w:pPr>
            <w:r>
              <w:rPr>
                <w:rFonts w:hint="eastAsia"/>
              </w:rPr>
              <w:t>31</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宋体" w:eastAsia="宋体" w:cs="宋体" w:hAnsi="宋体"/>
                <w:b/>
                <w:color w:val="000000"/>
                <w:kern w:val="0"/>
                <w:szCs w:val="21"/>
              </w:rPr>
            </w:pP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Cs w:val="21"/>
              </w:rPr>
            </w:pPr>
            <w:r>
              <w:rPr>
                <w:rFonts w:hint="eastAsia"/>
                <w:sz w:val="20"/>
              </w:rPr>
              <w:t>63</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cs="宋体" w:hAnsi="宋体"/>
                <w:color w:val="000000"/>
                <w:sz w:val="22"/>
              </w:rPr>
            </w:pPr>
          </w:p>
        </w:tc>
        <w:tc>
          <w:tcPr>
            <w:tcW w:w="14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cs="宋体" w:hAnsi="宋体"/>
                <w:color w:val="000000"/>
                <w:sz w:val="22"/>
              </w:rPr>
            </w:pP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b/>
                <w:color w:val="000000"/>
                <w:sz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b/>
                <w:color w:val="000000"/>
                <w:sz w:val="22"/>
              </w:rPr>
            </w:pPr>
          </w:p>
        </w:tc>
      </w:tr>
      <w:tr>
        <w:trPr>
          <w:trHeight w:hRule="exact" w:val="329"/>
          <w:gridAfter w:val="2"/>
          <w:wAfter w:w="3355" w:type="dxa"/>
        </w:trPr>
        <w:tc>
          <w:tcPr>
            <w:tcW w:w="232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b/>
                <w:color w:val="000000"/>
                <w:kern w:val="0"/>
                <w:sz w:val="22"/>
              </w:rPr>
            </w:pPr>
            <w:r>
              <w:rPr>
                <w:rFonts w:hint="eastAsia"/>
                <w:b/>
                <w:bCs/>
              </w:rPr>
              <w:t>总计</w:t>
            </w: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pPr>
            <w:r>
              <w:rPr>
                <w:rFonts w:hint="eastAsia"/>
              </w:rPr>
              <w:t>32</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r>
              <w:rPr>
                <w:rFonts w:ascii="宋体" w:eastAsia="宋体" w:cs="宋体" w:hAnsi="宋体"/>
                <w:color w:val="000000"/>
                <w:sz w:val="22"/>
              </w:rPr>
              <w:t>657.49</w:t>
            </w: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b/>
                <w:color w:val="000000"/>
                <w:kern w:val="0"/>
                <w:szCs w:val="21"/>
              </w:rPr>
            </w:pPr>
            <w:r>
              <w:rPr>
                <w:rFonts w:hint="eastAsia"/>
                <w:b/>
                <w:bCs/>
                <w:sz w:val="20"/>
              </w:rPr>
              <w:t>总计</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kern w:val="0"/>
                <w:szCs w:val="21"/>
              </w:rPr>
            </w:pPr>
            <w:r>
              <w:rPr>
                <w:rFonts w:hint="eastAsia"/>
                <w:sz w:val="20"/>
              </w:rPr>
              <w:t>64</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cs="宋体" w:hAnsi="宋体"/>
                <w:color w:val="000000"/>
                <w:sz w:val="22"/>
              </w:rPr>
            </w:pPr>
            <w:r>
              <w:rPr>
                <w:rFonts w:ascii="宋体" w:eastAsia="宋体" w:cs="宋体" w:hAnsi="宋体"/>
                <w:color w:val="000000"/>
                <w:sz w:val="22"/>
              </w:rPr>
              <w:t>657.49</w:t>
            </w:r>
          </w:p>
        </w:tc>
        <w:tc>
          <w:tcPr>
            <w:tcW w:w="1483"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cs="宋体" w:hAnsi="宋体"/>
                <w:color w:val="000000"/>
                <w:sz w:val="22"/>
              </w:rPr>
            </w:pPr>
            <w:r>
              <w:rPr>
                <w:rFonts w:ascii="宋体" w:eastAsia="宋体" w:cs="宋体" w:hAnsi="宋体"/>
                <w:color w:val="000000"/>
                <w:sz w:val="22"/>
              </w:rPr>
              <w:t>657.49</w:t>
            </w: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b/>
                <w:color w:val="000000"/>
                <w:sz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b/>
                <w:color w:val="000000"/>
                <w:sz w:val="22"/>
              </w:rPr>
            </w:pPr>
          </w:p>
        </w:tc>
      </w:tr>
      <w:tr>
        <w:trPr>
          <w:trHeight w:val="585"/>
          <w:gridAfter w:val="2"/>
          <w:wAfter w:w="3355" w:type="dxa"/>
        </w:trPr>
        <w:tc>
          <w:tcPr>
            <w:tcW w:w="10826" w:type="dxa"/>
            <w:gridSpan w:val="14"/>
            <w:tcBorders>
              <w:top w:val="nil"/>
              <w:left w:val="nil"/>
              <w:bottom w:val="nil"/>
              <w:right w:val="nil"/>
            </w:tcBorders>
            <w:shd w:val="clear" w:color="auto" w:fill="auto"/>
            <w:vAlign w:val="center"/>
          </w:tcPr>
          <w:p>
            <w:pPr>
              <w:widowControl/>
              <w:jc w:val="left"/>
              <w:textAlignment w:val="center"/>
              <w:rPr>
                <w:rFonts w:ascii="宋体" w:eastAsia="宋体" w:cs="宋体" w:hAnsi="宋体"/>
                <w:color w:val="000000"/>
                <w:sz w:val="24"/>
              </w:rPr>
            </w:pPr>
            <w:r>
              <w:rPr>
                <w:rFonts w:ascii="宋体" w:eastAsia="宋体" w:cs="宋体" w:hAnsi="宋体" w:hint="eastAsia"/>
                <w:color w:val="000000"/>
                <w:kern w:val="0"/>
                <w:sz w:val="24"/>
                <w:szCs w:val="24"/>
              </w:rPr>
              <w:t>注：本表反映部门本年度一般公共预算财政拨款、政府性基金预算财政拨款和国有资本经营预算财政拨款的总收支和年末结转结余情况。</w:t>
            </w:r>
          </w:p>
        </w:tc>
      </w:tr>
      <w:tr>
        <w:trPr>
          <w:trHeight w:val="720"/>
          <w:gridAfter w:val="1"/>
          <w:wAfter w:w="3337" w:type="dxa"/>
        </w:trPr>
        <w:tc>
          <w:tcPr>
            <w:tcW w:w="10844" w:type="dxa"/>
            <w:gridSpan w:val="15"/>
            <w:tcBorders>
              <w:top w:val="nil"/>
              <w:left w:val="nil"/>
              <w:bottom w:val="nil"/>
              <w:right w:val="nil"/>
            </w:tcBorders>
            <w:shd w:val="clear" w:color="auto" w:fill="FFFFFF"/>
            <w:vAlign w:val="center"/>
          </w:tcPr>
          <w:p>
            <w:pPr>
              <w:widowControl/>
              <w:jc w:val="center"/>
              <w:textAlignment w:val="center"/>
              <w:rPr>
                <w:rFonts w:ascii="华文中宋" w:eastAsia="华文中宋" w:cs="华文中宋" w:hAnsi="华文中宋"/>
                <w:color w:val="000000"/>
                <w:sz w:val="32"/>
                <w:szCs w:val="32"/>
              </w:rPr>
            </w:pPr>
            <w:r>
              <w:rPr>
                <w:rFonts w:ascii="华文中宋" w:eastAsia="华文中宋" w:cs="华文中宋" w:hAnsi="华文中宋" w:hint="eastAsia"/>
                <w:color w:val="000000"/>
                <w:kern w:val="0"/>
                <w:sz w:val="32"/>
                <w:szCs w:val="32"/>
              </w:rPr>
              <w:t>一般公共预算财政拨款支出决算表</w:t>
            </w:r>
          </w:p>
        </w:tc>
      </w:tr>
      <w:tr>
        <w:trPr>
          <w:trHeight w:val="211"/>
          <w:gridAfter w:val="1"/>
          <w:wAfter w:w="3337" w:type="dxa"/>
        </w:trPr>
        <w:tc>
          <w:tcPr>
            <w:tcW w:w="600" w:type="dxa"/>
            <w:tcBorders>
              <w:top w:val="nil"/>
              <w:left w:val="nil"/>
              <w:bottom w:val="nil"/>
              <w:right w:val="nil"/>
            </w:tcBorders>
            <w:shd w:val="clear" w:color="auto" w:fill="FFFFFF"/>
            <w:vAlign w:val="center"/>
          </w:tcPr>
          <w:p>
            <w:pPr>
              <w:jc w:val="center"/>
              <w:rPr>
                <w:rFonts w:ascii="宋体" w:eastAsia="宋体" w:cs="宋体" w:hAnsi="宋体"/>
                <w:color w:val="000000"/>
                <w:sz w:val="20"/>
                <w:szCs w:val="20"/>
              </w:rPr>
            </w:pPr>
          </w:p>
        </w:tc>
        <w:tc>
          <w:tcPr>
            <w:tcW w:w="1080" w:type="dxa"/>
            <w:tcBorders>
              <w:top w:val="nil"/>
              <w:left w:val="nil"/>
              <w:bottom w:val="nil"/>
              <w:right w:val="nil"/>
            </w:tcBorders>
            <w:shd w:val="clear" w:color="auto" w:fill="FFFFFF"/>
            <w:vAlign w:val="center"/>
          </w:tcPr>
          <w:p>
            <w:pPr>
              <w:jc w:val="center"/>
              <w:rPr>
                <w:rFonts w:ascii="宋体" w:eastAsia="宋体" w:cs="宋体" w:hAnsi="宋体"/>
                <w:color w:val="000000"/>
                <w:sz w:val="20"/>
                <w:szCs w:val="20"/>
              </w:rPr>
            </w:pPr>
          </w:p>
        </w:tc>
        <w:tc>
          <w:tcPr>
            <w:tcW w:w="2652" w:type="dxa"/>
            <w:gridSpan w:val="4"/>
            <w:tcBorders>
              <w:top w:val="nil"/>
              <w:left w:val="nil"/>
              <w:bottom w:val="nil"/>
              <w:right w:val="nil"/>
            </w:tcBorders>
            <w:shd w:val="clear" w:color="auto" w:fill="FFFFFF"/>
            <w:vAlign w:val="center"/>
          </w:tcPr>
          <w:p>
            <w:pPr>
              <w:jc w:val="center"/>
              <w:rPr>
                <w:rFonts w:ascii="宋体" w:eastAsia="宋体" w:cs="宋体" w:hAnsi="宋体"/>
                <w:color w:val="000000"/>
                <w:sz w:val="20"/>
                <w:szCs w:val="20"/>
              </w:rPr>
            </w:pPr>
          </w:p>
        </w:tc>
        <w:tc>
          <w:tcPr>
            <w:tcW w:w="2059" w:type="dxa"/>
            <w:gridSpan w:val="3"/>
            <w:tcBorders>
              <w:top w:val="nil"/>
              <w:left w:val="nil"/>
              <w:bottom w:val="nil"/>
              <w:right w:val="nil"/>
            </w:tcBorders>
            <w:shd w:val="clear" w:color="auto" w:fill="FFFFFF"/>
            <w:vAlign w:val="center"/>
          </w:tcPr>
          <w:p>
            <w:pPr>
              <w:rPr>
                <w:rFonts w:ascii="宋体" w:eastAsia="宋体" w:cs="宋体" w:hAnsi="宋体"/>
                <w:color w:val="000000"/>
                <w:sz w:val="20"/>
                <w:szCs w:val="20"/>
              </w:rPr>
            </w:pPr>
          </w:p>
        </w:tc>
        <w:tc>
          <w:tcPr>
            <w:tcW w:w="2175" w:type="dxa"/>
            <w:gridSpan w:val="3"/>
            <w:tcBorders>
              <w:top w:val="nil"/>
              <w:left w:val="nil"/>
              <w:bottom w:val="nil"/>
              <w:right w:val="nil"/>
            </w:tcBorders>
            <w:shd w:val="clear" w:color="auto" w:fill="FFFFFF"/>
            <w:vAlign w:val="center"/>
          </w:tcPr>
          <w:p>
            <w:pPr>
              <w:rPr>
                <w:rFonts w:ascii="宋体" w:eastAsia="宋体" w:cs="宋体" w:hAnsi="宋体"/>
                <w:color w:val="000000"/>
                <w:sz w:val="20"/>
                <w:szCs w:val="20"/>
              </w:rPr>
            </w:pPr>
          </w:p>
        </w:tc>
        <w:tc>
          <w:tcPr>
            <w:tcW w:w="2279" w:type="dxa"/>
            <w:gridSpan w:val="3"/>
            <w:tcBorders>
              <w:top w:val="nil"/>
              <w:left w:val="nil"/>
              <w:bottom w:val="nil"/>
              <w:right w:val="nil"/>
            </w:tcBorders>
            <w:shd w:val="clear" w:color="auto" w:fill="FFFFFF"/>
            <w:vAlign w:val="center"/>
          </w:tcPr>
          <w:p>
            <w:pPr>
              <w:widowControl/>
              <w:jc w:val="righ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公开0</w:t>
            </w:r>
            <w:r>
              <w:rPr>
                <w:rStyle w:val="18"/>
              </w:rPr>
              <w:t>5表</w:t>
            </w:r>
          </w:p>
        </w:tc>
      </w:tr>
      <w:tr>
        <w:trPr>
          <w:trHeight w:val="360"/>
          <w:gridAfter w:val="1"/>
          <w:wAfter w:w="3337" w:type="dxa"/>
        </w:trPr>
        <w:tc>
          <w:tcPr>
            <w:tcW w:w="600" w:type="dxa"/>
            <w:tcBorders>
              <w:top w:val="nil"/>
              <w:left w:val="nil"/>
              <w:bottom w:val="nil"/>
              <w:right w:val="nil"/>
            </w:tcBorders>
            <w:shd w:val="clear" w:color="auto" w:fill="FFFFFF"/>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部门：</w:t>
            </w:r>
          </w:p>
        </w:tc>
        <w:tc>
          <w:tcPr>
            <w:tcW w:w="1080" w:type="dxa"/>
            <w:tcBorders>
              <w:top w:val="nil"/>
              <w:left w:val="nil"/>
              <w:bottom w:val="nil"/>
              <w:right w:val="nil"/>
            </w:tcBorders>
            <w:shd w:val="clear" w:color="auto" w:fill="FFFFFF"/>
            <w:vAlign w:val="center"/>
          </w:tcPr>
          <w:p>
            <w:pPr>
              <w:jc w:val="center"/>
              <w:rPr>
                <w:rFonts w:ascii="宋体" w:eastAsia="宋体" w:cs="宋体" w:hAnsi="宋体"/>
                <w:color w:val="000000"/>
                <w:sz w:val="20"/>
                <w:szCs w:val="20"/>
              </w:rPr>
            </w:pPr>
          </w:p>
        </w:tc>
        <w:tc>
          <w:tcPr>
            <w:tcW w:w="2652" w:type="dxa"/>
            <w:gridSpan w:val="4"/>
            <w:tcBorders>
              <w:top w:val="nil"/>
              <w:left w:val="nil"/>
              <w:bottom w:val="nil"/>
              <w:right w:val="nil"/>
            </w:tcBorders>
            <w:shd w:val="clear" w:color="auto" w:fill="FFFFFF"/>
            <w:vAlign w:val="center"/>
          </w:tcPr>
          <w:p>
            <w:pPr>
              <w:jc w:val="center"/>
              <w:rPr>
                <w:rFonts w:ascii="宋体" w:eastAsia="宋体" w:cs="宋体" w:hAnsi="宋体"/>
                <w:color w:val="000000"/>
                <w:sz w:val="20"/>
                <w:szCs w:val="20"/>
              </w:rPr>
            </w:pPr>
            <w:r>
              <w:rPr>
                <w:rFonts w:ascii="宋体" w:eastAsia="宋体" w:cs="宋体" w:hAnsi="宋体" w:hint="eastAsia"/>
                <w:color w:val="000000"/>
                <w:sz w:val="20"/>
                <w:szCs w:val="20"/>
              </w:rPr>
              <w:t xml:space="preserve">             </w:t>
            </w:r>
          </w:p>
        </w:tc>
        <w:tc>
          <w:tcPr>
            <w:tcW w:w="2059" w:type="dxa"/>
            <w:gridSpan w:val="3"/>
            <w:tcBorders>
              <w:top w:val="nil"/>
              <w:left w:val="nil"/>
              <w:bottom w:val="nil"/>
              <w:right w:val="nil"/>
            </w:tcBorders>
            <w:shd w:val="clear" w:color="auto" w:fill="FFFFFF"/>
            <w:vAlign w:val="center"/>
          </w:tcPr>
          <w:p>
            <w:pPr>
              <w:jc w:val="center"/>
              <w:rPr>
                <w:rFonts w:ascii="宋体" w:eastAsia="宋体" w:cs="宋体" w:hAnsi="宋体"/>
                <w:color w:val="000000"/>
                <w:sz w:val="20"/>
                <w:szCs w:val="20"/>
              </w:rPr>
            </w:pPr>
            <w:r>
              <w:rPr>
                <w:rFonts w:ascii="宋体" w:eastAsia="宋体" w:cs="宋体" w:hAnsi="宋体" w:hint="eastAsia"/>
                <w:color w:val="000000"/>
                <w:sz w:val="20"/>
                <w:szCs w:val="20"/>
              </w:rPr>
              <w:t>2022年度</w:t>
            </w:r>
          </w:p>
        </w:tc>
        <w:tc>
          <w:tcPr>
            <w:tcW w:w="2175" w:type="dxa"/>
            <w:gridSpan w:val="3"/>
            <w:tcBorders>
              <w:top w:val="nil"/>
              <w:left w:val="nil"/>
              <w:bottom w:val="nil"/>
              <w:right w:val="nil"/>
            </w:tcBorders>
            <w:shd w:val="clear" w:color="auto" w:fill="FFFFFF"/>
            <w:vAlign w:val="center"/>
          </w:tcPr>
          <w:p>
            <w:pPr>
              <w:rPr>
                <w:rFonts w:ascii="宋体" w:eastAsia="宋体" w:cs="宋体" w:hAnsi="宋体"/>
                <w:color w:val="000000"/>
                <w:sz w:val="20"/>
                <w:szCs w:val="20"/>
              </w:rPr>
            </w:pPr>
          </w:p>
        </w:tc>
        <w:tc>
          <w:tcPr>
            <w:tcW w:w="2279" w:type="dxa"/>
            <w:gridSpan w:val="3"/>
            <w:tcBorders>
              <w:top w:val="nil"/>
              <w:left w:val="nil"/>
              <w:bottom w:val="nil"/>
              <w:right w:val="nil"/>
            </w:tcBorders>
            <w:shd w:val="clear" w:color="auto" w:fill="FFFFFF"/>
            <w:vAlign w:val="center"/>
          </w:tcPr>
          <w:p>
            <w:pPr>
              <w:widowControl/>
              <w:jc w:val="righ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单位：万元</w:t>
            </w:r>
          </w:p>
        </w:tc>
      </w:tr>
      <w:tr>
        <w:trPr>
          <w:trHeight w:val="675"/>
          <w:gridAfter w:val="1"/>
          <w:wAfter w:w="3337" w:type="dxa"/>
        </w:trPr>
        <w:tc>
          <w:tcPr>
            <w:tcW w:w="433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 xml:space="preserve">项 </w:t>
            </w:r>
            <w:r>
              <w:rPr>
                <w:rStyle w:val="19"/>
              </w:rPr>
              <w:t xml:space="preserve">   </w:t>
            </w:r>
            <w:r>
              <w:rPr>
                <w:rStyle w:val="20"/>
              </w:rPr>
              <w:t>目</w:t>
            </w:r>
          </w:p>
        </w:tc>
        <w:tc>
          <w:tcPr>
            <w:tcW w:w="651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本年支出</w:t>
            </w:r>
          </w:p>
        </w:tc>
      </w:tr>
      <w:tr>
        <w:trPr>
          <w:trHeight w:val="390"/>
          <w:gridAfter w:val="1"/>
          <w:wAfter w:w="3337" w:type="dxa"/>
        </w:trPr>
        <w:tc>
          <w:tcPr>
            <w:tcW w:w="16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科目代码</w:t>
            </w:r>
          </w:p>
        </w:tc>
        <w:tc>
          <w:tcPr>
            <w:tcW w:w="265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科目名称</w:t>
            </w:r>
          </w:p>
        </w:tc>
        <w:tc>
          <w:tcPr>
            <w:tcW w:w="205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小计</w:t>
            </w:r>
          </w:p>
        </w:tc>
        <w:tc>
          <w:tcPr>
            <w:tcW w:w="217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 xml:space="preserve">基本支出  </w:t>
            </w:r>
          </w:p>
        </w:tc>
        <w:tc>
          <w:tcPr>
            <w:tcW w:w="227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项目支出</w:t>
            </w:r>
          </w:p>
        </w:tc>
      </w:tr>
      <w:tr>
        <w:trPr>
          <w:trHeight w:val="390"/>
          <w:gridAfter w:val="1"/>
          <w:wAfter w:w="3337" w:type="dxa"/>
        </w:trPr>
        <w:tc>
          <w:tcPr>
            <w:tcW w:w="168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32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38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1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8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90"/>
          <w:gridAfter w:val="1"/>
          <w:wAfter w:w="3337" w:type="dxa"/>
        </w:trPr>
        <w:tc>
          <w:tcPr>
            <w:tcW w:w="168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32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38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1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8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90"/>
          <w:gridAfter w:val="1"/>
          <w:wAfter w:w="3337" w:type="dxa"/>
        </w:trPr>
        <w:tc>
          <w:tcPr>
            <w:tcW w:w="433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栏次</w:t>
            </w:r>
          </w:p>
        </w:tc>
        <w:tc>
          <w:tcPr>
            <w:tcW w:w="20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1</w:t>
            </w:r>
          </w:p>
        </w:tc>
        <w:tc>
          <w:tcPr>
            <w:tcW w:w="21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2</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3</w:t>
            </w:r>
          </w:p>
        </w:tc>
      </w:tr>
      <w:tr>
        <w:trPr>
          <w:trHeight w:val="390"/>
          <w:gridAfter w:val="1"/>
          <w:wAfter w:w="3337" w:type="dxa"/>
        </w:trPr>
        <w:tc>
          <w:tcPr>
            <w:tcW w:w="433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合计</w:t>
            </w:r>
          </w:p>
        </w:tc>
        <w:tc>
          <w:tcPr>
            <w:tcW w:w="20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657.36</w:t>
            </w:r>
          </w:p>
        </w:tc>
        <w:tc>
          <w:tcPr>
            <w:tcW w:w="21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495.19</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162.17</w:t>
            </w:r>
          </w:p>
        </w:tc>
      </w:tr>
      <w:tr>
        <w:trPr>
          <w:trHeight w:val="390"/>
          <w:gridAfter w:val="1"/>
          <w:wAfter w:w="3337" w:type="dxa"/>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4"/>
              </w:rPr>
            </w:pPr>
            <w:r>
              <w:rPr>
                <w:rFonts w:ascii="宋体" w:eastAsia="宋体" w:cs="宋体" w:hAnsi="宋体"/>
                <w:color w:val="000000"/>
                <w:sz w:val="24"/>
              </w:rPr>
              <w:t>205</w:t>
            </w:r>
          </w:p>
        </w:tc>
        <w:tc>
          <w:tcPr>
            <w:tcW w:w="2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4"/>
              </w:rPr>
            </w:pPr>
            <w:r>
              <w:rPr>
                <w:rFonts w:ascii="宋体" w:eastAsia="宋体" w:cs="宋体" w:hAnsi="宋体"/>
                <w:color w:val="000000"/>
                <w:sz w:val="24"/>
              </w:rPr>
              <w:t>教育支出</w:t>
            </w:r>
          </w:p>
        </w:tc>
        <w:tc>
          <w:tcPr>
            <w:tcW w:w="20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531.06</w:t>
            </w:r>
          </w:p>
        </w:tc>
        <w:tc>
          <w:tcPr>
            <w:tcW w:w="21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369.90</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161.16</w:t>
            </w:r>
          </w:p>
        </w:tc>
      </w:tr>
      <w:tr>
        <w:trPr>
          <w:trHeight w:val="390"/>
          <w:gridAfter w:val="1"/>
          <w:wAfter w:w="3337" w:type="dxa"/>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4"/>
              </w:rPr>
            </w:pPr>
            <w:r>
              <w:rPr>
                <w:rFonts w:ascii="宋体" w:eastAsia="宋体" w:cs="宋体" w:hAnsi="宋体"/>
                <w:color w:val="000000"/>
                <w:sz w:val="24"/>
              </w:rPr>
              <w:t>20505</w:t>
            </w:r>
          </w:p>
        </w:tc>
        <w:tc>
          <w:tcPr>
            <w:tcW w:w="2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4"/>
              </w:rPr>
            </w:pPr>
            <w:r>
              <w:rPr>
                <w:rFonts w:ascii="宋体" w:eastAsia="宋体" w:cs="宋体" w:hAnsi="宋体"/>
                <w:color w:val="000000"/>
                <w:sz w:val="24"/>
              </w:rPr>
              <w:t>广播电视教育</w:t>
            </w:r>
          </w:p>
        </w:tc>
        <w:tc>
          <w:tcPr>
            <w:tcW w:w="20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528.58</w:t>
            </w:r>
          </w:p>
        </w:tc>
        <w:tc>
          <w:tcPr>
            <w:tcW w:w="21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369.90</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158.67</w:t>
            </w:r>
          </w:p>
        </w:tc>
      </w:tr>
      <w:tr>
        <w:trPr>
          <w:trHeight w:val="390"/>
          <w:gridAfter w:val="1"/>
          <w:wAfter w:w="3337" w:type="dxa"/>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4"/>
              </w:rPr>
            </w:pPr>
            <w:r>
              <w:rPr>
                <w:rFonts w:ascii="宋体" w:eastAsia="宋体" w:cs="宋体" w:hAnsi="宋体"/>
                <w:color w:val="000000"/>
                <w:sz w:val="24"/>
              </w:rPr>
              <w:t>2050599</w:t>
            </w:r>
          </w:p>
        </w:tc>
        <w:tc>
          <w:tcPr>
            <w:tcW w:w="2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4"/>
              </w:rPr>
            </w:pPr>
            <w:r>
              <w:rPr>
                <w:rFonts w:ascii="宋体" w:eastAsia="宋体" w:cs="宋体" w:hAnsi="宋体"/>
                <w:color w:val="000000"/>
                <w:sz w:val="24"/>
              </w:rPr>
              <w:t>其他广播电视教育支出</w:t>
            </w:r>
          </w:p>
        </w:tc>
        <w:tc>
          <w:tcPr>
            <w:tcW w:w="20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528.58</w:t>
            </w:r>
          </w:p>
        </w:tc>
        <w:tc>
          <w:tcPr>
            <w:tcW w:w="21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369.90</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158.67</w:t>
            </w:r>
          </w:p>
        </w:tc>
      </w:tr>
      <w:tr>
        <w:trPr>
          <w:trHeight w:val="390"/>
          <w:gridAfter w:val="1"/>
          <w:wAfter w:w="3337" w:type="dxa"/>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4"/>
              </w:rPr>
            </w:pPr>
            <w:r>
              <w:rPr>
                <w:rFonts w:ascii="宋体" w:eastAsia="宋体" w:cs="宋体" w:hAnsi="宋体"/>
                <w:color w:val="000000"/>
                <w:sz w:val="24"/>
              </w:rPr>
              <w:t>20599</w:t>
            </w:r>
          </w:p>
        </w:tc>
        <w:tc>
          <w:tcPr>
            <w:tcW w:w="2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4"/>
              </w:rPr>
            </w:pPr>
            <w:r>
              <w:rPr>
                <w:rFonts w:ascii="宋体" w:eastAsia="宋体" w:cs="宋体" w:hAnsi="宋体"/>
                <w:color w:val="000000"/>
                <w:sz w:val="24"/>
              </w:rPr>
              <w:t>其他教育支出</w:t>
            </w:r>
          </w:p>
        </w:tc>
        <w:tc>
          <w:tcPr>
            <w:tcW w:w="20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2.48</w:t>
            </w:r>
          </w:p>
        </w:tc>
        <w:tc>
          <w:tcPr>
            <w:tcW w:w="21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2.48</w:t>
            </w:r>
          </w:p>
        </w:tc>
      </w:tr>
      <w:tr>
        <w:trPr>
          <w:trHeight w:val="390"/>
          <w:gridAfter w:val="1"/>
          <w:wAfter w:w="3337" w:type="dxa"/>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4"/>
              </w:rPr>
            </w:pPr>
            <w:r>
              <w:rPr>
                <w:rFonts w:ascii="宋体" w:eastAsia="宋体" w:cs="宋体" w:hAnsi="宋体"/>
                <w:color w:val="000000"/>
                <w:sz w:val="24"/>
              </w:rPr>
              <w:t>2059999</w:t>
            </w:r>
          </w:p>
        </w:tc>
        <w:tc>
          <w:tcPr>
            <w:tcW w:w="2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4"/>
              </w:rPr>
            </w:pPr>
            <w:r>
              <w:rPr>
                <w:rFonts w:ascii="宋体" w:eastAsia="宋体" w:cs="宋体" w:hAnsi="宋体"/>
                <w:color w:val="000000"/>
                <w:sz w:val="24"/>
              </w:rPr>
              <w:t>其他教育支出</w:t>
            </w:r>
          </w:p>
        </w:tc>
        <w:tc>
          <w:tcPr>
            <w:tcW w:w="20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2.48</w:t>
            </w:r>
          </w:p>
        </w:tc>
        <w:tc>
          <w:tcPr>
            <w:tcW w:w="21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2.48</w:t>
            </w:r>
          </w:p>
        </w:tc>
      </w:tr>
      <w:tr>
        <w:trPr>
          <w:trHeight w:val="390"/>
          <w:gridAfter w:val="1"/>
          <w:wAfter w:w="3337" w:type="dxa"/>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4"/>
              </w:rPr>
            </w:pPr>
            <w:r>
              <w:rPr>
                <w:rFonts w:ascii="宋体" w:eastAsia="宋体" w:cs="宋体" w:hAnsi="宋体"/>
                <w:color w:val="000000"/>
                <w:sz w:val="24"/>
              </w:rPr>
              <w:t>208</w:t>
            </w:r>
          </w:p>
        </w:tc>
        <w:tc>
          <w:tcPr>
            <w:tcW w:w="2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4"/>
              </w:rPr>
            </w:pPr>
            <w:r>
              <w:rPr>
                <w:rFonts w:ascii="宋体" w:eastAsia="宋体" w:cs="宋体" w:hAnsi="宋体"/>
                <w:color w:val="000000"/>
                <w:sz w:val="24"/>
              </w:rPr>
              <w:t>社会保障和就业支出</w:t>
            </w:r>
          </w:p>
        </w:tc>
        <w:tc>
          <w:tcPr>
            <w:tcW w:w="20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62.92</w:t>
            </w:r>
          </w:p>
        </w:tc>
        <w:tc>
          <w:tcPr>
            <w:tcW w:w="21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62.92</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r>
      <w:tr>
        <w:trPr>
          <w:trHeight w:val="390"/>
          <w:gridAfter w:val="1"/>
          <w:wAfter w:w="3337" w:type="dxa"/>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4"/>
              </w:rPr>
            </w:pPr>
            <w:r>
              <w:rPr>
                <w:rFonts w:ascii="宋体" w:eastAsia="宋体" w:cs="宋体" w:hAnsi="宋体"/>
                <w:color w:val="000000"/>
                <w:sz w:val="24"/>
              </w:rPr>
              <w:t>20805</w:t>
            </w:r>
          </w:p>
        </w:tc>
        <w:tc>
          <w:tcPr>
            <w:tcW w:w="2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4"/>
              </w:rPr>
            </w:pPr>
            <w:r>
              <w:rPr>
                <w:rFonts w:ascii="宋体" w:eastAsia="宋体" w:cs="宋体" w:hAnsi="宋体"/>
                <w:color w:val="000000"/>
                <w:sz w:val="24"/>
              </w:rPr>
              <w:t>行政事业单位养老支出</w:t>
            </w:r>
          </w:p>
        </w:tc>
        <w:tc>
          <w:tcPr>
            <w:tcW w:w="20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62.92</w:t>
            </w:r>
          </w:p>
        </w:tc>
        <w:tc>
          <w:tcPr>
            <w:tcW w:w="21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62.92</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r>
      <w:tr>
        <w:trPr>
          <w:trHeight w:val="390"/>
          <w:gridAfter w:val="1"/>
          <w:wAfter w:w="3337" w:type="dxa"/>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4"/>
              </w:rPr>
            </w:pPr>
            <w:r>
              <w:rPr>
                <w:rFonts w:ascii="宋体" w:eastAsia="宋体" w:cs="宋体" w:hAnsi="宋体"/>
                <w:color w:val="000000"/>
                <w:sz w:val="24"/>
              </w:rPr>
              <w:t>2080502</w:t>
            </w:r>
          </w:p>
        </w:tc>
        <w:tc>
          <w:tcPr>
            <w:tcW w:w="2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4"/>
              </w:rPr>
            </w:pPr>
            <w:r>
              <w:rPr>
                <w:rFonts w:ascii="宋体" w:eastAsia="宋体" w:cs="宋体" w:hAnsi="宋体"/>
                <w:color w:val="000000"/>
                <w:sz w:val="24"/>
              </w:rPr>
              <w:t>事业单位离退休</w:t>
            </w:r>
          </w:p>
        </w:tc>
        <w:tc>
          <w:tcPr>
            <w:tcW w:w="20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27.92</w:t>
            </w:r>
          </w:p>
        </w:tc>
        <w:tc>
          <w:tcPr>
            <w:tcW w:w="21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27.92</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r>
      <w:tr>
        <w:trPr>
          <w:trHeight w:val="390"/>
          <w:gridAfter w:val="1"/>
          <w:wAfter w:w="3337" w:type="dxa"/>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4"/>
              </w:rPr>
            </w:pPr>
            <w:r>
              <w:rPr>
                <w:rFonts w:ascii="宋体" w:eastAsia="宋体" w:cs="宋体" w:hAnsi="宋体"/>
                <w:color w:val="000000"/>
                <w:sz w:val="24"/>
              </w:rPr>
              <w:t>2080505</w:t>
            </w:r>
          </w:p>
        </w:tc>
        <w:tc>
          <w:tcPr>
            <w:tcW w:w="2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4"/>
              </w:rPr>
            </w:pPr>
            <w:r>
              <w:rPr>
                <w:rFonts w:ascii="宋体" w:eastAsia="宋体" w:cs="宋体" w:hAnsi="宋体"/>
                <w:color w:val="000000"/>
                <w:sz w:val="24"/>
              </w:rPr>
              <w:t>机关事业单位基本养老保险缴费支出</w:t>
            </w:r>
          </w:p>
        </w:tc>
        <w:tc>
          <w:tcPr>
            <w:tcW w:w="20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35.00</w:t>
            </w:r>
          </w:p>
        </w:tc>
        <w:tc>
          <w:tcPr>
            <w:tcW w:w="21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35.00</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r>
      <w:tr>
        <w:trPr>
          <w:trHeight w:val="390"/>
          <w:gridAfter w:val="1"/>
          <w:wAfter w:w="3337" w:type="dxa"/>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4"/>
              </w:rPr>
            </w:pPr>
            <w:r>
              <w:rPr>
                <w:rFonts w:ascii="宋体" w:eastAsia="宋体" w:cs="宋体" w:hAnsi="宋体"/>
                <w:color w:val="000000"/>
                <w:sz w:val="24"/>
              </w:rPr>
              <w:t>210</w:t>
            </w:r>
          </w:p>
        </w:tc>
        <w:tc>
          <w:tcPr>
            <w:tcW w:w="2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4"/>
              </w:rPr>
            </w:pPr>
            <w:r>
              <w:rPr>
                <w:rFonts w:ascii="宋体" w:eastAsia="宋体" w:cs="宋体" w:hAnsi="宋体"/>
                <w:color w:val="000000"/>
                <w:sz w:val="24"/>
              </w:rPr>
              <w:t>卫生健康支出</w:t>
            </w:r>
          </w:p>
        </w:tc>
        <w:tc>
          <w:tcPr>
            <w:tcW w:w="20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31.23</w:t>
            </w:r>
          </w:p>
        </w:tc>
        <w:tc>
          <w:tcPr>
            <w:tcW w:w="21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31.23</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r>
      <w:tr>
        <w:trPr>
          <w:trHeight w:val="390"/>
          <w:gridAfter w:val="1"/>
          <w:wAfter w:w="3337" w:type="dxa"/>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4"/>
              </w:rPr>
            </w:pPr>
            <w:r>
              <w:rPr>
                <w:rFonts w:ascii="宋体" w:eastAsia="宋体" w:cs="宋体" w:hAnsi="宋体"/>
                <w:color w:val="000000"/>
                <w:sz w:val="24"/>
              </w:rPr>
              <w:t>21011</w:t>
            </w:r>
          </w:p>
        </w:tc>
        <w:tc>
          <w:tcPr>
            <w:tcW w:w="2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4"/>
              </w:rPr>
            </w:pPr>
            <w:r>
              <w:rPr>
                <w:rFonts w:ascii="宋体" w:eastAsia="宋体" w:cs="宋体" w:hAnsi="宋体"/>
                <w:color w:val="000000"/>
                <w:sz w:val="24"/>
              </w:rPr>
              <w:t>行政事业单位医疗</w:t>
            </w:r>
          </w:p>
        </w:tc>
        <w:tc>
          <w:tcPr>
            <w:tcW w:w="20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31.23</w:t>
            </w:r>
          </w:p>
        </w:tc>
        <w:tc>
          <w:tcPr>
            <w:tcW w:w="21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31.23</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r>
      <w:tr>
        <w:trPr>
          <w:trHeight w:val="390"/>
          <w:gridAfter w:val="1"/>
          <w:wAfter w:w="3337" w:type="dxa"/>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4"/>
              </w:rPr>
            </w:pPr>
            <w:r>
              <w:rPr>
                <w:rFonts w:ascii="宋体" w:eastAsia="宋体" w:cs="宋体" w:hAnsi="宋体"/>
                <w:color w:val="000000"/>
                <w:sz w:val="24"/>
              </w:rPr>
              <w:t>2101102</w:t>
            </w:r>
          </w:p>
        </w:tc>
        <w:tc>
          <w:tcPr>
            <w:tcW w:w="2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4"/>
              </w:rPr>
            </w:pPr>
            <w:r>
              <w:rPr>
                <w:rFonts w:ascii="宋体" w:eastAsia="宋体" w:cs="宋体" w:hAnsi="宋体"/>
                <w:color w:val="000000"/>
                <w:sz w:val="24"/>
              </w:rPr>
              <w:t>事业单位医疗</w:t>
            </w:r>
          </w:p>
        </w:tc>
        <w:tc>
          <w:tcPr>
            <w:tcW w:w="20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13.70</w:t>
            </w:r>
          </w:p>
        </w:tc>
        <w:tc>
          <w:tcPr>
            <w:tcW w:w="21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13.70</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r>
      <w:tr>
        <w:trPr>
          <w:trHeight w:val="390"/>
          <w:gridAfter w:val="1"/>
          <w:wAfter w:w="3337" w:type="dxa"/>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4"/>
              </w:rPr>
            </w:pPr>
            <w:r>
              <w:rPr>
                <w:rFonts w:ascii="宋体" w:eastAsia="宋体" w:cs="宋体" w:hAnsi="宋体"/>
                <w:color w:val="000000"/>
                <w:sz w:val="24"/>
              </w:rPr>
              <w:t>2101103</w:t>
            </w:r>
          </w:p>
        </w:tc>
        <w:tc>
          <w:tcPr>
            <w:tcW w:w="2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4"/>
              </w:rPr>
            </w:pPr>
            <w:r>
              <w:rPr>
                <w:rFonts w:ascii="宋体" w:eastAsia="宋体" w:cs="宋体" w:hAnsi="宋体"/>
                <w:color w:val="000000"/>
                <w:sz w:val="24"/>
              </w:rPr>
              <w:t>公务员医疗补助</w:t>
            </w:r>
          </w:p>
        </w:tc>
        <w:tc>
          <w:tcPr>
            <w:tcW w:w="20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17.53</w:t>
            </w:r>
          </w:p>
        </w:tc>
        <w:tc>
          <w:tcPr>
            <w:tcW w:w="21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17.53</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r>
      <w:tr>
        <w:trPr>
          <w:trHeight w:val="390"/>
          <w:gridAfter w:val="1"/>
          <w:wAfter w:w="3337" w:type="dxa"/>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4"/>
              </w:rPr>
            </w:pPr>
            <w:r>
              <w:rPr>
                <w:rFonts w:ascii="宋体" w:eastAsia="宋体" w:cs="宋体" w:hAnsi="宋体"/>
                <w:color w:val="000000"/>
                <w:sz w:val="24"/>
              </w:rPr>
              <w:t>213</w:t>
            </w:r>
          </w:p>
        </w:tc>
        <w:tc>
          <w:tcPr>
            <w:tcW w:w="2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4"/>
              </w:rPr>
            </w:pPr>
            <w:r>
              <w:rPr>
                <w:rFonts w:ascii="宋体" w:eastAsia="宋体" w:cs="宋体" w:hAnsi="宋体"/>
                <w:color w:val="000000"/>
                <w:sz w:val="24"/>
              </w:rPr>
              <w:t>农林水支出</w:t>
            </w:r>
          </w:p>
        </w:tc>
        <w:tc>
          <w:tcPr>
            <w:tcW w:w="20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1.01</w:t>
            </w:r>
          </w:p>
        </w:tc>
        <w:tc>
          <w:tcPr>
            <w:tcW w:w="21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1.01</w:t>
            </w:r>
          </w:p>
        </w:tc>
      </w:tr>
      <w:tr>
        <w:trPr>
          <w:trHeight w:val="390"/>
          <w:gridAfter w:val="1"/>
          <w:wAfter w:w="3337" w:type="dxa"/>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4"/>
              </w:rPr>
            </w:pPr>
            <w:r>
              <w:rPr>
                <w:rFonts w:ascii="宋体" w:eastAsia="宋体" w:cs="宋体" w:hAnsi="宋体"/>
                <w:color w:val="000000"/>
                <w:sz w:val="24"/>
              </w:rPr>
              <w:t>21301</w:t>
            </w:r>
          </w:p>
        </w:tc>
        <w:tc>
          <w:tcPr>
            <w:tcW w:w="2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4"/>
              </w:rPr>
            </w:pPr>
            <w:r>
              <w:rPr>
                <w:rFonts w:ascii="宋体" w:eastAsia="宋体" w:cs="宋体" w:hAnsi="宋体"/>
                <w:color w:val="000000"/>
                <w:sz w:val="24"/>
              </w:rPr>
              <w:t>农业农村</w:t>
            </w:r>
          </w:p>
        </w:tc>
        <w:tc>
          <w:tcPr>
            <w:tcW w:w="20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1.01</w:t>
            </w:r>
          </w:p>
        </w:tc>
        <w:tc>
          <w:tcPr>
            <w:tcW w:w="21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1.01</w:t>
            </w:r>
          </w:p>
        </w:tc>
      </w:tr>
      <w:tr>
        <w:trPr>
          <w:trHeight w:val="390"/>
          <w:gridAfter w:val="1"/>
          <w:wAfter w:w="3337" w:type="dxa"/>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4"/>
              </w:rPr>
            </w:pPr>
            <w:r>
              <w:rPr>
                <w:rFonts w:ascii="宋体" w:eastAsia="宋体" w:cs="宋体" w:hAnsi="宋体"/>
                <w:color w:val="000000"/>
                <w:sz w:val="24"/>
              </w:rPr>
              <w:t>2130121</w:t>
            </w:r>
          </w:p>
        </w:tc>
        <w:tc>
          <w:tcPr>
            <w:tcW w:w="2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4"/>
              </w:rPr>
            </w:pPr>
            <w:r>
              <w:rPr>
                <w:rFonts w:ascii="宋体" w:eastAsia="宋体" w:cs="宋体" w:hAnsi="宋体"/>
                <w:color w:val="000000"/>
                <w:sz w:val="24"/>
              </w:rPr>
              <w:t>农业结构调整补贴</w:t>
            </w:r>
          </w:p>
        </w:tc>
        <w:tc>
          <w:tcPr>
            <w:tcW w:w="20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1.01</w:t>
            </w:r>
          </w:p>
        </w:tc>
        <w:tc>
          <w:tcPr>
            <w:tcW w:w="21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1.01</w:t>
            </w:r>
          </w:p>
        </w:tc>
      </w:tr>
      <w:tr>
        <w:trPr>
          <w:trHeight w:val="390"/>
          <w:gridAfter w:val="1"/>
          <w:wAfter w:w="3337" w:type="dxa"/>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4"/>
              </w:rPr>
            </w:pPr>
            <w:r>
              <w:rPr>
                <w:rFonts w:ascii="宋体" w:eastAsia="宋体" w:cs="宋体" w:hAnsi="宋体"/>
                <w:color w:val="000000"/>
                <w:sz w:val="24"/>
              </w:rPr>
              <w:t>221</w:t>
            </w:r>
          </w:p>
        </w:tc>
        <w:tc>
          <w:tcPr>
            <w:tcW w:w="2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4"/>
              </w:rPr>
            </w:pPr>
            <w:r>
              <w:rPr>
                <w:rFonts w:ascii="宋体" w:eastAsia="宋体" w:cs="宋体" w:hAnsi="宋体"/>
                <w:color w:val="000000"/>
                <w:sz w:val="24"/>
              </w:rPr>
              <w:t>住房保障支出</w:t>
            </w:r>
          </w:p>
        </w:tc>
        <w:tc>
          <w:tcPr>
            <w:tcW w:w="20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31.15</w:t>
            </w:r>
          </w:p>
        </w:tc>
        <w:tc>
          <w:tcPr>
            <w:tcW w:w="21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31.15</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r>
      <w:tr>
        <w:trPr>
          <w:trHeight w:val="390"/>
          <w:gridAfter w:val="1"/>
          <w:wAfter w:w="3337" w:type="dxa"/>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4"/>
              </w:rPr>
            </w:pPr>
            <w:r>
              <w:rPr>
                <w:rFonts w:ascii="宋体" w:eastAsia="宋体" w:cs="宋体" w:hAnsi="宋体"/>
                <w:color w:val="000000"/>
                <w:sz w:val="24"/>
              </w:rPr>
              <w:t>22102</w:t>
            </w:r>
          </w:p>
        </w:tc>
        <w:tc>
          <w:tcPr>
            <w:tcW w:w="2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4"/>
              </w:rPr>
            </w:pPr>
            <w:r>
              <w:rPr>
                <w:rFonts w:ascii="宋体" w:eastAsia="宋体" w:cs="宋体" w:hAnsi="宋体"/>
                <w:color w:val="000000"/>
                <w:sz w:val="24"/>
              </w:rPr>
              <w:t>住房改革支出</w:t>
            </w:r>
          </w:p>
        </w:tc>
        <w:tc>
          <w:tcPr>
            <w:tcW w:w="20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31.15</w:t>
            </w:r>
          </w:p>
        </w:tc>
        <w:tc>
          <w:tcPr>
            <w:tcW w:w="21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31.15</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r>
      <w:tr>
        <w:trPr>
          <w:trHeight w:val="390"/>
          <w:gridAfter w:val="1"/>
          <w:wAfter w:w="3337" w:type="dxa"/>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4"/>
              </w:rPr>
            </w:pPr>
            <w:r>
              <w:rPr>
                <w:rFonts w:ascii="宋体" w:eastAsia="宋体" w:cs="宋体" w:hAnsi="宋体"/>
                <w:color w:val="000000"/>
                <w:sz w:val="24"/>
              </w:rPr>
              <w:t>2210201</w:t>
            </w:r>
          </w:p>
        </w:tc>
        <w:tc>
          <w:tcPr>
            <w:tcW w:w="2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color w:val="000000"/>
                <w:sz w:val="24"/>
              </w:rPr>
            </w:pPr>
            <w:r>
              <w:rPr>
                <w:rFonts w:ascii="宋体" w:eastAsia="宋体" w:cs="宋体" w:hAnsi="宋体"/>
                <w:color w:val="000000"/>
                <w:sz w:val="24"/>
              </w:rPr>
              <w:t>住房公积金</w:t>
            </w:r>
          </w:p>
        </w:tc>
        <w:tc>
          <w:tcPr>
            <w:tcW w:w="20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31.15</w:t>
            </w:r>
          </w:p>
        </w:tc>
        <w:tc>
          <w:tcPr>
            <w:tcW w:w="21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4"/>
              </w:rPr>
            </w:pPr>
            <w:r>
              <w:rPr>
                <w:rFonts w:ascii="宋体" w:eastAsia="宋体" w:cs="宋体" w:hAnsi="宋体"/>
                <w:color w:val="000000"/>
                <w:sz w:val="24"/>
              </w:rPr>
              <w:t>31.15</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r>
      <w:tr>
        <w:trPr>
          <w:trHeight w:val="930"/>
          <w:gridAfter w:val="1"/>
          <w:wAfter w:w="3337" w:type="dxa"/>
        </w:trPr>
        <w:tc>
          <w:tcPr>
            <w:tcW w:w="10844" w:type="dxa"/>
            <w:gridSpan w:val="15"/>
            <w:tcBorders>
              <w:top w:val="nil"/>
              <w:left w:val="nil"/>
              <w:bottom w:val="nil"/>
              <w:right w:val="nil"/>
            </w:tcBorders>
            <w:shd w:val="clear" w:color="auto" w:fill="auto"/>
            <w:vAlign w:val="center"/>
          </w:tcPr>
          <w:p>
            <w:pPr>
              <w:widowControl/>
              <w:jc w:val="left"/>
              <w:textAlignment w:val="center"/>
              <w:rPr>
                <w:rFonts w:ascii="宋体" w:eastAsia="宋体" w:cs="宋体" w:hAnsi="宋体"/>
                <w:color w:val="000000"/>
                <w:sz w:val="24"/>
              </w:rPr>
            </w:pPr>
            <w:r>
              <w:rPr>
                <w:rFonts w:ascii="宋体" w:eastAsia="宋体" w:cs="宋体" w:hAnsi="宋体" w:hint="eastAsia"/>
                <w:color w:val="000000"/>
                <w:kern w:val="0"/>
                <w:sz w:val="24"/>
                <w:szCs w:val="24"/>
              </w:rPr>
              <w:t>注：本表反映部门本年度一般公共预算财政拨款支出情况。</w:t>
            </w:r>
          </w:p>
        </w:tc>
      </w:tr>
    </w:tbl>
    <w:p>
      <w:pPr>
        <w:sectPr>
          <w:pgSz w:w="11906" w:h="16838"/>
          <w:pgMar w:top="567" w:right="567" w:bottom="567" w:left="567" w:header="851" w:footer="992" w:gutter="0"/>
          <w:docGrid w:type="lines" w:linePitch="312" w:charSpace="0"/>
        </w:sectPr>
      </w:pPr>
    </w:p>
    <w:tbl>
      <w:tblPr>
        <w:jc w:val="left"/>
        <w:tblW w:w="15429" w:type="dxa"/>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667"/>
        <w:gridCol w:w="2138"/>
        <w:gridCol w:w="862"/>
        <w:gridCol w:w="638"/>
        <w:gridCol w:w="1668"/>
        <w:gridCol w:w="938"/>
        <w:gridCol w:w="619"/>
        <w:gridCol w:w="2250"/>
        <w:gridCol w:w="1034"/>
        <w:gridCol w:w="4615"/>
      </w:tblGrid>
      <w:tr>
        <w:trPr>
          <w:trHeight w:val="435"/>
        </w:trPr>
        <w:tc>
          <w:tcPr>
            <w:tcW w:w="15429" w:type="dxa"/>
            <w:gridSpan w:val="10"/>
            <w:tcBorders>
              <w:top w:val="nil"/>
              <w:left w:val="nil"/>
              <w:bottom w:val="nil"/>
              <w:right w:val="nil"/>
            </w:tcBorders>
            <w:shd w:val="clear" w:color="auto" w:fill="auto"/>
            <w:vAlign w:val="center"/>
          </w:tcPr>
          <w:p>
            <w:pPr>
              <w:widowControl/>
              <w:ind w:firstLineChars="700" w:firstLine="2240"/>
              <w:textAlignment w:val="center"/>
              <w:rPr>
                <w:rFonts w:ascii="华文中宋" w:eastAsia="华文中宋" w:cs="华文中宋" w:hAnsi="华文中宋"/>
                <w:color w:val="000000"/>
                <w:sz w:val="32"/>
                <w:szCs w:val="32"/>
              </w:rPr>
            </w:pPr>
            <w:r>
              <w:rPr>
                <w:rFonts w:ascii="华文中宋" w:eastAsia="华文中宋" w:cs="华文中宋" w:hAnsi="华文中宋" w:hint="eastAsia"/>
                <w:color w:val="000000"/>
                <w:kern w:val="0"/>
                <w:sz w:val="32"/>
                <w:szCs w:val="32"/>
              </w:rPr>
              <w:t>一般公共预算财政拨款基本支出决算</w:t>
            </w:r>
            <w:r>
              <w:rPr>
                <w:rStyle w:val="21"/>
              </w:rPr>
              <w:t>明细</w:t>
            </w:r>
            <w:r>
              <w:rPr>
                <w:rStyle w:val="22"/>
              </w:rPr>
              <w:t>表</w:t>
            </w:r>
          </w:p>
        </w:tc>
      </w:tr>
      <w:tr>
        <w:trPr>
          <w:trHeight w:val="405"/>
          <w:gridAfter w:val="1"/>
          <w:wAfter w:w="4615" w:type="dxa"/>
        </w:trPr>
        <w:tc>
          <w:tcPr>
            <w:tcW w:w="667" w:type="dxa"/>
            <w:tcBorders>
              <w:top w:val="nil"/>
              <w:left w:val="nil"/>
              <w:bottom w:val="nil"/>
              <w:right w:val="nil"/>
            </w:tcBorders>
            <w:shd w:val="clear" w:color="auto" w:fill="FFFFFF"/>
            <w:vAlign w:val="center"/>
          </w:tcPr>
          <w:p>
            <w:pPr>
              <w:jc w:val="center"/>
              <w:rPr>
                <w:rFonts w:ascii="宋体" w:eastAsia="宋体" w:cs="宋体" w:hAnsi="宋体"/>
                <w:color w:val="000000"/>
                <w:sz w:val="20"/>
                <w:szCs w:val="20"/>
              </w:rPr>
            </w:pPr>
          </w:p>
        </w:tc>
        <w:tc>
          <w:tcPr>
            <w:tcW w:w="2138" w:type="dxa"/>
            <w:tcBorders>
              <w:top w:val="nil"/>
              <w:left w:val="nil"/>
              <w:bottom w:val="nil"/>
              <w:right w:val="nil"/>
            </w:tcBorders>
            <w:shd w:val="clear" w:color="auto" w:fill="FFFFFF"/>
            <w:vAlign w:val="center"/>
          </w:tcPr>
          <w:p>
            <w:pPr>
              <w:jc w:val="center"/>
              <w:rPr>
                <w:rFonts w:ascii="宋体" w:eastAsia="宋体" w:cs="宋体" w:hAnsi="宋体"/>
                <w:color w:val="000000"/>
                <w:sz w:val="20"/>
                <w:szCs w:val="20"/>
              </w:rPr>
            </w:pPr>
          </w:p>
        </w:tc>
        <w:tc>
          <w:tcPr>
            <w:tcW w:w="862" w:type="dxa"/>
            <w:tcBorders>
              <w:top w:val="nil"/>
              <w:left w:val="nil"/>
              <w:bottom w:val="nil"/>
              <w:right w:val="nil"/>
            </w:tcBorders>
            <w:shd w:val="clear" w:color="auto" w:fill="FFFFFF"/>
            <w:vAlign w:val="center"/>
          </w:tcPr>
          <w:p>
            <w:pPr>
              <w:jc w:val="center"/>
              <w:rPr>
                <w:rFonts w:ascii="宋体" w:eastAsia="宋体" w:cs="宋体" w:hAnsi="宋体"/>
                <w:color w:val="000000"/>
                <w:sz w:val="20"/>
                <w:szCs w:val="20"/>
              </w:rPr>
            </w:pPr>
          </w:p>
        </w:tc>
        <w:tc>
          <w:tcPr>
            <w:tcW w:w="638" w:type="dxa"/>
            <w:tcBorders>
              <w:top w:val="nil"/>
              <w:left w:val="nil"/>
              <w:bottom w:val="nil"/>
              <w:right w:val="nil"/>
            </w:tcBorders>
            <w:shd w:val="clear" w:color="auto" w:fill="FFFFFF"/>
            <w:vAlign w:val="center"/>
          </w:tcPr>
          <w:p>
            <w:pPr>
              <w:rPr>
                <w:rFonts w:ascii="宋体" w:eastAsia="宋体" w:cs="宋体" w:hAnsi="宋体"/>
                <w:color w:val="000000"/>
                <w:sz w:val="20"/>
                <w:szCs w:val="20"/>
              </w:rPr>
            </w:pPr>
          </w:p>
        </w:tc>
        <w:tc>
          <w:tcPr>
            <w:tcW w:w="1668" w:type="dxa"/>
            <w:tcBorders>
              <w:top w:val="nil"/>
              <w:left w:val="nil"/>
              <w:bottom w:val="nil"/>
              <w:right w:val="nil"/>
            </w:tcBorders>
            <w:shd w:val="clear" w:color="auto" w:fill="FFFFFF"/>
            <w:vAlign w:val="center"/>
          </w:tcPr>
          <w:p>
            <w:pPr>
              <w:rPr>
                <w:rFonts w:ascii="宋体" w:eastAsia="宋体" w:cs="宋体" w:hAnsi="宋体"/>
                <w:color w:val="000000"/>
                <w:sz w:val="20"/>
                <w:szCs w:val="20"/>
              </w:rPr>
            </w:pPr>
          </w:p>
        </w:tc>
        <w:tc>
          <w:tcPr>
            <w:tcW w:w="938" w:type="dxa"/>
            <w:tcBorders>
              <w:top w:val="nil"/>
              <w:left w:val="nil"/>
              <w:bottom w:val="nil"/>
              <w:right w:val="nil"/>
            </w:tcBorders>
            <w:shd w:val="clear" w:color="auto" w:fill="FFFFFF"/>
            <w:vAlign w:val="center"/>
          </w:tcPr>
          <w:p>
            <w:pPr>
              <w:rPr>
                <w:rFonts w:ascii="宋体" w:eastAsia="宋体" w:cs="宋体" w:hAnsi="宋体"/>
                <w:color w:val="000000"/>
                <w:sz w:val="20"/>
                <w:szCs w:val="20"/>
              </w:rPr>
            </w:pPr>
          </w:p>
        </w:tc>
        <w:tc>
          <w:tcPr>
            <w:tcW w:w="619" w:type="dxa"/>
            <w:tcBorders>
              <w:top w:val="nil"/>
              <w:left w:val="nil"/>
              <w:bottom w:val="nil"/>
              <w:right w:val="nil"/>
            </w:tcBorders>
            <w:shd w:val="clear" w:color="auto" w:fill="FFFFFF"/>
            <w:vAlign w:val="center"/>
          </w:tcPr>
          <w:p>
            <w:pPr>
              <w:rPr>
                <w:rFonts w:ascii="宋体" w:eastAsia="宋体" w:cs="宋体" w:hAnsi="宋体"/>
                <w:color w:val="000000"/>
                <w:sz w:val="20"/>
                <w:szCs w:val="20"/>
              </w:rPr>
            </w:pPr>
          </w:p>
        </w:tc>
        <w:tc>
          <w:tcPr>
            <w:tcW w:w="2250" w:type="dxa"/>
            <w:tcBorders>
              <w:top w:val="nil"/>
              <w:left w:val="nil"/>
              <w:bottom w:val="nil"/>
              <w:right w:val="nil"/>
            </w:tcBorders>
            <w:shd w:val="clear" w:color="auto" w:fill="FFFFFF"/>
            <w:vAlign w:val="center"/>
          </w:tcPr>
          <w:p>
            <w:pPr>
              <w:rPr>
                <w:rFonts w:ascii="宋体" w:eastAsia="宋体" w:cs="宋体" w:hAnsi="宋体"/>
                <w:color w:val="000000"/>
                <w:sz w:val="20"/>
                <w:szCs w:val="20"/>
              </w:rPr>
            </w:pPr>
          </w:p>
        </w:tc>
        <w:tc>
          <w:tcPr>
            <w:tcW w:w="1034" w:type="dxa"/>
            <w:tcBorders>
              <w:top w:val="nil"/>
              <w:left w:val="nil"/>
              <w:bottom w:val="nil"/>
              <w:right w:val="nil"/>
            </w:tcBorders>
            <w:shd w:val="clear" w:color="auto" w:fill="FFFFFF"/>
            <w:vAlign w:val="center"/>
          </w:tcPr>
          <w:p>
            <w:pPr>
              <w:widowControl/>
              <w:jc w:val="righ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公开06表</w:t>
            </w:r>
          </w:p>
        </w:tc>
      </w:tr>
      <w:tr>
        <w:trPr>
          <w:trHeight w:val="301"/>
          <w:gridAfter w:val="1"/>
          <w:wAfter w:w="4615" w:type="dxa"/>
        </w:trPr>
        <w:tc>
          <w:tcPr>
            <w:tcW w:w="667" w:type="dxa"/>
            <w:tcBorders>
              <w:top w:val="nil"/>
              <w:left w:val="nil"/>
              <w:bottom w:val="nil"/>
              <w:right w:val="nil"/>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部门：</w:t>
            </w:r>
          </w:p>
        </w:tc>
        <w:tc>
          <w:tcPr>
            <w:tcW w:w="2138" w:type="dxa"/>
            <w:tcBorders>
              <w:top w:val="nil"/>
              <w:left w:val="nil"/>
              <w:bottom w:val="nil"/>
              <w:right w:val="nil"/>
            </w:tcBorders>
            <w:shd w:val="clear" w:color="auto" w:fill="auto"/>
            <w:vAlign w:val="center"/>
          </w:tcPr>
          <w:p>
            <w:pPr>
              <w:rPr>
                <w:rFonts w:ascii="宋体" w:eastAsia="宋体" w:cs="宋体" w:hAnsi="宋体"/>
                <w:color w:val="000000"/>
                <w:sz w:val="20"/>
                <w:szCs w:val="20"/>
              </w:rPr>
            </w:pPr>
          </w:p>
        </w:tc>
        <w:tc>
          <w:tcPr>
            <w:tcW w:w="862" w:type="dxa"/>
            <w:tcBorders>
              <w:top w:val="nil"/>
              <w:left w:val="nil"/>
              <w:bottom w:val="nil"/>
              <w:right w:val="nil"/>
            </w:tcBorders>
            <w:shd w:val="clear" w:color="auto" w:fill="auto"/>
            <w:vAlign w:val="center"/>
          </w:tcPr>
          <w:p>
            <w:pPr>
              <w:rPr>
                <w:rFonts w:ascii="宋体" w:eastAsia="宋体" w:cs="宋体" w:hAnsi="宋体"/>
                <w:color w:val="000000"/>
                <w:sz w:val="20"/>
                <w:szCs w:val="20"/>
              </w:rPr>
            </w:pPr>
          </w:p>
        </w:tc>
        <w:tc>
          <w:tcPr>
            <w:tcW w:w="638" w:type="dxa"/>
            <w:tcBorders>
              <w:top w:val="nil"/>
              <w:left w:val="nil"/>
              <w:bottom w:val="nil"/>
              <w:right w:val="nil"/>
            </w:tcBorders>
            <w:shd w:val="clear" w:color="auto" w:fill="auto"/>
            <w:vAlign w:val="center"/>
          </w:tcPr>
          <w:p>
            <w:pPr>
              <w:rPr>
                <w:rFonts w:ascii="宋体" w:eastAsia="宋体" w:cs="宋体" w:hAnsi="宋体"/>
                <w:color w:val="000000"/>
                <w:sz w:val="20"/>
                <w:szCs w:val="20"/>
              </w:rPr>
            </w:pPr>
          </w:p>
        </w:tc>
        <w:tc>
          <w:tcPr>
            <w:tcW w:w="1668" w:type="dxa"/>
            <w:tcBorders>
              <w:top w:val="nil"/>
              <w:left w:val="nil"/>
              <w:bottom w:val="nil"/>
              <w:right w:val="nil"/>
            </w:tcBorders>
            <w:shd w:val="clear" w:color="auto" w:fill="auto"/>
            <w:vAlign w:val="center"/>
          </w:tcPr>
          <w:p>
            <w:pPr>
              <w:ind w:firstLineChars="300" w:firstLine="600"/>
              <w:rPr>
                <w:rFonts w:ascii="宋体" w:eastAsia="宋体" w:cs="宋体" w:hAnsi="宋体"/>
                <w:color w:val="000000"/>
                <w:sz w:val="20"/>
                <w:szCs w:val="20"/>
              </w:rPr>
            </w:pPr>
            <w:r>
              <w:rPr>
                <w:rFonts w:ascii="宋体" w:eastAsia="宋体" w:cs="宋体" w:hAnsi="宋体" w:hint="eastAsia"/>
                <w:color w:val="000000"/>
                <w:sz w:val="20"/>
                <w:szCs w:val="20"/>
              </w:rPr>
              <w:t>2022年度</w:t>
            </w:r>
          </w:p>
        </w:tc>
        <w:tc>
          <w:tcPr>
            <w:tcW w:w="938" w:type="dxa"/>
            <w:tcBorders>
              <w:top w:val="nil"/>
              <w:left w:val="nil"/>
              <w:bottom w:val="nil"/>
              <w:right w:val="nil"/>
            </w:tcBorders>
            <w:shd w:val="clear" w:color="auto" w:fill="auto"/>
            <w:vAlign w:val="center"/>
          </w:tcPr>
          <w:p>
            <w:pPr>
              <w:rPr>
                <w:rFonts w:ascii="宋体" w:eastAsia="宋体" w:cs="宋体" w:hAnsi="宋体"/>
                <w:color w:val="000000"/>
                <w:sz w:val="20"/>
                <w:szCs w:val="20"/>
              </w:rPr>
            </w:pPr>
          </w:p>
        </w:tc>
        <w:tc>
          <w:tcPr>
            <w:tcW w:w="619" w:type="dxa"/>
            <w:tcBorders>
              <w:top w:val="nil"/>
              <w:left w:val="nil"/>
              <w:bottom w:val="nil"/>
              <w:right w:val="nil"/>
            </w:tcBorders>
            <w:shd w:val="clear" w:color="auto" w:fill="auto"/>
            <w:vAlign w:val="center"/>
          </w:tcPr>
          <w:p>
            <w:pPr>
              <w:rPr>
                <w:rFonts w:ascii="宋体" w:eastAsia="宋体" w:cs="宋体" w:hAnsi="宋体"/>
                <w:color w:val="000000"/>
                <w:sz w:val="20"/>
                <w:szCs w:val="20"/>
              </w:rPr>
            </w:pPr>
          </w:p>
        </w:tc>
        <w:tc>
          <w:tcPr>
            <w:tcW w:w="2250" w:type="dxa"/>
            <w:tcBorders>
              <w:top w:val="nil"/>
              <w:left w:val="nil"/>
              <w:bottom w:val="nil"/>
              <w:right w:val="nil"/>
            </w:tcBorders>
            <w:shd w:val="clear" w:color="auto" w:fill="auto"/>
            <w:vAlign w:val="center"/>
          </w:tcPr>
          <w:p>
            <w:pPr>
              <w:rPr>
                <w:rFonts w:ascii="宋体" w:eastAsia="宋体" w:cs="宋体" w:hAnsi="宋体"/>
                <w:color w:val="000000"/>
                <w:sz w:val="20"/>
                <w:szCs w:val="20"/>
              </w:rPr>
            </w:pPr>
          </w:p>
        </w:tc>
        <w:tc>
          <w:tcPr>
            <w:tcW w:w="1034" w:type="dxa"/>
            <w:tcBorders>
              <w:top w:val="nil"/>
              <w:left w:val="nil"/>
              <w:bottom w:val="nil"/>
              <w:right w:val="nil"/>
            </w:tcBorders>
            <w:shd w:val="clear" w:color="auto" w:fill="auto"/>
            <w:vAlign w:val="center"/>
          </w:tcPr>
          <w:p>
            <w:pPr>
              <w:widowControl/>
              <w:jc w:val="righ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单位：万元</w:t>
            </w:r>
          </w:p>
        </w:tc>
      </w:tr>
      <w:tr>
        <w:trPr>
          <w:trHeight w:val="548"/>
          <w:gridAfter w:val="1"/>
          <w:wAfter w:w="4615" w:type="dxa"/>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科目代码</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科目名称</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决算数</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科目代码</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科目名称</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决算数</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科目代码</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科目名称</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决算数</w:t>
            </w:r>
          </w:p>
        </w:tc>
      </w:tr>
      <w:tr>
        <w:trPr>
          <w:trHeight w:val="241"/>
          <w:gridAfter w:val="1"/>
          <w:wAfter w:w="4615" w:type="dxa"/>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301</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工资福利支出</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r>
              <w:rPr>
                <w:rFonts w:ascii="宋体" w:eastAsia="宋体" w:cs="宋体" w:hAnsi="宋体"/>
                <w:color w:val="000000"/>
                <w:sz w:val="20"/>
                <w:szCs w:val="20"/>
              </w:rPr>
              <w:t>396.60</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302</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商品和服务支出</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r>
              <w:rPr>
                <w:rFonts w:ascii="宋体" w:eastAsia="宋体" w:cs="宋体" w:hAnsi="宋体"/>
                <w:color w:val="000000"/>
                <w:sz w:val="20"/>
                <w:szCs w:val="20"/>
              </w:rPr>
              <w:t>34.84</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307</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债务利息及费用支出</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0"/>
                <w:szCs w:val="20"/>
              </w:rPr>
            </w:pPr>
          </w:p>
        </w:tc>
      </w:tr>
      <w:tr>
        <w:trPr>
          <w:trHeight w:val="241"/>
          <w:gridAfter w:val="1"/>
          <w:wAfter w:w="4615" w:type="dxa"/>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30101</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基本工资</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r>
              <w:rPr>
                <w:rFonts w:ascii="宋体" w:eastAsia="宋体" w:cs="宋体" w:hAnsi="宋体"/>
                <w:color w:val="000000"/>
                <w:sz w:val="20"/>
                <w:szCs w:val="20"/>
              </w:rPr>
              <w:t>119.10</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30201</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办公费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r>
              <w:rPr>
                <w:rFonts w:ascii="宋体" w:eastAsia="宋体" w:cs="宋体" w:hAnsi="宋体"/>
                <w:color w:val="000000"/>
                <w:sz w:val="20"/>
                <w:szCs w:val="20"/>
              </w:rPr>
              <w:t>5.26</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30701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国内债务付息</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0"/>
                <w:szCs w:val="20"/>
              </w:rPr>
            </w:pPr>
          </w:p>
        </w:tc>
      </w:tr>
      <w:tr>
        <w:trPr>
          <w:trHeight w:val="241"/>
          <w:gridAfter w:val="1"/>
          <w:wAfter w:w="4615" w:type="dxa"/>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30102</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津贴补贴</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r>
              <w:rPr>
                <w:rFonts w:ascii="宋体" w:eastAsia="宋体" w:cs="宋体" w:hAnsi="宋体"/>
                <w:color w:val="000000"/>
                <w:sz w:val="20"/>
                <w:szCs w:val="20"/>
              </w:rPr>
              <w:t>19.31</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30202</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印刷费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30702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国外债务付息</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0"/>
                <w:szCs w:val="20"/>
              </w:rPr>
            </w:pPr>
          </w:p>
        </w:tc>
      </w:tr>
      <w:tr>
        <w:trPr>
          <w:trHeight w:val="241"/>
          <w:gridAfter w:val="1"/>
          <w:wAfter w:w="4615" w:type="dxa"/>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30103</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奖金</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r>
              <w:rPr>
                <w:rFonts w:ascii="宋体" w:eastAsia="宋体" w:cs="宋体" w:hAnsi="宋体"/>
                <w:color w:val="000000"/>
                <w:sz w:val="20"/>
                <w:szCs w:val="20"/>
              </w:rPr>
              <w:t>72.82</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30203</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咨询费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310</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资本性支出</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0"/>
                <w:szCs w:val="20"/>
              </w:rPr>
            </w:pPr>
          </w:p>
        </w:tc>
      </w:tr>
      <w:tr>
        <w:trPr>
          <w:trHeight w:val="241"/>
          <w:gridAfter w:val="1"/>
          <w:wAfter w:w="4615" w:type="dxa"/>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30106</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伙食补助费</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30204</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手续费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31001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房屋建筑物购建</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0"/>
                <w:szCs w:val="20"/>
              </w:rPr>
            </w:pPr>
          </w:p>
        </w:tc>
      </w:tr>
      <w:tr>
        <w:trPr>
          <w:trHeight w:val="241"/>
          <w:gridAfter w:val="1"/>
          <w:wAfter w:w="4615" w:type="dxa"/>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30107</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绩效工资</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r>
              <w:rPr>
                <w:rFonts w:ascii="宋体" w:eastAsia="宋体" w:cs="宋体" w:hAnsi="宋体"/>
                <w:color w:val="000000"/>
                <w:sz w:val="20"/>
                <w:szCs w:val="20"/>
              </w:rPr>
              <w:t>83.54</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30205</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水费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r>
              <w:rPr>
                <w:rFonts w:ascii="宋体" w:eastAsia="宋体" w:cs="宋体" w:hAnsi="宋体"/>
                <w:color w:val="000000"/>
                <w:sz w:val="20"/>
                <w:szCs w:val="20"/>
              </w:rPr>
              <w:t>0.32</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31002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办公设备购置</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0"/>
                <w:szCs w:val="20"/>
              </w:rPr>
            </w:pPr>
          </w:p>
        </w:tc>
      </w:tr>
      <w:tr>
        <w:trPr>
          <w:trHeight w:val="241"/>
          <w:gridAfter w:val="1"/>
          <w:wAfter w:w="4615" w:type="dxa"/>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30108</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机关事业单位基本养老保险缴费</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r>
              <w:rPr>
                <w:rFonts w:ascii="宋体" w:eastAsia="宋体" w:cs="宋体" w:hAnsi="宋体"/>
                <w:color w:val="000000"/>
                <w:sz w:val="20"/>
                <w:szCs w:val="20"/>
              </w:rPr>
              <w:t>36.80</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30206</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电费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r>
              <w:rPr>
                <w:rFonts w:ascii="宋体" w:eastAsia="宋体" w:cs="宋体" w:hAnsi="宋体"/>
                <w:color w:val="000000"/>
                <w:sz w:val="20"/>
                <w:szCs w:val="20"/>
              </w:rPr>
              <w:t>2.85</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31003</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专用设备购置</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0"/>
                <w:szCs w:val="20"/>
              </w:rPr>
            </w:pPr>
          </w:p>
        </w:tc>
      </w:tr>
      <w:tr>
        <w:trPr>
          <w:trHeight w:val="241"/>
          <w:gridAfter w:val="1"/>
          <w:wAfter w:w="4615" w:type="dxa"/>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30109</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职业年金缴费</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30207</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邮电费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31005</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基础设施建设</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0"/>
                <w:szCs w:val="20"/>
              </w:rPr>
            </w:pPr>
          </w:p>
        </w:tc>
      </w:tr>
      <w:tr>
        <w:trPr>
          <w:trHeight w:val="241"/>
          <w:gridAfter w:val="1"/>
          <w:wAfter w:w="4615" w:type="dxa"/>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30110</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职工基本医疗保险缴费</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r>
              <w:rPr>
                <w:rFonts w:ascii="宋体" w:eastAsia="宋体" w:cs="宋体" w:hAnsi="宋体"/>
                <w:color w:val="000000"/>
                <w:sz w:val="20"/>
                <w:szCs w:val="20"/>
              </w:rPr>
              <w:t>13.70</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30208</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取暖费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r>
              <w:rPr>
                <w:rFonts w:ascii="宋体" w:eastAsia="宋体" w:cs="宋体" w:hAnsi="宋体"/>
                <w:color w:val="000000"/>
                <w:sz w:val="20"/>
                <w:szCs w:val="20"/>
              </w:rPr>
              <w:t>12.35</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31006</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大型修缮</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0"/>
                <w:szCs w:val="20"/>
              </w:rPr>
            </w:pPr>
          </w:p>
        </w:tc>
      </w:tr>
      <w:tr>
        <w:trPr>
          <w:trHeight w:val="241"/>
          <w:gridAfter w:val="1"/>
          <w:wAfter w:w="4615" w:type="dxa"/>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30111</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公务员医疗补助缴费</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r>
              <w:rPr>
                <w:rFonts w:ascii="宋体" w:eastAsia="宋体" w:cs="宋体" w:hAnsi="宋体"/>
                <w:color w:val="000000"/>
                <w:sz w:val="20"/>
                <w:szCs w:val="20"/>
              </w:rPr>
              <w:t>17.53</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30209</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物业管理费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31007</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信息网络及软件购置更新</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0"/>
                <w:szCs w:val="20"/>
              </w:rPr>
            </w:pPr>
          </w:p>
        </w:tc>
      </w:tr>
      <w:tr>
        <w:trPr>
          <w:trHeight w:val="241"/>
          <w:gridAfter w:val="1"/>
          <w:wAfter w:w="4615" w:type="dxa"/>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30112</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其他社会保障缴费</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r>
              <w:rPr>
                <w:rFonts w:ascii="宋体" w:eastAsia="宋体" w:cs="宋体" w:hAnsi="宋体"/>
                <w:color w:val="000000"/>
                <w:sz w:val="20"/>
                <w:szCs w:val="20"/>
              </w:rPr>
              <w:t>2.66</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30211</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差旅费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31008</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物资储备</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0"/>
                <w:szCs w:val="20"/>
              </w:rPr>
            </w:pPr>
          </w:p>
        </w:tc>
      </w:tr>
      <w:tr>
        <w:trPr>
          <w:trHeight w:val="241"/>
          <w:gridAfter w:val="1"/>
          <w:wAfter w:w="4615" w:type="dxa"/>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30113</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住房公积金</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r>
              <w:rPr>
                <w:rFonts w:ascii="宋体" w:eastAsia="宋体" w:cs="宋体" w:hAnsi="宋体"/>
                <w:color w:val="000000"/>
                <w:sz w:val="20"/>
                <w:szCs w:val="20"/>
              </w:rPr>
              <w:t>31.15</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30212</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16"/>
                <w:szCs w:val="16"/>
              </w:rPr>
              <w:t xml:space="preserve">  因公出国（境）费用</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31009</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土地补偿</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0"/>
                <w:szCs w:val="20"/>
              </w:rPr>
            </w:pPr>
          </w:p>
        </w:tc>
      </w:tr>
      <w:tr>
        <w:trPr>
          <w:trHeight w:val="241"/>
          <w:gridAfter w:val="1"/>
          <w:wAfter w:w="4615" w:type="dxa"/>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30114</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医疗费</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30213</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维修（护）费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31010</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安置补助</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0"/>
                <w:szCs w:val="20"/>
              </w:rPr>
            </w:pPr>
          </w:p>
        </w:tc>
      </w:tr>
      <w:tr>
        <w:trPr>
          <w:trHeight w:val="241"/>
          <w:gridAfter w:val="1"/>
          <w:wAfter w:w="4615" w:type="dxa"/>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30199</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其他工资福利支出</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30214</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租赁费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31011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地上附着物和青苗补偿</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0"/>
                <w:szCs w:val="20"/>
              </w:rPr>
            </w:pPr>
          </w:p>
        </w:tc>
      </w:tr>
      <w:tr>
        <w:trPr>
          <w:trHeight w:val="241"/>
          <w:gridAfter w:val="1"/>
          <w:wAfter w:w="4615" w:type="dxa"/>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303</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对个人和家庭的补助</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r>
              <w:rPr>
                <w:rFonts w:ascii="宋体" w:eastAsia="宋体" w:cs="宋体" w:hAnsi="宋体"/>
                <w:color w:val="000000"/>
                <w:sz w:val="20"/>
                <w:szCs w:val="20"/>
              </w:rPr>
              <w:t>63.75</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30215</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会议费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31012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拆迁补偿</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0"/>
                <w:szCs w:val="20"/>
              </w:rPr>
            </w:pPr>
          </w:p>
        </w:tc>
      </w:tr>
      <w:tr>
        <w:trPr>
          <w:trHeight w:val="241"/>
          <w:gridAfter w:val="1"/>
          <w:wAfter w:w="4615" w:type="dxa"/>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30301</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离休费</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30216</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培训费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r>
              <w:rPr>
                <w:rFonts w:ascii="宋体" w:eastAsia="宋体" w:cs="宋体" w:hAnsi="宋体"/>
                <w:color w:val="000000"/>
                <w:sz w:val="20"/>
                <w:szCs w:val="20"/>
              </w:rPr>
              <w:t>1.57</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31013</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公务用车购置</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0"/>
                <w:szCs w:val="20"/>
              </w:rPr>
            </w:pPr>
          </w:p>
        </w:tc>
      </w:tr>
      <w:tr>
        <w:trPr>
          <w:trHeight w:val="241"/>
          <w:gridAfter w:val="1"/>
          <w:wAfter w:w="4615" w:type="dxa"/>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30302</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退休费</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r>
              <w:rPr>
                <w:rFonts w:ascii="宋体" w:eastAsia="宋体" w:cs="宋体" w:hAnsi="宋体"/>
                <w:color w:val="000000"/>
                <w:sz w:val="20"/>
                <w:szCs w:val="20"/>
              </w:rPr>
              <w:t>62.83</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30217</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公务接待费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31019</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其他交通工具购置</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0"/>
                <w:szCs w:val="20"/>
              </w:rPr>
            </w:pPr>
          </w:p>
        </w:tc>
      </w:tr>
      <w:tr>
        <w:trPr>
          <w:trHeight w:val="241"/>
          <w:gridAfter w:val="1"/>
          <w:wAfter w:w="4615" w:type="dxa"/>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30303</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退职（役）费</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30218</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专用材料费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31021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文物和陈列品购置</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0"/>
                <w:szCs w:val="20"/>
              </w:rPr>
            </w:pPr>
          </w:p>
        </w:tc>
      </w:tr>
      <w:tr>
        <w:trPr>
          <w:trHeight w:val="241"/>
          <w:gridAfter w:val="1"/>
          <w:wAfter w:w="4615" w:type="dxa"/>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30304</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抚恤金</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30224</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被装购置费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31022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无形资产购置</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0"/>
                <w:szCs w:val="20"/>
              </w:rPr>
            </w:pPr>
          </w:p>
        </w:tc>
      </w:tr>
      <w:tr>
        <w:trPr>
          <w:trHeight w:val="241"/>
          <w:gridAfter w:val="1"/>
          <w:wAfter w:w="4615" w:type="dxa"/>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30305</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生活补助</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30225</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专用燃料费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31099</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其他资本性支出</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0"/>
                <w:szCs w:val="20"/>
              </w:rPr>
            </w:pPr>
          </w:p>
        </w:tc>
      </w:tr>
      <w:tr>
        <w:trPr>
          <w:trHeight w:val="241"/>
          <w:gridAfter w:val="1"/>
          <w:wAfter w:w="4615" w:type="dxa"/>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30306</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救济费</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30226</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劳务费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399</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ind w:leftChars="102" w:left="214"/>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其他支出</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0"/>
                <w:szCs w:val="20"/>
              </w:rPr>
            </w:pPr>
          </w:p>
        </w:tc>
      </w:tr>
      <w:tr>
        <w:trPr>
          <w:trHeight w:val="241"/>
          <w:gridAfter w:val="1"/>
          <w:wAfter w:w="4615" w:type="dxa"/>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30307</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医疗费补助</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30227</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委托业务费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39907</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国家赔偿费用支出</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0"/>
                <w:szCs w:val="20"/>
              </w:rPr>
            </w:pPr>
          </w:p>
        </w:tc>
      </w:tr>
      <w:tr>
        <w:trPr>
          <w:trHeight w:val="241"/>
          <w:gridAfter w:val="1"/>
          <w:wAfter w:w="4615" w:type="dxa"/>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30308</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助学金</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30228</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工会经费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r>
              <w:rPr>
                <w:rFonts w:ascii="宋体" w:eastAsia="宋体" w:cs="宋体" w:hAnsi="宋体"/>
                <w:color w:val="000000"/>
                <w:sz w:val="20"/>
                <w:szCs w:val="20"/>
              </w:rPr>
              <w:t>2.53</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39908</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对民间非营利组织和群众性自治组织补贴</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0"/>
                <w:szCs w:val="20"/>
              </w:rPr>
            </w:pPr>
          </w:p>
        </w:tc>
      </w:tr>
      <w:tr>
        <w:trPr>
          <w:trHeight w:val="241"/>
          <w:gridAfter w:val="1"/>
          <w:wAfter w:w="4615" w:type="dxa"/>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30309</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奖励金</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r>
              <w:rPr>
                <w:rFonts w:ascii="宋体" w:eastAsia="宋体" w:cs="宋体" w:hAnsi="宋体"/>
                <w:color w:val="000000"/>
                <w:sz w:val="20"/>
                <w:szCs w:val="20"/>
              </w:rPr>
              <w:t>0.92</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30229</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福利费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r>
              <w:rPr>
                <w:rFonts w:ascii="宋体" w:eastAsia="宋体" w:cs="宋体" w:hAnsi="宋体"/>
                <w:color w:val="000000"/>
                <w:sz w:val="20"/>
                <w:szCs w:val="20"/>
              </w:rPr>
              <w:t>4.33</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39909</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经常性赠与</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0"/>
                <w:szCs w:val="20"/>
              </w:rPr>
            </w:pPr>
          </w:p>
        </w:tc>
      </w:tr>
      <w:tr>
        <w:trPr>
          <w:trHeight w:val="241"/>
          <w:gridAfter w:val="1"/>
          <w:wAfter w:w="4615" w:type="dxa"/>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30310</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个人农业生产补贴</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30231</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w:t>
            </w:r>
            <w:r>
              <w:rPr>
                <w:rFonts w:ascii="宋体" w:eastAsia="宋体" w:cs="宋体" w:hAnsi="宋体" w:hint="eastAsia"/>
                <w:color w:val="000000"/>
                <w:kern w:val="0"/>
                <w:sz w:val="16"/>
                <w:szCs w:val="16"/>
              </w:rPr>
              <w:t xml:space="preserve"> 公务用车运行维护费</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r>
              <w:rPr>
                <w:rFonts w:ascii="宋体" w:eastAsia="宋体" w:cs="宋体" w:hAnsi="宋体"/>
                <w:color w:val="000000"/>
                <w:sz w:val="20"/>
                <w:szCs w:val="20"/>
              </w:rPr>
              <w:t>2.20</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39910</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资本性赠与</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0"/>
                <w:szCs w:val="20"/>
              </w:rPr>
            </w:pPr>
          </w:p>
        </w:tc>
      </w:tr>
      <w:tr>
        <w:trPr>
          <w:trHeight w:val="241"/>
          <w:gridAfter w:val="1"/>
          <w:wAfter w:w="4615" w:type="dxa"/>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30311</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代缴社会保险费</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30239</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其他交通费用</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r>
              <w:rPr>
                <w:rFonts w:ascii="宋体" w:eastAsia="宋体" w:cs="宋体" w:hAnsi="宋体"/>
                <w:color w:val="000000"/>
                <w:sz w:val="20"/>
                <w:szCs w:val="20"/>
              </w:rPr>
              <w:t>1.54</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39999</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其他支出</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0"/>
                <w:szCs w:val="20"/>
              </w:rPr>
            </w:pPr>
          </w:p>
        </w:tc>
      </w:tr>
      <w:tr>
        <w:trPr>
          <w:trHeight w:val="241"/>
          <w:gridAfter w:val="1"/>
          <w:wAfter w:w="4615" w:type="dxa"/>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30399</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其他对个人和家庭的补助</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30240</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税金及附加费用</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0"/>
                <w:szCs w:val="20"/>
              </w:rPr>
            </w:pPr>
          </w:p>
        </w:tc>
      </w:tr>
      <w:tr>
        <w:trPr>
          <w:trHeight w:val="399"/>
          <w:gridAfter w:val="1"/>
          <w:wAfter w:w="4615" w:type="dxa"/>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0"/>
                <w:szCs w:val="20"/>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0"/>
                <w:szCs w:val="20"/>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30299</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 xml:space="preserve"> </w:t>
            </w:r>
            <w:r>
              <w:rPr>
                <w:rFonts w:ascii="宋体" w:eastAsia="宋体" w:cs="宋体" w:hAnsi="宋体" w:hint="eastAsia"/>
                <w:color w:val="000000"/>
                <w:kern w:val="0"/>
                <w:sz w:val="16"/>
                <w:szCs w:val="16"/>
              </w:rPr>
              <w:t xml:space="preserve"> 其他商品和服务支出</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r>
              <w:rPr>
                <w:rFonts w:ascii="宋体" w:eastAsia="宋体" w:cs="宋体" w:hAnsi="宋体"/>
                <w:color w:val="000000"/>
                <w:sz w:val="20"/>
                <w:szCs w:val="20"/>
              </w:rPr>
              <w:t>1.89</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0"/>
                <w:szCs w:val="20"/>
              </w:rPr>
            </w:pPr>
          </w:p>
        </w:tc>
      </w:tr>
      <w:tr>
        <w:trPr>
          <w:trHeight w:val="241"/>
          <w:gridAfter w:val="1"/>
          <w:wAfter w:w="4615" w:type="dxa"/>
        </w:trPr>
        <w:tc>
          <w:tcPr>
            <w:tcW w:w="28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人员经费合计</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0"/>
                <w:szCs w:val="20"/>
              </w:rPr>
            </w:pPr>
            <w:r>
              <w:rPr>
                <w:rFonts w:ascii="宋体" w:eastAsia="宋体" w:cs="宋体" w:hAnsi="宋体"/>
                <w:color w:val="000000"/>
                <w:sz w:val="20"/>
                <w:szCs w:val="20"/>
              </w:rPr>
              <w:t>460.36</w:t>
            </w:r>
          </w:p>
        </w:tc>
        <w:tc>
          <w:tcPr>
            <w:tcW w:w="611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公用经费合计</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18"/>
                <w:szCs w:val="18"/>
              </w:rPr>
            </w:pPr>
            <w:r>
              <w:rPr>
                <w:rFonts w:ascii="宋体" w:eastAsia="宋体" w:cs="宋体" w:hAnsi="宋体"/>
                <w:color w:val="000000"/>
                <w:sz w:val="18"/>
                <w:szCs w:val="18"/>
              </w:rPr>
              <w:t>34.84</w:t>
            </w:r>
          </w:p>
        </w:tc>
      </w:tr>
      <w:tr>
        <w:trPr>
          <w:trHeight w:val="390"/>
        </w:trPr>
        <w:tc>
          <w:tcPr>
            <w:tcW w:w="15429" w:type="dxa"/>
            <w:gridSpan w:val="10"/>
            <w:tcBorders>
              <w:top w:val="nil"/>
              <w:left w:val="nil"/>
              <w:bottom w:val="nil"/>
              <w:right w:val="nil"/>
            </w:tcBorders>
            <w:shd w:val="clear" w:color="auto" w:fill="auto"/>
            <w:vAlign w:val="center"/>
          </w:tcPr>
          <w:p>
            <w:pPr>
              <w:widowControl/>
              <w:jc w:val="left"/>
              <w:textAlignment w:val="center"/>
              <w:rPr>
                <w:rFonts w:ascii="宋体" w:eastAsia="宋体" w:cs="宋体" w:hAnsi="宋体"/>
                <w:color w:val="000000"/>
                <w:sz w:val="24"/>
              </w:rPr>
            </w:pPr>
            <w:r>
              <w:rPr>
                <w:rFonts w:ascii="宋体" w:eastAsia="宋体" w:cs="宋体" w:hAnsi="宋体" w:hint="eastAsia"/>
                <w:color w:val="000000"/>
                <w:kern w:val="0"/>
                <w:sz w:val="24"/>
                <w:szCs w:val="24"/>
              </w:rPr>
              <w:t>注：本表反映部门本年度一般公共预算财政拨款基本支出明细情况。</w:t>
            </w:r>
          </w:p>
        </w:tc>
      </w:tr>
    </w:tbl>
    <w:p>
      <w:pPr>
        <w:sectPr>
          <w:pgSz w:w="11906" w:h="16838"/>
          <w:pgMar w:top="567" w:right="567" w:bottom="567" w:left="567" w:header="851" w:footer="992" w:gutter="0"/>
          <w:docGrid w:type="lines" w:linePitch="312" w:charSpace="0"/>
        </w:sectPr>
      </w:pPr>
    </w:p>
    <w:tbl>
      <w:tblPr>
        <w:jc w:val="left"/>
        <w:tblW w:w="10350" w:type="dxa"/>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555"/>
        <w:gridCol w:w="1080"/>
        <w:gridCol w:w="1321"/>
        <w:gridCol w:w="1996"/>
        <w:gridCol w:w="1080"/>
        <w:gridCol w:w="1080"/>
        <w:gridCol w:w="1080"/>
        <w:gridCol w:w="1081"/>
        <w:gridCol w:w="1077"/>
      </w:tblGrid>
      <w:tr>
        <w:trPr>
          <w:trHeight w:val="600"/>
        </w:trPr>
        <w:tc>
          <w:tcPr>
            <w:tcW w:w="10350" w:type="dxa"/>
            <w:gridSpan w:val="9"/>
            <w:tcBorders>
              <w:top w:val="nil"/>
              <w:left w:val="nil"/>
              <w:bottom w:val="nil"/>
              <w:right w:val="nil"/>
            </w:tcBorders>
            <w:shd w:val="clear" w:color="auto" w:fill="FFFFFF"/>
            <w:vAlign w:val="center"/>
          </w:tcPr>
          <w:p>
            <w:pPr>
              <w:widowControl/>
              <w:jc w:val="center"/>
              <w:textAlignment w:val="center"/>
              <w:rPr>
                <w:rFonts w:ascii="华文中宋" w:eastAsia="华文中宋" w:cs="华文中宋" w:hAnsi="华文中宋"/>
                <w:color w:val="000000"/>
                <w:sz w:val="32"/>
                <w:szCs w:val="32"/>
              </w:rPr>
            </w:pPr>
            <w:r>
              <w:rPr>
                <w:rFonts w:ascii="华文中宋" w:eastAsia="华文中宋" w:cs="华文中宋" w:hAnsi="华文中宋" w:hint="eastAsia"/>
                <w:color w:val="000000"/>
                <w:kern w:val="0"/>
                <w:sz w:val="32"/>
                <w:szCs w:val="32"/>
              </w:rPr>
              <w:t>政府性基金预算财政拨款收入支出决算表</w:t>
            </w:r>
          </w:p>
        </w:tc>
      </w:tr>
      <w:tr>
        <w:trPr>
          <w:trHeight w:val="211"/>
        </w:trPr>
        <w:tc>
          <w:tcPr>
            <w:tcW w:w="555" w:type="dxa"/>
            <w:tcBorders>
              <w:top w:val="nil"/>
              <w:left w:val="nil"/>
              <w:bottom w:val="nil"/>
              <w:right w:val="nil"/>
            </w:tcBorders>
            <w:shd w:val="clear" w:color="auto" w:fill="FFFFFF"/>
            <w:vAlign w:val="center"/>
          </w:tcPr>
          <w:p>
            <w:pPr>
              <w:jc w:val="center"/>
              <w:rPr>
                <w:rFonts w:ascii="宋体" w:eastAsia="宋体" w:cs="宋体" w:hAnsi="宋体"/>
                <w:color w:val="000000"/>
                <w:sz w:val="20"/>
                <w:szCs w:val="20"/>
              </w:rPr>
            </w:pPr>
          </w:p>
        </w:tc>
        <w:tc>
          <w:tcPr>
            <w:tcW w:w="1080" w:type="dxa"/>
            <w:tcBorders>
              <w:top w:val="nil"/>
              <w:left w:val="nil"/>
              <w:bottom w:val="nil"/>
              <w:right w:val="nil"/>
            </w:tcBorders>
            <w:shd w:val="clear" w:color="auto" w:fill="FFFFFF"/>
            <w:vAlign w:val="center"/>
          </w:tcPr>
          <w:p>
            <w:pPr>
              <w:jc w:val="center"/>
              <w:rPr>
                <w:rFonts w:ascii="宋体" w:eastAsia="宋体" w:cs="宋体" w:hAnsi="宋体"/>
                <w:color w:val="000000"/>
                <w:sz w:val="20"/>
                <w:szCs w:val="20"/>
              </w:rPr>
            </w:pPr>
          </w:p>
        </w:tc>
        <w:tc>
          <w:tcPr>
            <w:tcW w:w="1321" w:type="dxa"/>
            <w:tcBorders>
              <w:top w:val="nil"/>
              <w:left w:val="nil"/>
              <w:bottom w:val="nil"/>
              <w:right w:val="nil"/>
            </w:tcBorders>
            <w:shd w:val="clear" w:color="auto" w:fill="FFFFFF"/>
            <w:vAlign w:val="center"/>
          </w:tcPr>
          <w:p>
            <w:pPr>
              <w:jc w:val="center"/>
              <w:rPr>
                <w:rFonts w:ascii="宋体" w:eastAsia="宋体" w:cs="宋体" w:hAnsi="宋体"/>
                <w:color w:val="000000"/>
                <w:sz w:val="20"/>
                <w:szCs w:val="20"/>
              </w:rPr>
            </w:pPr>
          </w:p>
        </w:tc>
        <w:tc>
          <w:tcPr>
            <w:tcW w:w="1996" w:type="dxa"/>
            <w:tcBorders>
              <w:top w:val="nil"/>
              <w:left w:val="nil"/>
              <w:bottom w:val="nil"/>
              <w:right w:val="nil"/>
            </w:tcBorders>
            <w:shd w:val="clear" w:color="auto" w:fill="auto"/>
            <w:vAlign w:val="bottom"/>
          </w:tcPr>
          <w:p>
            <w:pPr>
              <w:rPr>
                <w:rFonts w:ascii="宋体" w:eastAsia="宋体" w:cs="宋体" w:hAnsi="宋体"/>
                <w:color w:val="000000"/>
                <w:sz w:val="24"/>
              </w:rPr>
            </w:pPr>
          </w:p>
        </w:tc>
        <w:tc>
          <w:tcPr>
            <w:tcW w:w="1080" w:type="dxa"/>
            <w:tcBorders>
              <w:top w:val="nil"/>
              <w:left w:val="nil"/>
              <w:bottom w:val="nil"/>
              <w:right w:val="nil"/>
            </w:tcBorders>
            <w:shd w:val="clear" w:color="auto" w:fill="auto"/>
            <w:vAlign w:val="bottom"/>
          </w:tcPr>
          <w:p>
            <w:pPr>
              <w:rPr>
                <w:rFonts w:ascii="宋体" w:eastAsia="宋体" w:cs="宋体" w:hAnsi="宋体"/>
                <w:color w:val="000000"/>
                <w:sz w:val="24"/>
              </w:rPr>
            </w:pPr>
          </w:p>
        </w:tc>
        <w:tc>
          <w:tcPr>
            <w:tcW w:w="1080" w:type="dxa"/>
            <w:tcBorders>
              <w:top w:val="nil"/>
              <w:left w:val="nil"/>
              <w:bottom w:val="nil"/>
              <w:right w:val="nil"/>
            </w:tcBorders>
            <w:shd w:val="clear" w:color="auto" w:fill="auto"/>
            <w:vAlign w:val="bottom"/>
          </w:tcPr>
          <w:p>
            <w:pPr>
              <w:rPr>
                <w:rFonts w:ascii="宋体" w:eastAsia="宋体" w:cs="宋体" w:hAnsi="宋体"/>
                <w:color w:val="000000"/>
                <w:sz w:val="24"/>
              </w:rPr>
            </w:pPr>
          </w:p>
        </w:tc>
        <w:tc>
          <w:tcPr>
            <w:tcW w:w="1080" w:type="dxa"/>
            <w:tcBorders>
              <w:top w:val="nil"/>
              <w:left w:val="nil"/>
              <w:bottom w:val="nil"/>
              <w:right w:val="nil"/>
            </w:tcBorders>
            <w:shd w:val="clear" w:color="auto" w:fill="auto"/>
            <w:vAlign w:val="bottom"/>
          </w:tcPr>
          <w:p>
            <w:pPr>
              <w:rPr>
                <w:rFonts w:ascii="宋体" w:eastAsia="宋体" w:cs="宋体" w:hAnsi="宋体"/>
                <w:color w:val="000000"/>
                <w:sz w:val="24"/>
              </w:rPr>
            </w:pPr>
          </w:p>
        </w:tc>
        <w:tc>
          <w:tcPr>
            <w:tcW w:w="1081" w:type="dxa"/>
            <w:tcBorders>
              <w:top w:val="nil"/>
              <w:left w:val="nil"/>
              <w:bottom w:val="nil"/>
              <w:right w:val="nil"/>
            </w:tcBorders>
            <w:shd w:val="clear" w:color="auto" w:fill="auto"/>
            <w:vAlign w:val="bottom"/>
          </w:tcPr>
          <w:p>
            <w:pPr>
              <w:rPr>
                <w:rFonts w:ascii="宋体" w:eastAsia="宋体" w:cs="宋体" w:hAnsi="宋体"/>
                <w:color w:val="000000"/>
                <w:sz w:val="24"/>
              </w:rPr>
            </w:pPr>
          </w:p>
        </w:tc>
        <w:tc>
          <w:tcPr>
            <w:tcW w:w="1077" w:type="dxa"/>
            <w:tcBorders>
              <w:top w:val="nil"/>
              <w:left w:val="nil"/>
              <w:bottom w:val="nil"/>
              <w:right w:val="nil"/>
            </w:tcBorders>
            <w:shd w:val="clear" w:color="auto" w:fill="FFFFFF"/>
            <w:vAlign w:val="center"/>
          </w:tcPr>
          <w:p>
            <w:pPr>
              <w:widowControl/>
              <w:jc w:val="righ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公开07表</w:t>
            </w:r>
          </w:p>
        </w:tc>
      </w:tr>
      <w:tr>
        <w:trPr>
          <w:trHeight w:val="301"/>
        </w:trPr>
        <w:tc>
          <w:tcPr>
            <w:tcW w:w="555" w:type="dxa"/>
            <w:tcBorders>
              <w:top w:val="nil"/>
              <w:left w:val="nil"/>
              <w:bottom w:val="nil"/>
              <w:right w:val="nil"/>
            </w:tcBorders>
            <w:shd w:val="clear" w:color="auto" w:fill="FFFFFF"/>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部门：</w:t>
            </w:r>
          </w:p>
        </w:tc>
        <w:tc>
          <w:tcPr>
            <w:tcW w:w="1080" w:type="dxa"/>
            <w:tcBorders>
              <w:top w:val="nil"/>
              <w:left w:val="nil"/>
              <w:bottom w:val="nil"/>
              <w:right w:val="nil"/>
            </w:tcBorders>
            <w:shd w:val="clear" w:color="auto" w:fill="FFFFFF"/>
            <w:vAlign w:val="center"/>
          </w:tcPr>
          <w:p>
            <w:pPr>
              <w:jc w:val="center"/>
              <w:rPr>
                <w:rFonts w:ascii="宋体" w:eastAsia="宋体" w:cs="宋体" w:hAnsi="宋体"/>
                <w:color w:val="000000"/>
                <w:sz w:val="20"/>
                <w:szCs w:val="20"/>
              </w:rPr>
            </w:pPr>
          </w:p>
        </w:tc>
        <w:tc>
          <w:tcPr>
            <w:tcW w:w="1321" w:type="dxa"/>
            <w:tcBorders>
              <w:top w:val="nil"/>
              <w:left w:val="nil"/>
              <w:bottom w:val="nil"/>
              <w:right w:val="nil"/>
            </w:tcBorders>
            <w:shd w:val="clear" w:color="auto" w:fill="FFFFFF"/>
            <w:vAlign w:val="center"/>
          </w:tcPr>
          <w:p>
            <w:pPr>
              <w:jc w:val="center"/>
              <w:rPr>
                <w:rFonts w:ascii="宋体" w:eastAsia="宋体" w:cs="宋体" w:hAnsi="宋体"/>
                <w:color w:val="000000"/>
                <w:sz w:val="20"/>
                <w:szCs w:val="20"/>
              </w:rPr>
            </w:pPr>
          </w:p>
        </w:tc>
        <w:tc>
          <w:tcPr>
            <w:tcW w:w="1996" w:type="dxa"/>
            <w:tcBorders>
              <w:top w:val="nil"/>
              <w:left w:val="nil"/>
              <w:bottom w:val="nil"/>
              <w:right w:val="nil"/>
            </w:tcBorders>
            <w:shd w:val="clear" w:color="auto" w:fill="FFFFFF"/>
            <w:vAlign w:val="center"/>
          </w:tcPr>
          <w:p>
            <w:pPr>
              <w:rPr>
                <w:rFonts w:ascii="宋体" w:eastAsia="宋体" w:cs="宋体" w:hAnsi="宋体"/>
                <w:color w:val="000000"/>
                <w:sz w:val="20"/>
                <w:szCs w:val="20"/>
              </w:rPr>
            </w:pPr>
          </w:p>
        </w:tc>
        <w:tc>
          <w:tcPr>
            <w:tcW w:w="1080" w:type="dxa"/>
            <w:tcBorders>
              <w:top w:val="nil"/>
              <w:left w:val="nil"/>
              <w:bottom w:val="nil"/>
              <w:right w:val="nil"/>
            </w:tcBorders>
            <w:shd w:val="clear" w:color="auto" w:fill="FFFFFF"/>
            <w:vAlign w:val="center"/>
          </w:tcPr>
          <w:p>
            <w:pPr>
              <w:rPr>
                <w:rFonts w:ascii="宋体" w:eastAsia="宋体" w:cs="宋体" w:hAnsi="宋体"/>
                <w:color w:val="000000"/>
                <w:sz w:val="20"/>
                <w:szCs w:val="20"/>
              </w:rPr>
            </w:pPr>
            <w:r>
              <w:rPr>
                <w:rFonts w:ascii="宋体" w:eastAsia="宋体" w:cs="宋体" w:hAnsi="宋体" w:hint="eastAsia"/>
                <w:color w:val="000000"/>
                <w:sz w:val="20"/>
                <w:szCs w:val="20"/>
              </w:rPr>
              <w:t>2022年度</w:t>
            </w:r>
          </w:p>
        </w:tc>
        <w:tc>
          <w:tcPr>
            <w:tcW w:w="1080" w:type="dxa"/>
            <w:tcBorders>
              <w:top w:val="nil"/>
              <w:left w:val="nil"/>
              <w:bottom w:val="nil"/>
              <w:right w:val="nil"/>
            </w:tcBorders>
            <w:shd w:val="clear" w:color="auto" w:fill="FFFFFF"/>
            <w:vAlign w:val="center"/>
          </w:tcPr>
          <w:p>
            <w:pPr>
              <w:rPr>
                <w:rFonts w:ascii="宋体" w:eastAsia="宋体" w:cs="宋体" w:hAnsi="宋体"/>
                <w:color w:val="000000"/>
                <w:sz w:val="20"/>
                <w:szCs w:val="20"/>
              </w:rPr>
            </w:pPr>
          </w:p>
        </w:tc>
        <w:tc>
          <w:tcPr>
            <w:tcW w:w="1080" w:type="dxa"/>
            <w:tcBorders>
              <w:top w:val="nil"/>
              <w:left w:val="nil"/>
              <w:bottom w:val="nil"/>
              <w:right w:val="nil"/>
            </w:tcBorders>
            <w:shd w:val="clear" w:color="auto" w:fill="FFFFFF"/>
            <w:vAlign w:val="center"/>
          </w:tcPr>
          <w:p>
            <w:pPr>
              <w:rPr>
                <w:rFonts w:ascii="宋体" w:eastAsia="宋体" w:cs="宋体" w:hAnsi="宋体"/>
                <w:color w:val="000000"/>
                <w:sz w:val="20"/>
                <w:szCs w:val="20"/>
              </w:rPr>
            </w:pPr>
          </w:p>
        </w:tc>
        <w:tc>
          <w:tcPr>
            <w:tcW w:w="1081" w:type="dxa"/>
            <w:tcBorders>
              <w:top w:val="nil"/>
              <w:left w:val="nil"/>
              <w:bottom w:val="nil"/>
              <w:right w:val="nil"/>
            </w:tcBorders>
            <w:shd w:val="clear" w:color="auto" w:fill="FFFFFF"/>
            <w:vAlign w:val="center"/>
          </w:tcPr>
          <w:p>
            <w:pPr>
              <w:rPr>
                <w:rFonts w:ascii="宋体" w:eastAsia="宋体" w:cs="宋体" w:hAnsi="宋体"/>
                <w:color w:val="000000"/>
                <w:sz w:val="20"/>
                <w:szCs w:val="20"/>
              </w:rPr>
            </w:pPr>
          </w:p>
        </w:tc>
        <w:tc>
          <w:tcPr>
            <w:tcW w:w="1077" w:type="dxa"/>
            <w:tcBorders>
              <w:top w:val="nil"/>
              <w:left w:val="nil"/>
              <w:bottom w:val="nil"/>
              <w:right w:val="nil"/>
            </w:tcBorders>
            <w:shd w:val="clear" w:color="auto" w:fill="FFFFFF"/>
            <w:vAlign w:val="center"/>
          </w:tcPr>
          <w:p>
            <w:pPr>
              <w:widowControl/>
              <w:jc w:val="righ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单位：万元</w:t>
            </w:r>
          </w:p>
        </w:tc>
      </w:tr>
      <w:tr>
        <w:trPr>
          <w:trHeight w:val="405"/>
        </w:trPr>
        <w:tc>
          <w:tcPr>
            <w:tcW w:w="29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 xml:space="preserve">项 </w:t>
            </w:r>
            <w:r>
              <w:rPr>
                <w:rFonts w:ascii="宋体" w:eastAsia="宋体" w:cs="宋体" w:hAnsi="宋体" w:hint="eastAsia"/>
                <w:color w:val="000000"/>
                <w:kern w:val="0"/>
                <w:sz w:val="22"/>
              </w:rPr>
              <w:t xml:space="preserve">   </w:t>
            </w:r>
            <w:r>
              <w:rPr>
                <w:rStyle w:val="23"/>
              </w:rPr>
              <w:t>目</w:t>
            </w:r>
          </w:p>
        </w:tc>
        <w:tc>
          <w:tcPr>
            <w:tcW w:w="19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年初结转和结余</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本年收入</w:t>
            </w:r>
          </w:p>
        </w:tc>
        <w:tc>
          <w:tcPr>
            <w:tcW w:w="32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本年支出</w:t>
            </w:r>
          </w:p>
        </w:tc>
        <w:tc>
          <w:tcPr>
            <w:tcW w:w="10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年末结转和结余</w:t>
            </w:r>
          </w:p>
        </w:tc>
      </w:tr>
      <w:tr>
        <w:trPr>
          <w:trHeight w:val="540"/>
        </w:trPr>
        <w:tc>
          <w:tcPr>
            <w:tcW w:w="16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科目代码</w:t>
            </w:r>
          </w:p>
        </w:tc>
        <w:tc>
          <w:tcPr>
            <w:tcW w:w="13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科目名称</w:t>
            </w:r>
          </w:p>
        </w:tc>
        <w:tc>
          <w:tcPr>
            <w:tcW w:w="1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小计</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 xml:space="preserve">基本支出  </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项目支出</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60"/>
        </w:trPr>
        <w:tc>
          <w:tcPr>
            <w:tcW w:w="16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0"/>
        </w:trPr>
        <w:tc>
          <w:tcPr>
            <w:tcW w:w="16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0"/>
        </w:trPr>
        <w:tc>
          <w:tcPr>
            <w:tcW w:w="29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栏次</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4</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5</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6</w:t>
            </w:r>
          </w:p>
        </w:tc>
      </w:tr>
      <w:tr>
        <w:trPr>
          <w:trHeight w:val="450"/>
        </w:trPr>
        <w:tc>
          <w:tcPr>
            <w:tcW w:w="29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合计</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4"/>
              </w:rPr>
            </w:pPr>
          </w:p>
        </w:tc>
      </w:tr>
      <w:tr>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0"/>
                <w:szCs w:val="20"/>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r>
      <w:tr>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r>
      <w:tr>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0"/>
                <w:szCs w:val="20"/>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r>
      <w:tr>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r>
      <w:tr>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r>
      <w:tr>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r>
      <w:tr>
        <w:trPr>
          <w:trHeight w:val="645"/>
        </w:trPr>
        <w:tc>
          <w:tcPr>
            <w:tcW w:w="10350" w:type="dxa"/>
            <w:gridSpan w:val="9"/>
            <w:tcBorders>
              <w:top w:val="nil"/>
              <w:left w:val="nil"/>
              <w:bottom w:val="nil"/>
              <w:right w:val="nil"/>
            </w:tcBorders>
            <w:shd w:val="clear" w:color="auto" w:fill="auto"/>
            <w:vAlign w:val="center"/>
          </w:tcPr>
          <w:p>
            <w:pPr>
              <w:rPr>
                <w:rFonts w:ascii="宋体" w:cs="宋体" w:hAnsi="宋体" w:hint="eastAsia"/>
                <w:color w:val="000000"/>
                <w:kern w:val="0"/>
                <w:sz w:val="24"/>
                <w:szCs w:val="24"/>
              </w:rPr>
            </w:pPr>
            <w:r>
              <w:rPr>
                <w:rFonts w:ascii="宋体" w:cs="宋体" w:hAnsi="宋体" w:hint="eastAsia"/>
                <w:color w:val="000000"/>
                <w:kern w:val="0"/>
                <w:sz w:val="24"/>
                <w:szCs w:val="24"/>
              </w:rPr>
              <w:t>注：本部门本年度无政府性基金预算财政拨款收入、支出及结转和结余情况，空表列示。</w:t>
            </w:r>
          </w:p>
          <w:p>
            <w:pPr>
              <w:widowControl/>
              <w:jc w:val="left"/>
              <w:textAlignment w:val="center"/>
              <w:rPr>
                <w:rFonts w:ascii="宋体" w:cs="宋体" w:hAnsi="宋体" w:hint="eastAsia"/>
                <w:color w:val="000000"/>
                <w:kern w:val="0"/>
                <w:sz w:val="24"/>
                <w:szCs w:val="24"/>
              </w:rPr>
            </w:pPr>
          </w:p>
        </w:tc>
      </w:tr>
    </w:tbl>
    <w:p>
      <w:pPr>
        <w:sectPr>
          <w:pgSz w:w="11906" w:h="16838"/>
          <w:pgMar w:top="567" w:right="567" w:bottom="567" w:left="567" w:header="851" w:footer="992" w:gutter="0"/>
          <w:docGrid w:type="lines" w:linePitch="312" w:charSpace="0"/>
        </w:sectPr>
      </w:pPr>
    </w:p>
    <w:tbl>
      <w:tblPr>
        <w:jc w:val="left"/>
        <w:tblW w:w="10422" w:type="dxa"/>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1016"/>
        <w:gridCol w:w="176"/>
        <w:gridCol w:w="819"/>
        <w:gridCol w:w="1056"/>
        <w:gridCol w:w="2419"/>
        <w:gridCol w:w="762"/>
        <w:gridCol w:w="1036"/>
        <w:gridCol w:w="977"/>
        <w:gridCol w:w="2161"/>
      </w:tblGrid>
      <w:tr>
        <w:trPr>
          <w:trHeight w:val="720"/>
        </w:trPr>
        <w:tc>
          <w:tcPr>
            <w:tcW w:w="10422" w:type="dxa"/>
            <w:gridSpan w:val="9"/>
            <w:tcBorders>
              <w:top w:val="nil"/>
              <w:left w:val="nil"/>
              <w:bottom w:val="nil"/>
              <w:right w:val="nil"/>
            </w:tcBorders>
            <w:shd w:val="clear" w:color="auto" w:fill="FFFFFF"/>
            <w:vAlign w:val="center"/>
          </w:tcPr>
          <w:p>
            <w:pPr>
              <w:widowControl/>
              <w:jc w:val="center"/>
              <w:textAlignment w:val="center"/>
              <w:rPr>
                <w:rFonts w:ascii="华文中宋" w:eastAsia="华文中宋" w:cs="华文中宋" w:hAnsi="华文中宋"/>
                <w:color w:val="000000"/>
                <w:sz w:val="32"/>
                <w:szCs w:val="32"/>
              </w:rPr>
            </w:pPr>
            <w:r>
              <w:rPr>
                <w:rFonts w:ascii="华文中宋" w:eastAsia="华文中宋" w:cs="华文中宋" w:hAnsi="华文中宋" w:hint="eastAsia"/>
                <w:color w:val="000000"/>
                <w:kern w:val="0"/>
                <w:sz w:val="32"/>
                <w:szCs w:val="32"/>
              </w:rPr>
              <w:t>国有资本经营预算财政拨款支出决算表</w:t>
            </w:r>
          </w:p>
        </w:tc>
      </w:tr>
      <w:tr>
        <w:trPr>
          <w:trHeight w:val="286"/>
        </w:trPr>
        <w:tc>
          <w:tcPr>
            <w:tcW w:w="1016" w:type="dxa"/>
            <w:tcBorders>
              <w:top w:val="nil"/>
              <w:left w:val="nil"/>
              <w:bottom w:val="nil"/>
              <w:right w:val="nil"/>
            </w:tcBorders>
            <w:shd w:val="clear" w:color="auto" w:fill="FFFFFF"/>
            <w:vAlign w:val="center"/>
          </w:tcPr>
          <w:p>
            <w:pPr>
              <w:jc w:val="center"/>
              <w:rPr>
                <w:rFonts w:ascii="宋体" w:eastAsia="宋体" w:cs="宋体" w:hAnsi="宋体"/>
                <w:color w:val="000000"/>
                <w:sz w:val="20"/>
                <w:szCs w:val="20"/>
              </w:rPr>
            </w:pPr>
          </w:p>
        </w:tc>
        <w:tc>
          <w:tcPr>
            <w:tcW w:w="995" w:type="dxa"/>
            <w:gridSpan w:val="2"/>
            <w:tcBorders>
              <w:top w:val="nil"/>
              <w:left w:val="nil"/>
              <w:bottom w:val="nil"/>
              <w:right w:val="nil"/>
            </w:tcBorders>
            <w:shd w:val="clear" w:color="auto" w:fill="FFFFFF"/>
            <w:vAlign w:val="center"/>
          </w:tcPr>
          <w:p>
            <w:pPr>
              <w:jc w:val="center"/>
              <w:rPr>
                <w:rFonts w:ascii="宋体" w:eastAsia="宋体" w:cs="宋体" w:hAnsi="宋体"/>
                <w:color w:val="000000"/>
                <w:sz w:val="20"/>
                <w:szCs w:val="20"/>
              </w:rPr>
            </w:pPr>
          </w:p>
        </w:tc>
        <w:tc>
          <w:tcPr>
            <w:tcW w:w="1056" w:type="dxa"/>
            <w:tcBorders>
              <w:top w:val="nil"/>
              <w:left w:val="nil"/>
              <w:bottom w:val="nil"/>
              <w:right w:val="nil"/>
            </w:tcBorders>
            <w:shd w:val="clear" w:color="auto" w:fill="FFFFFF"/>
            <w:vAlign w:val="center"/>
          </w:tcPr>
          <w:p>
            <w:pPr>
              <w:jc w:val="center"/>
              <w:rPr>
                <w:rFonts w:ascii="宋体" w:eastAsia="宋体" w:cs="宋体" w:hAnsi="宋体"/>
                <w:color w:val="000000"/>
                <w:sz w:val="20"/>
                <w:szCs w:val="20"/>
              </w:rPr>
            </w:pPr>
          </w:p>
        </w:tc>
        <w:tc>
          <w:tcPr>
            <w:tcW w:w="3181" w:type="dxa"/>
            <w:gridSpan w:val="2"/>
            <w:tcBorders>
              <w:top w:val="nil"/>
              <w:left w:val="nil"/>
              <w:bottom w:val="nil"/>
              <w:right w:val="nil"/>
            </w:tcBorders>
            <w:shd w:val="clear" w:color="auto" w:fill="FFFFFF"/>
            <w:vAlign w:val="center"/>
          </w:tcPr>
          <w:p>
            <w:pPr>
              <w:rPr>
                <w:rFonts w:ascii="宋体" w:eastAsia="宋体" w:cs="宋体" w:hAnsi="宋体"/>
                <w:color w:val="000000"/>
                <w:sz w:val="20"/>
                <w:szCs w:val="20"/>
              </w:rPr>
            </w:pPr>
          </w:p>
        </w:tc>
        <w:tc>
          <w:tcPr>
            <w:tcW w:w="1036" w:type="dxa"/>
            <w:tcBorders>
              <w:top w:val="nil"/>
              <w:left w:val="nil"/>
              <w:bottom w:val="nil"/>
              <w:right w:val="nil"/>
            </w:tcBorders>
            <w:shd w:val="clear" w:color="auto" w:fill="FFFFFF"/>
            <w:vAlign w:val="center"/>
          </w:tcPr>
          <w:p>
            <w:pPr>
              <w:rPr>
                <w:rFonts w:ascii="宋体" w:eastAsia="宋体" w:cs="宋体" w:hAnsi="宋体"/>
                <w:color w:val="000000"/>
                <w:sz w:val="20"/>
                <w:szCs w:val="20"/>
              </w:rPr>
            </w:pPr>
          </w:p>
        </w:tc>
        <w:tc>
          <w:tcPr>
            <w:tcW w:w="3138" w:type="dxa"/>
            <w:gridSpan w:val="2"/>
            <w:tcBorders>
              <w:top w:val="nil"/>
              <w:left w:val="nil"/>
              <w:bottom w:val="nil"/>
              <w:right w:val="nil"/>
            </w:tcBorders>
            <w:shd w:val="clear" w:color="auto" w:fill="FFFFFF"/>
            <w:vAlign w:val="center"/>
          </w:tcPr>
          <w:p>
            <w:pPr>
              <w:widowControl/>
              <w:jc w:val="righ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公开08表</w:t>
            </w:r>
          </w:p>
        </w:tc>
      </w:tr>
      <w:tr>
        <w:trPr>
          <w:trHeight w:val="286"/>
        </w:trPr>
        <w:tc>
          <w:tcPr>
            <w:tcW w:w="1016" w:type="dxa"/>
            <w:tcBorders>
              <w:top w:val="nil"/>
              <w:left w:val="nil"/>
              <w:bottom w:val="nil"/>
              <w:right w:val="nil"/>
            </w:tcBorders>
            <w:shd w:val="clear" w:color="auto" w:fill="FFFFFF"/>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部门：</w:t>
            </w:r>
          </w:p>
        </w:tc>
        <w:tc>
          <w:tcPr>
            <w:tcW w:w="995" w:type="dxa"/>
            <w:gridSpan w:val="2"/>
            <w:tcBorders>
              <w:top w:val="nil"/>
              <w:left w:val="nil"/>
              <w:bottom w:val="nil"/>
              <w:right w:val="nil"/>
            </w:tcBorders>
            <w:shd w:val="clear" w:color="auto" w:fill="FFFFFF"/>
            <w:vAlign w:val="center"/>
          </w:tcPr>
          <w:p>
            <w:pPr>
              <w:jc w:val="center"/>
              <w:rPr>
                <w:rFonts w:ascii="宋体" w:eastAsia="宋体" w:cs="宋体" w:hAnsi="宋体"/>
                <w:color w:val="000000"/>
                <w:sz w:val="20"/>
                <w:szCs w:val="20"/>
              </w:rPr>
            </w:pPr>
          </w:p>
        </w:tc>
        <w:tc>
          <w:tcPr>
            <w:tcW w:w="1056" w:type="dxa"/>
            <w:tcBorders>
              <w:top w:val="nil"/>
              <w:left w:val="nil"/>
              <w:bottom w:val="nil"/>
              <w:right w:val="nil"/>
            </w:tcBorders>
            <w:shd w:val="clear" w:color="auto" w:fill="FFFFFF"/>
            <w:vAlign w:val="center"/>
          </w:tcPr>
          <w:p>
            <w:pPr>
              <w:jc w:val="center"/>
              <w:rPr>
                <w:rFonts w:ascii="宋体" w:eastAsia="宋体" w:cs="宋体" w:hAnsi="宋体"/>
                <w:color w:val="000000"/>
                <w:sz w:val="20"/>
                <w:szCs w:val="20"/>
              </w:rPr>
            </w:pPr>
          </w:p>
        </w:tc>
        <w:tc>
          <w:tcPr>
            <w:tcW w:w="3181" w:type="dxa"/>
            <w:gridSpan w:val="2"/>
            <w:tcBorders>
              <w:top w:val="nil"/>
              <w:left w:val="nil"/>
              <w:bottom w:val="nil"/>
              <w:right w:val="nil"/>
            </w:tcBorders>
            <w:shd w:val="clear" w:color="auto" w:fill="FFFFFF"/>
            <w:vAlign w:val="center"/>
          </w:tcPr>
          <w:p>
            <w:pPr>
              <w:ind w:firstLineChars="900" w:firstLine="1800"/>
              <w:rPr>
                <w:rFonts w:ascii="宋体" w:eastAsia="宋体" w:cs="宋体" w:hAnsi="宋体"/>
                <w:color w:val="000000"/>
                <w:sz w:val="20"/>
                <w:szCs w:val="20"/>
              </w:rPr>
            </w:pPr>
            <w:r>
              <w:rPr>
                <w:rFonts w:ascii="宋体" w:eastAsia="宋体" w:cs="宋体" w:hAnsi="宋体" w:hint="eastAsia"/>
                <w:color w:val="000000"/>
                <w:sz w:val="20"/>
                <w:szCs w:val="20"/>
              </w:rPr>
              <w:t>2022年度</w:t>
            </w:r>
          </w:p>
        </w:tc>
        <w:tc>
          <w:tcPr>
            <w:tcW w:w="1036" w:type="dxa"/>
            <w:tcBorders>
              <w:top w:val="nil"/>
              <w:left w:val="nil"/>
              <w:bottom w:val="nil"/>
              <w:right w:val="nil"/>
            </w:tcBorders>
            <w:shd w:val="clear" w:color="auto" w:fill="FFFFFF"/>
            <w:vAlign w:val="center"/>
          </w:tcPr>
          <w:p>
            <w:pPr>
              <w:rPr>
                <w:rFonts w:ascii="宋体" w:eastAsia="宋体" w:cs="宋体" w:hAnsi="宋体"/>
                <w:color w:val="000000"/>
                <w:sz w:val="20"/>
                <w:szCs w:val="20"/>
              </w:rPr>
            </w:pPr>
          </w:p>
        </w:tc>
        <w:tc>
          <w:tcPr>
            <w:tcW w:w="3138" w:type="dxa"/>
            <w:gridSpan w:val="2"/>
            <w:tcBorders>
              <w:top w:val="nil"/>
              <w:left w:val="nil"/>
              <w:bottom w:val="nil"/>
              <w:right w:val="nil"/>
            </w:tcBorders>
            <w:shd w:val="clear" w:color="auto" w:fill="FFFFFF"/>
            <w:vAlign w:val="center"/>
          </w:tcPr>
          <w:p>
            <w:pPr>
              <w:widowControl/>
              <w:jc w:val="righ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单位：万元</w:t>
            </w:r>
          </w:p>
        </w:tc>
      </w:tr>
      <w:tr>
        <w:trPr>
          <w:trHeight w:val="390"/>
        </w:trPr>
        <w:tc>
          <w:tcPr>
            <w:tcW w:w="30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 xml:space="preserve">项 </w:t>
            </w:r>
            <w:r>
              <w:rPr>
                <w:rFonts w:ascii="宋体" w:eastAsia="宋体" w:cs="宋体" w:hAnsi="宋体" w:hint="eastAsia"/>
                <w:color w:val="000000"/>
                <w:kern w:val="0"/>
                <w:sz w:val="22"/>
              </w:rPr>
              <w:t xml:space="preserve">   </w:t>
            </w:r>
            <w:r>
              <w:rPr>
                <w:rFonts w:ascii="宋体" w:eastAsia="宋体" w:cs="宋体" w:hAnsi="宋体" w:hint="eastAsia"/>
                <w:color w:val="000000"/>
                <w:kern w:val="0"/>
                <w:sz w:val="24"/>
                <w:szCs w:val="24"/>
              </w:rPr>
              <w:t>目</w:t>
            </w:r>
          </w:p>
        </w:tc>
        <w:tc>
          <w:tcPr>
            <w:tcW w:w="73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本年支出</w:t>
            </w:r>
          </w:p>
        </w:tc>
      </w:tr>
      <w:tr>
        <w:trPr>
          <w:trHeight w:val="390"/>
        </w:trPr>
        <w:tc>
          <w:tcPr>
            <w:tcW w:w="1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科目代码</w:t>
            </w:r>
          </w:p>
        </w:tc>
        <w:tc>
          <w:tcPr>
            <w:tcW w:w="18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科目名称</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合计</w:t>
            </w:r>
          </w:p>
        </w:tc>
        <w:tc>
          <w:tcPr>
            <w:tcW w:w="277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 xml:space="preserve">基本支出  </w:t>
            </w:r>
          </w:p>
        </w:tc>
        <w:tc>
          <w:tcPr>
            <w:tcW w:w="21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项目支出</w:t>
            </w:r>
          </w:p>
        </w:tc>
      </w:tr>
      <w:tr>
        <w:trPr>
          <w:trHeight w:val="390"/>
        </w:trPr>
        <w:tc>
          <w:tcPr>
            <w:tcW w:w="1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77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12"/>
        </w:trPr>
        <w:tc>
          <w:tcPr>
            <w:tcW w:w="1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77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90"/>
        </w:trPr>
        <w:tc>
          <w:tcPr>
            <w:tcW w:w="30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栏次</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1</w:t>
            </w: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2</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3</w:t>
            </w:r>
          </w:p>
        </w:tc>
      </w:tr>
      <w:tr>
        <w:trPr>
          <w:trHeight w:val="390"/>
        </w:trPr>
        <w:tc>
          <w:tcPr>
            <w:tcW w:w="30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4"/>
              </w:rPr>
            </w:pPr>
            <w:r>
              <w:rPr>
                <w:rFonts w:ascii="宋体" w:eastAsia="宋体" w:cs="宋体" w:hAnsi="宋体" w:hint="eastAsia"/>
                <w:color w:val="000000"/>
                <w:kern w:val="0"/>
                <w:sz w:val="24"/>
                <w:szCs w:val="24"/>
              </w:rPr>
              <w:t>合计</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4"/>
              </w:rPr>
            </w:pPr>
          </w:p>
        </w:tc>
      </w:tr>
      <w:tr>
        <w:trPr>
          <w:trHeight w:val="390"/>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r>
      <w:tr>
        <w:trPr>
          <w:trHeight w:val="390"/>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r>
      <w:tr>
        <w:trPr>
          <w:trHeight w:val="390"/>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r>
      <w:tr>
        <w:trPr>
          <w:trHeight w:val="390"/>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r>
      <w:tr>
        <w:trPr>
          <w:trHeight w:val="390"/>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r>
      <w:tr>
        <w:trPr>
          <w:trHeight w:val="390"/>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4"/>
              </w:rPr>
            </w:pPr>
          </w:p>
        </w:tc>
      </w:tr>
      <w:tr>
        <w:trPr>
          <w:trHeight w:val="720"/>
        </w:trPr>
        <w:tc>
          <w:tcPr>
            <w:tcW w:w="10422" w:type="dxa"/>
            <w:gridSpan w:val="9"/>
            <w:tcBorders>
              <w:top w:val="nil"/>
              <w:left w:val="nil"/>
              <w:bottom w:val="nil"/>
              <w:right w:val="nil"/>
            </w:tcBorders>
            <w:shd w:val="clear" w:color="auto" w:fill="auto"/>
            <w:vAlign w:val="center"/>
          </w:tcPr>
          <w:p>
            <w:pPr>
              <w:rPr>
                <w:b/>
              </w:rPr>
            </w:pPr>
            <w:r>
              <w:rPr>
                <w:rFonts w:ascii="宋体" w:eastAsia="宋体" w:cs="宋体" w:hAnsi="宋体" w:hint="eastAsia"/>
                <w:color w:val="000000"/>
                <w:kern w:val="0"/>
                <w:sz w:val="24"/>
                <w:szCs w:val="24"/>
              </w:rPr>
              <w:t>注：</w:t>
            </w:r>
            <w:r>
              <w:rPr>
                <w:rFonts w:ascii="宋体" w:eastAsia="宋体" w:cs="宋体" w:hAnsi="宋体"/>
                <w:color w:val="000000"/>
                <w:kern w:val="0"/>
                <w:sz w:val="24"/>
                <w:szCs w:val="24"/>
              </w:rPr>
              <w:t>本</w:t>
            </w:r>
            <w:r>
              <w:rPr>
                <w:rFonts w:ascii="宋体" w:eastAsia="宋体" w:cs="宋体" w:hAnsi="宋体" w:hint="eastAsia"/>
                <w:color w:val="000000"/>
                <w:kern w:val="0"/>
                <w:sz w:val="24"/>
                <w:szCs w:val="24"/>
              </w:rPr>
              <w:t>部门本年度</w:t>
            </w:r>
            <w:r>
              <w:rPr>
                <w:rFonts w:ascii="宋体" w:eastAsia="宋体" w:cs="宋体" w:hAnsi="宋体"/>
                <w:color w:val="000000"/>
                <w:kern w:val="0"/>
                <w:sz w:val="24"/>
                <w:szCs w:val="24"/>
              </w:rPr>
              <w:t>无</w:t>
            </w:r>
            <w:r>
              <w:rPr>
                <w:rFonts w:ascii="宋体" w:eastAsia="宋体" w:cs="宋体" w:hAnsi="宋体" w:hint="eastAsia"/>
                <w:color w:val="000000"/>
                <w:kern w:val="0"/>
                <w:sz w:val="24"/>
                <w:szCs w:val="24"/>
              </w:rPr>
              <w:t>国有资本经营预算财政拨款支出情况</w:t>
            </w:r>
            <w:r>
              <w:rPr>
                <w:rFonts w:ascii="宋体" w:eastAsia="宋体" w:cs="宋体" w:hAnsi="宋体"/>
                <w:color w:val="000000"/>
                <w:kern w:val="0"/>
                <w:sz w:val="24"/>
                <w:szCs w:val="24"/>
              </w:rPr>
              <w:t>，空表列示</w:t>
            </w:r>
            <w:r>
              <w:rPr>
                <w:rFonts w:ascii="宋体" w:eastAsia="宋体" w:cs="宋体" w:hAnsi="宋体" w:hint="eastAsia"/>
                <w:color w:val="000000"/>
                <w:kern w:val="0"/>
                <w:sz w:val="24"/>
                <w:szCs w:val="24"/>
              </w:rPr>
              <w:t>。</w:t>
            </w:r>
          </w:p>
          <w:p>
            <w:pPr>
              <w:widowControl/>
              <w:jc w:val="left"/>
              <w:textAlignment w:val="center"/>
              <w:rPr>
                <w:rFonts w:ascii="宋体" w:eastAsia="宋体" w:cs="宋体" w:hAnsi="宋体"/>
                <w:color w:val="000000"/>
                <w:sz w:val="24"/>
              </w:rPr>
            </w:pPr>
          </w:p>
        </w:tc>
      </w:tr>
    </w:tbl>
    <w:p>
      <w:pPr>
        <w:sectPr>
          <w:pgSz w:w="11906" w:h="16838"/>
          <w:pgMar w:top="567" w:right="567" w:bottom="567" w:left="567" w:header="851" w:footer="992" w:gutter="0"/>
          <w:docGrid w:type="lines" w:linePitch="312" w:charSpace="0"/>
        </w:sectPr>
      </w:pPr>
    </w:p>
    <w:tbl>
      <w:tblPr>
        <w:jc w:val="left"/>
        <w:tblInd w:w="-552" w:type="dxa"/>
        <w:tblW w:w="13090" w:type="dxa"/>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723"/>
        <w:gridCol w:w="468"/>
        <w:gridCol w:w="357"/>
        <w:gridCol w:w="711"/>
        <w:gridCol w:w="77"/>
        <w:gridCol w:w="881"/>
        <w:gridCol w:w="97"/>
        <w:gridCol w:w="803"/>
        <w:gridCol w:w="252"/>
        <w:gridCol w:w="1056"/>
        <w:gridCol w:w="240"/>
        <w:gridCol w:w="740"/>
        <w:gridCol w:w="768"/>
        <w:gridCol w:w="492"/>
        <w:gridCol w:w="165"/>
        <w:gridCol w:w="731"/>
        <w:gridCol w:w="172"/>
        <w:gridCol w:w="803"/>
        <w:gridCol w:w="252"/>
        <w:gridCol w:w="939"/>
        <w:gridCol w:w="116"/>
        <w:gridCol w:w="240"/>
        <w:gridCol w:w="240"/>
        <w:gridCol w:w="1767"/>
      </w:tblGrid>
      <w:tr>
        <w:trPr>
          <w:trHeight w:val="600"/>
          <w:gridAfter w:val="4"/>
          <w:wAfter w:w="2363" w:type="dxa"/>
        </w:trPr>
        <w:tc>
          <w:tcPr>
            <w:tcW w:w="10727" w:type="dxa"/>
            <w:gridSpan w:val="20"/>
            <w:tcBorders>
              <w:top w:val="nil"/>
              <w:left w:val="nil"/>
              <w:bottom w:val="nil"/>
              <w:right w:val="nil"/>
            </w:tcBorders>
            <w:shd w:val="clear" w:color="auto" w:fill="FFFFFF"/>
            <w:vAlign w:val="center"/>
          </w:tcPr>
          <w:p>
            <w:pPr>
              <w:widowControl/>
              <w:jc w:val="center"/>
              <w:textAlignment w:val="center"/>
              <w:rPr>
                <w:rFonts w:ascii="华文中宋" w:eastAsia="华文中宋" w:cs="华文中宋" w:hAnsi="华文中宋"/>
                <w:color w:val="000000"/>
                <w:sz w:val="32"/>
                <w:szCs w:val="32"/>
              </w:rPr>
            </w:pPr>
            <w:r>
              <w:rPr>
                <w:rFonts w:ascii="华文中宋" w:eastAsia="华文中宋" w:cs="华文中宋" w:hAnsi="华文中宋" w:hint="eastAsia"/>
                <w:color w:val="000000"/>
                <w:kern w:val="0"/>
                <w:sz w:val="32"/>
                <w:szCs w:val="32"/>
              </w:rPr>
              <w:t>财政拨款“三公”经费支出决算表</w:t>
            </w:r>
          </w:p>
        </w:tc>
      </w:tr>
      <w:tr>
        <w:trPr>
          <w:trHeight w:val="211"/>
          <w:gridAfter w:val="1"/>
          <w:wAfter w:w="1767" w:type="dxa"/>
        </w:trPr>
        <w:tc>
          <w:tcPr>
            <w:tcW w:w="1191" w:type="dxa"/>
            <w:gridSpan w:val="2"/>
            <w:tcBorders>
              <w:top w:val="nil"/>
              <w:left w:val="nil"/>
              <w:bottom w:val="nil"/>
              <w:right w:val="nil"/>
            </w:tcBorders>
            <w:shd w:val="clear" w:color="auto" w:fill="auto"/>
            <w:vAlign w:val="center"/>
          </w:tcPr>
          <w:p>
            <w:pPr>
              <w:jc w:val="center"/>
              <w:rPr>
                <w:rFonts w:ascii="宋体" w:eastAsia="宋体" w:cs="宋体" w:hAnsi="宋体"/>
                <w:color w:val="000000"/>
                <w:sz w:val="24"/>
              </w:rPr>
            </w:pPr>
          </w:p>
        </w:tc>
        <w:tc>
          <w:tcPr>
            <w:tcW w:w="1068" w:type="dxa"/>
            <w:gridSpan w:val="2"/>
            <w:tcBorders>
              <w:top w:val="nil"/>
              <w:left w:val="nil"/>
              <w:bottom w:val="nil"/>
              <w:right w:val="nil"/>
            </w:tcBorders>
            <w:shd w:val="clear" w:color="auto" w:fill="auto"/>
            <w:vAlign w:val="center"/>
          </w:tcPr>
          <w:p>
            <w:pPr>
              <w:jc w:val="center"/>
              <w:rPr>
                <w:rFonts w:ascii="宋体" w:eastAsia="宋体" w:cs="宋体" w:hAnsi="宋体"/>
                <w:color w:val="000000"/>
                <w:sz w:val="24"/>
              </w:rPr>
            </w:pPr>
          </w:p>
        </w:tc>
        <w:tc>
          <w:tcPr>
            <w:tcW w:w="1055" w:type="dxa"/>
            <w:gridSpan w:val="3"/>
            <w:tcBorders>
              <w:top w:val="nil"/>
              <w:left w:val="nil"/>
              <w:bottom w:val="nil"/>
              <w:right w:val="nil"/>
            </w:tcBorders>
            <w:shd w:val="clear" w:color="auto" w:fill="auto"/>
            <w:vAlign w:val="center"/>
          </w:tcPr>
          <w:p>
            <w:pPr>
              <w:jc w:val="center"/>
              <w:rPr>
                <w:rFonts w:ascii="宋体" w:eastAsia="宋体" w:cs="宋体" w:hAnsi="宋体"/>
                <w:color w:val="000000"/>
                <w:sz w:val="24"/>
              </w:rPr>
            </w:pPr>
          </w:p>
        </w:tc>
        <w:tc>
          <w:tcPr>
            <w:tcW w:w="1055" w:type="dxa"/>
            <w:gridSpan w:val="2"/>
            <w:tcBorders>
              <w:top w:val="nil"/>
              <w:left w:val="nil"/>
              <w:bottom w:val="nil"/>
              <w:right w:val="nil"/>
            </w:tcBorders>
            <w:shd w:val="clear" w:color="auto" w:fill="auto"/>
            <w:vAlign w:val="center"/>
          </w:tcPr>
          <w:p>
            <w:pPr>
              <w:rPr>
                <w:rFonts w:ascii="宋体" w:eastAsia="宋体" w:cs="宋体" w:hAnsi="宋体"/>
                <w:color w:val="000000"/>
                <w:sz w:val="24"/>
              </w:rPr>
            </w:pPr>
          </w:p>
        </w:tc>
        <w:tc>
          <w:tcPr>
            <w:tcW w:w="1056" w:type="dxa"/>
            <w:tcBorders>
              <w:top w:val="nil"/>
              <w:left w:val="nil"/>
              <w:bottom w:val="nil"/>
              <w:right w:val="nil"/>
            </w:tcBorders>
            <w:shd w:val="clear" w:color="auto" w:fill="auto"/>
            <w:vAlign w:val="center"/>
          </w:tcPr>
          <w:p>
            <w:pPr>
              <w:rPr>
                <w:rFonts w:ascii="宋体" w:eastAsia="宋体" w:cs="宋体" w:hAnsi="宋体"/>
                <w:color w:val="000000"/>
                <w:sz w:val="24"/>
              </w:rPr>
            </w:pPr>
          </w:p>
        </w:tc>
        <w:tc>
          <w:tcPr>
            <w:tcW w:w="240" w:type="dxa"/>
            <w:tcBorders>
              <w:top w:val="nil"/>
              <w:left w:val="nil"/>
              <w:bottom w:val="nil"/>
              <w:right w:val="nil"/>
            </w:tcBorders>
            <w:shd w:val="clear" w:color="auto" w:fill="auto"/>
            <w:vAlign w:val="center"/>
          </w:tcPr>
          <w:p>
            <w:pPr>
              <w:widowControl/>
              <w:jc w:val="right"/>
              <w:textAlignment w:val="center"/>
              <w:rPr>
                <w:rFonts w:ascii="宋体" w:eastAsia="宋体" w:cs="宋体" w:hAnsi="宋体"/>
                <w:color w:val="000000"/>
                <w:sz w:val="24"/>
              </w:rPr>
            </w:pPr>
          </w:p>
        </w:tc>
        <w:tc>
          <w:tcPr>
            <w:tcW w:w="2000" w:type="dxa"/>
            <w:gridSpan w:val="3"/>
            <w:tcBorders>
              <w:top w:val="nil"/>
              <w:left w:val="nil"/>
              <w:bottom w:val="nil"/>
              <w:right w:val="nil"/>
            </w:tcBorders>
            <w:shd w:val="clear" w:color="auto" w:fill="auto"/>
            <w:vAlign w:val="bottom"/>
          </w:tcPr>
          <w:p>
            <w:pPr>
              <w:jc w:val="right"/>
              <w:rPr>
                <w:rFonts w:ascii="宋体" w:eastAsia="宋体" w:cs="宋体" w:hAnsi="宋体"/>
                <w:color w:val="000000"/>
                <w:sz w:val="24"/>
              </w:rPr>
            </w:pPr>
          </w:p>
        </w:tc>
        <w:tc>
          <w:tcPr>
            <w:tcW w:w="1068" w:type="dxa"/>
            <w:gridSpan w:val="3"/>
            <w:tcBorders>
              <w:top w:val="nil"/>
              <w:left w:val="nil"/>
              <w:bottom w:val="nil"/>
              <w:right w:val="nil"/>
            </w:tcBorders>
            <w:shd w:val="clear" w:color="auto" w:fill="auto"/>
            <w:vAlign w:val="bottom"/>
          </w:tcPr>
          <w:p>
            <w:pPr>
              <w:wordWrap w:val="0"/>
              <w:jc w:val="right"/>
              <w:rPr>
                <w:rFonts w:ascii="宋体" w:eastAsia="宋体" w:cs="宋体" w:hAnsi="宋体"/>
                <w:color w:val="000000"/>
                <w:sz w:val="24"/>
              </w:rPr>
            </w:pPr>
            <w:r>
              <w:rPr>
                <w:rFonts w:ascii="宋体" w:eastAsia="宋体" w:cs="宋体" w:hAnsi="宋体" w:hint="eastAsia"/>
                <w:color w:val="000000"/>
                <w:sz w:val="24"/>
                <w:szCs w:val="24"/>
              </w:rPr>
              <w:t xml:space="preserve">    </w:t>
            </w:r>
          </w:p>
        </w:tc>
        <w:tc>
          <w:tcPr>
            <w:tcW w:w="1055" w:type="dxa"/>
            <w:gridSpan w:val="2"/>
            <w:tcBorders>
              <w:top w:val="nil"/>
              <w:left w:val="nil"/>
              <w:bottom w:val="nil"/>
              <w:right w:val="nil"/>
            </w:tcBorders>
            <w:shd w:val="clear" w:color="auto" w:fill="auto"/>
            <w:vAlign w:val="bottom"/>
          </w:tcPr>
          <w:p>
            <w:pPr>
              <w:jc w:val="right"/>
              <w:rPr>
                <w:rFonts w:ascii="宋体" w:eastAsia="宋体" w:cs="宋体" w:hAnsi="宋体"/>
                <w:color w:val="000000"/>
                <w:sz w:val="24"/>
              </w:rPr>
            </w:pPr>
          </w:p>
        </w:tc>
        <w:tc>
          <w:tcPr>
            <w:tcW w:w="1055" w:type="dxa"/>
            <w:gridSpan w:val="2"/>
            <w:tcBorders>
              <w:top w:val="nil"/>
              <w:left w:val="nil"/>
              <w:bottom w:val="nil"/>
              <w:right w:val="nil"/>
            </w:tcBorders>
            <w:shd w:val="clear" w:color="auto" w:fill="auto"/>
            <w:vAlign w:val="bottom"/>
          </w:tcPr>
          <w:p>
            <w:pPr>
              <w:jc w:val="left"/>
              <w:rPr>
                <w:rFonts w:ascii="宋体" w:eastAsia="宋体" w:cs="宋体" w:hAnsi="宋体"/>
                <w:color w:val="000000"/>
                <w:sz w:val="24"/>
              </w:rPr>
            </w:pPr>
            <w:r>
              <w:rPr>
                <w:rFonts w:ascii="宋体" w:eastAsia="宋体" w:cs="宋体" w:hAnsi="宋体" w:hint="eastAsia"/>
                <w:color w:val="000000"/>
                <w:szCs w:val="21"/>
              </w:rPr>
              <w:t>公开09表</w:t>
            </w:r>
          </w:p>
        </w:tc>
        <w:tc>
          <w:tcPr>
            <w:tcW w:w="240" w:type="dxa"/>
            <w:tcBorders>
              <w:top w:val="nil"/>
              <w:left w:val="nil"/>
              <w:bottom w:val="nil"/>
              <w:right w:val="nil"/>
            </w:tcBorders>
            <w:shd w:val="clear" w:color="auto" w:fill="auto"/>
            <w:vAlign w:val="bottom"/>
          </w:tcPr>
          <w:p>
            <w:pPr>
              <w:rPr>
                <w:rFonts w:ascii="宋体" w:eastAsia="宋体" w:cs="宋体" w:hAnsi="宋体"/>
                <w:color w:val="000000"/>
                <w:sz w:val="24"/>
              </w:rPr>
            </w:pPr>
          </w:p>
        </w:tc>
        <w:tc>
          <w:tcPr>
            <w:tcW w:w="240" w:type="dxa"/>
            <w:tcBorders>
              <w:top w:val="nil"/>
              <w:left w:val="nil"/>
              <w:bottom w:val="nil"/>
              <w:right w:val="nil"/>
            </w:tcBorders>
            <w:shd w:val="clear" w:color="auto" w:fill="FFFFFF"/>
            <w:vAlign w:val="center"/>
          </w:tcPr>
          <w:p>
            <w:pPr>
              <w:widowControl/>
              <w:jc w:val="right"/>
              <w:textAlignment w:val="center"/>
              <w:rPr>
                <w:rFonts w:ascii="宋体" w:eastAsia="宋体" w:cs="宋体" w:hAnsi="宋体"/>
                <w:color w:val="000000"/>
                <w:sz w:val="20"/>
                <w:szCs w:val="20"/>
              </w:rPr>
            </w:pPr>
          </w:p>
        </w:tc>
      </w:tr>
      <w:tr>
        <w:trPr>
          <w:trHeight w:val="301"/>
          <w:gridAfter w:val="1"/>
          <w:wAfter w:w="1767" w:type="dxa"/>
        </w:trPr>
        <w:tc>
          <w:tcPr>
            <w:tcW w:w="1191" w:type="dxa"/>
            <w:gridSpan w:val="2"/>
            <w:tcBorders>
              <w:top w:val="nil"/>
              <w:left w:val="nil"/>
              <w:bottom w:val="nil"/>
              <w:right w:val="nil"/>
            </w:tcBorders>
            <w:shd w:val="clear" w:color="auto" w:fill="FFFFFF"/>
            <w:vAlign w:val="center"/>
          </w:tcPr>
          <w:p>
            <w:pPr>
              <w:widowControl/>
              <w:jc w:val="lef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部门：</w:t>
            </w:r>
          </w:p>
        </w:tc>
        <w:tc>
          <w:tcPr>
            <w:tcW w:w="1068" w:type="dxa"/>
            <w:gridSpan w:val="2"/>
            <w:tcBorders>
              <w:top w:val="nil"/>
              <w:left w:val="nil"/>
              <w:bottom w:val="nil"/>
              <w:right w:val="nil"/>
            </w:tcBorders>
            <w:shd w:val="clear" w:color="auto" w:fill="FFFFFF"/>
            <w:vAlign w:val="center"/>
          </w:tcPr>
          <w:p>
            <w:pPr>
              <w:jc w:val="center"/>
              <w:rPr>
                <w:rFonts w:ascii="宋体" w:eastAsia="宋体" w:cs="宋体" w:hAnsi="宋体"/>
                <w:color w:val="000000"/>
                <w:sz w:val="20"/>
                <w:szCs w:val="20"/>
              </w:rPr>
            </w:pPr>
          </w:p>
        </w:tc>
        <w:tc>
          <w:tcPr>
            <w:tcW w:w="1055" w:type="dxa"/>
            <w:gridSpan w:val="3"/>
            <w:tcBorders>
              <w:top w:val="nil"/>
              <w:left w:val="nil"/>
              <w:bottom w:val="nil"/>
              <w:right w:val="nil"/>
            </w:tcBorders>
            <w:shd w:val="clear" w:color="auto" w:fill="FFFFFF"/>
            <w:vAlign w:val="center"/>
          </w:tcPr>
          <w:p>
            <w:pPr>
              <w:jc w:val="center"/>
              <w:rPr>
                <w:rFonts w:ascii="宋体" w:eastAsia="宋体" w:cs="宋体" w:hAnsi="宋体"/>
                <w:color w:val="000000"/>
                <w:sz w:val="20"/>
                <w:szCs w:val="20"/>
              </w:rPr>
            </w:pPr>
          </w:p>
        </w:tc>
        <w:tc>
          <w:tcPr>
            <w:tcW w:w="1055" w:type="dxa"/>
            <w:gridSpan w:val="2"/>
            <w:tcBorders>
              <w:top w:val="nil"/>
              <w:left w:val="nil"/>
              <w:bottom w:val="nil"/>
              <w:right w:val="nil"/>
            </w:tcBorders>
            <w:shd w:val="clear" w:color="auto" w:fill="FFFFFF"/>
            <w:vAlign w:val="center"/>
          </w:tcPr>
          <w:p>
            <w:pPr>
              <w:jc w:val="right"/>
              <w:rPr>
                <w:rFonts w:ascii="宋体" w:eastAsia="宋体" w:cs="宋体" w:hAnsi="宋体"/>
                <w:color w:val="000000"/>
                <w:sz w:val="20"/>
                <w:szCs w:val="20"/>
              </w:rPr>
            </w:pPr>
          </w:p>
        </w:tc>
        <w:tc>
          <w:tcPr>
            <w:tcW w:w="1056" w:type="dxa"/>
            <w:tcBorders>
              <w:top w:val="nil"/>
              <w:left w:val="nil"/>
              <w:bottom w:val="nil"/>
              <w:right w:val="nil"/>
            </w:tcBorders>
            <w:shd w:val="clear" w:color="auto" w:fill="FFFFFF"/>
            <w:vAlign w:val="center"/>
          </w:tcPr>
          <w:p>
            <w:pPr>
              <w:rPr>
                <w:rFonts w:ascii="宋体" w:eastAsia="宋体" w:cs="宋体" w:hAnsi="宋体"/>
                <w:color w:val="000000"/>
                <w:sz w:val="20"/>
                <w:szCs w:val="20"/>
              </w:rPr>
            </w:pPr>
            <w:r>
              <w:rPr>
                <w:rFonts w:ascii="宋体" w:eastAsia="宋体" w:cs="宋体" w:hAnsi="宋体" w:hint="eastAsia"/>
                <w:color w:val="000000"/>
                <w:sz w:val="20"/>
                <w:szCs w:val="20"/>
              </w:rPr>
              <w:t>2022年度</w:t>
            </w:r>
          </w:p>
        </w:tc>
        <w:tc>
          <w:tcPr>
            <w:tcW w:w="240" w:type="dxa"/>
            <w:tcBorders>
              <w:top w:val="nil"/>
              <w:left w:val="nil"/>
              <w:bottom w:val="nil"/>
              <w:right w:val="nil"/>
            </w:tcBorders>
            <w:shd w:val="clear" w:color="auto" w:fill="FFFFFF"/>
            <w:vAlign w:val="center"/>
          </w:tcPr>
          <w:p>
            <w:pPr>
              <w:widowControl/>
              <w:ind w:rightChars="-2404" w:right="-5048"/>
              <w:jc w:val="right"/>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单位：万元</w:t>
            </w:r>
          </w:p>
        </w:tc>
        <w:tc>
          <w:tcPr>
            <w:tcW w:w="5418" w:type="dxa"/>
            <w:gridSpan w:val="11"/>
            <w:tcBorders>
              <w:top w:val="nil"/>
              <w:left w:val="nil"/>
              <w:bottom w:val="nil"/>
              <w:right w:val="nil"/>
            </w:tcBorders>
            <w:shd w:val="clear" w:color="auto" w:fill="FFFFFF"/>
            <w:vAlign w:val="center"/>
          </w:tcPr>
          <w:p>
            <w:pPr>
              <w:widowControl/>
              <w:tabs>
                <w:tab w:val="left" w:pos="630"/>
                <w:tab w:val="left" w:pos="5250"/>
              </w:tabs>
              <w:ind w:rightChars="165" w:right="346"/>
              <w:jc w:val="left"/>
              <w:rPr>
                <w:rFonts w:ascii="宋体" w:eastAsia="宋体" w:cs="宋体" w:hAnsi="宋体"/>
                <w:color w:val="000000"/>
                <w:sz w:val="20"/>
                <w:szCs w:val="20"/>
              </w:rPr>
            </w:pPr>
            <w:r>
              <w:rPr>
                <w:rFonts w:ascii="宋体" w:eastAsia="宋体" w:cs="宋体" w:hAnsi="宋体" w:hint="eastAsia"/>
                <w:color w:val="000000"/>
                <w:sz w:val="20"/>
                <w:szCs w:val="20"/>
              </w:rPr>
              <w:t xml:space="preserve">                                        </w:t>
            </w:r>
            <w:r>
              <w:rPr>
                <w:rFonts w:ascii="宋体" w:eastAsia="宋体" w:cs="宋体" w:hAnsi="宋体" w:hint="eastAsia"/>
                <w:color w:val="000000"/>
                <w:kern w:val="0"/>
                <w:sz w:val="20"/>
                <w:szCs w:val="20"/>
              </w:rPr>
              <w:t>单位：万元</w:t>
            </w:r>
          </w:p>
        </w:tc>
        <w:tc>
          <w:tcPr>
            <w:tcW w:w="240" w:type="dxa"/>
            <w:tcBorders>
              <w:top w:val="nil"/>
              <w:left w:val="nil"/>
              <w:bottom w:val="nil"/>
              <w:right w:val="nil"/>
            </w:tcBorders>
            <w:shd w:val="clear" w:color="auto" w:fill="FFFFFF"/>
            <w:vAlign w:val="center"/>
          </w:tcPr>
          <w:p>
            <w:pPr>
              <w:widowControl/>
              <w:jc w:val="right"/>
              <w:textAlignment w:val="center"/>
              <w:rPr>
                <w:rFonts w:ascii="宋体" w:eastAsia="宋体" w:cs="宋体" w:hAnsi="宋体"/>
                <w:color w:val="000000"/>
                <w:sz w:val="20"/>
                <w:szCs w:val="20"/>
              </w:rPr>
            </w:pPr>
          </w:p>
        </w:tc>
      </w:tr>
      <w:tr>
        <w:trPr>
          <w:trHeight w:val="555"/>
          <w:gridAfter w:val="4"/>
          <w:wAfter w:w="2363" w:type="dxa"/>
        </w:trPr>
        <w:tc>
          <w:tcPr>
            <w:tcW w:w="566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预算数</w:t>
            </w:r>
          </w:p>
        </w:tc>
        <w:tc>
          <w:tcPr>
            <w:tcW w:w="506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决算数</w:t>
            </w:r>
          </w:p>
        </w:tc>
      </w:tr>
      <w:tr>
        <w:trPr>
          <w:trHeight w:val="600"/>
          <w:gridAfter w:val="4"/>
          <w:wAfter w:w="2363" w:type="dxa"/>
        </w:trPr>
        <w:tc>
          <w:tcPr>
            <w:tcW w:w="7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合计</w:t>
            </w:r>
          </w:p>
        </w:tc>
        <w:tc>
          <w:tcPr>
            <w:tcW w:w="8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因公出国（境）费</w:t>
            </w:r>
          </w:p>
        </w:tc>
        <w:tc>
          <w:tcPr>
            <w:tcW w:w="25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公务用车购置及运行维护费</w:t>
            </w:r>
          </w:p>
        </w:tc>
        <w:tc>
          <w:tcPr>
            <w:tcW w:w="154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公务接待费</w:t>
            </w: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合计</w:t>
            </w:r>
          </w:p>
        </w:tc>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因公出国（境）费</w:t>
            </w:r>
          </w:p>
        </w:tc>
        <w:tc>
          <w:tcPr>
            <w:tcW w:w="23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公务用车购置及运行维护费</w:t>
            </w:r>
          </w:p>
        </w:tc>
        <w:tc>
          <w:tcPr>
            <w:tcW w:w="11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公务接待费</w:t>
            </w:r>
          </w:p>
        </w:tc>
      </w:tr>
      <w:tr>
        <w:trPr>
          <w:trHeight w:val="600"/>
          <w:gridAfter w:val="4"/>
          <w:wAfter w:w="2363" w:type="dxa"/>
        </w:trPr>
        <w:tc>
          <w:tcPr>
            <w:tcW w:w="7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小计</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公务用车购置费</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公务用车运行维护费</w:t>
            </w:r>
          </w:p>
        </w:tc>
        <w:tc>
          <w:tcPr>
            <w:tcW w:w="154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小计</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公务用车购置费</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公务用车</w:t>
              <w:br/>
              <w:t>运行维护费</w:t>
            </w:r>
          </w:p>
        </w:tc>
        <w:tc>
          <w:tcPr>
            <w:tcW w:w="119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555"/>
          <w:gridAfter w:val="4"/>
          <w:wAfter w:w="2363" w:type="dxa"/>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3</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4</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5</w:t>
            </w:r>
          </w:p>
        </w:tc>
        <w:tc>
          <w:tcPr>
            <w:tcW w:w="15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6</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8</w:t>
            </w: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9</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10</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11</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12</w:t>
            </w:r>
          </w:p>
        </w:tc>
      </w:tr>
      <w:tr>
        <w:trPr>
          <w:trHeight w:val="427"/>
          <w:gridAfter w:val="4"/>
          <w:wAfter w:w="2363" w:type="dxa"/>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r>
              <w:rPr>
                <w:rFonts w:ascii="宋体" w:eastAsia="宋体" w:cs="宋体" w:hAnsi="宋体"/>
                <w:color w:val="000000"/>
                <w:sz w:val="22"/>
              </w:rPr>
              <w:t>3.13</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r>
              <w:rPr>
                <w:rFonts w:ascii="宋体" w:eastAsia="宋体" w:cs="宋体" w:hAnsi="宋体"/>
                <w:color w:val="000000"/>
                <w:sz w:val="22"/>
              </w:rPr>
              <w:t>2.50</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r>
              <w:rPr>
                <w:rFonts w:ascii="宋体" w:eastAsia="宋体" w:cs="宋体" w:hAnsi="宋体"/>
                <w:color w:val="000000"/>
                <w:sz w:val="22"/>
              </w:rPr>
              <w:t>2.50</w:t>
            </w:r>
          </w:p>
        </w:tc>
        <w:tc>
          <w:tcPr>
            <w:tcW w:w="15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r>
              <w:rPr>
                <w:rFonts w:ascii="宋体" w:eastAsia="宋体" w:cs="宋体" w:hAnsi="宋体"/>
                <w:color w:val="000000"/>
                <w:sz w:val="22"/>
              </w:rPr>
              <w:t>0.63</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r>
              <w:rPr>
                <w:rFonts w:ascii="宋体" w:eastAsia="宋体" w:cs="宋体" w:hAnsi="宋体"/>
                <w:color w:val="000000"/>
                <w:sz w:val="22"/>
              </w:rPr>
              <w:t>2.20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r>
              <w:rPr>
                <w:rFonts w:ascii="宋体" w:eastAsia="宋体" w:cs="宋体" w:hAnsi="宋体"/>
                <w:color w:val="000000"/>
                <w:sz w:val="22"/>
              </w:rPr>
              <w:t>2.20</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cs="宋体" w:hAnsi="宋体"/>
                <w:color w:val="000000"/>
                <w:sz w:val="22"/>
              </w:rPr>
            </w:pPr>
            <w:r>
              <w:rPr>
                <w:rFonts w:ascii="宋体" w:eastAsia="宋体" w:cs="宋体" w:hAnsi="宋体"/>
                <w:color w:val="000000"/>
                <w:sz w:val="22"/>
              </w:rPr>
              <w:t>2.20</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color w:val="000000"/>
                <w:sz w:val="22"/>
              </w:rPr>
            </w:pPr>
          </w:p>
        </w:tc>
      </w:tr>
      <w:tr>
        <w:trPr>
          <w:trHeight w:val="900"/>
        </w:trPr>
        <w:tc>
          <w:tcPr>
            <w:tcW w:w="13090" w:type="dxa"/>
            <w:gridSpan w:val="24"/>
            <w:tcBorders>
              <w:top w:val="nil"/>
              <w:left w:val="nil"/>
              <w:bottom w:val="nil"/>
              <w:right w:val="nil"/>
            </w:tcBorders>
            <w:shd w:val="clear" w:color="auto" w:fill="auto"/>
            <w:vAlign w:val="center"/>
          </w:tcPr>
          <w:p>
            <w:pPr>
              <w:widowControl/>
              <w:ind w:rightChars="1114" w:right="2339"/>
              <w:jc w:val="left"/>
              <w:textAlignment w:val="center"/>
              <w:rPr>
                <w:rFonts w:ascii="宋体" w:eastAsia="宋体" w:cs="宋体" w:hAnsi="宋体"/>
                <w:color w:val="000000"/>
                <w:sz w:val="24"/>
              </w:rPr>
            </w:pPr>
            <w:r>
              <w:rPr>
                <w:rFonts w:ascii="宋体" w:eastAsia="宋体" w:cs="宋体" w:hAnsi="宋体" w:hint="eastAsia"/>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widowControl/>
        <w:spacing w:after="160" w:line="580" w:lineRule="exact"/>
        <w:ind w:firstLineChars="316" w:firstLine="2275"/>
        <w:rPr>
          <w:rFonts w:eastAsia="黑体"/>
          <w:sz w:val="32"/>
          <w:szCs w:val="32"/>
        </w:rPr>
      </w:pPr>
      <w:r>
        <w:rPr>
          <w:sz w:val="72"/>
        </w:rPr>
        <mc:AlternateContent>
          <mc:Choice Requires="wps">
            <w:drawing>
              <wp:anchor distT="0" distB="0" distL="114298" distR="114298" simplePos="0" relativeHeight="47" behindDoc="0" locked="0" layoutInCell="1" hidden="0" allowOverlap="1">
                <wp:simplePos x="0" y="0"/>
                <wp:positionH relativeFrom="column">
                  <wp:posOffset>-1088390</wp:posOffset>
                </wp:positionH>
                <wp:positionV relativeFrom="paragraph">
                  <wp:posOffset>3024504</wp:posOffset>
                </wp:positionV>
                <wp:extent cx="7793355" cy="2200275"/>
                <wp:effectExtent l="0" t="0" r="0" b="0"/>
                <wp:wrapNone/>
                <wp:docPr id="48" name="文本框 151"/>
                <wp:cNvGraphicFramePr>
                  <a:graphicFrameLocks noChangeAspect="0"/>
                </wp:cNvGraphicFramePr>
                <a:graphic>
                  <a:graphicData uri="http://schemas.microsoft.com/office/word/2010/wordprocessingShape">
                    <wps:wsp>
                      <wps:cNvSpPr/>
                      <wps:spPr>
                        <a:xfrm rot="0">
                          <a:off x="0" y="0"/>
                          <a:ext cx="7793355" cy="2200275"/>
                        </a:xfrm>
                        <a:prstGeom prst="rect"/>
                        <a:noFill/>
                        <a:ln w="6350" cmpd="sng" cap="flat">
                          <a:noFill/>
                          <a:prstDash val="solid"/>
                          <a:round/>
                        </a:ln>
                      </wps:spPr>
                      <wps:txbx id="49">
                        <w:txbxContent>
                          <w:p>
                            <w:pPr>
                              <w:widowControl/>
                              <w:jc w:val="center"/>
                              <w:rPr>
                                <w:rFonts w:ascii="黑体" w:eastAsia="黑体" w:cs="黑体" w:hAnsi="黑体"/>
                                <w:color w:val="000000"/>
                                <w:sz w:val="96"/>
                                <w:szCs w:val="96"/>
                                <w14:shadow w14:sx="100000" w14:sy="100000" w14:blurRad="38100" w14:dir="5400000" w14:dist="22860" w14:algn="tl">
                                  <w14:srgbClr w14:val="000000">
                                    <w14:alpha w14:val="70000"/>
                                  </w14:srgbClr>
                                </w14:shadow>
                              </w:rPr>
                            </w:pPr>
                            <w:r>
                              <w:rPr>
                                <w:rFonts w:ascii="黑体" w:eastAsia="黑体" w:cs="黑体" w:hAnsi="黑体" w:hint="eastAsia"/>
                                <w:color w:val="000000"/>
                                <w:sz w:val="96"/>
                                <w:szCs w:val="96"/>
                                <w14:shadow w14:sx="100000" w14:sy="100000" w14:blurRad="38100" w14:dir="5400000" w14:dist="22860" w14:algn="tl">
                                  <w14:srgbClr w14:val="000000">
                                    <w14:alpha w14:val="70000"/>
                                  </w14:srgbClr>
                                </w14:shadow>
                              </w:rPr>
                              <w:t xml:space="preserve"> </w:t>
                            </w:r>
                          </w:p>
                          <w:p>
                            <w:pPr>
                              <w:widowControl/>
                              <w:jc w:val="center"/>
                              <w:rPr>
                                <w:rFonts w:ascii="黑体" w:eastAsia="黑体" w:cs="黑体" w:hAnsi="黑体"/>
                                <w:color w:val="000000"/>
                                <w:sz w:val="96"/>
                                <w:szCs w:val="96"/>
                                <w14:shadow w14:sx="100000" w14:sy="100000" w14:blurRad="38100" w14:dir="5400000" w14:dist="22860" w14:algn="tl">
                                  <w14:srgbClr w14:val="000000">
                                    <w14:alpha w14:val="70000"/>
                                  </w14:srgbClr>
                                </w14:shadow>
                              </w:rPr>
                            </w:pPr>
                          </w:p>
                        </w:txbxContent>
                      </wps:txbx>
                      <wps:bodyPr vert="horz" wrap="square" lIns="91440" tIns="45720" rIns="91440" bIns="45720" anchor="t" anchorCtr="0" upright="0">
                        <a:noAutofit/>
                      </wps:bodyPr>
                    </wps:wsp>
                  </a:graphicData>
                </a:graphic>
              </wp:anchor>
            </w:drawing>
          </mc:Choice>
          <mc:Fallback>
            <w:pict>
              <v:shape type="#_x0000_t202" id="文本框 151 50" o:spid="_x0000_s50" filled="f" stroked="f" strokeweight="0.5pt" style="position:absolute;margin-left:-85.7pt;margin-top:238.14998pt;width:613.65pt;height:173.25002pt;z-index:47;mso-position-horizontal:absolute;mso-position-vertical:absolute;mso-wrap-distance-left:8.999863pt;mso-wrap-distance-right:8.999863pt;mso-wrap-style:square;">
                <v:stroke color="#000000"/>
                <v:textbox id="860" inset="2.54mm,1.27mm,2.54mm,1.27mm" o:insetmode="custom" style="layout-flow:horizontal;v-text-anchor:top;">
                  <w:txbxContent>
                    <w:p>
                      <w:pPr>
                        <w:widowControl/>
                        <w:jc w:val="center"/>
                        <w:rPr>
                          <w:rFonts w:ascii="黑体" w:eastAsia="黑体" w:cs="黑体" w:hAnsi="黑体"/>
                          <w:color w:val="000000"/>
                          <w:sz w:val="96"/>
                          <w:szCs w:val="96"/>
                          <w14:shadow w14:sx="100000" w14:sy="100000" w14:blurRad="38100" w14:dir="5400000" w14:dist="22860" w14:algn="tl">
                            <w14:srgbClr w14:val="000000">
                              <w14:alpha w14:val="70000"/>
                            </w14:srgbClr>
                          </w14:shadow>
                        </w:rPr>
                      </w:pPr>
                      <w:r>
                        <w:rPr>
                          <w:rFonts w:ascii="黑体" w:eastAsia="黑体" w:cs="黑体" w:hAnsi="黑体" w:hint="eastAsia"/>
                          <w:color w:val="000000"/>
                          <w:sz w:val="96"/>
                          <w:szCs w:val="96"/>
                          <w14:shadow w14:sx="100000" w14:sy="100000" w14:blurRad="38100" w14:dir="5400000" w14:dist="22860" w14:algn="tl">
                            <w14:srgbClr w14:val="000000">
                              <w14:alpha w14:val="70000"/>
                            </w14:srgbClr>
                          </w14:shadow>
                        </w:rPr>
                        <w:t xml:space="preserve"> </w:t>
                      </w:r>
                    </w:p>
                    <w:p>
                      <w:pPr>
                        <w:widowControl/>
                        <w:jc w:val="center"/>
                        <w:rPr>
                          <w:rFonts w:ascii="黑体" w:eastAsia="黑体" w:cs="黑体" w:hAnsi="黑体"/>
                          <w:color w:val="000000"/>
                          <w:sz w:val="96"/>
                          <w:szCs w:val="96"/>
                          <w14:shadow w14:sx="100000" w14:sy="100000" w14:blurRad="38100" w14:dir="5400000" w14:dist="22860" w14:algn="tl">
                            <w14:srgbClr w14:val="000000">
                              <w14:alpha w14:val="70000"/>
                            </w14:srgbClr>
                          </w14:shadow>
                        </w:rPr>
                      </w:pPr>
                    </w:p>
                  </w:txbxContent>
                </v:textbox>
              </v:shape>
            </w:pict>
          </mc:Fallback>
        </mc:AlternateContent>
      </w:r>
    </w:p>
    <w:p>
      <w:pPr>
        <w:widowControl/>
        <w:spacing w:after="160" w:line="580" w:lineRule="exact"/>
        <w:ind w:leftChars="-135" w:left="-283" w:firstLineChars="404" w:firstLine="1293"/>
        <w:rPr>
          <w:rFonts w:eastAsia="黑体"/>
          <w:sz w:val="32"/>
          <w:szCs w:val="32"/>
        </w:rPr>
      </w:pPr>
    </w:p>
    <w:p>
      <w:pPr>
        <w:widowControl/>
        <w:spacing w:after="160" w:line="580" w:lineRule="exact"/>
        <w:ind w:firstLineChars="316" w:firstLine="1011"/>
        <w:rPr>
          <w:rFonts w:eastAsia="黑体"/>
          <w:sz w:val="32"/>
          <w:szCs w:val="32"/>
        </w:rPr>
      </w:pPr>
    </w:p>
    <w:p>
      <w:pPr>
        <w:widowControl/>
        <w:spacing w:after="160" w:line="580" w:lineRule="exact"/>
        <w:ind w:firstLineChars="316" w:firstLine="1011"/>
        <w:rPr>
          <w:rFonts w:eastAsia="黑体"/>
          <w:sz w:val="32"/>
          <w:szCs w:val="32"/>
        </w:rPr>
      </w:pPr>
    </w:p>
    <w:p>
      <w:pPr>
        <w:widowControl/>
        <w:spacing w:after="160" w:line="580" w:lineRule="exact"/>
        <w:ind w:firstLineChars="316" w:firstLine="1011"/>
        <w:rPr>
          <w:rFonts w:eastAsia="黑体"/>
          <w:sz w:val="32"/>
          <w:szCs w:val="32"/>
        </w:rPr>
      </w:pPr>
    </w:p>
    <w:p>
      <w:pPr>
        <w:widowControl/>
        <w:spacing w:after="160" w:line="580" w:lineRule="exact"/>
        <w:ind w:firstLineChars="316" w:firstLine="1011"/>
        <w:rPr>
          <w:rFonts w:eastAsia="黑体"/>
          <w:sz w:val="32"/>
          <w:szCs w:val="32"/>
        </w:rPr>
      </w:pPr>
    </w:p>
    <w:p>
      <w:pPr>
        <w:widowControl/>
        <w:spacing w:after="160" w:line="580" w:lineRule="exact"/>
        <w:ind w:firstLineChars="316" w:firstLine="1011"/>
        <w:rPr>
          <w:rFonts w:eastAsia="黑体"/>
          <w:sz w:val="32"/>
          <w:szCs w:val="32"/>
        </w:rPr>
      </w:pPr>
    </w:p>
    <w:p>
      <w:pPr>
        <w:widowControl/>
        <w:spacing w:after="160" w:line="580" w:lineRule="exact"/>
        <w:ind w:firstLineChars="316" w:firstLine="1011"/>
        <w:rPr>
          <w:rFonts w:eastAsia="黑体"/>
          <w:sz w:val="32"/>
          <w:szCs w:val="32"/>
        </w:rPr>
      </w:pPr>
      <w:r>
        <w:rPr>
          <w:rFonts w:eastAsia="黑体" w:hint="eastAsia"/>
          <w:sz w:val="32"/>
          <w:szCs w:val="32"/>
        </w:rPr>
        <w:t xml:space="preserve">     </w:t>
      </w: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ascii="黑体" w:eastAsia="黑体" w:cs="黑体" w:hAnsi="黑体"/>
          <w:color w:val="000000"/>
          <w:sz w:val="44"/>
          <w:szCs w:val="44"/>
          <w14:shadow w14:sx="100000" w14:sy="100000" w14:blurRad="38100" w14:dir="5400000" w14:dist="22860" w14:algn="tl">
            <w14:srgbClr w14:val="000000">
              <w14:alpha w14:val="70000"/>
            </w14:srgbClr>
          </w14:shadow>
        </w:rPr>
      </w:pPr>
      <w:r>
        <w:rPr>
          <w:rFonts w:ascii="黑体" w:eastAsia="黑体" w:cs="黑体" w:hAnsi="黑体" w:hint="eastAsia"/>
          <w:color w:val="000000"/>
          <w:sz w:val="44"/>
          <w:szCs w:val="44"/>
          <w14:shadow w14:sx="100000" w14:sy="100000" w14:blurRad="38100" w14:dir="5400000" w14:dist="22860" w14:algn="tl">
            <w14:srgbClr w14:val="000000">
              <w14:alpha w14:val="70000"/>
            </w14:srgbClr>
          </w14:shadow>
        </w:rPr>
        <w:t xml:space="preserve">    </w:t>
      </w:r>
    </w:p>
    <w:p>
      <w:pPr>
        <w:widowControl/>
        <w:jc w:val="center"/>
        <w:rPr>
          <w:rFonts w:ascii="黑体" w:eastAsia="黑体" w:cs="黑体" w:hAnsi="黑体"/>
          <w:color w:val="000000"/>
          <w:sz w:val="44"/>
          <w:szCs w:val="44"/>
          <w14:shadow w14:sx="100000" w14:sy="100000" w14:blurRad="38100" w14:dir="5400000" w14:dist="22860" w14:algn="tl">
            <w14:srgbClr w14:val="000000">
              <w14:alpha w14:val="70000"/>
            </w14:srgbClr>
          </w14:shadow>
        </w:rPr>
      </w:pPr>
    </w:p>
    <w:p>
      <w:pPr>
        <w:widowControl/>
        <w:jc w:val="center"/>
        <w:rPr>
          <w:rFonts w:ascii="黑体" w:eastAsia="黑体" w:cs="黑体" w:hAnsi="黑体"/>
          <w:color w:val="000000"/>
          <w:sz w:val="44"/>
          <w:szCs w:val="44"/>
          <w14:shadow w14:sx="100000" w14:sy="100000" w14:blurRad="38100" w14:dir="5400000" w14:dist="22860" w14:algn="tl">
            <w14:srgbClr w14:val="000000">
              <w14:alpha w14:val="70000"/>
            </w14:srgbClr>
          </w14:shadow>
        </w:rPr>
      </w:pPr>
    </w:p>
    <w:p>
      <w:pPr>
        <w:widowControl/>
        <w:jc w:val="center"/>
        <w:rPr>
          <w:rFonts w:ascii="黑体" w:eastAsia="黑体" w:cs="黑体" w:hAnsi="黑体"/>
          <w:color w:val="000000"/>
          <w:sz w:val="44"/>
          <w:szCs w:val="44"/>
          <w14:shadow w14:sx="100000" w14:sy="100000" w14:blurRad="38100" w14:dir="5400000" w14:dist="22860" w14:algn="tl">
            <w14:srgbClr w14:val="000000">
              <w14:alpha w14:val="70000"/>
            </w14:srgbClr>
          </w14:shadow>
        </w:rPr>
      </w:pPr>
    </w:p>
    <w:p>
      <w:pPr>
        <w:widowControl/>
        <w:jc w:val="center"/>
        <w:rPr>
          <w:rFonts w:ascii="黑体" w:eastAsia="黑体" w:cs="黑体" w:hAnsi="黑体"/>
          <w:color w:val="000000"/>
          <w:sz w:val="44"/>
          <w:szCs w:val="44"/>
          <w14:shadow w14:sx="100000" w14:sy="100000" w14:blurRad="38100" w14:dir="5400000" w14:dist="22860" w14:algn="tl">
            <w14:srgbClr w14:val="000000">
              <w14:alpha w14:val="70000"/>
            </w14:srgbClr>
          </w14:shadow>
        </w:rPr>
      </w:pPr>
      <w:r>
        <w:rPr>
          <w:rFonts w:eastAsia="黑体" w:hint="eastAsia"/>
          <w:sz w:val="32"/>
          <w:szCs w:val="32"/>
        </w:rPr>
        <w:drawing>
          <wp:anchor distT="0" distB="0" distL="114300" distR="114300" simplePos="0" relativeHeight="55" behindDoc="0" locked="0" layoutInCell="1" hidden="0" allowOverlap="1">
            <wp:simplePos x="0" y="0"/>
            <wp:positionH relativeFrom="column">
              <wp:posOffset>-385445</wp:posOffset>
            </wp:positionH>
            <wp:positionV relativeFrom="margin">
              <wp:posOffset>3649345</wp:posOffset>
            </wp:positionV>
            <wp:extent cx="660400" cy="660399"/>
            <wp:effectExtent l="0" t="0" r="0" b="0"/>
            <wp:wrapNone/>
            <wp:docPr id="51" name="图片 74" descr="32303036343138343b32303038313639313bcafdbeddb7d6cef6"/>
            <wp:cNvGraphicFramePr>
              <a:graphicFrameLocks noChangeAspect="1"/>
            </wp:cNvGraphicFramePr>
            <a:graphic>
              <a:graphicData uri="http://schemas.openxmlformats.org/drawingml/2006/picture">
                <pic:pic>
                  <pic:nvPicPr>
                    <pic:cNvPr id="53" name="图片 74 53"/>
                    <pic:cNvPicPr/>
                  </pic:nvPicPr>
                  <pic:blipFill>
                    <a:blip r:embed="rId14"/>
                    <a:stretch>
                      <a:fillRect/>
                    </a:stretch>
                  </pic:blipFill>
                  <pic:spPr>
                    <a:xfrm rot="0">
                      <a:off x="0" y="0"/>
                      <a:ext cx="660400" cy="660399"/>
                    </a:xfrm>
                    <a:prstGeom prst="rect"/>
                    <a:noFill/>
                    <a:ln w="9525" cmpd="sng" cap="flat">
                      <a:noFill/>
                      <a:prstDash val="solid"/>
                      <a:miter/>
                    </a:ln>
                  </pic:spPr>
                </pic:pic>
              </a:graphicData>
            </a:graphic>
          </wp:anchor>
        </w:drawing>
      </w:r>
    </w:p>
    <w:p>
      <w:pPr>
        <w:widowControl/>
        <w:jc w:val="center"/>
        <w:rPr>
          <w:rFonts w:ascii="黑体" w:eastAsia="黑体" w:cs="黑体" w:hAnsi="黑体"/>
          <w:color w:val="000000"/>
          <w:sz w:val="44"/>
          <w:szCs w:val="44"/>
          <w14:shadow w14:sx="100000" w14:sy="100000" w14:blurRad="38100" w14:dir="5400000" w14:dist="22860" w14:algn="tl">
            <w14:srgbClr w14:val="000000">
              <w14:alpha w14:val="70000"/>
            </w14:srgbClr>
          </w14:shadow>
        </w:rPr>
      </w:pPr>
      <w:r>
        <w:rPr>
          <w:rFonts w:ascii="黑体" w:eastAsia="黑体" w:cs="黑体" w:hAnsi="黑体" w:hint="eastAsia"/>
          <w:color w:val="000000"/>
          <w:sz w:val="44"/>
          <w:szCs w:val="44"/>
          <w14:shadow w14:sx="100000" w14:sy="100000" w14:blurRad="38100" w14:dir="5400000" w14:dist="22860" w14:algn="tl">
            <w14:srgbClr w14:val="000000">
              <w14:alpha w14:val="70000"/>
            </w14:srgbClr>
          </w14:shadow>
        </w:rPr>
        <w:t>第三部分 2022年度部门决算情况说明</w:t>
      </w:r>
    </w:p>
    <w:p>
      <w:pPr>
        <w:rPr>
          <w:rFonts w:ascii="黑体" w:eastAsia="黑体" w:cs="Times New Roman" w:hAnsi="Calibri"/>
          <w:sz w:val="32"/>
          <w:szCs w:val="32"/>
        </w:rPr>
      </w:pPr>
      <w:r>
        <w:rPr>
          <w:rFonts w:ascii="黑体" w:eastAsia="黑体" w:cs="黑体" w:hAnsi="黑体" w:hint="eastAsia"/>
          <w:color w:val="000000"/>
          <w:sz w:val="44"/>
          <w:szCs w:val="44"/>
          <w14:shadow w14:sx="100000" w14:sy="100000" w14:blurRad="38100" w14:dir="5400000" w14:dist="22860" w14:algn="tl">
            <w14:srgbClr w14:val="000000">
              <w14:alpha w14:val="70000"/>
            </w14:srgbClr>
          </w14:shadow>
        </w:rPr>
        <w:br w:type="page"/>
      </w:r>
    </w:p>
    <w:p>
      <w:pPr>
        <w:keepNext/>
        <w:keepLines/>
        <w:widowControl w:val="0"/>
        <w:snapToGrid w:val="0"/>
        <w:spacing w:line="580" w:lineRule="exact"/>
        <w:ind w:firstLineChars="200" w:firstLine="640"/>
        <w:outlineLvl w:val="1"/>
        <w:rPr>
          <w:rFonts w:ascii="黑体" w:eastAsia="黑体" w:cs="Times New Roman" w:hAnsi="Calibri"/>
          <w:sz w:val="32"/>
          <w:szCs w:val="32"/>
        </w:rPr>
      </w:pPr>
      <w:r>
        <w:rPr>
          <w:rFonts w:ascii="黑体" w:eastAsia="黑体" w:cs="Times New Roman" w:hAnsi="Calibri" w:hint="eastAsia"/>
          <w:sz w:val="32"/>
          <w:szCs w:val="32"/>
        </w:rPr>
        <w:t>一、收入</w:t>
      </w:r>
      <w:r>
        <w:rPr>
          <w:rFonts w:ascii="黑体" w:eastAsia="黑体" w:cs="黑体" w:hAnsi="Cambria" w:hint="eastAsia"/>
          <w:kern w:val="0"/>
          <w:sz w:val="32"/>
          <w:szCs w:val="32"/>
        </w:rPr>
        <w:t>支出</w:t>
      </w:r>
      <w:r>
        <w:rPr>
          <w:rFonts w:ascii="黑体" w:eastAsia="黑体" w:cs="Times New Roman" w:hAnsi="Calibri" w:hint="eastAsia"/>
          <w:sz w:val="32"/>
          <w:szCs w:val="32"/>
        </w:rPr>
        <w:t>决算总体情况说明</w:t>
      </w:r>
    </w:p>
    <w:p>
      <w:pPr>
        <w:adjustRightInd w:val="0"/>
        <w:snapToGrid w:val="0"/>
        <w:spacing w:line="580" w:lineRule="exact"/>
        <w:ind w:firstLineChars="200" w:firstLine="640"/>
        <w:rPr>
          <w:rFonts w:ascii="仿宋_GB2312" w:eastAsia="仿宋_GB2312" w:cs="DengXian-Regular" w:hAnsi="Times New Roman"/>
          <w:sz w:val="32"/>
          <w:szCs w:val="32"/>
        </w:rPr>
      </w:pPr>
      <w:r>
        <w:rPr>
          <w:rFonts w:ascii="仿宋_GB2312" w:eastAsia="仿宋_GB2312" w:cs="DengXian-Regular" w:hAnsi="Times New Roman" w:hint="eastAsia"/>
          <w:sz w:val="32"/>
          <w:szCs w:val="32"/>
        </w:rPr>
        <w:t>本部门2022年度收、支总计（含结转和结余）</w:t>
      </w:r>
      <w:r>
        <w:rPr>
          <w:rFonts w:ascii="仿宋_GB2312" w:eastAsia="仿宋_GB2312" w:cs="DengXian-Regular" w:hAnsi="Times New Roman"/>
          <w:sz w:val="32"/>
          <w:szCs w:val="32"/>
        </w:rPr>
        <w:t>657.49</w:t>
      </w:r>
      <w:r>
        <w:rPr>
          <w:rFonts w:ascii="仿宋_GB2312" w:eastAsia="仿宋_GB2312" w:cs="DengXian-Regular" w:hAnsi="Times New Roman" w:hint="eastAsia"/>
          <w:sz w:val="32"/>
          <w:szCs w:val="32"/>
        </w:rPr>
        <w:t>万元。与2021年度决算相比，收支各减少</w:t>
      </w:r>
      <w:r>
        <w:rPr>
          <w:rFonts w:ascii="仿宋_GB2312" w:eastAsia="仿宋_GB2312" w:cs="DengXian-Regular" w:hAnsi="Times New Roman"/>
          <w:sz w:val="32"/>
          <w:szCs w:val="32"/>
        </w:rPr>
        <w:t>21.17</w:t>
      </w:r>
      <w:r>
        <w:rPr>
          <w:rFonts w:ascii="仿宋_GB2312" w:eastAsia="仿宋_GB2312" w:cs="DengXian-Regular" w:hAnsi="Times New Roman" w:hint="eastAsia"/>
          <w:sz w:val="32"/>
          <w:szCs w:val="32"/>
        </w:rPr>
        <w:t>万元，下降</w:t>
      </w:r>
      <w:r>
        <w:rPr>
          <w:rFonts w:ascii="仿宋_GB2312" w:eastAsia="仿宋_GB2312" w:cs="DengXian-Regular" w:hAnsi="Times New Roman"/>
          <w:sz w:val="32"/>
          <w:szCs w:val="32"/>
        </w:rPr>
        <w:t>3.12</w:t>
      </w:r>
      <w:r>
        <w:rPr>
          <w:rFonts w:ascii="仿宋_GB2312" w:eastAsia="仿宋_GB2312" w:cs="DengXian-Regular" w:hAnsi="Times New Roman" w:hint="eastAsia"/>
          <w:sz w:val="32"/>
          <w:szCs w:val="32"/>
        </w:rPr>
        <w:t>%，主要原因是</w:t>
      </w:r>
      <w:r>
        <w:rPr>
          <w:rFonts w:ascii="仿宋_GB2312" w:eastAsia="仿宋_GB2312" w:cs="DengXian-Regular" w:hAnsi="Times New Roman"/>
          <w:sz w:val="32"/>
          <w:szCs w:val="32"/>
        </w:rPr>
        <w:t>新冠肺炎疫情影响，预算压减，节约开支，减少了项目支出</w:t>
      </w:r>
      <w:r>
        <w:rPr>
          <w:rFonts w:ascii="仿宋_GB2312" w:eastAsia="仿宋_GB2312" w:cs="DengXian-Regular" w:hAnsi="Times New Roman" w:hint="eastAsia"/>
          <w:sz w:val="32"/>
          <w:szCs w:val="32"/>
        </w:rPr>
        <w:t>。</w:t>
      </w:r>
    </w:p>
    <w:p>
      <w:pPr>
        <w:adjustRightInd w:val="0"/>
        <w:snapToGrid w:val="0"/>
        <w:spacing w:line="580" w:lineRule="exact"/>
        <w:ind w:firstLineChars="200" w:firstLine="640"/>
        <w:rPr>
          <w:rFonts w:ascii="仿宋_GB2312" w:eastAsia="仿宋_GB2312" w:cs="DengXian-Regular" w:hAnsi="Times New Roman"/>
          <w:sz w:val="32"/>
          <w:szCs w:val="32"/>
          <w:highlight w:val="yellow"/>
        </w:rPr>
      </w:pPr>
      <w:r>
        <w:rPr>
          <w:rFonts w:ascii="仿宋_GB2312" w:eastAsia="仿宋_GB2312" w:cs="DengXian-Regular" w:hAnsi="Times New Roman"/>
          <w:sz w:val="32"/>
          <w:szCs w:val="32"/>
        </w:rPr>
        <w:object>
          <v:shapetype id="_x0000_t75" coordsize="21600,21600"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type="#_x0000_t75" filled="f" stroked="f" style="position:absolute;margin-left:37.999905pt;margin-top:18.117643pt;width:351.2763pt;height:207.52945pt;z-index:61;mso-position-horizontal:absolute;mso-position-vertical:absolute;mso-wrap-distance-left:6.749897pt;mso-wrap-distance-right:6.749897pt;" o:ole="">
            <v:stroke color="#000000"/>
            <v:imagedata r:id="rId15" o:title="55"/>
            <o:lock aspectratio="t"/>
            <w10:wrap type="topAndBottom"/>
          </v:shape>
          <o:OLEObject Type="Embed" ProgID="Package" ShapeID="_x0000_i1" DrawAspect="Content" ObjectID="_1393063351" r:id="rId16"/>
        </w:object>
      </w:r>
      <w:r>
        <w:rPr>
          <w:rFonts w:ascii="黑体" w:eastAsia="黑体" w:cs="Times New Roman" w:hAnsi="Calibri" w:hint="eastAsia"/>
          <w:sz w:val="32"/>
          <w:szCs w:val="32"/>
        </w:rPr>
        <w:t>二、收入决算情况说明</w:t>
      </w:r>
    </w:p>
    <w:p>
      <w:pPr>
        <w:autoSpaceDE w:val="0"/>
        <w:autoSpaceDN w:val="0"/>
        <w:adjustRightInd w:val="0"/>
        <w:ind w:left="200" w:firstLineChars="200" w:firstLine="640"/>
        <w:jc w:val="left"/>
        <w:rPr>
          <w:rFonts w:ascii="仿宋_GB2312" w:eastAsia="仿宋_GB2312" w:cs="DengXian-Regular" w:hAnsi="Times New Roman"/>
          <w:sz w:val="32"/>
          <w:szCs w:val="32"/>
        </w:rPr>
      </w:pPr>
      <w:r>
        <w:rPr>
          <w:rFonts w:ascii="仿宋_GB2312" w:eastAsia="仿宋_GB2312" w:cs="DengXian-Regular" w:hAnsi="Times New Roman" w:hint="eastAsia"/>
          <w:sz w:val="32"/>
          <w:szCs w:val="32"/>
        </w:rPr>
        <w:t>本部门2022年度收入合计</w:t>
      </w:r>
      <w:r>
        <w:rPr>
          <w:rFonts w:ascii="仿宋_GB2312" w:eastAsia="仿宋_GB2312" w:cs="DengXian-Regular" w:hAnsi="Times New Roman"/>
          <w:sz w:val="32"/>
          <w:szCs w:val="32"/>
        </w:rPr>
        <w:t>653.86</w:t>
      </w:r>
      <w:r>
        <w:rPr>
          <w:rFonts w:ascii="仿宋_GB2312" w:eastAsia="仿宋_GB2312" w:cs="DengXian-Regular" w:hAnsi="Times New Roman" w:hint="eastAsia"/>
          <w:sz w:val="32"/>
          <w:szCs w:val="32"/>
        </w:rPr>
        <w:t>万元，其中：财政拨款收入</w:t>
      </w:r>
      <w:r>
        <w:rPr>
          <w:rFonts w:ascii="仿宋_GB2312" w:eastAsia="仿宋_GB2312" w:cs="DengXian-Regular" w:hAnsi="Times New Roman"/>
          <w:sz w:val="32"/>
          <w:szCs w:val="32"/>
        </w:rPr>
        <w:t>653.86</w:t>
      </w:r>
      <w:r>
        <w:rPr>
          <w:rFonts w:ascii="仿宋_GB2312" w:eastAsia="仿宋_GB2312" w:cs="DengXian-Regular" w:hAnsi="Times New Roman" w:hint="eastAsia"/>
          <w:sz w:val="32"/>
          <w:szCs w:val="32"/>
        </w:rPr>
        <w:t>万元，占</w:t>
      </w:r>
      <w:r>
        <w:rPr>
          <w:rFonts w:ascii="仿宋_GB2312" w:eastAsia="仿宋_GB2312" w:cs="DengXian-Regular" w:hAnsi="Times New Roman"/>
          <w:sz w:val="32"/>
          <w:szCs w:val="32"/>
        </w:rPr>
        <w:t>100</w:t>
      </w:r>
      <w:r>
        <w:rPr>
          <w:rFonts w:ascii="仿宋_GB2312" w:eastAsia="仿宋_GB2312" w:cs="DengXian-Regular" w:hAnsi="Times New Roman" w:hint="eastAsia"/>
          <w:sz w:val="32"/>
          <w:szCs w:val="32"/>
        </w:rPr>
        <w:t>%。</w:t>
      </w:r>
    </w:p>
    <w:p>
      <w:pPr>
        <w:adjustRightInd w:val="0"/>
        <w:snapToGrid w:val="0"/>
        <w:spacing w:line="580" w:lineRule="exact"/>
        <w:ind w:firstLineChars="200" w:firstLine="640"/>
        <w:rPr>
          <w:rFonts w:ascii="仿宋_GB2312" w:eastAsia="仿宋_GB2312" w:cs="DengXian-Regular" w:hAnsi="Times New Roman"/>
          <w:sz w:val="32"/>
          <w:szCs w:val="32"/>
          <w:highlight w:val="yellow"/>
        </w:rPr>
      </w:pPr>
      <w:r>
        <w:rPr>
          <w:rFonts w:ascii="黑体" w:eastAsia="黑体" w:cs="Times New Roman" w:hAnsi="Calibri" w:hint="eastAsia"/>
          <w:sz w:val="32"/>
          <w:szCs w:val="32"/>
        </w:rPr>
        <w:t>三、支出决算情况说明</w:t>
      </w:r>
    </w:p>
    <w:p>
      <w:pPr>
        <w:autoSpaceDE w:val="0"/>
        <w:autoSpaceDN w:val="0"/>
        <w:adjustRightInd w:val="0"/>
        <w:ind w:left="200" w:firstLineChars="200" w:firstLine="640"/>
        <w:jc w:val="left"/>
        <w:rPr>
          <w:rFonts w:ascii="仿宋_GB2312" w:eastAsia="仿宋_GB2312" w:cs="DengXian-Regular" w:hAnsi="Times New Roman"/>
          <w:sz w:val="32"/>
          <w:szCs w:val="32"/>
        </w:rPr>
      </w:pPr>
      <w:r>
        <w:rPr>
          <w:rFonts w:ascii="仿宋_GB2312" w:eastAsia="仿宋_GB2312" w:cs="DengXian-Regular" w:hAnsi="Times New Roman" w:hint="eastAsia"/>
          <w:sz w:val="32"/>
          <w:szCs w:val="32"/>
        </w:rPr>
        <w:t>本部门2022年度支出合计</w:t>
      </w:r>
      <w:r>
        <w:rPr>
          <w:rFonts w:ascii="仿宋_GB2312" w:eastAsia="仿宋_GB2312" w:cs="DengXian-Regular" w:hAnsi="Times New Roman"/>
          <w:sz w:val="32"/>
          <w:szCs w:val="32"/>
        </w:rPr>
        <w:t>657.36</w:t>
      </w:r>
      <w:r>
        <w:rPr>
          <w:rFonts w:ascii="仿宋_GB2312" w:eastAsia="仿宋_GB2312" w:cs="DengXian-Regular" w:hAnsi="Times New Roman" w:hint="eastAsia"/>
          <w:sz w:val="32"/>
          <w:szCs w:val="32"/>
        </w:rPr>
        <w:t>万元，其中：基本支出</w:t>
      </w:r>
      <w:r>
        <w:rPr>
          <w:rFonts w:ascii="仿宋_GB2312" w:eastAsia="仿宋_GB2312" w:cs="DengXian-Regular" w:hAnsi="Times New Roman"/>
          <w:sz w:val="32"/>
          <w:szCs w:val="32"/>
        </w:rPr>
        <w:t>495.19</w:t>
      </w:r>
      <w:r>
        <w:rPr>
          <w:rFonts w:ascii="仿宋_GB2312" w:eastAsia="仿宋_GB2312" w:cs="DengXian-Regular" w:hAnsi="Times New Roman" w:hint="eastAsia"/>
          <w:sz w:val="32"/>
          <w:szCs w:val="32"/>
        </w:rPr>
        <w:t>万元，占</w:t>
      </w:r>
      <w:r>
        <w:rPr>
          <w:rFonts w:ascii="仿宋_GB2312" w:eastAsia="仿宋_GB2312" w:cs="DengXian-Regular" w:hAnsi="Times New Roman"/>
          <w:sz w:val="32"/>
          <w:szCs w:val="32"/>
        </w:rPr>
        <w:t>75.33</w:t>
      </w:r>
      <w:r>
        <w:rPr>
          <w:rFonts w:ascii="仿宋_GB2312" w:eastAsia="仿宋_GB2312" w:cs="DengXian-Regular" w:hAnsi="Times New Roman" w:hint="eastAsia"/>
          <w:sz w:val="32"/>
          <w:szCs w:val="32"/>
        </w:rPr>
        <w:t>%；项目支出</w:t>
      </w:r>
      <w:r>
        <w:rPr>
          <w:rFonts w:ascii="仿宋_GB2312" w:eastAsia="仿宋_GB2312" w:cs="DengXian-Regular" w:hAnsi="Times New Roman"/>
          <w:sz w:val="32"/>
          <w:szCs w:val="32"/>
        </w:rPr>
        <w:t>162.17</w:t>
      </w:r>
      <w:r>
        <w:rPr>
          <w:rFonts w:ascii="仿宋_GB2312" w:eastAsia="仿宋_GB2312" w:cs="DengXian-Regular" w:hAnsi="Times New Roman" w:hint="eastAsia"/>
          <w:sz w:val="32"/>
          <w:szCs w:val="32"/>
        </w:rPr>
        <w:t>万元，占</w:t>
      </w:r>
      <w:r>
        <w:rPr>
          <w:rFonts w:ascii="仿宋_GB2312" w:eastAsia="仿宋_GB2312" w:cs="DengXian-Regular" w:hAnsi="Times New Roman"/>
          <w:sz w:val="32"/>
          <w:szCs w:val="32"/>
        </w:rPr>
        <w:t>24.67</w:t>
      </w:r>
      <w:r>
        <w:rPr>
          <w:rFonts w:ascii="仿宋_GB2312" w:eastAsia="仿宋_GB2312" w:cs="DengXian-Regular" w:hAnsi="Times New Roman" w:hint="eastAsia"/>
          <w:sz w:val="32"/>
          <w:szCs w:val="32"/>
        </w:rPr>
        <w:t>%</w:t>
      </w:r>
      <w:r>
        <w:rPr>
          <w:rFonts w:ascii="仿宋_GB2312" w:eastAsia="仿宋_GB2312" w:cs="DengXian-Regular" w:hAnsi="Times New Roman"/>
          <w:sz w:val="32"/>
          <w:szCs w:val="32"/>
        </w:rPr>
        <w:t>。</w:t>
      </w:r>
    </w:p>
    <w:p>
      <w:pPr>
        <w:adjustRightInd w:val="0"/>
        <w:snapToGrid w:val="0"/>
        <w:spacing w:line="580" w:lineRule="exact"/>
        <w:ind w:firstLineChars="200" w:firstLine="640"/>
        <w:rPr>
          <w:rFonts w:ascii="黑体" w:eastAsia="黑体" w:cs="Times New Roman" w:hAnsi="Calibri"/>
          <w:sz w:val="32"/>
          <w:szCs w:val="32"/>
        </w:rPr>
      </w:pPr>
      <w:r>
        <w:rPr>
          <w:rFonts w:ascii="仿宋_GB2312" w:eastAsia="仿宋_GB2312" w:cs="DengXian-Regular" w:hAnsi="Times New Roman"/>
          <w:sz w:val="32"/>
          <w:szCs w:val="32"/>
          <w:highlight w:val="yellow"/>
        </w:rPr>
        <w:object>
          <v:shape id="_x0000_i2" type="#_x0000_t75" filled="f" stroked="f" style="position:absolute;margin-left:27.394953pt;margin-top:16.544277pt;width:404.7381pt;height:254.33891pt;z-index:63;mso-position-horizontal:absolute;mso-position-vertical:absolute;mso-wrap-distance-left:6.749897pt;mso-wrap-distance-right:6.749897pt;" o:ole="">
            <v:stroke color="#000000"/>
            <v:imagedata r:id="rId17" o:title="57"/>
            <o:lock aspectratio="t"/>
            <w10:wrap type="topAndBottom"/>
          </v:shape>
          <o:OLEObject Type="Embed" ProgID="Package" ShapeID="_x0000_i2" DrawAspect="Content" ObjectID="_1393063352" r:id="rId18"/>
        </w:object>
      </w:r>
      <w:r>
        <w:rPr>
          <w:rFonts w:ascii="黑体" w:eastAsia="黑体" w:cs="Times New Roman" w:hAnsi="Calibri" w:hint="eastAsia"/>
          <w:sz w:val="32"/>
          <w:szCs w:val="32"/>
        </w:rPr>
        <w:t>四、</w:t>
      </w:r>
      <w:r>
        <w:rPr>
          <w:rFonts w:ascii="黑体" w:eastAsia="黑体" w:cs="黑体" w:hAnsi="Cambria" w:hint="eastAsia"/>
          <w:kern w:val="0"/>
          <w:sz w:val="32"/>
          <w:szCs w:val="32"/>
        </w:rPr>
        <w:t>财政</w:t>
      </w:r>
      <w:r>
        <w:rPr>
          <w:rFonts w:ascii="黑体" w:eastAsia="黑体" w:cs="Times New Roman" w:hAnsi="Calibri" w:hint="eastAsia"/>
          <w:sz w:val="32"/>
          <w:szCs w:val="32"/>
        </w:rPr>
        <w:t>拨款收入支出决算总体情况说明</w:t>
      </w:r>
    </w:p>
    <w:p>
      <w:pPr>
        <w:snapToGrid w:val="0"/>
        <w:spacing w:line="580" w:lineRule="exact"/>
        <w:ind w:firstLineChars="200" w:firstLine="640"/>
        <w:rPr>
          <w:rFonts w:ascii="楷体_GB2312" w:eastAsia="楷体_GB2312" w:cs="DengXian-Bold" w:hAnsi="Times New Roman"/>
          <w:b/>
          <w:bCs/>
          <w:sz w:val="32"/>
          <w:szCs w:val="32"/>
        </w:rPr>
      </w:pPr>
      <w:r>
        <w:rPr>
          <w:rFonts w:ascii="楷体_GB2312" w:eastAsia="楷体_GB2312" w:cs="DengXian-Bold" w:hAnsi="Times New Roman" w:hint="eastAsia"/>
          <w:b/>
          <w:bCs/>
          <w:sz w:val="32"/>
          <w:szCs w:val="32"/>
        </w:rPr>
        <w:t>（一）财政拨款收支与2021年度决算对比情况</w:t>
      </w:r>
    </w:p>
    <w:p>
      <w:pPr>
        <w:adjustRightInd w:val="0"/>
        <w:snapToGrid w:val="0"/>
        <w:spacing w:line="580" w:lineRule="exact"/>
        <w:ind w:firstLineChars="200" w:firstLine="640"/>
        <w:rPr>
          <w:rFonts w:ascii="仿宋_GB2312" w:eastAsia="仿宋_GB2312" w:cs="DengXian-Regular" w:hAnsi="Times New Roman"/>
          <w:sz w:val="32"/>
          <w:szCs w:val="32"/>
        </w:rPr>
      </w:pPr>
      <w:r>
        <w:rPr>
          <w:rFonts w:ascii="仿宋_GB2312" w:eastAsia="仿宋_GB2312" w:cs="DengXian-Regular" w:hAnsi="Times New Roman" w:hint="eastAsia"/>
          <w:sz w:val="32"/>
          <w:szCs w:val="32"/>
        </w:rPr>
        <w:t>本部门2022年度财政拨款本年收入</w:t>
      </w:r>
      <w:r>
        <w:rPr>
          <w:rFonts w:ascii="仿宋_GB2312" w:eastAsia="仿宋_GB2312" w:cs="DengXian-Regular" w:hAnsi="Times New Roman"/>
          <w:sz w:val="32"/>
          <w:szCs w:val="32"/>
        </w:rPr>
        <w:t>653.86</w:t>
      </w:r>
      <w:r>
        <w:rPr>
          <w:rFonts w:ascii="仿宋_GB2312" w:eastAsia="仿宋_GB2312" w:cs="DengXian-Regular" w:hAnsi="Times New Roman" w:hint="eastAsia"/>
          <w:sz w:val="32"/>
          <w:szCs w:val="32"/>
        </w:rPr>
        <w:t>万元,比2021年度减少</w:t>
      </w:r>
      <w:r>
        <w:rPr>
          <w:rFonts w:ascii="仿宋_GB2312" w:eastAsia="仿宋_GB2312" w:cs="DengXian-Regular" w:hAnsi="Times New Roman"/>
          <w:sz w:val="32"/>
          <w:szCs w:val="32"/>
        </w:rPr>
        <w:t>18.99</w:t>
      </w:r>
      <w:r>
        <w:rPr>
          <w:rFonts w:ascii="仿宋_GB2312" w:eastAsia="仿宋_GB2312" w:cs="DengXian-Regular" w:hAnsi="Times New Roman" w:hint="eastAsia"/>
          <w:sz w:val="32"/>
          <w:szCs w:val="32"/>
        </w:rPr>
        <w:t>万元，降低</w:t>
      </w:r>
      <w:r>
        <w:rPr>
          <w:rFonts w:ascii="仿宋_GB2312" w:eastAsia="仿宋_GB2312" w:cs="DengXian-Regular" w:hAnsi="Times New Roman"/>
          <w:sz w:val="32"/>
          <w:szCs w:val="32"/>
        </w:rPr>
        <w:t>2.82</w:t>
      </w:r>
      <w:r>
        <w:rPr>
          <w:rFonts w:ascii="仿宋_GB2312" w:eastAsia="仿宋_GB2312" w:cs="DengXian-Regular" w:hAnsi="Times New Roman" w:hint="eastAsia"/>
          <w:sz w:val="32"/>
          <w:szCs w:val="32"/>
        </w:rPr>
        <w:t>%，主要是</w:t>
      </w:r>
      <w:r>
        <w:rPr>
          <w:rFonts w:ascii="仿宋_GB2312" w:eastAsia="仿宋_GB2312" w:cs="DengXian-Regular" w:hAnsi="Times New Roman"/>
          <w:sz w:val="32"/>
          <w:szCs w:val="32"/>
        </w:rPr>
        <w:t>新冠肺炎疫情影响，预算压减</w:t>
      </w:r>
      <w:r>
        <w:rPr>
          <w:rFonts w:ascii="仿宋_GB2312" w:eastAsia="仿宋_GB2312" w:cs="DengXian-Regular" w:hAnsi="Times New Roman" w:hint="eastAsia"/>
          <w:sz w:val="32"/>
          <w:szCs w:val="32"/>
        </w:rPr>
        <w:t>；本年支出</w:t>
      </w:r>
      <w:r>
        <w:rPr>
          <w:rFonts w:ascii="仿宋_GB2312" w:eastAsia="仿宋_GB2312" w:cs="DengXian-Regular" w:hAnsi="Times New Roman"/>
          <w:sz w:val="32"/>
          <w:szCs w:val="32"/>
        </w:rPr>
        <w:t>657.36</w:t>
      </w:r>
      <w:r>
        <w:rPr>
          <w:rFonts w:ascii="仿宋_GB2312" w:eastAsia="仿宋_GB2312" w:cs="DengXian-Regular" w:hAnsi="Times New Roman" w:hint="eastAsia"/>
          <w:sz w:val="32"/>
          <w:szCs w:val="32"/>
        </w:rPr>
        <w:t>万元，减少</w:t>
      </w:r>
      <w:r>
        <w:rPr>
          <w:rFonts w:ascii="仿宋_GB2312" w:eastAsia="仿宋_GB2312" w:cs="DengXian-Regular" w:hAnsi="Times New Roman"/>
          <w:sz w:val="32"/>
          <w:szCs w:val="32"/>
        </w:rPr>
        <w:t>17.60</w:t>
      </w:r>
      <w:r>
        <w:rPr>
          <w:rFonts w:ascii="仿宋_GB2312" w:eastAsia="仿宋_GB2312" w:cs="DengXian-Regular" w:hAnsi="Times New Roman" w:hint="eastAsia"/>
          <w:sz w:val="32"/>
          <w:szCs w:val="32"/>
        </w:rPr>
        <w:t>万元，降低</w:t>
      </w:r>
      <w:r>
        <w:rPr>
          <w:rFonts w:ascii="仿宋_GB2312" w:eastAsia="仿宋_GB2312" w:cs="DengXian-Regular" w:hAnsi="Times New Roman"/>
          <w:sz w:val="32"/>
          <w:szCs w:val="32"/>
        </w:rPr>
        <w:t>2.60</w:t>
      </w:r>
      <w:r>
        <w:rPr>
          <w:rFonts w:ascii="仿宋_GB2312" w:eastAsia="仿宋_GB2312" w:cs="DengXian-Regular" w:hAnsi="Times New Roman" w:hint="eastAsia"/>
          <w:sz w:val="32"/>
          <w:szCs w:val="32"/>
        </w:rPr>
        <w:t>%，主要是</w:t>
      </w:r>
      <w:r>
        <w:rPr>
          <w:rFonts w:ascii="仿宋_GB2312" w:eastAsia="仿宋_GB2312" w:cs="DengXian-Regular" w:hAnsi="Times New Roman"/>
          <w:sz w:val="32"/>
          <w:szCs w:val="32"/>
        </w:rPr>
        <w:t>新冠肺炎疫情影响，减少了项目支出</w:t>
      </w:r>
      <w:r>
        <w:rPr>
          <w:rFonts w:ascii="仿宋_GB2312" w:eastAsia="仿宋_GB2312" w:cs="DengXian-Regular" w:hAnsi="Times New Roman" w:hint="eastAsia"/>
          <w:sz w:val="32"/>
          <w:szCs w:val="32"/>
        </w:rPr>
        <w:t>。具体情况如下：</w:t>
      </w:r>
    </w:p>
    <w:p>
      <w:pPr>
        <w:adjustRightInd w:val="0"/>
        <w:snapToGrid w:val="0"/>
        <w:spacing w:line="580" w:lineRule="exact"/>
        <w:ind w:firstLineChars="200" w:firstLine="640"/>
        <w:rPr>
          <w:rFonts w:ascii="仿宋_GB2312" w:eastAsia="仿宋_GB2312" w:cs="DengXian-Regular" w:hAnsi="Times New Roman"/>
          <w:sz w:val="32"/>
          <w:szCs w:val="32"/>
        </w:rPr>
      </w:pPr>
      <w:r>
        <w:rPr>
          <w:rFonts w:ascii="仿宋_GB2312" w:eastAsia="仿宋_GB2312" w:cs="DengXian-Regular" w:hAnsi="Times New Roman" w:hint="eastAsia"/>
          <w:sz w:val="32"/>
          <w:szCs w:val="32"/>
        </w:rPr>
        <w:t>1.一般公共预算财政拨款本年收入</w:t>
      </w:r>
      <w:r>
        <w:rPr>
          <w:rFonts w:ascii="仿宋_GB2312" w:eastAsia="仿宋_GB2312" w:cs="DengXian-Regular" w:hAnsi="Times New Roman"/>
          <w:sz w:val="32"/>
          <w:szCs w:val="32"/>
        </w:rPr>
        <w:t>653.86</w:t>
      </w:r>
      <w:r>
        <w:rPr>
          <w:rFonts w:ascii="仿宋_GB2312" w:eastAsia="仿宋_GB2312" w:cs="DengXian-Regular" w:hAnsi="Times New Roman" w:hint="eastAsia"/>
          <w:sz w:val="32"/>
          <w:szCs w:val="32"/>
        </w:rPr>
        <w:t>万元，比上年增减少</w:t>
      </w:r>
      <w:r>
        <w:rPr>
          <w:rFonts w:ascii="仿宋_GB2312" w:eastAsia="仿宋_GB2312" w:cs="DengXian-Regular" w:hAnsi="Times New Roman"/>
          <w:sz w:val="32"/>
          <w:szCs w:val="32"/>
        </w:rPr>
        <w:t>18.99</w:t>
      </w:r>
      <w:r>
        <w:rPr>
          <w:rFonts w:ascii="仿宋_GB2312" w:eastAsia="仿宋_GB2312" w:cs="DengXian-Regular" w:hAnsi="Times New Roman" w:hint="eastAsia"/>
          <w:sz w:val="32"/>
          <w:szCs w:val="32"/>
        </w:rPr>
        <w:t>万元；主要是</w:t>
      </w:r>
      <w:r>
        <w:rPr>
          <w:rFonts w:ascii="仿宋_GB2312" w:eastAsia="仿宋_GB2312" w:cs="DengXian-Regular" w:hAnsi="Times New Roman"/>
          <w:sz w:val="32"/>
          <w:szCs w:val="32"/>
        </w:rPr>
        <w:t>新冠肺炎疫情影响，预算压减</w:t>
      </w:r>
      <w:r>
        <w:rPr>
          <w:rFonts w:ascii="仿宋_GB2312" w:eastAsia="仿宋_GB2312" w:cs="DengXian-Regular" w:hAnsi="Times New Roman" w:hint="eastAsia"/>
          <w:sz w:val="32"/>
          <w:szCs w:val="32"/>
        </w:rPr>
        <w:t>；本年支出</w:t>
      </w:r>
      <w:r>
        <w:rPr>
          <w:rFonts w:ascii="仿宋_GB2312" w:eastAsia="仿宋_GB2312" w:cs="DengXian-Regular" w:hAnsi="Times New Roman"/>
          <w:sz w:val="32"/>
          <w:szCs w:val="32"/>
        </w:rPr>
        <w:t>657.36</w:t>
      </w:r>
      <w:r>
        <w:rPr>
          <w:rFonts w:ascii="仿宋_GB2312" w:eastAsia="仿宋_GB2312" w:cs="DengXian-Regular" w:hAnsi="Times New Roman" w:hint="eastAsia"/>
          <w:sz w:val="32"/>
          <w:szCs w:val="32"/>
        </w:rPr>
        <w:t>万元，比上年减少</w:t>
      </w:r>
      <w:r>
        <w:rPr>
          <w:rFonts w:ascii="仿宋_GB2312" w:eastAsia="仿宋_GB2312" w:cs="DengXian-Regular" w:hAnsi="Times New Roman"/>
          <w:sz w:val="32"/>
          <w:szCs w:val="32"/>
        </w:rPr>
        <w:t>17.60</w:t>
      </w:r>
      <w:r>
        <w:rPr>
          <w:rFonts w:ascii="仿宋_GB2312" w:eastAsia="仿宋_GB2312" w:cs="DengXian-Regular" w:hAnsi="Times New Roman" w:hint="eastAsia"/>
          <w:sz w:val="32"/>
          <w:szCs w:val="32"/>
        </w:rPr>
        <w:t>万元，降低</w:t>
      </w:r>
      <w:r>
        <w:rPr>
          <w:rFonts w:ascii="仿宋_GB2312" w:eastAsia="仿宋_GB2312" w:cs="DengXian-Regular" w:hAnsi="Times New Roman"/>
          <w:sz w:val="32"/>
          <w:szCs w:val="32"/>
        </w:rPr>
        <w:t>2.60</w:t>
      </w:r>
      <w:r>
        <w:rPr>
          <w:rFonts w:ascii="仿宋_GB2312" w:eastAsia="仿宋_GB2312" w:cs="DengXian-Regular" w:hAnsi="Times New Roman" w:hint="eastAsia"/>
          <w:sz w:val="32"/>
          <w:szCs w:val="32"/>
        </w:rPr>
        <w:t>%，主要是</w:t>
      </w:r>
      <w:r>
        <w:rPr>
          <w:rFonts w:ascii="仿宋_GB2312" w:eastAsia="仿宋_GB2312" w:cs="DengXian-Regular" w:hAnsi="Times New Roman"/>
          <w:sz w:val="32"/>
          <w:szCs w:val="32"/>
        </w:rPr>
        <w:t>新冠肺炎疫情影响，减少了项目支出</w:t>
      </w:r>
      <w:r>
        <w:rPr>
          <w:rFonts w:ascii="仿宋_GB2312" w:eastAsia="仿宋_GB2312" w:cs="DengXian-Regular" w:hAnsi="Times New Roman" w:hint="eastAsia"/>
          <w:sz w:val="32"/>
          <w:szCs w:val="32"/>
        </w:rPr>
        <w:t>。</w:t>
      </w:r>
    </w:p>
    <w:p>
      <w:pPr>
        <w:adjustRightInd w:val="0"/>
        <w:snapToGrid w:val="0"/>
        <w:spacing w:line="580" w:lineRule="exact"/>
        <w:ind w:firstLineChars="200" w:firstLine="640"/>
        <w:rPr>
          <w:rFonts w:ascii="仿宋_GB2312" w:eastAsia="仿宋_GB2312" w:cs="DengXian-Regular" w:hAnsi="Times New Roman"/>
          <w:sz w:val="32"/>
          <w:szCs w:val="32"/>
        </w:rPr>
      </w:pPr>
      <w:r>
        <w:rPr>
          <w:rFonts w:ascii="仿宋_GB2312" w:eastAsia="仿宋_GB2312" w:cs="DengXian-Regular" w:hAnsi="Times New Roman" w:hint="eastAsia"/>
          <w:sz w:val="32"/>
          <w:szCs w:val="32"/>
        </w:rPr>
        <w:t>2.政府性基金预算财政拨款本年收入</w:t>
      </w:r>
      <w:r>
        <w:rPr>
          <w:rFonts w:ascii="仿宋_GB2312" w:eastAsia="仿宋_GB2312" w:cs="DengXian-Regular" w:hAnsi="Times New Roman"/>
          <w:sz w:val="32"/>
          <w:szCs w:val="32"/>
        </w:rPr>
        <w:t>0</w:t>
      </w:r>
      <w:r>
        <w:rPr>
          <w:rFonts w:ascii="仿宋_GB2312" w:eastAsia="仿宋_GB2312" w:cs="DengXian-Regular" w:hAnsi="Times New Roman" w:hint="eastAsia"/>
          <w:sz w:val="32"/>
          <w:szCs w:val="32"/>
        </w:rPr>
        <w:t>万元，</w:t>
      </w:r>
      <w:r>
        <w:rPr>
          <w:rFonts w:ascii="仿宋_GB2312" w:eastAsia="仿宋_GB2312" w:cs="DengXian-Regular" w:hAnsi="Times New Roman"/>
          <w:sz w:val="32"/>
          <w:szCs w:val="32"/>
        </w:rPr>
        <w:t>与上年比较无变化</w:t>
      </w:r>
      <w:r>
        <w:rPr>
          <w:rFonts w:ascii="仿宋_GB2312" w:eastAsia="仿宋_GB2312" w:cs="DengXian-Regular" w:hAnsi="Times New Roman" w:hint="eastAsia"/>
          <w:sz w:val="32"/>
          <w:szCs w:val="32"/>
        </w:rPr>
        <w:t>；本年支出</w:t>
      </w:r>
      <w:r>
        <w:rPr>
          <w:rFonts w:ascii="仿宋_GB2312" w:eastAsia="仿宋_GB2312" w:cs="DengXian-Regular" w:hAnsi="Times New Roman"/>
          <w:sz w:val="32"/>
          <w:szCs w:val="32"/>
        </w:rPr>
        <w:t>0</w:t>
      </w:r>
      <w:r>
        <w:rPr>
          <w:rFonts w:ascii="仿宋_GB2312" w:eastAsia="仿宋_GB2312" w:cs="DengXian-Regular" w:hAnsi="Times New Roman" w:hint="eastAsia"/>
          <w:sz w:val="32"/>
          <w:szCs w:val="32"/>
        </w:rPr>
        <w:t>万元，</w:t>
      </w:r>
      <w:r>
        <w:rPr>
          <w:rFonts w:ascii="仿宋_GB2312" w:eastAsia="仿宋_GB2312" w:cs="DengXian-Regular" w:hAnsi="Times New Roman"/>
          <w:sz w:val="32"/>
          <w:szCs w:val="32"/>
        </w:rPr>
        <w:t>与上年比较无变化</w:t>
      </w:r>
      <w:r>
        <w:rPr>
          <w:rFonts w:ascii="仿宋_GB2312" w:eastAsia="仿宋_GB2312" w:cs="DengXian-Regular" w:hAnsi="Times New Roman" w:hint="eastAsia"/>
          <w:sz w:val="32"/>
          <w:szCs w:val="32"/>
        </w:rPr>
        <w:t>。</w:t>
      </w:r>
    </w:p>
    <w:p>
      <w:pPr>
        <w:adjustRightInd w:val="0"/>
        <w:snapToGrid w:val="0"/>
        <w:spacing w:line="580" w:lineRule="exact"/>
        <w:ind w:firstLineChars="200" w:firstLine="640"/>
        <w:rPr>
          <w:rFonts w:ascii="仿宋_GB2312" w:eastAsia="仿宋_GB2312" w:cs="DengXian-Regular" w:hAnsi="Times New Roman"/>
          <w:sz w:val="32"/>
          <w:szCs w:val="32"/>
        </w:rPr>
      </w:pPr>
      <w:r>
        <w:rPr>
          <w:rFonts w:ascii="仿宋_GB2312" w:eastAsia="仿宋_GB2312" w:cs="DengXian-Regular" w:hAnsi="Times New Roman" w:hint="eastAsia"/>
          <w:sz w:val="32"/>
          <w:szCs w:val="32"/>
        </w:rPr>
        <w:t>3.国有资本经营预算财政拨款本年收入</w:t>
      </w:r>
      <w:r>
        <w:rPr>
          <w:rFonts w:ascii="仿宋_GB2312" w:eastAsia="仿宋_GB2312" w:cs="DengXian-Regular" w:hAnsi="Times New Roman"/>
          <w:sz w:val="32"/>
          <w:szCs w:val="32"/>
        </w:rPr>
        <w:t>0</w:t>
      </w:r>
      <w:r>
        <w:rPr>
          <w:rFonts w:ascii="仿宋_GB2312" w:eastAsia="仿宋_GB2312" w:cs="DengXian-Regular" w:hAnsi="Times New Roman" w:hint="eastAsia"/>
          <w:sz w:val="32"/>
          <w:szCs w:val="32"/>
        </w:rPr>
        <w:t>万元，</w:t>
      </w:r>
      <w:r>
        <w:rPr>
          <w:rFonts w:ascii="仿宋_GB2312" w:eastAsia="仿宋_GB2312" w:cs="DengXian-Regular" w:hAnsi="Times New Roman"/>
          <w:sz w:val="32"/>
          <w:szCs w:val="32"/>
        </w:rPr>
        <w:t>与上年比较无变化</w:t>
      </w:r>
      <w:r>
        <w:rPr>
          <w:rFonts w:ascii="仿宋_GB2312" w:eastAsia="仿宋_GB2312" w:cs="DengXian-Regular" w:hAnsi="Times New Roman" w:hint="eastAsia"/>
          <w:sz w:val="32"/>
          <w:szCs w:val="32"/>
        </w:rPr>
        <w:t>；本年支出</w:t>
      </w:r>
      <w:r>
        <w:rPr>
          <w:rFonts w:ascii="仿宋_GB2312" w:eastAsia="仿宋_GB2312" w:cs="DengXian-Regular" w:hAnsi="Times New Roman"/>
          <w:sz w:val="32"/>
          <w:szCs w:val="32"/>
        </w:rPr>
        <w:t>0</w:t>
      </w:r>
      <w:r>
        <w:rPr>
          <w:rFonts w:ascii="仿宋_GB2312" w:eastAsia="仿宋_GB2312" w:cs="DengXian-Regular" w:hAnsi="Times New Roman" w:hint="eastAsia"/>
          <w:sz w:val="32"/>
          <w:szCs w:val="32"/>
        </w:rPr>
        <w:t>万元，</w:t>
      </w:r>
      <w:r>
        <w:rPr>
          <w:rFonts w:ascii="仿宋_GB2312" w:eastAsia="仿宋_GB2312" w:cs="DengXian-Regular" w:hAnsi="Times New Roman"/>
          <w:sz w:val="32"/>
          <w:szCs w:val="32"/>
        </w:rPr>
        <w:t>与上年比较无变化</w:t>
      </w:r>
      <w:r>
        <w:rPr>
          <w:rFonts w:ascii="仿宋_GB2312" w:eastAsia="仿宋_GB2312" w:cs="DengXian-Regular" w:hAnsi="Times New Roman" w:hint="eastAsia"/>
          <w:sz w:val="32"/>
          <w:szCs w:val="32"/>
        </w:rPr>
        <w:t>。</w:t>
      </w:r>
    </w:p>
    <w:p>
      <w:pPr>
        <w:adjustRightInd w:val="0"/>
        <w:snapToGrid w:val="0"/>
        <w:spacing w:line="580" w:lineRule="exact"/>
        <w:ind w:firstLineChars="200" w:firstLine="640"/>
        <w:rPr>
          <w:rFonts w:ascii="仿宋_GB2312" w:eastAsia="仿宋_GB2312" w:cs="DengXian-Bold" w:hAnsi="Times New Roman"/>
          <w:b/>
          <w:bCs/>
          <w:sz w:val="32"/>
          <w:szCs w:val="32"/>
        </w:rPr>
      </w:pPr>
      <w:r>
        <w:rPr>
          <w:rFonts w:ascii="仿宋_GB2312" w:eastAsia="仿宋_GB2312" w:cs="DengXian-Regular" w:hAnsi="Times New Roman"/>
          <w:sz w:val="32"/>
          <w:szCs w:val="32"/>
        </w:rPr>
        <w:object>
          <v:shape id="_x0000_i3" type="#_x0000_t75" filled="f" stroked="f" style="position:absolute;margin-left:32.19834pt;margin-top:16.434244pt;width:377.07498pt;height:173.69414pt;z-index:65;mso-position-horizontal:absolute;mso-position-vertical:absolute;mso-wrap-distance-left:6.749897pt;mso-wrap-distance-right:6.749897pt;" o:ole="">
            <v:stroke color="#000000"/>
            <v:imagedata r:id="rId19" o:title="59"/>
            <o:lock aspectratio="t"/>
            <w10:wrap type="topAndBottom"/>
          </v:shape>
          <o:OLEObject Type="Embed" ProgID="Package" ShapeID="_x0000_i3" DrawAspect="Content" ObjectID="_1393063353" r:id="rId20"/>
        </w:object>
      </w:r>
      <w:r>
        <w:rPr>
          <w:rFonts w:ascii="楷体_GB2312" w:eastAsia="楷体_GB2312" w:cs="DengXian-Bold" w:hAnsi="Times New Roman" w:hint="eastAsia"/>
          <w:b/>
          <w:bCs/>
          <w:sz w:val="32"/>
          <w:szCs w:val="32"/>
        </w:rPr>
        <w:t>（二）财政拨款收支与年初预算数对比情况</w:t>
      </w:r>
    </w:p>
    <w:p>
      <w:pPr>
        <w:adjustRightInd w:val="0"/>
        <w:snapToGrid w:val="0"/>
        <w:spacing w:line="580" w:lineRule="exact"/>
        <w:ind w:firstLineChars="200" w:firstLine="640"/>
        <w:rPr>
          <w:rFonts w:ascii="仿宋_GB2312" w:eastAsia="仿宋_GB2312" w:cs="DengXian-Regular" w:hAnsi="Times New Roman"/>
          <w:sz w:val="32"/>
          <w:szCs w:val="32"/>
        </w:rPr>
      </w:pPr>
      <w:r>
        <w:rPr>
          <w:rFonts w:ascii="仿宋_GB2312" w:eastAsia="仿宋_GB2312" w:cs="DengXian-Regular" w:hAnsi="Times New Roman" w:hint="eastAsia"/>
          <w:sz w:val="32"/>
          <w:szCs w:val="32"/>
        </w:rPr>
        <w:t>本部门2022年度财政拨款本年收入</w:t>
      </w:r>
      <w:r>
        <w:rPr>
          <w:rFonts w:ascii="仿宋_GB2312" w:eastAsia="仿宋_GB2312" w:cs="DengXian-Regular" w:hAnsi="Times New Roman"/>
          <w:sz w:val="32"/>
          <w:szCs w:val="32"/>
        </w:rPr>
        <w:t>653.86</w:t>
      </w:r>
      <w:r>
        <w:rPr>
          <w:rFonts w:ascii="仿宋_GB2312" w:eastAsia="仿宋_GB2312" w:cs="DengXian-Regular" w:hAnsi="Times New Roman" w:hint="eastAsia"/>
          <w:sz w:val="32"/>
          <w:szCs w:val="32"/>
        </w:rPr>
        <w:t>万元，完成年初预算的</w:t>
      </w:r>
      <w:r>
        <w:rPr>
          <w:rFonts w:ascii="仿宋_GB2312" w:eastAsia="仿宋_GB2312" w:cs="DengXian-Regular" w:hAnsi="Times New Roman"/>
          <w:sz w:val="32"/>
          <w:szCs w:val="32"/>
        </w:rPr>
        <w:t>98.13</w:t>
      </w:r>
      <w:r>
        <w:rPr>
          <w:rFonts w:ascii="仿宋_GB2312" w:eastAsia="仿宋_GB2312" w:cs="DengXian-Regular" w:hAnsi="Times New Roman" w:hint="eastAsia"/>
          <w:sz w:val="32"/>
          <w:szCs w:val="32"/>
        </w:rPr>
        <w:t>%,比年初预算减少</w:t>
      </w:r>
      <w:r>
        <w:rPr>
          <w:rFonts w:ascii="仿宋_GB2312" w:eastAsia="仿宋_GB2312" w:cs="DengXian-Regular" w:hAnsi="Times New Roman"/>
          <w:sz w:val="32"/>
          <w:szCs w:val="32"/>
        </w:rPr>
        <w:t>12.49</w:t>
      </w:r>
      <w:r>
        <w:rPr>
          <w:rFonts w:ascii="仿宋_GB2312" w:eastAsia="仿宋_GB2312" w:cs="DengXian-Regular" w:hAnsi="Times New Roman" w:hint="eastAsia"/>
          <w:sz w:val="32"/>
          <w:szCs w:val="32"/>
        </w:rPr>
        <w:t>万元，决算数小于预算数</w:t>
      </w:r>
      <w:r>
        <w:rPr>
          <w:rFonts w:ascii="仿宋_GB2312" w:eastAsia="仿宋_GB2312" w:cs="DengXian-Regular" w:hAnsi="Times New Roman"/>
          <w:sz w:val="32"/>
          <w:szCs w:val="32"/>
        </w:rPr>
        <w:t xml:space="preserve"> 0</w:t>
      </w:r>
      <w:r>
        <w:rPr>
          <w:rFonts w:ascii="仿宋_GB2312" w:eastAsia="仿宋_GB2312" w:cs="DengXian-Regular" w:hAnsi="Times New Roman" w:hint="eastAsia"/>
          <w:sz w:val="32"/>
          <w:szCs w:val="32"/>
        </w:rPr>
        <w:t>主要原因是</w:t>
      </w:r>
      <w:r>
        <w:rPr>
          <w:rFonts w:ascii="仿宋_GB2312" w:eastAsia="仿宋_GB2312" w:cs="DengXian-Regular" w:hAnsi="Times New Roman"/>
          <w:sz w:val="32"/>
          <w:szCs w:val="32"/>
        </w:rPr>
        <w:t>新冠肺炎疫情影响，预算压减</w:t>
      </w:r>
      <w:r>
        <w:rPr>
          <w:rFonts w:ascii="仿宋_GB2312" w:eastAsia="仿宋_GB2312" w:cs="DengXian-Regular" w:hAnsi="Times New Roman" w:hint="eastAsia"/>
          <w:sz w:val="32"/>
          <w:szCs w:val="32"/>
        </w:rPr>
        <w:t>；本年支出</w:t>
      </w:r>
      <w:r>
        <w:rPr>
          <w:rFonts w:ascii="仿宋_GB2312" w:eastAsia="仿宋_GB2312" w:cs="DengXian-Regular" w:hAnsi="Times New Roman"/>
          <w:sz w:val="32"/>
          <w:szCs w:val="32"/>
        </w:rPr>
        <w:t>657.36</w:t>
      </w:r>
      <w:r>
        <w:rPr>
          <w:rFonts w:ascii="仿宋_GB2312" w:eastAsia="仿宋_GB2312" w:cs="DengXian-Regular" w:hAnsi="Times New Roman" w:hint="eastAsia"/>
          <w:sz w:val="32"/>
          <w:szCs w:val="32"/>
        </w:rPr>
        <w:t>万元，完成年初预算的</w:t>
      </w:r>
      <w:r>
        <w:rPr>
          <w:rFonts w:ascii="仿宋_GB2312" w:eastAsia="仿宋_GB2312" w:cs="DengXian-Regular" w:hAnsi="Times New Roman"/>
          <w:sz w:val="32"/>
          <w:szCs w:val="32"/>
        </w:rPr>
        <w:t>98.65</w:t>
      </w:r>
      <w:r>
        <w:rPr>
          <w:rFonts w:ascii="仿宋_GB2312" w:eastAsia="仿宋_GB2312" w:cs="DengXian-Regular" w:hAnsi="Times New Roman" w:hint="eastAsia"/>
          <w:sz w:val="32"/>
          <w:szCs w:val="32"/>
        </w:rPr>
        <w:t>%,比年初预算减少</w:t>
      </w:r>
      <w:r>
        <w:rPr>
          <w:rFonts w:ascii="仿宋_GB2312" w:eastAsia="仿宋_GB2312" w:cs="DengXian-Regular" w:hAnsi="Times New Roman"/>
          <w:sz w:val="32"/>
          <w:szCs w:val="32"/>
        </w:rPr>
        <w:t>8.99</w:t>
      </w:r>
      <w:r>
        <w:rPr>
          <w:rFonts w:ascii="仿宋_GB2312" w:eastAsia="仿宋_GB2312" w:cs="DengXian-Regular" w:hAnsi="Times New Roman" w:hint="eastAsia"/>
          <w:sz w:val="32"/>
          <w:szCs w:val="32"/>
        </w:rPr>
        <w:t>万元，决算数小于预算数主要原因是</w:t>
      </w:r>
      <w:r>
        <w:rPr>
          <w:rFonts w:ascii="仿宋_GB2312" w:eastAsia="仿宋_GB2312" w:cs="DengXian-Regular" w:hAnsi="Times New Roman"/>
          <w:sz w:val="32"/>
          <w:szCs w:val="32"/>
        </w:rPr>
        <w:t>新冠肺炎疫情影响，减少了项目支出</w:t>
      </w:r>
      <w:r>
        <w:rPr>
          <w:rFonts w:ascii="仿宋_GB2312" w:eastAsia="仿宋_GB2312" w:cs="DengXian-Regular" w:hAnsi="Times New Roman" w:hint="eastAsia"/>
          <w:sz w:val="32"/>
          <w:szCs w:val="32"/>
        </w:rPr>
        <w:t>。具体情况如下：</w:t>
      </w:r>
    </w:p>
    <w:p>
      <w:pPr>
        <w:adjustRightInd w:val="0"/>
        <w:snapToGrid w:val="0"/>
        <w:spacing w:line="580" w:lineRule="exact"/>
        <w:ind w:firstLineChars="200" w:firstLine="640"/>
        <w:rPr>
          <w:rFonts w:ascii="仿宋_GB2312" w:eastAsia="仿宋_GB2312" w:cs="DengXian-Regular" w:hAnsi="Times New Roman"/>
          <w:sz w:val="32"/>
          <w:szCs w:val="32"/>
        </w:rPr>
      </w:pPr>
      <w:r>
        <w:rPr>
          <w:rFonts w:ascii="仿宋_GB2312" w:eastAsia="仿宋_GB2312" w:cs="DengXian-Regular" w:hAnsi="Times New Roman" w:hint="eastAsia"/>
          <w:sz w:val="32"/>
          <w:szCs w:val="32"/>
        </w:rPr>
        <w:t>1.一般公共预算财政拨款本年收入完成年初预算</w:t>
      </w:r>
      <w:r>
        <w:rPr>
          <w:rFonts w:ascii="仿宋_GB2312" w:eastAsia="仿宋_GB2312" w:cs="DengXian-Regular" w:hAnsi="Times New Roman"/>
          <w:sz w:val="32"/>
          <w:szCs w:val="32"/>
        </w:rPr>
        <w:t>98.13</w:t>
      </w:r>
      <w:r>
        <w:rPr>
          <w:rFonts w:ascii="仿宋_GB2312" w:eastAsia="仿宋_GB2312" w:cs="DengXian-Regular" w:hAnsi="Times New Roman" w:hint="eastAsia"/>
          <w:sz w:val="32"/>
          <w:szCs w:val="32"/>
        </w:rPr>
        <w:t>%，比年初预算减少</w:t>
      </w:r>
      <w:r>
        <w:rPr>
          <w:rFonts w:ascii="仿宋_GB2312" w:eastAsia="仿宋_GB2312" w:cs="DengXian-Regular" w:hAnsi="Times New Roman"/>
          <w:sz w:val="32"/>
          <w:szCs w:val="32"/>
        </w:rPr>
        <w:t>12.49</w:t>
      </w:r>
      <w:r>
        <w:rPr>
          <w:rFonts w:ascii="仿宋_GB2312" w:eastAsia="仿宋_GB2312" w:cs="DengXian-Regular" w:hAnsi="Times New Roman" w:hint="eastAsia"/>
          <w:sz w:val="32"/>
          <w:szCs w:val="32"/>
        </w:rPr>
        <w:t>万元，主要是</w:t>
      </w:r>
      <w:r>
        <w:rPr>
          <w:rFonts w:ascii="仿宋_GB2312" w:eastAsia="仿宋_GB2312" w:cs="DengXian-Regular" w:hAnsi="Times New Roman"/>
          <w:sz w:val="32"/>
          <w:szCs w:val="32"/>
        </w:rPr>
        <w:t>新冠肺炎疫情影响，预算压减</w:t>
      </w:r>
      <w:r>
        <w:rPr>
          <w:rFonts w:ascii="仿宋_GB2312" w:eastAsia="仿宋_GB2312" w:cs="DengXian-Regular" w:hAnsi="Times New Roman" w:hint="eastAsia"/>
          <w:sz w:val="32"/>
          <w:szCs w:val="32"/>
        </w:rPr>
        <w:t>；支出完成年初预算</w:t>
      </w:r>
      <w:r>
        <w:rPr>
          <w:rFonts w:ascii="仿宋_GB2312" w:eastAsia="仿宋_GB2312" w:cs="DengXian-Regular" w:hAnsi="Times New Roman"/>
          <w:sz w:val="32"/>
          <w:szCs w:val="32"/>
        </w:rPr>
        <w:t>98.65</w:t>
      </w:r>
      <w:r>
        <w:rPr>
          <w:rFonts w:ascii="仿宋_GB2312" w:eastAsia="仿宋_GB2312" w:cs="DengXian-Regular" w:hAnsi="Times New Roman" w:hint="eastAsia"/>
          <w:sz w:val="32"/>
          <w:szCs w:val="32"/>
        </w:rPr>
        <w:t>%，比年初预算减少</w:t>
      </w:r>
      <w:r>
        <w:rPr>
          <w:rFonts w:ascii="仿宋_GB2312" w:eastAsia="仿宋_GB2312" w:cs="DengXian-Regular" w:hAnsi="Times New Roman"/>
          <w:sz w:val="32"/>
          <w:szCs w:val="32"/>
        </w:rPr>
        <w:t>8.99</w:t>
      </w:r>
      <w:r>
        <w:rPr>
          <w:rFonts w:ascii="仿宋_GB2312" w:eastAsia="仿宋_GB2312" w:cs="DengXian-Regular" w:hAnsi="Times New Roman" w:hint="eastAsia"/>
          <w:sz w:val="32"/>
          <w:szCs w:val="32"/>
        </w:rPr>
        <w:t>万元，主要是</w:t>
      </w:r>
      <w:r>
        <w:rPr>
          <w:rFonts w:ascii="仿宋_GB2312" w:eastAsia="仿宋_GB2312" w:cs="DengXian-Regular" w:hAnsi="Times New Roman"/>
          <w:sz w:val="32"/>
          <w:szCs w:val="32"/>
        </w:rPr>
        <w:t>新冠肺炎疫情影响，减少了项目支出</w:t>
      </w:r>
      <w:r>
        <w:rPr>
          <w:rFonts w:ascii="仿宋_GB2312" w:eastAsia="仿宋_GB2312" w:cs="DengXian-Regular" w:hAnsi="Times New Roman" w:hint="eastAsia"/>
          <w:sz w:val="32"/>
          <w:szCs w:val="32"/>
        </w:rPr>
        <w:t>。</w:t>
      </w:r>
    </w:p>
    <w:p>
      <w:pPr>
        <w:adjustRightInd w:val="0"/>
        <w:snapToGrid w:val="0"/>
        <w:spacing w:line="580" w:lineRule="exact"/>
        <w:ind w:firstLineChars="200" w:firstLine="640"/>
        <w:rPr>
          <w:rFonts w:ascii="仿宋_GB2312" w:eastAsia="仿宋_GB2312" w:cs="DengXian-Regular" w:hAnsi="Times New Roman"/>
          <w:sz w:val="32"/>
          <w:szCs w:val="32"/>
        </w:rPr>
      </w:pPr>
      <w:r>
        <w:rPr>
          <w:rFonts w:ascii="仿宋_GB2312" w:eastAsia="仿宋_GB2312" w:cs="DengXian-Regular" w:hAnsi="Times New Roman" w:hint="eastAsia"/>
          <w:sz w:val="32"/>
          <w:szCs w:val="32"/>
        </w:rPr>
        <w:t>2.政府性基金预算财政拨款本年收入完成年初预算</w:t>
      </w:r>
      <w:r>
        <w:rPr>
          <w:rFonts w:ascii="仿宋_GB2312" w:eastAsia="仿宋_GB2312" w:cs="DengXian-Regular" w:hAnsi="Times New Roman"/>
          <w:sz w:val="32"/>
          <w:szCs w:val="32"/>
        </w:rPr>
        <w:t>0</w:t>
      </w:r>
      <w:r>
        <w:rPr>
          <w:rFonts w:ascii="仿宋_GB2312" w:eastAsia="仿宋_GB2312" w:cs="DengXian-Regular" w:hAnsi="Times New Roman" w:hint="eastAsia"/>
          <w:sz w:val="32"/>
          <w:szCs w:val="32"/>
        </w:rPr>
        <w:t>%，</w:t>
      </w:r>
      <w:r>
        <w:rPr>
          <w:rFonts w:ascii="仿宋_GB2312" w:eastAsia="仿宋_GB2312" w:cs="DengXian-Regular" w:hAnsi="Times New Roman"/>
          <w:sz w:val="32"/>
          <w:szCs w:val="32"/>
        </w:rPr>
        <w:t>与</w:t>
      </w:r>
      <w:r>
        <w:rPr>
          <w:rFonts w:ascii="仿宋_GB2312" w:eastAsia="仿宋_GB2312" w:cs="DengXian-Regular" w:hAnsi="Times New Roman" w:hint="eastAsia"/>
          <w:sz w:val="32"/>
          <w:szCs w:val="32"/>
        </w:rPr>
        <w:t>年初预算</w:t>
      </w:r>
      <w:r>
        <w:rPr>
          <w:rFonts w:ascii="仿宋_GB2312" w:eastAsia="仿宋_GB2312" w:cs="DengXian-Regular" w:hAnsi="Times New Roman"/>
          <w:sz w:val="32"/>
          <w:szCs w:val="32"/>
        </w:rPr>
        <w:t>比较无变化</w:t>
      </w:r>
      <w:r>
        <w:rPr>
          <w:rFonts w:ascii="仿宋_GB2312" w:eastAsia="仿宋_GB2312" w:cs="DengXian-Regular" w:hAnsi="Times New Roman" w:hint="eastAsia"/>
          <w:sz w:val="32"/>
          <w:szCs w:val="32"/>
        </w:rPr>
        <w:t>；支出完成年初预算</w:t>
      </w:r>
      <w:r>
        <w:rPr>
          <w:rFonts w:ascii="仿宋_GB2312" w:eastAsia="仿宋_GB2312" w:cs="DengXian-Regular" w:hAnsi="Times New Roman"/>
          <w:sz w:val="32"/>
          <w:szCs w:val="32"/>
        </w:rPr>
        <w:t>0</w:t>
      </w:r>
      <w:r>
        <w:rPr>
          <w:rFonts w:ascii="仿宋_GB2312" w:eastAsia="仿宋_GB2312" w:cs="DengXian-Regular" w:hAnsi="Times New Roman" w:hint="eastAsia"/>
          <w:sz w:val="32"/>
          <w:szCs w:val="32"/>
        </w:rPr>
        <w:t>%，</w:t>
      </w:r>
      <w:r>
        <w:rPr>
          <w:rFonts w:ascii="仿宋_GB2312" w:eastAsia="仿宋_GB2312" w:cs="DengXian-Regular" w:hAnsi="Times New Roman"/>
          <w:sz w:val="32"/>
          <w:szCs w:val="32"/>
        </w:rPr>
        <w:t>与</w:t>
      </w:r>
      <w:r>
        <w:rPr>
          <w:rFonts w:ascii="仿宋_GB2312" w:eastAsia="仿宋_GB2312" w:cs="DengXian-Regular" w:hAnsi="Times New Roman" w:hint="eastAsia"/>
          <w:sz w:val="32"/>
          <w:szCs w:val="32"/>
        </w:rPr>
        <w:t>年初预算</w:t>
      </w:r>
      <w:r>
        <w:rPr>
          <w:rFonts w:ascii="仿宋_GB2312" w:eastAsia="仿宋_GB2312" w:cs="DengXian-Regular" w:hAnsi="Times New Roman"/>
          <w:sz w:val="32"/>
          <w:szCs w:val="32"/>
        </w:rPr>
        <w:t>比较无变化</w:t>
      </w:r>
      <w:r>
        <w:rPr>
          <w:rFonts w:ascii="仿宋_GB2312" w:eastAsia="仿宋_GB2312" w:cs="DengXian-Regular" w:hAnsi="Times New Roman" w:hint="eastAsia"/>
          <w:sz w:val="32"/>
          <w:szCs w:val="32"/>
        </w:rPr>
        <w:t>。</w:t>
      </w:r>
    </w:p>
    <w:p>
      <w:pPr>
        <w:adjustRightInd w:val="0"/>
        <w:snapToGrid w:val="0"/>
        <w:spacing w:line="580" w:lineRule="exact"/>
        <w:ind w:firstLineChars="200" w:firstLine="640"/>
        <w:rPr>
          <w:rFonts w:ascii="仿宋_GB2312" w:eastAsia="仿宋_GB2312" w:cs="DengXian-Regular" w:hAnsi="Times New Roman"/>
          <w:sz w:val="32"/>
          <w:szCs w:val="32"/>
        </w:rPr>
      </w:pPr>
      <w:r>
        <w:rPr>
          <w:rFonts w:ascii="仿宋_GB2312" w:eastAsia="仿宋_GB2312" w:cs="DengXian-Regular" w:hAnsi="Times New Roman" w:hint="eastAsia"/>
          <w:sz w:val="32"/>
          <w:szCs w:val="32"/>
        </w:rPr>
        <w:t>3.国有资本经营预算财政拨款本年收入完成年初预算</w:t>
      </w:r>
      <w:r>
        <w:rPr>
          <w:rFonts w:ascii="仿宋_GB2312" w:eastAsia="仿宋_GB2312" w:cs="DengXian-Regular" w:hAnsi="Times New Roman"/>
          <w:sz w:val="32"/>
          <w:szCs w:val="32"/>
        </w:rPr>
        <w:t>0</w:t>
      </w:r>
      <w:r>
        <w:rPr>
          <w:rFonts w:ascii="仿宋_GB2312" w:eastAsia="仿宋_GB2312" w:cs="DengXian-Regular" w:hAnsi="Times New Roman" w:hint="eastAsia"/>
          <w:sz w:val="32"/>
          <w:szCs w:val="32"/>
        </w:rPr>
        <w:t>%，</w:t>
      </w:r>
      <w:r>
        <w:rPr>
          <w:rFonts w:ascii="仿宋_GB2312" w:eastAsia="仿宋_GB2312" w:cs="DengXian-Regular" w:hAnsi="Times New Roman"/>
          <w:sz w:val="32"/>
          <w:szCs w:val="32"/>
        </w:rPr>
        <w:t>与</w:t>
      </w:r>
      <w:r>
        <w:rPr>
          <w:rFonts w:ascii="仿宋_GB2312" w:eastAsia="仿宋_GB2312" w:cs="DengXian-Regular" w:hAnsi="Times New Roman" w:hint="eastAsia"/>
          <w:sz w:val="32"/>
          <w:szCs w:val="32"/>
        </w:rPr>
        <w:t>年初预算</w:t>
      </w:r>
      <w:r>
        <w:rPr>
          <w:rFonts w:ascii="仿宋_GB2312" w:eastAsia="仿宋_GB2312" w:cs="DengXian-Regular" w:hAnsi="Times New Roman"/>
          <w:sz w:val="32"/>
          <w:szCs w:val="32"/>
        </w:rPr>
        <w:t>比较无变化</w:t>
      </w:r>
      <w:r>
        <w:rPr>
          <w:rFonts w:ascii="仿宋_GB2312" w:eastAsia="仿宋_GB2312" w:cs="DengXian-Regular" w:hAnsi="Times New Roman" w:hint="eastAsia"/>
          <w:sz w:val="32"/>
          <w:szCs w:val="32"/>
        </w:rPr>
        <w:t>；支出完成年初预算</w:t>
      </w:r>
      <w:r>
        <w:rPr>
          <w:rFonts w:ascii="仿宋_GB2312" w:eastAsia="仿宋_GB2312" w:cs="DengXian-Regular" w:hAnsi="Times New Roman"/>
          <w:sz w:val="32"/>
          <w:szCs w:val="32"/>
        </w:rPr>
        <w:t>0</w:t>
      </w:r>
      <w:r>
        <w:rPr>
          <w:rFonts w:ascii="仿宋_GB2312" w:eastAsia="仿宋_GB2312" w:cs="DengXian-Regular" w:hAnsi="Times New Roman" w:hint="eastAsia"/>
          <w:sz w:val="32"/>
          <w:szCs w:val="32"/>
        </w:rPr>
        <w:t>%，</w:t>
      </w:r>
      <w:r>
        <w:rPr>
          <w:rFonts w:ascii="仿宋_GB2312" w:eastAsia="仿宋_GB2312" w:cs="DengXian-Regular" w:hAnsi="Times New Roman"/>
          <w:sz w:val="32"/>
          <w:szCs w:val="32"/>
        </w:rPr>
        <w:t>与</w:t>
      </w:r>
      <w:r>
        <w:rPr>
          <w:rFonts w:ascii="仿宋_GB2312" w:eastAsia="仿宋_GB2312" w:cs="DengXian-Regular" w:hAnsi="Times New Roman" w:hint="eastAsia"/>
          <w:sz w:val="32"/>
          <w:szCs w:val="32"/>
        </w:rPr>
        <w:t>年初预算</w:t>
      </w:r>
      <w:r>
        <w:rPr>
          <w:rFonts w:ascii="仿宋_GB2312" w:eastAsia="仿宋_GB2312" w:cs="DengXian-Regular" w:hAnsi="Times New Roman"/>
          <w:sz w:val="32"/>
          <w:szCs w:val="32"/>
        </w:rPr>
        <w:t>比较无变化</w:t>
      </w:r>
      <w:r>
        <w:rPr>
          <w:rFonts w:ascii="仿宋_GB2312" w:eastAsia="仿宋_GB2312" w:cs="DengXian-Regular" w:hAnsi="Times New Roman" w:hint="eastAsia"/>
          <w:sz w:val="32"/>
          <w:szCs w:val="32"/>
        </w:rPr>
        <w:t>。</w:t>
      </w:r>
    </w:p>
    <w:p>
      <w:pPr>
        <w:numPr>
          <w:ilvl w:val="0"/>
          <w:numId w:val="1"/>
        </w:numPr>
        <w:adjustRightInd w:val="0"/>
        <w:snapToGrid w:val="0"/>
        <w:spacing w:line="580" w:lineRule="exact"/>
        <w:ind w:leftChars="200" w:left="420"/>
        <w:rPr>
          <w:rFonts w:ascii="楷体_GB2312" w:eastAsia="楷体_GB2312" w:cs="DengXian-Bold" w:hAnsi="Times New Roman"/>
          <w:b/>
          <w:bCs/>
          <w:sz w:val="32"/>
          <w:szCs w:val="32"/>
        </w:rPr>
      </w:pPr>
      <w:r>
        <w:rPr>
          <w:rFonts w:ascii="仿宋_GB2312" w:eastAsia="仿宋_GB2312" w:cs="DengXian-Regular" w:hAnsi="Times New Roman"/>
          <w:sz w:val="32"/>
          <w:szCs w:val="32"/>
          <w:highlight w:val="yellow"/>
        </w:rPr>
        <w:object>
          <v:shape id="_x0000_i4" type="#_x0000_t75" filled="f" stroked="f" style="position:absolute;margin-left:46.49929pt;margin-top:10.037643pt;width:377.59125pt;height:222.67499pt;z-index:67;mso-position-horizontal:absolute;mso-position-vertical:absolute;mso-wrap-distance-left:6.749897pt;mso-wrap-distance-right:6.749897pt;" o:ole="">
            <v:stroke color="#000000"/>
            <v:imagedata r:id="rId21" o:title="61"/>
            <o:lock aspectratio="t"/>
            <w10:wrap type="topAndBottom"/>
          </v:shape>
          <o:OLEObject Type="Embed" ProgID="Package" ShapeID="_x0000_i4" DrawAspect="Content" ObjectID="_1393063354" r:id="rId22"/>
        </w:object>
      </w:r>
      <w:r>
        <w:rPr>
          <w:rFonts w:ascii="楷体_GB2312" w:eastAsia="楷体_GB2312" w:cs="DengXian-Bold" w:hAnsi="Times New Roman" w:hint="eastAsia"/>
          <w:b/>
          <w:bCs/>
          <w:sz w:val="32"/>
          <w:szCs w:val="32"/>
        </w:rPr>
        <w:t>财政拨款支出决算结构情况</w:t>
      </w:r>
    </w:p>
    <w:p>
      <w:pPr>
        <w:adjustRightInd w:val="0"/>
        <w:snapToGrid w:val="0"/>
        <w:spacing w:line="580" w:lineRule="exact"/>
        <w:ind w:firstLineChars="200" w:firstLine="640"/>
        <w:rPr>
          <w:rFonts w:ascii="仿宋_GB2312" w:eastAsia="仿宋_GB2312" w:cs="DengXian-Regular" w:hAnsi="Times New Roman"/>
          <w:sz w:val="32"/>
          <w:szCs w:val="32"/>
          <w:highlight w:val="yellow"/>
        </w:rPr>
      </w:pPr>
      <w:r>
        <w:rPr>
          <w:rFonts w:ascii="仿宋_GB2312" w:eastAsia="仿宋_GB2312" w:cs="DengXian-Regular" w:hAnsi="Times New Roman" w:hint="eastAsia"/>
          <w:sz w:val="32"/>
          <w:szCs w:val="32"/>
        </w:rPr>
        <w:t>2022年度财政拨款支出</w:t>
      </w:r>
      <w:r>
        <w:rPr>
          <w:rFonts w:ascii="仿宋_GB2312" w:eastAsia="仿宋_GB2312" w:cs="DengXian-Regular" w:hAnsi="Times New Roman"/>
          <w:sz w:val="32"/>
          <w:szCs w:val="32"/>
        </w:rPr>
        <w:t>657.36</w:t>
      </w:r>
      <w:r>
        <w:rPr>
          <w:rFonts w:ascii="仿宋_GB2312" w:eastAsia="仿宋_GB2312" w:cs="DengXian-Regular" w:hAnsi="Times New Roman" w:hint="eastAsia"/>
          <w:sz w:val="32"/>
          <w:szCs w:val="32"/>
        </w:rPr>
        <w:t>万元，主要用于以下方面</w:t>
      </w:r>
      <w:r>
        <w:rPr>
          <w:rFonts w:ascii="仿宋_GB2312" w:eastAsia="仿宋_GB2312" w:cs="DengXian-Regular" w:hAnsi="Times New Roman"/>
          <w:sz w:val="32"/>
          <w:szCs w:val="32"/>
        </w:rPr>
        <w:t>：</w:t>
      </w:r>
    </w:p>
    <w:p>
      <w:pPr>
        <w:adjustRightInd w:val="0"/>
        <w:snapToGrid w:val="0"/>
        <w:spacing w:line="580" w:lineRule="exact"/>
        <w:ind w:firstLineChars="200" w:firstLine="640"/>
        <w:rPr>
          <w:rFonts w:ascii="仿宋_GB2312" w:eastAsia="仿宋_GB2312" w:cs="DengXian-Regular" w:hAnsi="Times New Roman"/>
          <w:sz w:val="32"/>
          <w:szCs w:val="32"/>
        </w:rPr>
      </w:pPr>
      <w:r>
        <w:rPr>
          <w:rFonts w:ascii="仿宋_GB2312" w:eastAsia="仿宋_GB2312" w:cs="DengXian-Regular" w:hAnsi="Times New Roman" w:hint="eastAsia"/>
          <w:sz w:val="32"/>
          <w:szCs w:val="32"/>
        </w:rPr>
        <w:t>教育（类）支出</w:t>
      </w:r>
      <w:r>
        <w:rPr>
          <w:rFonts w:ascii="仿宋_GB2312" w:eastAsia="仿宋_GB2312" w:cs="DengXian-Regular" w:hAnsi="Times New Roman"/>
          <w:sz w:val="32"/>
          <w:szCs w:val="32"/>
        </w:rPr>
        <w:t>531.06</w:t>
      </w:r>
      <w:r>
        <w:rPr>
          <w:rFonts w:ascii="仿宋_GB2312" w:eastAsia="仿宋_GB2312" w:cs="DengXian-Regular" w:hAnsi="Times New Roman" w:hint="eastAsia"/>
          <w:sz w:val="32"/>
          <w:szCs w:val="32"/>
        </w:rPr>
        <w:t>万元，占</w:t>
      </w:r>
      <w:r>
        <w:rPr>
          <w:rFonts w:ascii="仿宋_GB2312" w:eastAsia="仿宋_GB2312" w:cs="DengXian-Regular" w:hAnsi="Times New Roman"/>
          <w:sz w:val="32"/>
          <w:szCs w:val="32"/>
        </w:rPr>
        <w:t>80.79</w:t>
      </w:r>
      <w:r>
        <w:rPr>
          <w:rFonts w:ascii="仿宋_GB2312" w:eastAsia="仿宋_GB2312" w:cs="DengXian-Regular" w:hAnsi="Times New Roman" w:hint="eastAsia"/>
          <w:sz w:val="32"/>
          <w:szCs w:val="32"/>
        </w:rPr>
        <w:t>%，主要</w:t>
      </w:r>
      <w:r>
        <w:rPr>
          <w:rFonts w:ascii="仿宋_GB2312" w:eastAsia="仿宋_GB2312" w:cs="DengXian-Regular" w:hAnsi="Times New Roman"/>
          <w:sz w:val="32"/>
          <w:szCs w:val="32"/>
        </w:rPr>
        <w:t>本部门为完成各项工作，保障教育教学正常开展而发生的人员支出、日常公用支出</w:t>
      </w:r>
      <w:r>
        <w:rPr>
          <w:rFonts w:ascii="仿宋_GB2312" w:eastAsia="仿宋_GB2312" w:cs="DengXian-Regular" w:hAnsi="Times New Roman" w:hint="eastAsia"/>
          <w:sz w:val="32"/>
          <w:szCs w:val="32"/>
        </w:rPr>
        <w:t>等支出；</w:t>
      </w:r>
      <w:r>
        <w:rPr>
          <w:rFonts w:ascii="仿宋_GB2312" w:eastAsia="仿宋_GB2312" w:cs="Wingdings" w:hAnsi="Times New Roman" w:hint="eastAsia"/>
          <w:sz w:val="32"/>
          <w:szCs w:val="32"/>
        </w:rPr>
        <w:t xml:space="preserve">社会保障和就业（类）支出 </w:t>
      </w:r>
      <w:r>
        <w:rPr>
          <w:rFonts w:ascii="仿宋_GB2312" w:eastAsia="仿宋_GB2312" w:cs="Wingdings" w:hAnsi="Times New Roman"/>
          <w:sz w:val="32"/>
          <w:szCs w:val="32"/>
        </w:rPr>
        <w:t>62.92</w:t>
      </w:r>
      <w:r>
        <w:rPr>
          <w:rFonts w:ascii="仿宋_GB2312" w:eastAsia="仿宋_GB2312" w:cs="Wingdings" w:hAnsi="Times New Roman" w:hint="eastAsia"/>
          <w:sz w:val="32"/>
          <w:szCs w:val="32"/>
        </w:rPr>
        <w:t>万元，占</w:t>
      </w:r>
      <w:r>
        <w:rPr>
          <w:rFonts w:ascii="仿宋_GB2312" w:eastAsia="仿宋_GB2312" w:cs="Wingdings" w:hAnsi="Times New Roman"/>
          <w:sz w:val="32"/>
          <w:szCs w:val="32"/>
        </w:rPr>
        <w:t>9.57</w:t>
      </w:r>
      <w:r>
        <w:rPr>
          <w:rFonts w:ascii="仿宋_GB2312" w:eastAsia="仿宋_GB2312" w:cs="Wingdings" w:hAnsi="Times New Roman" w:hint="eastAsia"/>
          <w:sz w:val="32"/>
          <w:szCs w:val="32"/>
        </w:rPr>
        <w:t>%</w:t>
      </w:r>
      <w:r>
        <w:rPr>
          <w:rFonts w:ascii="仿宋_GB2312" w:eastAsia="仿宋_GB2312" w:cs="Wingdings" w:hAnsi="Times New Roman"/>
          <w:sz w:val="32"/>
          <w:szCs w:val="32"/>
        </w:rPr>
        <w:t>，主要是机关事业单位人员退休费和机关事业单位基本养老保险缴费支出</w:t>
      </w:r>
      <w:r>
        <w:rPr>
          <w:rFonts w:ascii="仿宋_GB2312" w:eastAsia="仿宋_GB2312" w:cs="Wingdings" w:hAnsi="Times New Roman" w:hint="eastAsia"/>
          <w:sz w:val="32"/>
          <w:szCs w:val="32"/>
        </w:rPr>
        <w:t>；住房保障（类）支出</w:t>
      </w:r>
      <w:r>
        <w:rPr>
          <w:rFonts w:ascii="仿宋_GB2312" w:eastAsia="仿宋_GB2312" w:cs="Wingdings" w:hAnsi="Times New Roman"/>
          <w:sz w:val="32"/>
          <w:szCs w:val="32"/>
        </w:rPr>
        <w:t>31.15</w:t>
      </w:r>
      <w:r>
        <w:rPr>
          <w:rFonts w:ascii="仿宋_GB2312" w:eastAsia="仿宋_GB2312" w:cs="Wingdings" w:hAnsi="Times New Roman" w:hint="eastAsia"/>
          <w:sz w:val="32"/>
          <w:szCs w:val="32"/>
        </w:rPr>
        <w:t xml:space="preserve">万元，占 </w:t>
      </w:r>
      <w:r>
        <w:rPr>
          <w:rFonts w:ascii="仿宋_GB2312" w:eastAsia="仿宋_GB2312" w:cs="Wingdings" w:hAnsi="Times New Roman"/>
          <w:sz w:val="32"/>
          <w:szCs w:val="32"/>
        </w:rPr>
        <w:t>4.74</w:t>
      </w:r>
      <w:r>
        <w:rPr>
          <w:rFonts w:ascii="仿宋_GB2312" w:eastAsia="仿宋_GB2312" w:cs="Wingdings" w:hAnsi="Times New Roman" w:hint="eastAsia"/>
          <w:sz w:val="32"/>
          <w:szCs w:val="32"/>
        </w:rPr>
        <w:t>%</w:t>
      </w:r>
      <w:r>
        <w:rPr>
          <w:rFonts w:ascii="仿宋_GB2312" w:eastAsia="仿宋_GB2312" w:cs="Wingdings" w:hAnsi="Times New Roman"/>
          <w:sz w:val="32"/>
          <w:szCs w:val="32"/>
        </w:rPr>
        <w:t>，主要是由单位承担缴纳的职工住房公积金</w:t>
      </w:r>
      <w:r>
        <w:rPr>
          <w:rFonts w:ascii="仿宋_GB2312" w:eastAsia="仿宋_GB2312" w:cs="Wingdings" w:hAnsi="Times New Roman" w:hint="eastAsia"/>
          <w:sz w:val="32"/>
          <w:szCs w:val="32"/>
        </w:rPr>
        <w:t>;</w:t>
      </w:r>
      <w:r>
        <w:rPr>
          <w:rFonts w:ascii="仿宋_GB2312" w:eastAsia="仿宋_GB2312" w:cs="DengXian-Regular" w:hAnsi="Times New Roman"/>
          <w:sz w:val="32"/>
          <w:szCs w:val="32"/>
        </w:rPr>
        <w:t>卫生健康支出31.23万元，占4.75%，主要是由单位承担缴纳的职工医疗保险缴费，农林水支出1.01万元，占0.15%，主要是农业结构调整支出</w:t>
      </w:r>
      <w:r>
        <w:rPr>
          <w:rFonts w:ascii="仿宋_GB2312" w:eastAsia="仿宋_GB2312" w:cs="DengXian-Regular" w:hAnsi="Times New Roman" w:hint="eastAsia"/>
          <w:sz w:val="32"/>
          <w:szCs w:val="32"/>
        </w:rPr>
        <w:t>。</w:t>
      </w:r>
    </w:p>
    <w:p>
      <w:pPr>
        <w:adjustRightInd w:val="0"/>
        <w:snapToGrid w:val="0"/>
        <w:spacing w:line="580" w:lineRule="exact"/>
        <w:ind w:firstLineChars="200" w:firstLine="640"/>
        <w:rPr>
          <w:rFonts w:ascii="仿宋_GB2312" w:eastAsia="仿宋_GB2312" w:cs="DengXian-Regular" w:hAnsi="Times New Roman"/>
          <w:sz w:val="32"/>
          <w:szCs w:val="32"/>
        </w:rPr>
      </w:pPr>
      <w:r>
        <w:rPr>
          <w:rFonts w:ascii="仿宋_GB2312" w:eastAsia="仿宋_GB2312" w:cs="DengXian-Regular" w:hAnsi="Times New Roman"/>
          <w:sz w:val="32"/>
          <w:szCs w:val="32"/>
        </w:rPr>
        <w:object>
          <v:shape id="_x0000_i5" type="#_x0000_t75" filled="f" stroked="f" style="position:absolute;margin-left:29.249565pt;margin-top:19.448149pt;width:423.08722pt;height:225.58012pt;z-index:69;mso-position-horizontal:absolute;mso-position-vertical:absolute;mso-wrap-distance-left:6.749897pt;mso-wrap-distance-right:6.749897pt;" o:ole="">
            <v:stroke color="#000000"/>
            <v:imagedata r:id="rId23" o:title="63"/>
            <o:lock aspectratio="t"/>
            <w10:wrap type="topAndBottom"/>
          </v:shape>
          <o:OLEObject Type="Embed" ProgID="Package" ShapeID="_x0000_i5" DrawAspect="Content" ObjectID="_1393063355" r:id="rId24"/>
        </w:object>
      </w:r>
    </w:p>
    <w:p>
      <w:pPr>
        <w:adjustRightInd w:val="0"/>
        <w:snapToGrid w:val="0"/>
        <w:spacing w:line="580" w:lineRule="exact"/>
        <w:ind w:leftChars="200" w:left="420"/>
        <w:rPr>
          <w:rFonts w:ascii="楷体_GB2312" w:eastAsia="楷体_GB2312" w:cs="DengXian-Bold" w:hAnsi="Times New Roman"/>
          <w:b/>
          <w:bCs/>
          <w:sz w:val="32"/>
          <w:szCs w:val="32"/>
        </w:rPr>
      </w:pPr>
      <w:r>
        <w:rPr>
          <w:rFonts w:ascii="楷体_GB2312" w:eastAsia="楷体_GB2312" w:cs="DengXian-Bold" w:hAnsi="Times New Roman" w:hint="eastAsia"/>
          <w:b/>
          <w:bCs/>
          <w:sz w:val="32"/>
          <w:szCs w:val="32"/>
        </w:rPr>
        <w:t>（四）一般公共预算基本支出决算情况说明</w:t>
      </w:r>
    </w:p>
    <w:p>
      <w:pPr>
        <w:adjustRightInd w:val="0"/>
        <w:snapToGrid w:val="0"/>
        <w:spacing w:line="580" w:lineRule="exact"/>
        <w:ind w:firstLineChars="200" w:firstLine="640"/>
        <w:rPr>
          <w:rFonts w:ascii="仿宋_GB2312" w:eastAsia="仿宋_GB2312" w:cs="DengXian-Regular" w:hAnsi="Times New Roman"/>
          <w:sz w:val="32"/>
          <w:szCs w:val="32"/>
        </w:rPr>
      </w:pPr>
      <w:r>
        <w:rPr>
          <w:rFonts w:ascii="仿宋_GB2312" w:eastAsia="仿宋_GB2312" w:cs="DengXian-Regular" w:hAnsi="Times New Roman" w:hint="eastAsia"/>
          <w:sz w:val="32"/>
          <w:szCs w:val="32"/>
        </w:rPr>
        <w:t>2022年度财政拨款基本支出</w:t>
      </w:r>
      <w:r>
        <w:rPr>
          <w:rFonts w:ascii="仿宋_GB2312" w:eastAsia="仿宋_GB2312" w:cs="DengXian-Regular" w:hAnsi="Times New Roman"/>
          <w:sz w:val="32"/>
          <w:szCs w:val="32"/>
        </w:rPr>
        <w:t>495.19</w:t>
      </w:r>
      <w:r>
        <w:rPr>
          <w:rFonts w:ascii="仿宋_GB2312" w:eastAsia="仿宋_GB2312" w:cs="DengXian-Regular" w:hAnsi="Times New Roman" w:hint="eastAsia"/>
          <w:sz w:val="32"/>
          <w:szCs w:val="32"/>
        </w:rPr>
        <w:t>万元，其中：</w:t>
      </w:r>
    </w:p>
    <w:p>
      <w:pPr>
        <w:adjustRightInd w:val="0"/>
        <w:snapToGrid w:val="0"/>
        <w:spacing w:line="580" w:lineRule="exact"/>
        <w:ind w:firstLineChars="200" w:firstLine="640"/>
        <w:rPr>
          <w:rFonts w:ascii="仿宋_GB2312" w:eastAsia="仿宋_GB2312" w:cs="DengXian-Regular" w:hAnsi="Times New Roman"/>
          <w:sz w:val="32"/>
          <w:szCs w:val="32"/>
        </w:rPr>
      </w:pPr>
      <w:r>
        <w:rPr>
          <w:rFonts w:ascii="仿宋_GB2312" w:eastAsia="仿宋_GB2312" w:cs="DengXian-Regular" w:hAnsi="Times New Roman" w:hint="eastAsia"/>
          <w:sz w:val="32"/>
          <w:szCs w:val="32"/>
        </w:rPr>
        <w:t>人员经费</w:t>
      </w:r>
      <w:r>
        <w:rPr>
          <w:rFonts w:ascii="仿宋_GB2312" w:eastAsia="仿宋_GB2312" w:cs="DengXian-Regular" w:hAnsi="Times New Roman"/>
          <w:sz w:val="32"/>
          <w:szCs w:val="32"/>
        </w:rPr>
        <w:t>460.36</w:t>
      </w:r>
      <w:r>
        <w:rPr>
          <w:rFonts w:ascii="仿宋_GB2312" w:eastAsia="仿宋_GB2312" w:cs="DengXian-Regular" w:hAnsi="Times New Roman" w:hint="eastAsia"/>
          <w:sz w:val="32"/>
          <w:szCs w:val="32"/>
        </w:rPr>
        <w:t>万元，主要包括基本工资、津贴补贴、奖金、绩效工资、机关事业单位基本养老保险缴费、职工基本医疗保险缴费、公务员医疗补助缴费、住房公积金、其他社会保障缴费、退休费、奖励金。</w:t>
      </w:r>
    </w:p>
    <w:p>
      <w:pPr>
        <w:adjustRightInd w:val="0"/>
        <w:snapToGrid w:val="0"/>
        <w:spacing w:line="580" w:lineRule="exact"/>
        <w:ind w:firstLineChars="200" w:firstLine="640"/>
        <w:rPr>
          <w:rFonts w:ascii="仿宋_GB2312" w:eastAsia="仿宋_GB2312" w:cs="DengXian-Regular" w:hAnsi="Times New Roman"/>
          <w:sz w:val="32"/>
          <w:szCs w:val="32"/>
        </w:rPr>
      </w:pPr>
      <w:r>
        <w:rPr>
          <w:rFonts w:ascii="仿宋_GB2312" w:eastAsia="仿宋_GB2312" w:cs="DengXian-Regular" w:hAnsi="Times New Roman" w:hint="eastAsia"/>
          <w:sz w:val="32"/>
          <w:szCs w:val="32"/>
        </w:rPr>
        <w:t>公用经费</w:t>
      </w:r>
      <w:r>
        <w:rPr>
          <w:rFonts w:ascii="仿宋_GB2312" w:eastAsia="仿宋_GB2312" w:cs="DengXian-Regular" w:hAnsi="Times New Roman"/>
          <w:sz w:val="32"/>
          <w:szCs w:val="32"/>
        </w:rPr>
        <w:t>34.84</w:t>
      </w:r>
      <w:r>
        <w:rPr>
          <w:rFonts w:ascii="仿宋_GB2312" w:eastAsia="仿宋_GB2312" w:cs="DengXian-Regular" w:hAnsi="Times New Roman" w:hint="eastAsia"/>
          <w:sz w:val="32"/>
          <w:szCs w:val="32"/>
        </w:rPr>
        <w:t>万元，主要包括办公费、水费、电费、取暖费、培训费、工会经费、福利费、公务用车运行维护费、其他交通费用、其他商品和服务支出</w:t>
      </w:r>
      <w:r>
        <w:rPr>
          <w:rFonts w:ascii="仿宋_GB2312" w:eastAsia="仿宋_GB2312" w:cs="DengXian-Regular" w:hAnsi="Times New Roman"/>
          <w:sz w:val="32"/>
          <w:szCs w:val="32"/>
        </w:rPr>
        <w:t>。</w:t>
      </w:r>
    </w:p>
    <w:p>
      <w:pPr>
        <w:keepNext/>
        <w:keepLines/>
        <w:widowControl w:val="0"/>
        <w:snapToGrid w:val="0"/>
        <w:spacing w:line="580" w:lineRule="exact"/>
        <w:ind w:firstLineChars="200" w:firstLine="640"/>
        <w:outlineLvl w:val="1"/>
        <w:rPr>
          <w:rFonts w:ascii="黑体" w:eastAsia="黑体" w:cs="Times New Roman" w:hAnsi="Calibri"/>
          <w:sz w:val="32"/>
          <w:szCs w:val="32"/>
        </w:rPr>
      </w:pPr>
      <w:r>
        <w:rPr>
          <w:rFonts w:ascii="黑体" w:eastAsia="黑体" w:cs="Times New Roman" w:hAnsi="Calibri" w:hint="eastAsia"/>
          <w:sz w:val="32"/>
          <w:szCs w:val="32"/>
        </w:rPr>
        <w:t>五、财政拨款“三公” 经费支出决算情况说明</w:t>
      </w:r>
    </w:p>
    <w:p>
      <w:pPr>
        <w:adjustRightInd w:val="0"/>
        <w:snapToGrid w:val="0"/>
        <w:spacing w:line="580" w:lineRule="exact"/>
        <w:ind w:firstLineChars="200" w:firstLine="640"/>
        <w:rPr>
          <w:rFonts w:ascii="楷体_GB2312" w:eastAsia="楷体_GB2312" w:cs="DengXian-Bold" w:hAnsi="Times New Roman"/>
          <w:b/>
          <w:bCs/>
          <w:sz w:val="32"/>
          <w:szCs w:val="32"/>
        </w:rPr>
      </w:pPr>
      <w:r>
        <w:rPr>
          <w:rFonts w:ascii="楷体_GB2312" w:eastAsia="楷体_GB2312" w:cs="DengXian-Bold" w:hAnsi="Times New Roman" w:hint="eastAsia"/>
          <w:b/>
          <w:bCs/>
          <w:sz w:val="32"/>
          <w:szCs w:val="32"/>
        </w:rPr>
        <w:t>（一）“三公”经费财政拨款支出决算总体情况说明</w:t>
      </w:r>
    </w:p>
    <w:p>
      <w:pPr>
        <w:adjustRightInd w:val="0"/>
        <w:snapToGrid w:val="0"/>
        <w:spacing w:line="580" w:lineRule="exact"/>
        <w:ind w:firstLineChars="200" w:firstLine="640"/>
        <w:rPr>
          <w:rFonts w:ascii="仿宋_GB2312" w:eastAsia="仿宋_GB2312" w:cs="DengXian-Regular" w:hAnsi="Times New Roman"/>
          <w:sz w:val="32"/>
          <w:szCs w:val="32"/>
        </w:rPr>
      </w:pPr>
      <w:r>
        <w:rPr>
          <w:rFonts w:ascii="仿宋_GB2312" w:eastAsia="仿宋_GB2312" w:cs="DengXian-Regular" w:hAnsi="Times New Roman" w:hint="eastAsia"/>
          <w:sz w:val="32"/>
          <w:szCs w:val="32"/>
        </w:rPr>
        <w:t>本部门2022年度“三公”经费财政拨款支出预算为</w:t>
      </w:r>
      <w:r>
        <w:rPr>
          <w:rFonts w:ascii="仿宋_GB2312" w:eastAsia="仿宋_GB2312" w:cs="DengXian-Regular" w:hAnsi="Times New Roman"/>
          <w:sz w:val="32"/>
          <w:szCs w:val="32"/>
        </w:rPr>
        <w:t>3.13</w:t>
      </w:r>
      <w:r>
        <w:rPr>
          <w:rFonts w:ascii="仿宋_GB2312" w:eastAsia="仿宋_GB2312" w:cs="DengXian-Regular" w:hAnsi="Times New Roman" w:hint="eastAsia"/>
          <w:sz w:val="32"/>
          <w:szCs w:val="32"/>
        </w:rPr>
        <w:t>万元，支出决算为</w:t>
      </w:r>
      <w:r>
        <w:rPr>
          <w:rFonts w:ascii="仿宋_GB2312" w:eastAsia="仿宋_GB2312" w:cs="DengXian-Regular" w:hAnsi="Times New Roman"/>
          <w:sz w:val="32"/>
          <w:szCs w:val="32"/>
        </w:rPr>
        <w:t>2.20</w:t>
      </w:r>
      <w:r>
        <w:rPr>
          <w:rFonts w:ascii="仿宋_GB2312" w:eastAsia="仿宋_GB2312" w:cs="DengXian-Regular" w:hAnsi="Times New Roman" w:hint="eastAsia"/>
          <w:sz w:val="32"/>
          <w:szCs w:val="32"/>
        </w:rPr>
        <w:t>万元，完成预算的</w:t>
      </w:r>
      <w:r>
        <w:rPr>
          <w:rFonts w:ascii="仿宋_GB2312" w:eastAsia="仿宋_GB2312" w:cs="DengXian-Regular" w:hAnsi="Times New Roman"/>
          <w:sz w:val="32"/>
          <w:szCs w:val="32"/>
        </w:rPr>
        <w:t>70.29</w:t>
      </w:r>
      <w:r>
        <w:rPr>
          <w:rFonts w:ascii="仿宋_GB2312" w:eastAsia="仿宋_GB2312" w:cs="DengXian-Regular" w:hAnsi="Times New Roman" w:hint="eastAsia"/>
          <w:sz w:val="32"/>
          <w:szCs w:val="32"/>
        </w:rPr>
        <w:t>%,较预算减少</w:t>
      </w:r>
      <w:r>
        <w:rPr>
          <w:rFonts w:ascii="仿宋_GB2312" w:eastAsia="仿宋_GB2312" w:cs="DengXian-Regular" w:hAnsi="Times New Roman"/>
          <w:sz w:val="32"/>
          <w:szCs w:val="32"/>
        </w:rPr>
        <w:t>0.93</w:t>
      </w:r>
      <w:r>
        <w:rPr>
          <w:rFonts w:ascii="仿宋_GB2312" w:eastAsia="仿宋_GB2312" w:cs="DengXian-Regular" w:hAnsi="Times New Roman" w:hint="eastAsia"/>
          <w:sz w:val="32"/>
          <w:szCs w:val="32"/>
        </w:rPr>
        <w:t>万元，降低</w:t>
      </w:r>
      <w:r>
        <w:rPr>
          <w:rFonts w:ascii="仿宋_GB2312" w:eastAsia="仿宋_GB2312" w:cs="DengXian-Regular" w:hAnsi="Times New Roman"/>
          <w:sz w:val="32"/>
          <w:szCs w:val="32"/>
        </w:rPr>
        <w:t>29.71</w:t>
      </w:r>
      <w:r>
        <w:rPr>
          <w:rFonts w:ascii="仿宋_GB2312" w:eastAsia="仿宋_GB2312" w:cs="DengXian-Regular" w:hAnsi="Times New Roman" w:hint="eastAsia"/>
          <w:sz w:val="32"/>
          <w:szCs w:val="32"/>
        </w:rPr>
        <w:t>%，主要是</w:t>
      </w:r>
      <w:r>
        <w:rPr>
          <w:rFonts w:ascii="仿宋_GB2312" w:eastAsia="仿宋_GB2312" w:cs="DengXian-Regular" w:hAnsi="Times New Roman"/>
          <w:sz w:val="32"/>
          <w:szCs w:val="32"/>
        </w:rPr>
        <w:t>因新冠肺炎疫情影响，无公务接待，严格控制培训费支出</w:t>
      </w:r>
      <w:r>
        <w:rPr>
          <w:rFonts w:ascii="仿宋_GB2312" w:eastAsia="仿宋_GB2312" w:cs="DengXian-Regular" w:hAnsi="Times New Roman" w:hint="eastAsia"/>
          <w:sz w:val="32"/>
          <w:szCs w:val="32"/>
        </w:rPr>
        <w:t>；较2021年度决算减少</w:t>
      </w:r>
      <w:r>
        <w:rPr>
          <w:rFonts w:ascii="仿宋_GB2312" w:eastAsia="仿宋_GB2312" w:cs="DengXian-Regular" w:hAnsi="Times New Roman"/>
          <w:sz w:val="32"/>
          <w:szCs w:val="32"/>
        </w:rPr>
        <w:t>0.93</w:t>
      </w:r>
      <w:r>
        <w:rPr>
          <w:rFonts w:ascii="仿宋_GB2312" w:eastAsia="仿宋_GB2312" w:cs="DengXian-Regular" w:hAnsi="Times New Roman" w:hint="eastAsia"/>
          <w:sz w:val="32"/>
          <w:szCs w:val="32"/>
        </w:rPr>
        <w:t>万元，降低</w:t>
      </w:r>
      <w:r>
        <w:rPr>
          <w:rFonts w:ascii="仿宋_GB2312" w:eastAsia="仿宋_GB2312" w:cs="DengXian-Regular" w:hAnsi="Times New Roman"/>
          <w:sz w:val="32"/>
          <w:szCs w:val="32"/>
        </w:rPr>
        <w:t>29.71</w:t>
      </w:r>
      <w:r>
        <w:rPr>
          <w:rFonts w:ascii="仿宋_GB2312" w:eastAsia="仿宋_GB2312" w:cs="DengXian-Regular" w:hAnsi="Times New Roman" w:hint="eastAsia"/>
          <w:sz w:val="32"/>
          <w:szCs w:val="32"/>
        </w:rPr>
        <w:t>%，主要是</w:t>
      </w:r>
      <w:r>
        <w:rPr>
          <w:rFonts w:ascii="仿宋_GB2312" w:eastAsia="仿宋_GB2312" w:cs="DengXian-Regular" w:hAnsi="Times New Roman"/>
          <w:sz w:val="32"/>
          <w:szCs w:val="32"/>
        </w:rPr>
        <w:t>新冠肺炎疫情影响，无公务接待，严格控制培训费支出</w:t>
      </w:r>
      <w:r>
        <w:rPr>
          <w:rFonts w:ascii="仿宋_GB2312" w:eastAsia="仿宋_GB2312" w:cs="DengXian-Regular" w:hAnsi="Times New Roman" w:hint="eastAsia"/>
          <w:sz w:val="32"/>
          <w:szCs w:val="32"/>
        </w:rPr>
        <w:t>。</w:t>
      </w:r>
    </w:p>
    <w:p>
      <w:pPr>
        <w:adjustRightInd w:val="0"/>
        <w:snapToGrid w:val="0"/>
        <w:spacing w:line="580" w:lineRule="exact"/>
        <w:ind w:firstLineChars="200" w:firstLine="640"/>
        <w:rPr>
          <w:rFonts w:ascii="楷体_GB2312" w:eastAsia="楷体_GB2312" w:cs="DengXian-Bold" w:hAnsi="Times New Roman"/>
          <w:b/>
          <w:bCs/>
          <w:sz w:val="32"/>
          <w:szCs w:val="32"/>
        </w:rPr>
      </w:pPr>
      <w:r>
        <w:rPr>
          <w:rFonts w:ascii="楷体_GB2312" w:eastAsia="楷体_GB2312" w:cs="DengXian-Bold" w:hAnsi="Times New Roman" w:hint="eastAsia"/>
          <w:b/>
          <w:bCs/>
          <w:sz w:val="32"/>
          <w:szCs w:val="32"/>
        </w:rPr>
        <w:t>（二）“三公”经费财政拨款支出决算具体情况说明</w:t>
      </w:r>
    </w:p>
    <w:p>
      <w:pPr>
        <w:adjustRightInd w:val="0"/>
        <w:snapToGrid w:val="0"/>
        <w:spacing w:line="580" w:lineRule="exact"/>
        <w:ind w:firstLineChars="200" w:firstLine="640"/>
        <w:rPr>
          <w:rFonts w:ascii="仿宋_GB2312" w:eastAsia="仿宋_GB2312" w:cs="DengXian-Regular" w:hAnsi="Times New Roman"/>
          <w:sz w:val="32"/>
          <w:szCs w:val="32"/>
        </w:rPr>
      </w:pPr>
      <w:r>
        <w:rPr>
          <w:rFonts w:ascii="楷体_GB2312" w:eastAsia="楷体_GB2312" w:cs="DengXian-Bold" w:hAnsi="Times New Roman" w:hint="eastAsia"/>
          <w:b/>
          <w:bCs/>
          <w:sz w:val="32"/>
          <w:szCs w:val="32"/>
        </w:rPr>
        <w:t>1.因公出国（境）费支出情况。</w:t>
      </w:r>
      <w:r>
        <w:rPr>
          <w:rFonts w:ascii="仿宋_GB2312" w:eastAsia="仿宋_GB2312" w:cs="DengXian-Regular" w:hAnsi="Times New Roman" w:hint="eastAsia"/>
          <w:sz w:val="32"/>
          <w:szCs w:val="32"/>
        </w:rPr>
        <w:t>本部门2022年度因公出国（境）费支出预算为</w:t>
      </w:r>
      <w:r>
        <w:rPr>
          <w:rFonts w:ascii="仿宋_GB2312" w:eastAsia="仿宋_GB2312" w:cs="DengXian-Regular" w:hAnsi="Times New Roman"/>
          <w:sz w:val="32"/>
          <w:szCs w:val="32"/>
        </w:rPr>
        <w:t>0</w:t>
      </w:r>
      <w:r>
        <w:rPr>
          <w:rFonts w:ascii="仿宋_GB2312" w:eastAsia="仿宋_GB2312" w:cs="DengXian-Regular" w:hAnsi="Times New Roman" w:hint="eastAsia"/>
          <w:sz w:val="32"/>
          <w:szCs w:val="32"/>
        </w:rPr>
        <w:t>万元，支出决算</w:t>
      </w:r>
      <w:r>
        <w:rPr>
          <w:rFonts w:ascii="仿宋_GB2312" w:eastAsia="仿宋_GB2312" w:cs="DengXian-Regular" w:hAnsi="Times New Roman"/>
          <w:sz w:val="32"/>
          <w:szCs w:val="32"/>
        </w:rPr>
        <w:t>0</w:t>
      </w:r>
      <w:r>
        <w:rPr>
          <w:rFonts w:ascii="仿宋_GB2312" w:eastAsia="仿宋_GB2312" w:cs="DengXian-Regular" w:hAnsi="Times New Roman" w:hint="eastAsia"/>
          <w:sz w:val="32"/>
          <w:szCs w:val="32"/>
        </w:rPr>
        <w:t>万元，完成预算的</w:t>
      </w:r>
      <w:r>
        <w:rPr>
          <w:rFonts w:ascii="仿宋_GB2312" w:eastAsia="仿宋_GB2312" w:cs="DengXian-Regular" w:hAnsi="Times New Roman"/>
          <w:sz w:val="32"/>
          <w:szCs w:val="32"/>
        </w:rPr>
        <w:t>0</w:t>
      </w:r>
      <w:r>
        <w:rPr>
          <w:rFonts w:ascii="仿宋_GB2312" w:eastAsia="仿宋_GB2312" w:cs="DengXian-Regular" w:hAnsi="Times New Roman" w:hint="eastAsia"/>
          <w:sz w:val="32"/>
          <w:szCs w:val="32"/>
        </w:rPr>
        <w:t>%。因公出国（境）费支出较预算</w:t>
      </w:r>
      <w:r>
        <w:rPr>
          <w:rFonts w:ascii="仿宋_GB2312" w:eastAsia="仿宋_GB2312" w:cs="DengXian-Regular" w:hAnsi="Times New Roman"/>
          <w:sz w:val="32"/>
          <w:szCs w:val="32"/>
        </w:rPr>
        <w:t>持平</w:t>
      </w:r>
      <w:r>
        <w:rPr>
          <w:rFonts w:ascii="仿宋_GB2312" w:eastAsia="仿宋_GB2312" w:cs="DengXian-Regular" w:hAnsi="Times New Roman" w:hint="eastAsia"/>
          <w:sz w:val="32"/>
          <w:szCs w:val="32"/>
        </w:rPr>
        <w:t>；较上年</w:t>
      </w:r>
      <w:r>
        <w:rPr>
          <w:rFonts w:ascii="仿宋_GB2312" w:eastAsia="仿宋_GB2312" w:cs="DengXian-Regular" w:hAnsi="Times New Roman"/>
          <w:sz w:val="32"/>
          <w:szCs w:val="32"/>
        </w:rPr>
        <w:t>持平</w:t>
      </w:r>
      <w:r>
        <w:rPr>
          <w:rFonts w:ascii="仿宋_GB2312" w:eastAsia="仿宋_GB2312" w:cs="DengXian-Regular" w:hAnsi="Times New Roman" w:hint="eastAsia"/>
          <w:sz w:val="32"/>
          <w:szCs w:val="32"/>
        </w:rPr>
        <w:t>。其中因公出国（境）团组</w:t>
      </w:r>
      <w:r>
        <w:rPr>
          <w:rFonts w:ascii="仿宋_GB2312" w:eastAsia="仿宋_GB2312" w:cs="DengXian-Regular" w:hAnsi="Times New Roman"/>
          <w:sz w:val="32"/>
          <w:szCs w:val="32"/>
        </w:rPr>
        <w:t>0</w:t>
      </w:r>
      <w:r>
        <w:rPr>
          <w:rFonts w:ascii="仿宋_GB2312" w:eastAsia="仿宋_GB2312" w:cs="DengXian-Regular" w:hAnsi="Times New Roman" w:hint="eastAsia"/>
          <w:sz w:val="32"/>
          <w:szCs w:val="32"/>
        </w:rPr>
        <w:t>个、共</w:t>
      </w:r>
      <w:r>
        <w:rPr>
          <w:rFonts w:ascii="仿宋_GB2312" w:eastAsia="仿宋_GB2312" w:cs="DengXian-Regular" w:hAnsi="Times New Roman"/>
          <w:sz w:val="32"/>
          <w:szCs w:val="32"/>
        </w:rPr>
        <w:t>0</w:t>
      </w:r>
      <w:r>
        <w:rPr>
          <w:rFonts w:ascii="仿宋_GB2312" w:eastAsia="仿宋_GB2312" w:cs="DengXian-Regular" w:hAnsi="Times New Roman" w:hint="eastAsia"/>
          <w:sz w:val="32"/>
          <w:szCs w:val="32"/>
        </w:rPr>
        <w:t>人、参加其他单位组织的因公出国（境）团组</w:t>
      </w:r>
      <w:r>
        <w:rPr>
          <w:rFonts w:ascii="仿宋_GB2312" w:eastAsia="仿宋_GB2312" w:cs="DengXian-Regular" w:hAnsi="Times New Roman"/>
          <w:sz w:val="32"/>
          <w:szCs w:val="32"/>
        </w:rPr>
        <w:t>0</w:t>
      </w:r>
      <w:r>
        <w:rPr>
          <w:rFonts w:ascii="仿宋_GB2312" w:eastAsia="仿宋_GB2312" w:cs="DengXian-Regular" w:hAnsi="Times New Roman" w:hint="eastAsia"/>
          <w:sz w:val="32"/>
          <w:szCs w:val="32"/>
        </w:rPr>
        <w:t>个、共</w:t>
      </w:r>
      <w:r>
        <w:rPr>
          <w:rFonts w:ascii="仿宋_GB2312" w:eastAsia="仿宋_GB2312" w:cs="DengXian-Regular" w:hAnsi="Times New Roman"/>
          <w:sz w:val="32"/>
          <w:szCs w:val="32"/>
        </w:rPr>
        <w:t>0</w:t>
      </w:r>
      <w:r>
        <w:rPr>
          <w:rFonts w:ascii="仿宋_GB2312" w:eastAsia="仿宋_GB2312" w:cs="DengXian-Regular" w:hAnsi="Times New Roman" w:hint="eastAsia"/>
          <w:sz w:val="32"/>
          <w:szCs w:val="32"/>
        </w:rPr>
        <w:t>人</w:t>
      </w:r>
      <w:r>
        <w:rPr>
          <w:rFonts w:ascii="仿宋_GB2312" w:eastAsia="仿宋_GB2312" w:cs="DengXian-Regular" w:hAnsi="Times New Roman" w:hint="eastAsia"/>
          <w:b/>
          <w:bCs/>
          <w:sz w:val="32"/>
          <w:szCs w:val="32"/>
        </w:rPr>
        <w:t>/</w:t>
      </w:r>
      <w:r>
        <w:rPr>
          <w:rFonts w:ascii="仿宋_GB2312" w:eastAsia="仿宋_GB2312" w:cs="DengXian-Regular" w:hAnsi="Times New Roman" w:hint="eastAsia"/>
          <w:sz w:val="32"/>
          <w:szCs w:val="32"/>
        </w:rPr>
        <w:t>无本单位组织的出国（境）团组。</w:t>
      </w:r>
    </w:p>
    <w:p>
      <w:pPr>
        <w:adjustRightInd w:val="0"/>
        <w:snapToGrid w:val="0"/>
        <w:spacing w:line="580" w:lineRule="exact"/>
        <w:ind w:firstLineChars="200" w:firstLine="640"/>
        <w:rPr>
          <w:rFonts w:ascii="仿宋_GB2312" w:eastAsia="仿宋_GB2312" w:cs="DengXian-Bold" w:hAnsi="Times New Roman"/>
          <w:b/>
          <w:bCs/>
          <w:sz w:val="32"/>
          <w:szCs w:val="32"/>
        </w:rPr>
      </w:pPr>
      <w:r>
        <w:rPr>
          <w:rFonts w:ascii="楷体_GB2312" w:eastAsia="楷体_GB2312" w:cs="DengXian-Bold" w:hAnsi="Times New Roman" w:hint="eastAsia"/>
          <w:b/>
          <w:bCs/>
          <w:sz w:val="32"/>
          <w:szCs w:val="32"/>
        </w:rPr>
        <w:t>2.公务用车购置及运行维护费支出情况。</w:t>
      </w:r>
      <w:r>
        <w:rPr>
          <w:rFonts w:ascii="仿宋_GB2312" w:eastAsia="仿宋_GB2312" w:cs="DengXian-Regular" w:hAnsi="Times New Roman" w:hint="eastAsia"/>
          <w:sz w:val="32"/>
          <w:szCs w:val="32"/>
        </w:rPr>
        <w:t>本部门2022年度公务用车购置及运行维护费预算为</w:t>
      </w:r>
      <w:r>
        <w:rPr>
          <w:rFonts w:ascii="仿宋_GB2312" w:eastAsia="仿宋_GB2312" w:cs="DengXian-Regular" w:hAnsi="Times New Roman"/>
          <w:sz w:val="32"/>
          <w:szCs w:val="32"/>
        </w:rPr>
        <w:t>2.50</w:t>
      </w:r>
      <w:r>
        <w:rPr>
          <w:rFonts w:ascii="仿宋_GB2312" w:eastAsia="仿宋_GB2312" w:cs="DengXian-Regular" w:hAnsi="Times New Roman" w:hint="eastAsia"/>
          <w:sz w:val="32"/>
          <w:szCs w:val="32"/>
        </w:rPr>
        <w:t>万元，支出决算</w:t>
      </w:r>
      <w:r>
        <w:rPr>
          <w:rFonts w:ascii="仿宋_GB2312" w:eastAsia="仿宋_GB2312" w:cs="DengXian-Regular" w:hAnsi="Times New Roman"/>
          <w:sz w:val="32"/>
          <w:szCs w:val="32"/>
        </w:rPr>
        <w:t>2.20</w:t>
      </w:r>
      <w:r>
        <w:rPr>
          <w:rFonts w:ascii="仿宋_GB2312" w:eastAsia="仿宋_GB2312" w:cs="DengXian-Regular" w:hAnsi="Times New Roman" w:hint="eastAsia"/>
          <w:sz w:val="32"/>
          <w:szCs w:val="32"/>
        </w:rPr>
        <w:t>万元，完成预算的</w:t>
      </w:r>
      <w:r>
        <w:rPr>
          <w:rFonts w:ascii="仿宋_GB2312" w:eastAsia="仿宋_GB2312" w:cs="DengXian-Regular" w:hAnsi="Times New Roman"/>
          <w:sz w:val="32"/>
          <w:szCs w:val="32"/>
        </w:rPr>
        <w:t>88</w:t>
      </w:r>
      <w:r>
        <w:rPr>
          <w:rFonts w:ascii="仿宋_GB2312" w:eastAsia="仿宋_GB2312" w:cs="DengXian-Regular" w:hAnsi="Times New Roman" w:hint="eastAsia"/>
          <w:sz w:val="32"/>
          <w:szCs w:val="32"/>
        </w:rPr>
        <w:t>%。较预算减少</w:t>
      </w:r>
      <w:r>
        <w:rPr>
          <w:rFonts w:ascii="仿宋_GB2312" w:eastAsia="仿宋_GB2312" w:cs="DengXian-Regular" w:hAnsi="Times New Roman"/>
          <w:sz w:val="32"/>
          <w:szCs w:val="32"/>
        </w:rPr>
        <w:t>0.30</w:t>
      </w:r>
      <w:r>
        <w:rPr>
          <w:rFonts w:ascii="仿宋_GB2312" w:eastAsia="仿宋_GB2312" w:cs="DengXian-Regular" w:hAnsi="Times New Roman" w:hint="eastAsia"/>
          <w:sz w:val="32"/>
          <w:szCs w:val="32"/>
        </w:rPr>
        <w:t>万元，降低</w:t>
      </w:r>
      <w:r>
        <w:rPr>
          <w:rFonts w:ascii="仿宋_GB2312" w:eastAsia="仿宋_GB2312" w:cs="DengXian-Regular" w:hAnsi="Times New Roman"/>
          <w:sz w:val="32"/>
          <w:szCs w:val="32"/>
        </w:rPr>
        <w:t>12</w:t>
      </w:r>
      <w:r>
        <w:rPr>
          <w:rFonts w:ascii="仿宋_GB2312" w:eastAsia="仿宋_GB2312" w:cs="DengXian-Regular" w:hAnsi="Times New Roman" w:hint="eastAsia"/>
          <w:sz w:val="32"/>
          <w:szCs w:val="32"/>
        </w:rPr>
        <w:t>%,主要是</w:t>
      </w:r>
      <w:r>
        <w:rPr>
          <w:rFonts w:ascii="仿宋_GB2312" w:eastAsia="仿宋_GB2312" w:cs="DengXian-Regular" w:hAnsi="Times New Roman"/>
          <w:sz w:val="32"/>
          <w:szCs w:val="32"/>
        </w:rPr>
        <w:t>保险费用降低</w:t>
      </w:r>
      <w:r>
        <w:rPr>
          <w:rFonts w:ascii="仿宋_GB2312" w:eastAsia="仿宋_GB2312" w:cs="DengXian-Regular" w:hAnsi="Times New Roman" w:hint="eastAsia"/>
          <w:sz w:val="32"/>
          <w:szCs w:val="32"/>
        </w:rPr>
        <w:t>；较上年减少</w:t>
      </w:r>
      <w:r>
        <w:rPr>
          <w:rFonts w:ascii="仿宋_GB2312" w:eastAsia="仿宋_GB2312" w:cs="DengXian-Regular" w:hAnsi="Times New Roman"/>
          <w:sz w:val="32"/>
          <w:szCs w:val="32"/>
        </w:rPr>
        <w:t>0.3</w:t>
      </w:r>
      <w:r>
        <w:rPr>
          <w:rFonts w:ascii="仿宋_GB2312" w:eastAsia="仿宋_GB2312" w:cs="DengXian-Regular" w:hAnsi="Times New Roman" w:hint="eastAsia"/>
          <w:sz w:val="32"/>
          <w:szCs w:val="32"/>
        </w:rPr>
        <w:t>万元，降低</w:t>
      </w:r>
      <w:r>
        <w:rPr>
          <w:rFonts w:ascii="仿宋_GB2312" w:eastAsia="仿宋_GB2312" w:cs="DengXian-Regular" w:hAnsi="Times New Roman"/>
          <w:sz w:val="32"/>
          <w:szCs w:val="32"/>
        </w:rPr>
        <w:t>12</w:t>
      </w:r>
      <w:r>
        <w:rPr>
          <w:rFonts w:ascii="仿宋_GB2312" w:eastAsia="仿宋_GB2312" w:cs="DengXian-Regular" w:hAnsi="Times New Roman" w:hint="eastAsia"/>
          <w:sz w:val="32"/>
          <w:szCs w:val="32"/>
        </w:rPr>
        <w:t>%,主要是</w:t>
      </w:r>
      <w:r>
        <w:rPr>
          <w:rFonts w:ascii="仿宋_GB2312" w:eastAsia="仿宋_GB2312" w:cs="DengXian-Regular" w:hAnsi="Times New Roman"/>
          <w:sz w:val="32"/>
          <w:szCs w:val="32"/>
        </w:rPr>
        <w:t>保险费用降低</w:t>
      </w:r>
      <w:r>
        <w:rPr>
          <w:rFonts w:ascii="仿宋_GB2312" w:eastAsia="仿宋_GB2312" w:cs="DengXian-Regular" w:hAnsi="Times New Roman" w:hint="eastAsia"/>
          <w:sz w:val="32"/>
          <w:szCs w:val="32"/>
        </w:rPr>
        <w:t>。</w:t>
      </w:r>
      <w:r>
        <w:rPr>
          <w:rFonts w:ascii="仿宋_GB2312" w:eastAsia="仿宋_GB2312" w:cs="DengXian-Bold" w:hAnsi="Times New Roman" w:hint="eastAsia"/>
          <w:sz w:val="32"/>
          <w:szCs w:val="32"/>
        </w:rPr>
        <w:t>其中：</w:t>
      </w:r>
    </w:p>
    <w:p>
      <w:pPr>
        <w:adjustRightInd w:val="0"/>
        <w:snapToGrid w:val="0"/>
        <w:spacing w:line="580" w:lineRule="exact"/>
        <w:ind w:firstLineChars="200" w:firstLine="640"/>
        <w:rPr>
          <w:rFonts w:ascii="仿宋_GB2312" w:eastAsia="仿宋_GB2312" w:cs="DengXian-Regular" w:hAnsi="Times New Roman"/>
          <w:sz w:val="32"/>
          <w:szCs w:val="32"/>
        </w:rPr>
      </w:pPr>
      <w:r>
        <w:rPr>
          <w:rFonts w:ascii="仿宋_GB2312" w:eastAsia="仿宋_GB2312" w:cs="DengXian-Regular" w:hAnsi="Times New Roman" w:hint="eastAsia"/>
          <w:b/>
          <w:sz w:val="32"/>
          <w:szCs w:val="32"/>
        </w:rPr>
        <w:t>公务用车购置费支出</w:t>
      </w:r>
      <w:r>
        <w:rPr>
          <w:rFonts w:ascii="楷体_GB2312" w:eastAsia="楷体_GB2312" w:cs="DengXian-Bold" w:hAnsi="Times New Roman"/>
          <w:b/>
          <w:bCs/>
          <w:sz w:val="32"/>
          <w:szCs w:val="32"/>
        </w:rPr>
        <w:t>0</w:t>
      </w:r>
      <w:r>
        <w:rPr>
          <w:rFonts w:ascii="楷体_GB2312" w:eastAsia="楷体_GB2312" w:cs="DengXian-Bold" w:hAnsi="Times New Roman" w:hint="eastAsia"/>
          <w:b/>
          <w:bCs/>
          <w:sz w:val="32"/>
          <w:szCs w:val="32"/>
        </w:rPr>
        <w:t>万元</w:t>
      </w:r>
      <w:r>
        <w:rPr>
          <w:rFonts w:ascii="仿宋_GB2312" w:eastAsia="仿宋_GB2312" w:cs="DengXian-Regular" w:hAnsi="Times New Roman" w:hint="eastAsia"/>
          <w:b/>
          <w:sz w:val="32"/>
          <w:szCs w:val="32"/>
        </w:rPr>
        <w:t>：</w:t>
      </w:r>
      <w:r>
        <w:rPr>
          <w:rFonts w:ascii="仿宋_GB2312" w:eastAsia="仿宋_GB2312" w:cs="DengXian-Regular" w:hAnsi="Times New Roman" w:hint="eastAsia"/>
          <w:sz w:val="32"/>
          <w:szCs w:val="32"/>
        </w:rPr>
        <w:t>本部门2022年度公务用车购置量</w:t>
      </w:r>
      <w:r>
        <w:rPr>
          <w:rFonts w:ascii="仿宋_GB2312" w:eastAsia="仿宋_GB2312" w:cs="DengXian-Regular" w:hAnsi="Times New Roman"/>
          <w:sz w:val="32"/>
          <w:szCs w:val="32"/>
        </w:rPr>
        <w:t>0</w:t>
      </w:r>
      <w:r>
        <w:rPr>
          <w:rFonts w:ascii="仿宋_GB2312" w:eastAsia="仿宋_GB2312" w:cs="DengXian-Regular" w:hAnsi="Times New Roman" w:hint="eastAsia"/>
          <w:sz w:val="32"/>
          <w:szCs w:val="32"/>
        </w:rPr>
        <w:t>辆，发生“公务用车购置”经费支出</w:t>
      </w:r>
      <w:r>
        <w:rPr>
          <w:rFonts w:ascii="仿宋_GB2312" w:eastAsia="仿宋_GB2312" w:cs="DengXian-Regular" w:hAnsi="Times New Roman"/>
          <w:sz w:val="32"/>
          <w:szCs w:val="32"/>
        </w:rPr>
        <w:t>0</w:t>
      </w:r>
      <w:r>
        <w:rPr>
          <w:rFonts w:ascii="仿宋_GB2312" w:eastAsia="仿宋_GB2312" w:cs="DengXian-Regular" w:hAnsi="Times New Roman" w:hint="eastAsia"/>
          <w:sz w:val="32"/>
          <w:szCs w:val="32"/>
        </w:rPr>
        <w:t>万元。公务用车购置费支出较预算</w:t>
      </w:r>
      <w:r>
        <w:rPr>
          <w:rFonts w:ascii="仿宋_GB2312" w:eastAsia="仿宋_GB2312" w:cs="DengXian-Regular" w:hAnsi="Times New Roman"/>
          <w:sz w:val="32"/>
          <w:szCs w:val="32"/>
        </w:rPr>
        <w:t>持平</w:t>
      </w:r>
      <w:r>
        <w:rPr>
          <w:rFonts w:ascii="仿宋_GB2312" w:eastAsia="仿宋_GB2312" w:cs="DengXian-Regular" w:hAnsi="Times New Roman" w:hint="eastAsia"/>
          <w:sz w:val="32"/>
          <w:szCs w:val="32"/>
        </w:rPr>
        <w:t>；较上年</w:t>
      </w:r>
      <w:r>
        <w:rPr>
          <w:rFonts w:ascii="仿宋_GB2312" w:eastAsia="仿宋_GB2312" w:cs="DengXian-Regular" w:hAnsi="Times New Roman"/>
          <w:sz w:val="32"/>
          <w:szCs w:val="32"/>
        </w:rPr>
        <w:t>持平</w:t>
      </w:r>
      <w:r>
        <w:rPr>
          <w:rFonts w:ascii="仿宋_GB2312" w:eastAsia="仿宋_GB2312" w:cs="DengXian-Regular" w:hAnsi="Times New Roman" w:hint="eastAsia"/>
          <w:sz w:val="32"/>
          <w:szCs w:val="32"/>
        </w:rPr>
        <w:t>。</w:t>
      </w:r>
    </w:p>
    <w:p>
      <w:pPr>
        <w:adjustRightInd w:val="0"/>
        <w:snapToGrid w:val="0"/>
        <w:spacing w:line="580" w:lineRule="exact"/>
        <w:ind w:firstLineChars="200" w:firstLine="640"/>
        <w:rPr>
          <w:rFonts w:ascii="仿宋_GB2312" w:eastAsia="仿宋_GB2312" w:cs="DengXian-Regular" w:hAnsi="Times New Roman"/>
          <w:sz w:val="32"/>
          <w:szCs w:val="32"/>
        </w:rPr>
      </w:pPr>
      <w:r>
        <w:rPr>
          <w:rFonts w:ascii="仿宋_GB2312" w:eastAsia="仿宋_GB2312" w:cs="DengXian-Regular" w:hAnsi="Times New Roman" w:hint="eastAsia"/>
          <w:b/>
          <w:sz w:val="32"/>
          <w:szCs w:val="32"/>
        </w:rPr>
        <w:t>公务用车运行维护费支出</w:t>
      </w:r>
      <w:r>
        <w:rPr>
          <w:rFonts w:ascii="仿宋_GB2312" w:eastAsia="仿宋_GB2312" w:cs="DengXian-Regular" w:hAnsi="Times New Roman"/>
          <w:b/>
          <w:sz w:val="32"/>
          <w:szCs w:val="32"/>
        </w:rPr>
        <w:t>2.20</w:t>
      </w:r>
      <w:r>
        <w:rPr>
          <w:rFonts w:ascii="楷体_GB2312" w:eastAsia="楷体_GB2312" w:cs="DengXian-Bold" w:hAnsi="Times New Roman" w:hint="eastAsia"/>
          <w:b/>
          <w:bCs/>
          <w:sz w:val="32"/>
          <w:szCs w:val="32"/>
        </w:rPr>
        <w:t>万元</w:t>
      </w:r>
      <w:r>
        <w:rPr>
          <w:rFonts w:ascii="仿宋_GB2312" w:eastAsia="仿宋_GB2312" w:cs="DengXian-Regular" w:hAnsi="Times New Roman" w:hint="eastAsia"/>
          <w:b/>
          <w:sz w:val="32"/>
          <w:szCs w:val="32"/>
        </w:rPr>
        <w:t>：</w:t>
      </w:r>
      <w:r>
        <w:rPr>
          <w:rFonts w:ascii="仿宋_GB2312" w:eastAsia="仿宋_GB2312" w:cs="DengXian-Regular" w:hAnsi="Times New Roman" w:hint="eastAsia"/>
          <w:sz w:val="32"/>
          <w:szCs w:val="32"/>
        </w:rPr>
        <w:t>本部门2022年度单位公务用车保有量</w:t>
      </w:r>
      <w:r>
        <w:rPr>
          <w:rFonts w:ascii="仿宋_GB2312" w:eastAsia="仿宋_GB2312" w:cs="DengXian-Regular" w:hAnsi="Times New Roman"/>
          <w:sz w:val="32"/>
          <w:szCs w:val="32"/>
        </w:rPr>
        <w:t>2</w:t>
      </w:r>
      <w:r>
        <w:rPr>
          <w:rFonts w:ascii="仿宋_GB2312" w:eastAsia="仿宋_GB2312" w:cs="DengXian-Regular" w:hAnsi="Times New Roman" w:hint="eastAsia"/>
          <w:sz w:val="32"/>
          <w:szCs w:val="32"/>
        </w:rPr>
        <w:t>辆。公车运行维护费支出较预算减少</w:t>
      </w:r>
      <w:r>
        <w:rPr>
          <w:rFonts w:ascii="仿宋_GB2312" w:eastAsia="仿宋_GB2312" w:cs="DengXian-Regular" w:hAnsi="Times New Roman"/>
          <w:sz w:val="32"/>
          <w:szCs w:val="32"/>
        </w:rPr>
        <w:t>0.30</w:t>
      </w:r>
      <w:r>
        <w:rPr>
          <w:rFonts w:ascii="仿宋_GB2312" w:eastAsia="仿宋_GB2312" w:cs="DengXian-Regular" w:hAnsi="Times New Roman" w:hint="eastAsia"/>
          <w:sz w:val="32"/>
          <w:szCs w:val="32"/>
        </w:rPr>
        <w:t>万元，降低</w:t>
      </w:r>
      <w:r>
        <w:rPr>
          <w:rFonts w:ascii="仿宋_GB2312" w:eastAsia="仿宋_GB2312" w:cs="DengXian-Regular" w:hAnsi="Times New Roman"/>
          <w:sz w:val="32"/>
          <w:szCs w:val="32"/>
        </w:rPr>
        <w:t>12</w:t>
      </w:r>
      <w:r>
        <w:rPr>
          <w:rFonts w:ascii="仿宋_GB2312" w:eastAsia="仿宋_GB2312" w:cs="DengXian-Regular" w:hAnsi="Times New Roman" w:hint="eastAsia"/>
          <w:sz w:val="32"/>
          <w:szCs w:val="32"/>
        </w:rPr>
        <w:t>%,主要是</w:t>
      </w:r>
      <w:r>
        <w:rPr>
          <w:rFonts w:ascii="仿宋_GB2312" w:eastAsia="仿宋_GB2312" w:cs="DengXian-Regular" w:hAnsi="Times New Roman"/>
          <w:sz w:val="32"/>
          <w:szCs w:val="32"/>
        </w:rPr>
        <w:t>保险费用降低</w:t>
      </w:r>
      <w:r>
        <w:rPr>
          <w:rFonts w:ascii="仿宋_GB2312" w:eastAsia="仿宋_GB2312" w:cs="DengXian-Regular" w:hAnsi="Times New Roman" w:hint="eastAsia"/>
          <w:sz w:val="32"/>
          <w:szCs w:val="32"/>
        </w:rPr>
        <w:t>；较上年减少</w:t>
      </w:r>
      <w:r>
        <w:rPr>
          <w:rFonts w:ascii="仿宋_GB2312" w:eastAsia="仿宋_GB2312" w:cs="DengXian-Regular" w:hAnsi="Times New Roman"/>
          <w:sz w:val="32"/>
          <w:szCs w:val="32"/>
        </w:rPr>
        <w:t>0.30</w:t>
      </w:r>
      <w:r>
        <w:rPr>
          <w:rFonts w:ascii="仿宋_GB2312" w:eastAsia="仿宋_GB2312" w:cs="DengXian-Regular" w:hAnsi="Times New Roman" w:hint="eastAsia"/>
          <w:sz w:val="32"/>
          <w:szCs w:val="32"/>
        </w:rPr>
        <w:t>万元，降低</w:t>
      </w:r>
      <w:r>
        <w:rPr>
          <w:rFonts w:ascii="仿宋_GB2312" w:eastAsia="仿宋_GB2312" w:cs="DengXian-Regular" w:hAnsi="Times New Roman"/>
          <w:sz w:val="32"/>
          <w:szCs w:val="32"/>
        </w:rPr>
        <w:t>12</w:t>
      </w:r>
      <w:r>
        <w:rPr>
          <w:rFonts w:ascii="仿宋_GB2312" w:eastAsia="仿宋_GB2312" w:cs="DengXian-Regular" w:hAnsi="Times New Roman" w:hint="eastAsia"/>
          <w:sz w:val="32"/>
          <w:szCs w:val="32"/>
        </w:rPr>
        <w:t>%，主要是</w:t>
      </w:r>
      <w:r>
        <w:rPr>
          <w:rFonts w:ascii="仿宋_GB2312" w:eastAsia="仿宋_GB2312" w:cs="DengXian-Regular" w:hAnsi="Times New Roman"/>
          <w:sz w:val="32"/>
          <w:szCs w:val="32"/>
        </w:rPr>
        <w:t>保险费用降低</w:t>
      </w:r>
      <w:r>
        <w:rPr>
          <w:rFonts w:ascii="仿宋_GB2312" w:eastAsia="仿宋_GB2312" w:cs="DengXian-Regular" w:hAnsi="Times New Roman" w:hint="eastAsia"/>
          <w:sz w:val="32"/>
          <w:szCs w:val="32"/>
        </w:rPr>
        <w:t>。</w:t>
      </w:r>
    </w:p>
    <w:p>
      <w:pPr>
        <w:adjustRightInd w:val="0"/>
        <w:snapToGrid w:val="0"/>
        <w:spacing w:line="580" w:lineRule="exact"/>
        <w:ind w:firstLineChars="200" w:firstLine="640"/>
        <w:rPr>
          <w:rFonts w:ascii="仿宋_GB2312" w:eastAsia="仿宋_GB2312" w:cs="DengXian-Regular" w:hAnsi="Times New Roman"/>
          <w:sz w:val="32"/>
          <w:szCs w:val="32"/>
        </w:rPr>
      </w:pPr>
      <w:r>
        <w:rPr>
          <w:rFonts w:ascii="楷体_GB2312" w:eastAsia="楷体_GB2312" w:cs="DengXian-Bold" w:hAnsi="Times New Roman" w:hint="eastAsia"/>
          <w:b/>
          <w:bCs/>
          <w:sz w:val="32"/>
          <w:szCs w:val="32"/>
        </w:rPr>
        <w:t>3.公务接待费支出情况。</w:t>
      </w:r>
      <w:r>
        <w:rPr>
          <w:rFonts w:ascii="仿宋_GB2312" w:eastAsia="仿宋_GB2312" w:cs="DengXian-Regular" w:hAnsi="Times New Roman" w:hint="eastAsia"/>
          <w:sz w:val="32"/>
          <w:szCs w:val="32"/>
        </w:rPr>
        <w:t>本部门2022年度公务接待费支出预算为</w:t>
      </w:r>
      <w:r>
        <w:rPr>
          <w:rFonts w:ascii="仿宋_GB2312" w:eastAsia="仿宋_GB2312" w:cs="DengXian-Regular" w:hAnsi="Times New Roman"/>
          <w:sz w:val="32"/>
          <w:szCs w:val="32"/>
        </w:rPr>
        <w:t>0.63</w:t>
      </w:r>
      <w:r>
        <w:rPr>
          <w:rFonts w:ascii="仿宋_GB2312" w:eastAsia="仿宋_GB2312" w:cs="DengXian-Regular" w:hAnsi="Times New Roman" w:hint="eastAsia"/>
          <w:sz w:val="32"/>
          <w:szCs w:val="32"/>
        </w:rPr>
        <w:t>万元，支出决算</w:t>
      </w:r>
      <w:r>
        <w:rPr>
          <w:rFonts w:ascii="仿宋_GB2312" w:eastAsia="仿宋_GB2312" w:cs="DengXian-Regular" w:hAnsi="Times New Roman"/>
          <w:sz w:val="32"/>
          <w:szCs w:val="32"/>
        </w:rPr>
        <w:t>0</w:t>
      </w:r>
      <w:r>
        <w:rPr>
          <w:rFonts w:ascii="仿宋_GB2312" w:eastAsia="仿宋_GB2312" w:cs="DengXian-Regular" w:hAnsi="Times New Roman" w:hint="eastAsia"/>
          <w:sz w:val="32"/>
          <w:szCs w:val="32"/>
        </w:rPr>
        <w:t>万元，完成预算的</w:t>
      </w:r>
      <w:r>
        <w:rPr>
          <w:rFonts w:ascii="仿宋_GB2312" w:eastAsia="仿宋_GB2312" w:cs="DengXian-Regular" w:hAnsi="Times New Roman"/>
          <w:sz w:val="32"/>
          <w:szCs w:val="32"/>
        </w:rPr>
        <w:t>0</w:t>
      </w:r>
      <w:r>
        <w:rPr>
          <w:rFonts w:ascii="仿宋_GB2312" w:eastAsia="仿宋_GB2312" w:cs="DengXian-Regular" w:hAnsi="Times New Roman" w:hint="eastAsia"/>
          <w:sz w:val="32"/>
          <w:szCs w:val="32"/>
        </w:rPr>
        <w:t>%。公务接待费支出较预算减少</w:t>
      </w:r>
      <w:r>
        <w:rPr>
          <w:rFonts w:ascii="仿宋_GB2312" w:eastAsia="仿宋_GB2312" w:cs="DengXian-Regular" w:hAnsi="Times New Roman"/>
          <w:sz w:val="32"/>
          <w:szCs w:val="32"/>
        </w:rPr>
        <w:t>0.63</w:t>
      </w:r>
      <w:r>
        <w:rPr>
          <w:rFonts w:ascii="仿宋_GB2312" w:eastAsia="仿宋_GB2312" w:cs="DengXian-Regular" w:hAnsi="Times New Roman" w:hint="eastAsia"/>
          <w:sz w:val="32"/>
          <w:szCs w:val="32"/>
        </w:rPr>
        <w:t>万元，降低</w:t>
      </w:r>
      <w:r>
        <w:rPr>
          <w:rFonts w:ascii="仿宋_GB2312" w:eastAsia="仿宋_GB2312" w:cs="DengXian-Regular" w:hAnsi="Times New Roman"/>
          <w:sz w:val="32"/>
          <w:szCs w:val="32"/>
        </w:rPr>
        <w:t>100</w:t>
      </w:r>
      <w:r>
        <w:rPr>
          <w:rFonts w:ascii="仿宋_GB2312" w:eastAsia="仿宋_GB2312" w:cs="DengXian-Regular" w:hAnsi="Times New Roman" w:hint="eastAsia"/>
          <w:sz w:val="32"/>
          <w:szCs w:val="32"/>
        </w:rPr>
        <w:t>%,主要是</w:t>
      </w:r>
      <w:r>
        <w:rPr>
          <w:rFonts w:ascii="仿宋_GB2312" w:eastAsia="仿宋_GB2312" w:cs="DengXian-Regular" w:hAnsi="Times New Roman"/>
          <w:sz w:val="32"/>
          <w:szCs w:val="32"/>
        </w:rPr>
        <w:t>新冠肺炎疫情影响，无公务接待支出</w:t>
      </w:r>
      <w:r>
        <w:rPr>
          <w:rFonts w:ascii="仿宋_GB2312" w:eastAsia="仿宋_GB2312" w:cs="DengXian-Regular" w:hAnsi="Times New Roman" w:hint="eastAsia"/>
          <w:sz w:val="32"/>
          <w:szCs w:val="32"/>
        </w:rPr>
        <w:t>；较上年度减少</w:t>
      </w:r>
      <w:r>
        <w:rPr>
          <w:rFonts w:ascii="仿宋_GB2312" w:eastAsia="仿宋_GB2312" w:cs="DengXian-Regular" w:hAnsi="Times New Roman"/>
          <w:sz w:val="32"/>
          <w:szCs w:val="32"/>
        </w:rPr>
        <w:t>0.63</w:t>
      </w:r>
      <w:r>
        <w:rPr>
          <w:rFonts w:ascii="仿宋_GB2312" w:eastAsia="仿宋_GB2312" w:cs="DengXian-Regular" w:hAnsi="Times New Roman" w:hint="eastAsia"/>
          <w:sz w:val="32"/>
          <w:szCs w:val="32"/>
        </w:rPr>
        <w:t>万元，降低</w:t>
      </w:r>
      <w:r>
        <w:rPr>
          <w:rFonts w:ascii="仿宋_GB2312" w:eastAsia="仿宋_GB2312" w:cs="DengXian-Regular" w:hAnsi="Times New Roman"/>
          <w:sz w:val="32"/>
          <w:szCs w:val="32"/>
        </w:rPr>
        <w:t>100</w:t>
      </w:r>
      <w:r>
        <w:rPr>
          <w:rFonts w:ascii="仿宋_GB2312" w:eastAsia="仿宋_GB2312" w:cs="DengXian-Regular" w:hAnsi="Times New Roman" w:hint="eastAsia"/>
          <w:sz w:val="32"/>
          <w:szCs w:val="32"/>
        </w:rPr>
        <w:t>%,主要是</w:t>
      </w:r>
      <w:r>
        <w:rPr>
          <w:rFonts w:ascii="仿宋_GB2312" w:eastAsia="仿宋_GB2312" w:cs="DengXian-Regular" w:hAnsi="Times New Roman"/>
          <w:sz w:val="32"/>
          <w:szCs w:val="32"/>
        </w:rPr>
        <w:t>新冠肺炎疫情影响，无公务接待支出</w:t>
      </w:r>
      <w:r>
        <w:rPr>
          <w:rFonts w:ascii="仿宋_GB2312" w:eastAsia="仿宋_GB2312" w:cs="DengXian-Regular" w:hAnsi="Times New Roman" w:hint="eastAsia"/>
          <w:sz w:val="32"/>
          <w:szCs w:val="32"/>
        </w:rPr>
        <w:t>。本年度共发生公务接待</w:t>
      </w:r>
      <w:r>
        <w:rPr>
          <w:rFonts w:ascii="仿宋_GB2312" w:eastAsia="仿宋_GB2312" w:cs="DengXian-Regular" w:hAnsi="Times New Roman"/>
          <w:sz w:val="32"/>
          <w:szCs w:val="32"/>
        </w:rPr>
        <w:t>0</w:t>
      </w:r>
      <w:r>
        <w:rPr>
          <w:rFonts w:ascii="仿宋_GB2312" w:eastAsia="仿宋_GB2312" w:cs="DengXian-Regular" w:hAnsi="Times New Roman" w:hint="eastAsia"/>
          <w:sz w:val="32"/>
          <w:szCs w:val="32"/>
        </w:rPr>
        <w:t>批次、</w:t>
      </w:r>
      <w:r>
        <w:rPr>
          <w:rFonts w:ascii="仿宋_GB2312" w:eastAsia="仿宋_GB2312" w:cs="DengXian-Regular" w:hAnsi="Times New Roman"/>
          <w:sz w:val="32"/>
          <w:szCs w:val="32"/>
        </w:rPr>
        <w:t>0</w:t>
      </w:r>
      <w:r>
        <w:rPr>
          <w:rFonts w:ascii="仿宋_GB2312" w:eastAsia="仿宋_GB2312" w:cs="DengXian-Regular" w:hAnsi="Times New Roman" w:hint="eastAsia"/>
          <w:sz w:val="32"/>
          <w:szCs w:val="32"/>
        </w:rPr>
        <w:t>人次。</w:t>
      </w:r>
    </w:p>
    <w:p>
      <w:pPr>
        <w:adjustRightInd w:val="0"/>
        <w:snapToGrid w:val="0"/>
        <w:spacing w:line="580" w:lineRule="exact"/>
        <w:ind w:leftChars="200" w:left="420" w:firstLineChars="100" w:firstLine="320"/>
        <w:rPr>
          <w:rFonts w:ascii="仿宋_GB2312" w:eastAsia="仿宋_GB2312" w:cs="仿宋_GB2312" w:hAnsi="仿宋_GB2312"/>
          <w:sz w:val="32"/>
          <w:szCs w:val="32"/>
        </w:rPr>
      </w:pPr>
      <w:r>
        <w:rPr>
          <w:rFonts w:ascii="黑体" w:eastAsia="黑体" w:cs="Times New Roman" w:hAnsi="Calibri" w:hint="eastAsia"/>
          <w:sz w:val="32"/>
          <w:szCs w:val="32"/>
        </w:rPr>
        <w:t>六、机关运行经费支出说明</w:t>
      </w:r>
    </w:p>
    <w:p>
      <w:pPr>
        <w:adjustRightInd w:val="0"/>
        <w:snapToGrid w:val="0"/>
        <w:spacing w:line="580" w:lineRule="exact"/>
        <w:ind w:firstLineChars="200" w:firstLine="640"/>
        <w:rPr>
          <w:rFonts w:ascii="仿宋_GB2312" w:eastAsia="仿宋_GB2312" w:cs="DengXian-Regular" w:hAnsi="Times New Roman"/>
          <w:sz w:val="32"/>
          <w:szCs w:val="32"/>
        </w:rPr>
      </w:pPr>
      <w:r>
        <w:rPr>
          <w:rFonts w:ascii="仿宋_GB2312" w:eastAsia="仿宋_GB2312" w:cs="DengXian-Regular" w:hAnsi="Times New Roman"/>
          <w:sz w:val="32"/>
          <w:szCs w:val="32"/>
        </w:rPr>
        <w:t>我单位为全额拨款事业单位，对照机关运行经费概念，我单位无此项支出。</w:t>
      </w:r>
    </w:p>
    <w:p>
      <w:pPr>
        <w:adjustRightInd w:val="0"/>
        <w:snapToGrid w:val="0"/>
        <w:spacing w:line="580" w:lineRule="exact"/>
        <w:ind w:firstLineChars="200" w:firstLine="640"/>
        <w:rPr>
          <w:rFonts w:ascii="仿宋_GB2312" w:eastAsia="仿宋_GB2312" w:cs="DengXian-Regular" w:hAnsi="Times New Roman"/>
          <w:sz w:val="32"/>
          <w:szCs w:val="32"/>
          <w:highlight w:val="yellow"/>
        </w:rPr>
      </w:pPr>
      <w:r>
        <w:rPr>
          <w:rFonts w:ascii="黑体" w:eastAsia="黑体" w:cs="Times New Roman" w:hAnsi="Calibri" w:hint="eastAsia"/>
          <w:sz w:val="32"/>
          <w:szCs w:val="32"/>
        </w:rPr>
        <w:t>七、政府采购支出说明</w:t>
      </w:r>
    </w:p>
    <w:p>
      <w:pPr>
        <w:snapToGrid w:val="0"/>
        <w:spacing w:line="580" w:lineRule="exact"/>
        <w:ind w:firstLineChars="200" w:firstLine="640"/>
        <w:jc w:val="left"/>
        <w:rPr>
          <w:rFonts w:ascii="仿宋_GB2312" w:eastAsia="仿宋_GB2312" w:cs="DengXian-Regular" w:hAnsi="Times New Roman"/>
          <w:sz w:val="32"/>
          <w:szCs w:val="32"/>
        </w:rPr>
      </w:pPr>
      <w:r>
        <w:rPr>
          <w:rFonts w:ascii="仿宋_GB2312" w:eastAsia="仿宋_GB2312" w:cs="DengXian-Regular" w:hAnsi="Times New Roman" w:hint="eastAsia"/>
          <w:sz w:val="32"/>
          <w:szCs w:val="32"/>
        </w:rPr>
        <w:t>本部门2022年度政府采购支出总额</w:t>
      </w:r>
      <w:r>
        <w:rPr>
          <w:rFonts w:ascii="仿宋_GB2312" w:eastAsia="仿宋_GB2312" w:cs="DengXian-Regular" w:hAnsi="Times New Roman"/>
          <w:sz w:val="32"/>
          <w:szCs w:val="32"/>
        </w:rPr>
        <w:t>0</w:t>
      </w:r>
      <w:r>
        <w:rPr>
          <w:rFonts w:ascii="仿宋_GB2312" w:eastAsia="仿宋_GB2312" w:cs="DengXian-Regular" w:hAnsi="Times New Roman" w:hint="eastAsia"/>
          <w:sz w:val="32"/>
          <w:szCs w:val="32"/>
        </w:rPr>
        <w:t>万元，从采购类型来看，</w:t>
      </w:r>
      <w:r>
        <w:rPr>
          <w:rFonts w:ascii="仿宋_GB2312" w:eastAsia="仿宋_GB2312" w:cs="仿宋_GB2312" w:hAnsi="仿宋_GB2312"/>
          <w:color w:val="000000"/>
          <w:kern w:val="0"/>
          <w:sz w:val="32"/>
          <w:szCs w:val="32"/>
        </w:rPr>
        <w:t>政府采购货物支出0 万元、政府采购工程支出0万元、政府采购服务支出 0万元。授予中小企业合同金0万元，占政府采购支出总额的0</w:t>
      </w:r>
      <w:r>
        <w:rPr>
          <w:rFonts w:ascii="仿宋_GB2312" w:eastAsia="仿宋_GB2312" w:cs="仿宋_GB2312" w:hAnsi="仿宋_GB2312" w:hint="eastAsia"/>
          <w:color w:val="000000"/>
          <w:kern w:val="0"/>
          <w:sz w:val="32"/>
          <w:szCs w:val="32"/>
        </w:rPr>
        <w:t>%，</w:t>
      </w:r>
      <w:r>
        <w:rPr>
          <w:rFonts w:ascii="仿宋_GB2312" w:eastAsia="仿宋_GB2312" w:cs="仿宋_GB2312" w:hAnsi="仿宋_GB2312"/>
          <w:color w:val="000000"/>
          <w:kern w:val="0"/>
          <w:sz w:val="32"/>
          <w:szCs w:val="32"/>
        </w:rPr>
        <w:t>其中授予小微企业合同金额0万元，占政府采购支出总额的 0%。</w:t>
      </w:r>
    </w:p>
    <w:p>
      <w:pPr>
        <w:snapToGrid w:val="0"/>
        <w:spacing w:line="580" w:lineRule="exact"/>
        <w:ind w:firstLineChars="200" w:firstLine="640"/>
        <w:jc w:val="left"/>
        <w:rPr>
          <w:rFonts w:ascii="仿宋_GB2312" w:eastAsia="仿宋_GB2312" w:cs="DengXian-Regular" w:hAnsi="Times New Roman"/>
          <w:sz w:val="32"/>
          <w:szCs w:val="32"/>
          <w:highlight w:val="yellow"/>
        </w:rPr>
      </w:pPr>
      <w:r>
        <w:rPr>
          <w:rFonts w:ascii="黑体" w:eastAsia="黑体" w:cs="Times New Roman" w:hAnsi="Calibri" w:hint="eastAsia"/>
          <w:sz w:val="32"/>
          <w:szCs w:val="32"/>
        </w:rPr>
        <w:t>八、国有资产占用情况说明</w:t>
      </w:r>
    </w:p>
    <w:p>
      <w:pPr>
        <w:adjustRightInd w:val="0"/>
        <w:snapToGrid w:val="0"/>
        <w:spacing w:line="580" w:lineRule="exact"/>
        <w:ind w:firstLineChars="200" w:firstLine="640"/>
        <w:rPr>
          <w:rFonts w:ascii="仿宋_GB2312" w:eastAsia="仿宋_GB2312" w:cs="DengXian-Regular" w:hAnsi="Times New Roman"/>
          <w:sz w:val="32"/>
          <w:szCs w:val="32"/>
        </w:rPr>
      </w:pPr>
      <w:r>
        <w:rPr>
          <w:rFonts w:ascii="仿宋_GB2312" w:eastAsia="仿宋_GB2312" w:cs="DengXian-Regular" w:hAnsi="Times New Roman" w:hint="eastAsia"/>
          <w:sz w:val="32"/>
          <w:szCs w:val="32"/>
        </w:rPr>
        <w:t>截至2022年12月31日，本部门共有车辆</w:t>
      </w:r>
      <w:r>
        <w:rPr>
          <w:rFonts w:ascii="仿宋_GB2312" w:eastAsia="仿宋_GB2312" w:cs="DengXian-Regular" w:hAnsi="Times New Roman"/>
          <w:sz w:val="32"/>
          <w:szCs w:val="32"/>
        </w:rPr>
        <w:t>2</w:t>
      </w:r>
      <w:r>
        <w:rPr>
          <w:rFonts w:ascii="仿宋_GB2312" w:eastAsia="仿宋_GB2312" w:cs="DengXian-Regular" w:hAnsi="Times New Roman" w:hint="eastAsia"/>
          <w:sz w:val="32"/>
          <w:szCs w:val="32"/>
        </w:rPr>
        <w:t>辆，比上年</w:t>
      </w:r>
      <w:r>
        <w:rPr>
          <w:rFonts w:ascii="仿宋_GB2312" w:eastAsia="仿宋_GB2312" w:cs="DengXian-Regular" w:hAnsi="Times New Roman"/>
          <w:sz w:val="32"/>
          <w:szCs w:val="32"/>
        </w:rPr>
        <w:t>持平</w:t>
      </w:r>
      <w:r>
        <w:rPr>
          <w:rFonts w:ascii="仿宋_GB2312" w:eastAsia="仿宋_GB2312" w:cs="DengXian-Regular" w:hAnsi="Times New Roman" w:hint="eastAsia"/>
          <w:sz w:val="32"/>
          <w:szCs w:val="32"/>
        </w:rPr>
        <w:t>。其中，应急保障用车</w:t>
      </w:r>
      <w:r>
        <w:rPr>
          <w:rFonts w:ascii="仿宋_GB2312" w:eastAsia="仿宋_GB2312" w:cs="DengXian-Regular" w:hAnsi="Times New Roman"/>
          <w:sz w:val="32"/>
          <w:szCs w:val="32"/>
        </w:rPr>
        <w:t>1</w:t>
      </w:r>
      <w:r>
        <w:rPr>
          <w:rFonts w:ascii="仿宋_GB2312" w:eastAsia="仿宋_GB2312" w:cs="DengXian-Regular" w:hAnsi="Times New Roman" w:hint="eastAsia"/>
          <w:sz w:val="32"/>
          <w:szCs w:val="32"/>
        </w:rPr>
        <w:t>辆，特种专业技术用车</w:t>
      </w:r>
      <w:r>
        <w:rPr>
          <w:rFonts w:ascii="仿宋_GB2312" w:eastAsia="仿宋_GB2312" w:cs="DengXian-Regular" w:hAnsi="Times New Roman"/>
          <w:sz w:val="32"/>
          <w:szCs w:val="32"/>
        </w:rPr>
        <w:t>1</w:t>
      </w:r>
      <w:r>
        <w:rPr>
          <w:rFonts w:ascii="仿宋_GB2312" w:eastAsia="仿宋_GB2312" w:cs="DengXian-Regular" w:hAnsi="Times New Roman" w:hint="eastAsia"/>
          <w:sz w:val="32"/>
          <w:szCs w:val="32"/>
        </w:rPr>
        <w:t>辆；单位价值100万元以上设备（不含车辆）</w:t>
      </w:r>
      <w:r>
        <w:rPr>
          <w:rFonts w:ascii="仿宋_GB2312" w:eastAsia="仿宋_GB2312" w:cs="DengXian-Regular" w:hAnsi="Times New Roman"/>
          <w:sz w:val="32"/>
          <w:szCs w:val="32"/>
        </w:rPr>
        <w:t>0</w:t>
      </w:r>
      <w:r>
        <w:rPr>
          <w:rFonts w:ascii="仿宋_GB2312" w:eastAsia="仿宋_GB2312" w:cs="DengXian-Regular" w:hAnsi="Times New Roman" w:hint="eastAsia"/>
          <w:sz w:val="32"/>
          <w:szCs w:val="32"/>
        </w:rPr>
        <w:t>台（套）。</w:t>
      </w:r>
    </w:p>
    <w:p>
      <w:pPr>
        <w:adjustRightInd w:val="0"/>
        <w:snapToGrid w:val="0"/>
        <w:spacing w:line="580" w:lineRule="exact"/>
        <w:ind w:firstLineChars="200" w:firstLine="640"/>
        <w:rPr>
          <w:rFonts w:ascii="黑体" w:eastAsia="黑体" w:cs="Times New Roman" w:hAnsi="Times New Roman"/>
          <w:sz w:val="32"/>
          <w:szCs w:val="40"/>
        </w:rPr>
      </w:pPr>
      <w:r>
        <w:rPr>
          <w:rFonts w:ascii="黑体" w:eastAsia="黑体" w:cs="Times New Roman" w:hAnsi="Times New Roman" w:hint="eastAsia"/>
          <w:sz w:val="32"/>
          <w:szCs w:val="40"/>
        </w:rPr>
        <w:t>九、预算绩效情况说明</w:t>
      </w:r>
    </w:p>
    <w:p>
      <w:pPr>
        <w:adjustRightInd w:val="0"/>
        <w:snapToGrid w:val="0"/>
        <w:spacing w:line="580" w:lineRule="exact"/>
        <w:ind w:firstLineChars="200" w:firstLine="640"/>
        <w:rPr>
          <w:rFonts w:ascii="仿宋_GB2312" w:eastAsia="仿宋_GB2312" w:cs="仿宋_GB2312" w:hAnsi="仿宋_GB2312"/>
          <w:b/>
          <w:bCs/>
          <w:sz w:val="32"/>
          <w:szCs w:val="32"/>
        </w:rPr>
      </w:pPr>
      <w:r>
        <w:rPr>
          <w:rFonts w:ascii="仿宋_GB2312" w:eastAsia="仿宋_GB2312" w:cs="仿宋_GB2312" w:hAnsi="仿宋_GB2312" w:hint="eastAsia"/>
          <w:b/>
          <w:bCs/>
          <w:sz w:val="32"/>
          <w:szCs w:val="32"/>
        </w:rPr>
        <w:t>（一）预算绩效管理工作开展情况</w:t>
      </w:r>
    </w:p>
    <w:p>
      <w:pPr>
        <w:adjustRightInd w:val="0"/>
        <w:snapToGrid w:val="0"/>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根据预算绩效管理要求，本部门组织对2022年度一般公共预算项目支出全面开展绩效自评，其中，一级项目</w:t>
      </w:r>
      <w:r>
        <w:rPr>
          <w:rFonts w:ascii="仿宋_GB2312" w:eastAsia="仿宋_GB2312" w:cs="仿宋_GB2312" w:hAnsi="仿宋_GB2312"/>
          <w:sz w:val="32"/>
          <w:szCs w:val="32"/>
        </w:rPr>
        <w:t>5</w:t>
      </w:r>
      <w:r>
        <w:rPr>
          <w:rFonts w:ascii="仿宋_GB2312" w:eastAsia="仿宋_GB2312" w:cs="仿宋_GB2312" w:hAnsi="仿宋_GB2312" w:hint="eastAsia"/>
          <w:sz w:val="32"/>
          <w:szCs w:val="32"/>
        </w:rPr>
        <w:t>个，共涉及资金</w:t>
      </w:r>
      <w:r>
        <w:rPr>
          <w:rFonts w:ascii="仿宋_GB2312" w:eastAsia="仿宋_GB2312" w:cs="仿宋_GB2312" w:hAnsi="仿宋_GB2312"/>
          <w:sz w:val="32"/>
          <w:szCs w:val="32"/>
        </w:rPr>
        <w:t>266</w:t>
      </w:r>
      <w:r>
        <w:rPr>
          <w:rFonts w:ascii="仿宋_GB2312" w:eastAsia="仿宋_GB2312" w:cs="仿宋_GB2312" w:hAnsi="仿宋_GB2312" w:hint="eastAsia"/>
          <w:sz w:val="32"/>
          <w:szCs w:val="32"/>
        </w:rPr>
        <w:t>万元，占一般公共预算项目支出总额的</w:t>
      </w:r>
      <w:r>
        <w:rPr>
          <w:rFonts w:ascii="仿宋_GB2312" w:eastAsia="仿宋_GB2312" w:cs="仿宋_GB2312" w:hAnsi="仿宋_GB2312"/>
          <w:sz w:val="32"/>
          <w:szCs w:val="32"/>
        </w:rPr>
        <w:t>100</w:t>
      </w:r>
      <w:r>
        <w:rPr>
          <w:rFonts w:ascii="仿宋_GB2312" w:eastAsia="仿宋_GB2312" w:cs="仿宋_GB2312" w:hAnsi="仿宋_GB2312" w:hint="eastAsia"/>
          <w:sz w:val="32"/>
          <w:szCs w:val="32"/>
        </w:rPr>
        <w:t>%。组织对2022年度</w:t>
      </w:r>
      <w:r>
        <w:rPr>
          <w:rFonts w:ascii="仿宋_GB2312" w:eastAsia="仿宋_GB2312" w:cs="仿宋_GB2312" w:hAnsi="仿宋_GB2312"/>
          <w:sz w:val="32"/>
          <w:szCs w:val="32"/>
        </w:rPr>
        <w:t>0</w:t>
      </w:r>
      <w:r>
        <w:rPr>
          <w:rFonts w:ascii="仿宋_GB2312" w:eastAsia="仿宋_GB2312" w:cs="仿宋_GB2312" w:hAnsi="仿宋_GB2312" w:hint="eastAsia"/>
          <w:sz w:val="32"/>
          <w:szCs w:val="32"/>
        </w:rPr>
        <w:t>个政府性基金预算项目支出开展绩效自评，共涉及资金</w:t>
      </w:r>
      <w:r>
        <w:rPr>
          <w:rFonts w:ascii="仿宋_GB2312" w:eastAsia="仿宋_GB2312" w:cs="仿宋_GB2312" w:hAnsi="仿宋_GB2312"/>
          <w:sz w:val="32"/>
          <w:szCs w:val="32"/>
        </w:rPr>
        <w:t>0</w:t>
      </w:r>
      <w:r>
        <w:rPr>
          <w:rFonts w:ascii="仿宋_GB2312" w:eastAsia="仿宋_GB2312" w:cs="仿宋_GB2312" w:hAnsi="仿宋_GB2312" w:hint="eastAsia"/>
          <w:sz w:val="32"/>
          <w:szCs w:val="32"/>
        </w:rPr>
        <w:t>万元，占政府性基金预算项目支出总额的</w:t>
      </w:r>
      <w:r>
        <w:rPr>
          <w:rFonts w:ascii="仿宋_GB2312" w:eastAsia="仿宋_GB2312" w:cs="仿宋_GB2312" w:hAnsi="仿宋_GB2312"/>
          <w:sz w:val="32"/>
          <w:szCs w:val="32"/>
        </w:rPr>
        <w:t>0</w:t>
      </w:r>
      <w:r>
        <w:rPr>
          <w:rFonts w:ascii="仿宋_GB2312" w:eastAsia="仿宋_GB2312" w:cs="仿宋_GB2312" w:hAnsi="仿宋_GB2312" w:hint="eastAsia"/>
          <w:sz w:val="32"/>
          <w:szCs w:val="32"/>
        </w:rPr>
        <w:t>%。组织对2022年度</w:t>
      </w:r>
      <w:r>
        <w:rPr>
          <w:rFonts w:ascii="仿宋_GB2312" w:eastAsia="仿宋_GB2312" w:cs="仿宋_GB2312" w:hAnsi="仿宋_GB2312"/>
          <w:sz w:val="32"/>
          <w:szCs w:val="32"/>
        </w:rPr>
        <w:t>0</w:t>
      </w:r>
      <w:r>
        <w:rPr>
          <w:rFonts w:ascii="仿宋_GB2312" w:eastAsia="仿宋_GB2312" w:cs="仿宋_GB2312" w:hAnsi="仿宋_GB2312" w:hint="eastAsia"/>
          <w:sz w:val="32"/>
          <w:szCs w:val="32"/>
        </w:rPr>
        <w:t>个国有资本经营预算项目支出开展绩效自评，共涉及资金</w:t>
      </w:r>
      <w:r>
        <w:rPr>
          <w:rFonts w:ascii="仿宋_GB2312" w:eastAsia="仿宋_GB2312" w:cs="仿宋_GB2312" w:hAnsi="仿宋_GB2312"/>
          <w:sz w:val="32"/>
          <w:szCs w:val="32"/>
        </w:rPr>
        <w:t>0</w:t>
      </w:r>
      <w:r>
        <w:rPr>
          <w:rFonts w:ascii="仿宋_GB2312" w:eastAsia="仿宋_GB2312" w:cs="仿宋_GB2312" w:hAnsi="仿宋_GB2312" w:hint="eastAsia"/>
          <w:sz w:val="32"/>
          <w:szCs w:val="32"/>
        </w:rPr>
        <w:t>万元，占国有资本经营预算项目支出总额的</w:t>
      </w:r>
      <w:r>
        <w:rPr>
          <w:rFonts w:ascii="仿宋_GB2312" w:eastAsia="仿宋_GB2312" w:cs="仿宋_GB2312" w:hAnsi="仿宋_GB2312"/>
          <w:sz w:val="32"/>
          <w:szCs w:val="32"/>
        </w:rPr>
        <w:t>0</w:t>
      </w:r>
      <w:r>
        <w:rPr>
          <w:rFonts w:ascii="仿宋_GB2312" w:eastAsia="仿宋_GB2312" w:cs="仿宋_GB2312" w:hAnsi="仿宋_GB2312" w:hint="eastAsia"/>
          <w:sz w:val="32"/>
          <w:szCs w:val="32"/>
        </w:rPr>
        <w:t>%。</w:t>
      </w:r>
    </w:p>
    <w:p>
      <w:pPr>
        <w:adjustRightInd w:val="0"/>
        <w:snapToGrid w:val="0"/>
        <w:spacing w:line="580" w:lineRule="exact"/>
        <w:ind w:firstLineChars="200" w:firstLine="640"/>
        <w:rPr>
          <w:rFonts w:ascii="仿宋_GB2312" w:eastAsia="仿宋_GB2312" w:cs="仿宋_GB2312" w:hAnsi="仿宋_GB2312"/>
          <w:sz w:val="32"/>
          <w:szCs w:val="32"/>
          <w:highlight w:val="yellow"/>
        </w:rPr>
      </w:pPr>
      <w:r>
        <w:rPr>
          <w:rFonts w:ascii="仿宋_GB2312" w:eastAsia="仿宋_GB2312" w:cs="仿宋_GB2312" w:hAnsi="仿宋_GB2312" w:hint="eastAsia"/>
          <w:sz w:val="32"/>
          <w:szCs w:val="32"/>
        </w:rPr>
        <w:t>组织对“</w:t>
      </w:r>
      <w:r>
        <w:rPr>
          <w:rFonts w:ascii="仿宋_GB2312" w:eastAsia="仿宋_GB2312" w:cs="仿宋_GB2312" w:hAnsi="仿宋_GB2312"/>
          <w:sz w:val="32"/>
          <w:szCs w:val="32"/>
        </w:rPr>
        <w:t>学历教育管理资金、组织农民培训</w:t>
      </w:r>
      <w:r>
        <w:rPr>
          <w:rFonts w:ascii="仿宋_GB2312" w:eastAsia="仿宋_GB2312" w:cs="仿宋_GB2312" w:hAnsi="仿宋_GB2312" w:hint="eastAsia"/>
          <w:sz w:val="32"/>
          <w:szCs w:val="32"/>
        </w:rPr>
        <w:t>”等</w:t>
      </w:r>
      <w:r>
        <w:rPr>
          <w:rFonts w:ascii="仿宋_GB2312" w:eastAsia="仿宋_GB2312" w:cs="仿宋_GB2312" w:hAnsi="仿宋_GB2312"/>
          <w:sz w:val="32"/>
          <w:szCs w:val="32"/>
        </w:rPr>
        <w:t>2</w:t>
      </w:r>
      <w:r>
        <w:rPr>
          <w:rFonts w:ascii="仿宋_GB2312" w:eastAsia="仿宋_GB2312" w:cs="仿宋_GB2312" w:hAnsi="仿宋_GB2312" w:hint="eastAsia"/>
          <w:sz w:val="32"/>
          <w:szCs w:val="32"/>
        </w:rPr>
        <w:t>个一级项目开展了重点评价，涉及一般公共预算支出</w:t>
      </w:r>
      <w:r>
        <w:rPr>
          <w:rFonts w:ascii="仿宋_GB2312" w:eastAsia="仿宋_GB2312" w:cs="仿宋_GB2312" w:hAnsi="仿宋_GB2312"/>
          <w:sz w:val="32"/>
          <w:szCs w:val="32"/>
        </w:rPr>
        <w:t>124</w:t>
      </w:r>
      <w:r>
        <w:rPr>
          <w:rFonts w:ascii="仿宋_GB2312" w:eastAsia="仿宋_GB2312" w:cs="仿宋_GB2312" w:hAnsi="仿宋_GB2312" w:hint="eastAsia"/>
          <w:sz w:val="32"/>
          <w:szCs w:val="32"/>
        </w:rPr>
        <w:t>万元，政府性基金预算支出</w:t>
      </w:r>
      <w:r>
        <w:rPr>
          <w:rFonts w:ascii="仿宋_GB2312" w:eastAsia="仿宋_GB2312" w:cs="仿宋_GB2312" w:hAnsi="仿宋_GB2312"/>
          <w:sz w:val="32"/>
          <w:szCs w:val="32"/>
        </w:rPr>
        <w:t>0</w:t>
      </w:r>
      <w:r>
        <w:rPr>
          <w:rFonts w:ascii="仿宋_GB2312" w:eastAsia="仿宋_GB2312" w:cs="仿宋_GB2312" w:hAnsi="仿宋_GB2312" w:hint="eastAsia"/>
          <w:sz w:val="32"/>
          <w:szCs w:val="32"/>
        </w:rPr>
        <w:t>万元。从评价情况来看，学历教育管理资金项目的实施保障了我校教学、办公正常运转，各项任务顺利实施，完成了全年招生计划。组织农民培训资金项目按照区政府要求，圆满完成了高素质农民培训活动。</w:t>
      </w:r>
      <w:r>
        <w:t xml:space="preserve"> </w:t>
      </w:r>
    </w:p>
    <w:p>
      <w:pPr>
        <w:adjustRightInd w:val="0"/>
        <w:snapToGrid w:val="0"/>
        <w:spacing w:line="580" w:lineRule="exact"/>
        <w:ind w:leftChars="200" w:left="420" w:firstLineChars="100" w:firstLine="320"/>
        <w:rPr>
          <w:rFonts w:ascii="仿宋_GB2312" w:eastAsia="仿宋_GB2312" w:cs="仿宋_GB2312" w:hAnsi="仿宋_GB2312"/>
          <w:b/>
          <w:bCs/>
          <w:sz w:val="32"/>
          <w:szCs w:val="32"/>
        </w:rPr>
      </w:pPr>
      <w:r>
        <w:rPr>
          <w:rFonts w:ascii="仿宋_GB2312" w:eastAsia="仿宋_GB2312" w:cs="仿宋_GB2312" w:hAnsi="仿宋_GB2312" w:hint="eastAsia"/>
          <w:b/>
          <w:bCs/>
          <w:sz w:val="32"/>
          <w:szCs w:val="32"/>
        </w:rPr>
        <w:t>（二）部门决算中项目绩效自评结果</w:t>
      </w:r>
    </w:p>
    <w:p>
      <w:pPr>
        <w:adjustRightInd w:val="0"/>
        <w:snapToGrid w:val="0"/>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本部门在今年部门决算公开中反映</w:t>
      </w:r>
      <w:r>
        <w:rPr>
          <w:rFonts w:ascii="仿宋_GB2312" w:eastAsia="仿宋_GB2312" w:cs="仿宋_GB2312" w:hAnsi="仿宋_GB2312"/>
          <w:sz w:val="32"/>
          <w:szCs w:val="32"/>
        </w:rPr>
        <w:t>学历教育管理资金</w:t>
      </w:r>
      <w:r>
        <w:rPr>
          <w:rFonts w:ascii="仿宋_GB2312" w:eastAsia="仿宋_GB2312" w:cs="仿宋_GB2312" w:hAnsi="仿宋_GB2312" w:hint="eastAsia"/>
          <w:sz w:val="32"/>
          <w:szCs w:val="32"/>
        </w:rPr>
        <w:t>项目及</w:t>
      </w:r>
      <w:r>
        <w:rPr>
          <w:rFonts w:ascii="仿宋_GB2312" w:eastAsia="仿宋_GB2312" w:cs="仿宋_GB2312" w:hAnsi="仿宋_GB2312"/>
          <w:sz w:val="32"/>
          <w:szCs w:val="32"/>
        </w:rPr>
        <w:t>组织农民培训</w:t>
      </w:r>
      <w:r>
        <w:rPr>
          <w:rFonts w:ascii="仿宋_GB2312" w:eastAsia="仿宋_GB2312" w:cs="仿宋_GB2312" w:hAnsi="仿宋_GB2312" w:hint="eastAsia"/>
          <w:sz w:val="32"/>
          <w:szCs w:val="32"/>
        </w:rPr>
        <w:t>项目等</w:t>
      </w:r>
      <w:r>
        <w:rPr>
          <w:rFonts w:ascii="仿宋_GB2312" w:eastAsia="仿宋_GB2312" w:cs="仿宋_GB2312" w:hAnsi="仿宋_GB2312"/>
          <w:sz w:val="32"/>
          <w:szCs w:val="32"/>
        </w:rPr>
        <w:t>4</w:t>
      </w:r>
      <w:r>
        <w:rPr>
          <w:rFonts w:ascii="仿宋_GB2312" w:eastAsia="仿宋_GB2312" w:cs="仿宋_GB2312" w:hAnsi="仿宋_GB2312" w:hint="eastAsia"/>
          <w:sz w:val="32"/>
          <w:szCs w:val="32"/>
        </w:rPr>
        <w:t>个项目绩效自评结果。</w:t>
      </w:r>
    </w:p>
    <w:p>
      <w:pPr>
        <w:numPr>
          <w:ilvl w:val="0"/>
          <w:numId w:val="2"/>
        </w:numPr>
        <w:adjustRightInd w:val="0"/>
        <w:snapToGrid w:val="0"/>
        <w:spacing w:line="580" w:lineRule="exact"/>
        <w:ind w:left="0" w:firstLineChars="200" w:firstLine="640"/>
        <w:rPr>
          <w:rFonts w:ascii="仿宋_GB2312" w:eastAsia="仿宋_GB2312" w:cs="DengXian-Regular" w:hAnsi="Times New Roman" w:hint="eastAsia"/>
          <w:sz w:val="32"/>
          <w:szCs w:val="32"/>
        </w:rPr>
      </w:pPr>
      <w:r>
        <w:rPr>
          <w:rFonts w:ascii="仿宋_GB2312" w:eastAsia="仿宋_GB2312" w:cs="仿宋_GB2312" w:hAnsi="仿宋_GB2312"/>
          <w:sz w:val="32"/>
          <w:szCs w:val="32"/>
        </w:rPr>
        <w:t>学历教育管理资金项目自评综述：根据年初设定的绩效目标，学历教育管理资金项目绩效自评得分为 96分（绩效自</w:t>
      </w:r>
      <w:r>
        <w:rPr>
          <w:rFonts w:ascii="仿宋_GB2312" w:eastAsia="仿宋_GB2312" w:cs="DengXian-Regular" w:hAnsi="Times New Roman" w:hint="eastAsia"/>
          <w:sz w:val="32"/>
          <w:szCs w:val="32"/>
        </w:rPr>
        <w:t>评表附后）。全年预算数为90.90万元，执行数为 67.75万元，完成预算的74.53%。项目绩效目标完成情况：通过项目实施，完成了年初设定的各项绩效目标，一是我校教学、办公正常运转，各项任务顺利实施；二是超额完成了招生计划。发现的主要问题及原因：2022年因新冠肺炎疫情影响，预算执行率低；调查中学员对学校的满意度达90%以上，众口难调，没有做到全面兼顾。下一步改进措施：提高服务质量，科学合理编制预算，做到精确化，明细化，争取学员满意度达 100%。</w:t>
      </w:r>
    </w:p>
    <w:p>
      <w:pPr>
        <w:numPr>
          <w:ilvl w:val="0"/>
          <w:numId w:val="2"/>
        </w:numPr>
        <w:adjustRightInd w:val="0"/>
        <w:snapToGrid w:val="0"/>
        <w:spacing w:line="580" w:lineRule="exact"/>
        <w:ind w:left="0" w:firstLineChars="200" w:firstLine="640"/>
        <w:rPr>
          <w:rFonts w:ascii="仿宋_GB2312" w:eastAsia="仿宋_GB2312" w:cs="DengXian-Regular" w:hAnsi="Times New Roman" w:hint="eastAsia"/>
          <w:sz w:val="32"/>
          <w:szCs w:val="32"/>
        </w:rPr>
      </w:pPr>
      <w:r>
        <w:rPr>
          <w:rFonts w:ascii="仿宋_GB2312" w:eastAsia="仿宋_GB2312" w:cs="DengXian-Regular" w:hAnsi="Times New Roman" w:hint="eastAsia"/>
          <w:sz w:val="32"/>
          <w:szCs w:val="32"/>
        </w:rPr>
        <w:t xml:space="preserve">组织农民培训资金项目自评综述：根据年初设定的绩效目标，组织农民培训资金项目绩效自评得分为 </w:t>
      </w:r>
      <w:r>
        <w:rPr>
          <w:rFonts w:ascii="仿宋_GB2312" w:eastAsia="仿宋_GB2312" w:cs="DengXian-Regular" w:hAnsi="Times New Roman"/>
          <w:sz w:val="32"/>
          <w:szCs w:val="32"/>
        </w:rPr>
        <w:t>93</w:t>
      </w:r>
      <w:r>
        <w:rPr>
          <w:rFonts w:ascii="仿宋_GB2312" w:eastAsia="仿宋_GB2312" w:cs="DengXian-Regular" w:hAnsi="Times New Roman" w:hint="eastAsia"/>
          <w:sz w:val="32"/>
          <w:szCs w:val="32"/>
        </w:rPr>
        <w:t xml:space="preserve">分（绩效自评表附后）。全年预算数为 14 万元，执行数为 </w:t>
      </w:r>
      <w:r>
        <w:rPr>
          <w:rFonts w:ascii="仿宋_GB2312" w:eastAsia="仿宋_GB2312" w:cs="DengXian-Regular" w:hAnsi="Times New Roman"/>
          <w:sz w:val="32"/>
          <w:szCs w:val="32"/>
        </w:rPr>
        <w:t>8.57</w:t>
      </w:r>
      <w:r>
        <w:rPr>
          <w:rFonts w:ascii="仿宋_GB2312" w:eastAsia="仿宋_GB2312" w:cs="DengXian-Regular" w:hAnsi="Times New Roman" w:hint="eastAsia"/>
          <w:sz w:val="32"/>
          <w:szCs w:val="32"/>
        </w:rPr>
        <w:t xml:space="preserve"> 万元，完成预算的 </w:t>
      </w:r>
      <w:r>
        <w:rPr>
          <w:rFonts w:ascii="仿宋_GB2312" w:eastAsia="仿宋_GB2312" w:cs="DengXian-Regular" w:hAnsi="Times New Roman"/>
          <w:sz w:val="32"/>
          <w:szCs w:val="32"/>
        </w:rPr>
        <w:t>61.21</w:t>
      </w:r>
      <w:r>
        <w:rPr>
          <w:rFonts w:ascii="仿宋_GB2312" w:eastAsia="仿宋_GB2312" w:cs="DengXian-Regular" w:hAnsi="Times New Roman" w:hint="eastAsia"/>
          <w:sz w:val="32"/>
          <w:szCs w:val="32"/>
        </w:rPr>
        <w:t>%。项目绩效目标完成情况：通过项目实施，完成了年初设定的各项绩效目标，按照区政府要求，圆满完成了高素质农民培训活动。发现的主要问题及原因：</w:t>
      </w:r>
      <w:r>
        <w:rPr>
          <w:rFonts w:ascii="仿宋_GB2312" w:eastAsia="仿宋_GB2312" w:cs="DengXian-Regular" w:hAnsi="Times New Roman"/>
          <w:sz w:val="32"/>
          <w:szCs w:val="32"/>
        </w:rPr>
        <w:t>2022年因新冠肺炎疫情影响，无法组织集中培训，导致预算执行率低；调查中学员对学校的满意度达90%以上，众口难调，没有做到一一兼顾。</w:t>
      </w:r>
      <w:r>
        <w:rPr>
          <w:rFonts w:ascii="仿宋_GB2312" w:eastAsia="仿宋_GB2312" w:cs="DengXian-Regular" w:hAnsi="Times New Roman" w:hint="eastAsia"/>
          <w:sz w:val="32"/>
          <w:szCs w:val="32"/>
        </w:rPr>
        <w:t xml:space="preserve">下一步改进措施：在制定项目方案、培训计划时尽量做到一一兼顾，争取学员满意度达100%。 </w:t>
      </w:r>
    </w:p>
    <w:p>
      <w:pPr>
        <w:adjustRightInd w:val="0"/>
        <w:snapToGrid w:val="0"/>
        <w:spacing w:line="580" w:lineRule="exact"/>
        <w:ind w:left="0" w:firstLineChars="200" w:firstLine="640"/>
        <w:rPr>
          <w:rFonts w:ascii="仿宋_GB2312" w:eastAsia="仿宋_GB2312" w:cs="DengXian-Regular" w:hAnsi="Times New Roman"/>
          <w:sz w:val="32"/>
          <w:szCs w:val="32"/>
        </w:rPr>
      </w:pPr>
      <w:r>
        <w:rPr>
          <w:rFonts w:ascii="仿宋_GB2312" w:eastAsia="仿宋_GB2312" w:cs="DengXian-Regular" w:hAnsi="Times New Roman" w:hint="eastAsia"/>
          <w:sz w:val="32"/>
          <w:szCs w:val="32"/>
        </w:rPr>
        <w:t>（3）劳务派遣人员费用（劳务费）项目自评综述：根据年初设定的绩效目标，劳务派遣人员费用（劳务费）项目绩效自评得分为 100 分（绩效自评表附后）。全年预算数为 20.</w:t>
      </w:r>
      <w:r>
        <w:rPr>
          <w:rFonts w:ascii="仿宋_GB2312" w:eastAsia="仿宋_GB2312" w:cs="DengXian-Regular" w:hAnsi="Times New Roman"/>
          <w:sz w:val="32"/>
          <w:szCs w:val="32"/>
        </w:rPr>
        <w:t>47</w:t>
      </w:r>
      <w:r>
        <w:rPr>
          <w:rFonts w:ascii="仿宋_GB2312" w:eastAsia="仿宋_GB2312" w:cs="DengXian-Regular" w:hAnsi="Times New Roman" w:hint="eastAsia"/>
          <w:sz w:val="32"/>
          <w:szCs w:val="32"/>
        </w:rPr>
        <w:t xml:space="preserve"> 万元，执行数为 20.</w:t>
      </w:r>
      <w:r>
        <w:rPr>
          <w:rFonts w:ascii="仿宋_GB2312" w:eastAsia="仿宋_GB2312" w:cs="DengXian-Regular" w:hAnsi="Times New Roman"/>
          <w:sz w:val="32"/>
          <w:szCs w:val="32"/>
        </w:rPr>
        <w:t>47</w:t>
      </w:r>
      <w:r>
        <w:rPr>
          <w:rFonts w:ascii="仿宋_GB2312" w:eastAsia="仿宋_GB2312" w:cs="DengXian-Regular" w:hAnsi="Times New Roman" w:hint="eastAsia"/>
          <w:sz w:val="32"/>
          <w:szCs w:val="32"/>
        </w:rPr>
        <w:t xml:space="preserve"> 万元，完成预算的 100%。项目绩效目标完成情况：通过项目实施，完成了年初设定的各项绩效目标，完成劳务派遣人员费用的及时发放，保障机关正常运转，未发现问题。</w:t>
      </w:r>
    </w:p>
    <w:p>
      <w:pPr>
        <w:adjustRightInd w:val="0"/>
        <w:snapToGrid w:val="0"/>
        <w:spacing w:line="580" w:lineRule="exact"/>
        <w:ind w:left="0" w:firstLineChars="200" w:firstLine="640"/>
        <w:rPr>
          <w:rFonts w:ascii="仿宋_GB2312" w:eastAsia="仿宋_GB2312" w:cs="DengXian-Regular" w:hAnsi="Times New Roman" w:hint="eastAsia"/>
          <w:sz w:val="32"/>
          <w:szCs w:val="32"/>
        </w:rPr>
      </w:pPr>
      <w:r>
        <w:rPr>
          <w:rFonts w:ascii="仿宋_GB2312" w:eastAsia="仿宋_GB2312" w:cs="DengXian-Regular" w:hAnsi="Times New Roman" w:hint="eastAsia"/>
          <w:sz w:val="32"/>
          <w:szCs w:val="32"/>
        </w:rPr>
        <w:t>（4）上缴联合办学高校学费项目自评综述：根据年初设定的绩效目标，上缴联合办学高校学费项目绩效自评得分为 100 分（绩效自评表附后）。全年预算数为</w:t>
      </w:r>
      <w:r>
        <w:rPr>
          <w:rFonts w:ascii="仿宋_GB2312" w:eastAsia="仿宋_GB2312" w:cs="DengXian-Regular" w:hAnsi="Times New Roman"/>
          <w:sz w:val="32"/>
          <w:szCs w:val="32"/>
        </w:rPr>
        <w:t>61.87</w:t>
      </w:r>
      <w:r>
        <w:rPr>
          <w:rFonts w:ascii="仿宋_GB2312" w:eastAsia="仿宋_GB2312" w:cs="DengXian-Regular" w:hAnsi="Times New Roman" w:hint="eastAsia"/>
          <w:sz w:val="32"/>
          <w:szCs w:val="32"/>
        </w:rPr>
        <w:t xml:space="preserve"> 万元，执行数为 </w:t>
      </w:r>
      <w:r>
        <w:rPr>
          <w:rFonts w:ascii="仿宋_GB2312" w:eastAsia="仿宋_GB2312" w:cs="DengXian-Regular" w:hAnsi="Times New Roman"/>
          <w:sz w:val="32"/>
          <w:szCs w:val="32"/>
        </w:rPr>
        <w:t>61.87</w:t>
      </w:r>
      <w:r>
        <w:rPr>
          <w:rFonts w:ascii="仿宋_GB2312" w:eastAsia="仿宋_GB2312" w:cs="DengXian-Regular" w:hAnsi="Times New Roman" w:hint="eastAsia"/>
          <w:sz w:val="32"/>
          <w:szCs w:val="32"/>
        </w:rPr>
        <w:t>万元，完成预算的100%。项目绩效目标完成情况：通过项目实施，完成了年初设定的各项绩效目标，及时上缴联合办学高校学费，保障了学员顺利毕业，未发现问题</w:t>
      </w:r>
    </w:p>
    <w:p>
      <w:pPr>
        <w:adjustRightInd w:val="0"/>
        <w:snapToGrid w:val="0"/>
        <w:spacing w:line="580" w:lineRule="exact"/>
        <w:ind w:leftChars="200" w:left="420" w:firstLineChars="100" w:firstLine="320"/>
        <w:rPr>
          <w:rFonts w:ascii="仿宋_GB2312" w:eastAsia="仿宋_GB2312" w:cs="仿宋_GB2312" w:hAnsi="仿宋_GB2312"/>
          <w:sz w:val="32"/>
          <w:szCs w:val="32"/>
        </w:rPr>
      </w:pPr>
      <w:r>
        <w:rPr>
          <w:rFonts w:ascii="仿宋_GB2312" w:eastAsia="仿宋_GB2312" w:cs="仿宋_GB2312" w:hAnsi="仿宋_GB2312" w:hint="eastAsia"/>
          <w:sz w:val="32"/>
          <w:szCs w:val="32"/>
        </w:rPr>
        <w:t>附项目支出绩效自评表</w:t>
      </w:r>
    </w:p>
    <w:p>
      <w:pPr>
        <w:adjustRightInd w:val="0"/>
        <w:snapToGrid w:val="0"/>
        <w:spacing w:line="580" w:lineRule="exact"/>
        <w:ind w:leftChars="200" w:left="420" w:firstLineChars="100" w:firstLine="320"/>
        <w:rPr>
          <w:rFonts w:ascii="仿宋_GB2312" w:eastAsia="仿宋_GB2312" w:cs="仿宋_GB2312" w:hAnsi="仿宋_GB2312"/>
          <w:sz w:val="32"/>
          <w:szCs w:val="32"/>
        </w:rPr>
      </w:pPr>
    </w:p>
    <w:p>
      <w:pPr>
        <w:adjustRightInd w:val="0"/>
        <w:snapToGrid w:val="0"/>
        <w:spacing w:line="580" w:lineRule="exact"/>
        <w:ind w:leftChars="200" w:left="420" w:firstLineChars="100" w:firstLine="320"/>
        <w:rPr>
          <w:rFonts w:ascii="仿宋_GB2312" w:eastAsia="仿宋_GB2312" w:cs="仿宋_GB2312" w:hAnsi="仿宋_GB2312"/>
          <w:sz w:val="32"/>
          <w:szCs w:val="32"/>
        </w:rPr>
      </w:pPr>
    </w:p>
    <w:p>
      <w:pPr>
        <w:adjustRightInd w:val="0"/>
        <w:snapToGrid w:val="0"/>
        <w:spacing w:line="580" w:lineRule="exact"/>
        <w:ind w:leftChars="200" w:left="420" w:firstLineChars="100" w:firstLine="320"/>
        <w:rPr>
          <w:rFonts w:ascii="仿宋_GB2312" w:eastAsia="仿宋_GB2312" w:cs="仿宋_GB2312" w:hAnsi="仿宋_GB2312"/>
          <w:sz w:val="32"/>
          <w:szCs w:val="32"/>
        </w:rPr>
      </w:pPr>
    </w:p>
    <w:p>
      <w:pPr>
        <w:adjustRightInd w:val="0"/>
        <w:snapToGrid w:val="0"/>
        <w:spacing w:line="580" w:lineRule="exact"/>
        <w:ind w:leftChars="200" w:left="420" w:firstLineChars="100" w:firstLine="320"/>
        <w:rPr>
          <w:rFonts w:ascii="仿宋_GB2312" w:eastAsia="仿宋_GB2312" w:cs="仿宋_GB2312" w:hAnsi="仿宋_GB2312"/>
          <w:sz w:val="32"/>
          <w:szCs w:val="32"/>
        </w:rPr>
      </w:pPr>
    </w:p>
    <w:p>
      <w:pPr>
        <w:adjustRightInd w:val="0"/>
        <w:snapToGrid w:val="0"/>
        <w:spacing w:line="580" w:lineRule="exact"/>
        <w:ind w:leftChars="200" w:left="420" w:firstLineChars="100" w:firstLine="320"/>
        <w:rPr>
          <w:rFonts w:ascii="仿宋_GB2312" w:eastAsia="仿宋_GB2312" w:cs="仿宋_GB2312" w:hAnsi="仿宋_GB2312"/>
          <w:sz w:val="32"/>
          <w:szCs w:val="32"/>
        </w:rPr>
      </w:pPr>
    </w:p>
    <w:p>
      <w:pPr>
        <w:adjustRightInd w:val="0"/>
        <w:snapToGrid w:val="0"/>
        <w:spacing w:line="580" w:lineRule="exact"/>
        <w:ind w:leftChars="200" w:left="420" w:firstLineChars="100" w:firstLine="320"/>
        <w:rPr>
          <w:rFonts w:ascii="仿宋_GB2312" w:eastAsia="仿宋_GB2312" w:cs="仿宋_GB2312" w:hAnsi="仿宋_GB2312"/>
          <w:sz w:val="32"/>
          <w:szCs w:val="32"/>
        </w:rPr>
      </w:pPr>
    </w:p>
    <w:p>
      <w:pPr>
        <w:adjustRightInd w:val="0"/>
        <w:snapToGrid w:val="0"/>
        <w:spacing w:line="580" w:lineRule="exact"/>
        <w:ind w:leftChars="200" w:left="420" w:firstLineChars="100" w:firstLine="320"/>
        <w:rPr>
          <w:rFonts w:ascii="仿宋_GB2312" w:eastAsia="仿宋_GB2312" w:cs="仿宋_GB2312" w:hAnsi="仿宋_GB2312"/>
          <w:sz w:val="32"/>
          <w:szCs w:val="32"/>
        </w:rPr>
      </w:pPr>
    </w:p>
    <w:p>
      <w:pPr>
        <w:adjustRightInd w:val="0"/>
        <w:snapToGrid w:val="0"/>
        <w:spacing w:line="580" w:lineRule="exact"/>
        <w:ind w:leftChars="200" w:left="420" w:firstLineChars="100" w:firstLine="320"/>
        <w:rPr>
          <w:rFonts w:ascii="仿宋_GB2312" w:eastAsia="仿宋_GB2312" w:cs="仿宋_GB2312" w:hAnsi="仿宋_GB2312"/>
          <w:sz w:val="32"/>
          <w:szCs w:val="32"/>
        </w:rPr>
      </w:pPr>
    </w:p>
    <w:p>
      <w:pPr>
        <w:adjustRightInd w:val="0"/>
        <w:snapToGrid w:val="0"/>
        <w:spacing w:line="580" w:lineRule="exact"/>
        <w:ind w:leftChars="200" w:left="420" w:firstLineChars="100" w:firstLine="320"/>
        <w:rPr>
          <w:rFonts w:ascii="仿宋_GB2312" w:eastAsia="仿宋_GB2312" w:cs="仿宋_GB2312" w:hAnsi="仿宋_GB2312"/>
          <w:sz w:val="32"/>
          <w:szCs w:val="32"/>
        </w:rPr>
      </w:pPr>
    </w:p>
    <w:p>
      <w:pPr>
        <w:adjustRightInd w:val="0"/>
        <w:snapToGrid w:val="0"/>
        <w:spacing w:line="580" w:lineRule="exact"/>
        <w:ind w:leftChars="200" w:left="420" w:firstLineChars="100" w:firstLine="320"/>
        <w:rPr>
          <w:rFonts w:ascii="仿宋_GB2312" w:eastAsia="仿宋_GB2312" w:cs="仿宋_GB2312" w:hAnsi="仿宋_GB2312"/>
          <w:sz w:val="32"/>
          <w:szCs w:val="32"/>
        </w:rPr>
      </w:pPr>
    </w:p>
    <w:p>
      <w:pPr>
        <w:adjustRightInd w:val="0"/>
        <w:snapToGrid w:val="0"/>
        <w:spacing w:line="580" w:lineRule="exact"/>
        <w:ind w:leftChars="200" w:left="420" w:firstLineChars="100" w:firstLine="320"/>
        <w:rPr>
          <w:rFonts w:ascii="仿宋_GB2312" w:eastAsia="仿宋_GB2312" w:cs="仿宋_GB2312" w:hAnsi="仿宋_GB2312"/>
          <w:sz w:val="32"/>
          <w:szCs w:val="32"/>
        </w:rPr>
      </w:pPr>
    </w:p>
    <w:tbl>
      <w:tblPr>
        <w:jc w:val="left"/>
        <w:tblInd w:w="-595" w:type="dxa"/>
        <w:tblW w:w="10865"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290"/>
        <w:gridCol w:w="1155"/>
        <w:gridCol w:w="1155"/>
        <w:gridCol w:w="1320"/>
        <w:gridCol w:w="1485"/>
        <w:gridCol w:w="1155"/>
        <w:gridCol w:w="1155"/>
        <w:gridCol w:w="2145"/>
      </w:tblGrid>
      <w:tr>
        <w:trPr>
          <w:trHeight w:val="509"/>
        </w:trPr>
        <w:tc>
          <w:tcPr>
            <w:tcW w:w="10860" w:type="dxa"/>
            <w:gridSpan w:val="8"/>
            <w:tcBorders>
              <w:top w:val="nil"/>
              <w:left w:val="nil"/>
              <w:bottom w:val="nil"/>
              <w:right w:val="nil"/>
              <w:tl2br w:val="nil"/>
              <w:tr2bl w:val="nil"/>
            </w:tcBorders>
            <w:noWrap/>
            <w:vAlign w:val="center"/>
          </w:tcPr>
          <w:p>
            <w:pPr>
              <w:jc w:val="center"/>
            </w:pPr>
            <w:r>
              <w:rPr>
                <w:rFonts w:ascii="宋体" w:eastAsia="宋体" w:cs="Arial"/>
                <w:b/>
                <w:i w:val="0"/>
                <w:color w:val="000000"/>
                <w:sz w:val="40"/>
              </w:rPr>
              <w:t>部门预算项目绩效自评表</w:t>
            </w:r>
          </w:p>
        </w:tc>
      </w:tr>
      <w:tr>
        <w:trPr>
          <w:trHeight w:val="344"/>
        </w:trPr>
        <w:tc>
          <w:tcPr>
            <w:tcW w:w="10860" w:type="dxa"/>
            <w:gridSpan w:val="8"/>
            <w:tcBorders>
              <w:top w:val="nil"/>
              <w:left w:val="nil"/>
              <w:bottom w:val="nil"/>
              <w:right w:val="nil"/>
              <w:tl2br w:val="nil"/>
              <w:tr2bl w:val="nil"/>
            </w:tcBorders>
            <w:noWrap/>
            <w:vAlign w:val="bottom"/>
          </w:tcPr>
          <w:p>
            <w:pPr>
              <w:jc w:val="center"/>
            </w:pPr>
            <w:r>
              <w:rPr>
                <w:rFonts w:ascii="宋体" w:eastAsia="宋体" w:cs="Arial"/>
                <w:color w:val="000000"/>
                <w:sz w:val="20"/>
              </w:rPr>
              <w:t>（  2022 年度）</w:t>
            </w:r>
          </w:p>
        </w:tc>
      </w:tr>
      <w:tr>
        <w:trPr>
          <w:trHeight w:val="434"/>
        </w:trPr>
        <w:tc>
          <w:tcPr>
            <w:tcW w:w="1290" w:type="dxa"/>
            <w:tcBorders>
              <w:top w:val="nil"/>
              <w:left w:val="nil"/>
              <w:bottom w:val="nil"/>
              <w:right w:val="nil"/>
              <w:tl2br w:val="nil"/>
              <w:tr2bl w:val="nil"/>
            </w:tcBorders>
            <w:noWrap/>
            <w:vAlign w:val="center"/>
          </w:tcPr>
          <w:p>
            <w:r>
              <w:rPr>
                <w:rFonts w:ascii="宋体" w:eastAsia="宋体" w:cs="Arial"/>
                <w:color w:val="000000"/>
                <w:sz w:val="16"/>
              </w:rPr>
              <w:t>填报单位：</w:t>
            </w:r>
          </w:p>
        </w:tc>
        <w:tc>
          <w:tcPr>
            <w:tcW w:w="1155" w:type="dxa"/>
            <w:tcBorders>
              <w:top w:val="nil"/>
              <w:left w:val="nil"/>
              <w:bottom w:val="nil"/>
              <w:right w:val="nil"/>
              <w:tl2br w:val="nil"/>
              <w:tr2bl w:val="nil"/>
            </w:tcBorders>
            <w:noWrap/>
            <w:vAlign w:val="center"/>
          </w:tcPr>
          <w:p>
            <w:pPr>
              <w:jc w:val="center"/>
            </w:pPr>
            <w:r>
              <w:rPr>
                <w:rFonts w:ascii="宋体" w:eastAsia="宋体" w:cs="Arial"/>
                <w:color w:val="000000"/>
                <w:sz w:val="16"/>
              </w:rPr>
              <w:t>丰南农广校</w:t>
            </w:r>
          </w:p>
        </w:tc>
        <w:tc>
          <w:tcPr>
            <w:tcW w:w="1155" w:type="dxa"/>
            <w:tcBorders>
              <w:top w:val="nil"/>
              <w:left w:val="nil"/>
              <w:bottom w:val="nil"/>
              <w:right w:val="nil"/>
              <w:tl2br w:val="nil"/>
              <w:tr2bl w:val="nil"/>
            </w:tcBorders>
            <w:noWrap/>
            <w:vAlign w:val="center"/>
          </w:tcPr>
          <w:p>
            <w:pPr>
              <w:jc w:val="center"/>
            </w:pPr>
          </w:p>
        </w:tc>
        <w:tc>
          <w:tcPr>
            <w:tcW w:w="1320" w:type="dxa"/>
            <w:tcBorders>
              <w:top w:val="nil"/>
              <w:left w:val="nil"/>
              <w:bottom w:val="nil"/>
              <w:right w:val="nil"/>
              <w:tl2br w:val="nil"/>
              <w:tr2bl w:val="nil"/>
            </w:tcBorders>
            <w:noWrap/>
            <w:vAlign w:val="center"/>
          </w:tcPr>
          <w:p>
            <w:pPr>
              <w:jc w:val="center"/>
            </w:pPr>
          </w:p>
        </w:tc>
        <w:tc>
          <w:tcPr>
            <w:tcW w:w="1485" w:type="dxa"/>
            <w:tcBorders>
              <w:top w:val="nil"/>
              <w:left w:val="nil"/>
              <w:bottom w:val="nil"/>
              <w:right w:val="nil"/>
              <w:tl2br w:val="nil"/>
              <w:tr2bl w:val="nil"/>
            </w:tcBorders>
            <w:noWrap/>
            <w:vAlign w:val="center"/>
          </w:tcPr>
          <w:p>
            <w:pPr>
              <w:jc w:val="center"/>
            </w:pPr>
          </w:p>
        </w:tc>
        <w:tc>
          <w:tcPr>
            <w:tcW w:w="1155" w:type="dxa"/>
            <w:tcBorders>
              <w:top w:val="nil"/>
              <w:left w:val="nil"/>
              <w:bottom w:val="nil"/>
              <w:right w:val="nil"/>
              <w:tl2br w:val="nil"/>
              <w:tr2bl w:val="nil"/>
            </w:tcBorders>
            <w:noWrap/>
            <w:vAlign w:val="center"/>
          </w:tcPr>
          <w:p>
            <w:pPr>
              <w:jc w:val="center"/>
            </w:pPr>
          </w:p>
        </w:tc>
        <w:tc>
          <w:tcPr>
            <w:tcW w:w="1155" w:type="dxa"/>
            <w:tcBorders>
              <w:top w:val="nil"/>
              <w:left w:val="nil"/>
              <w:bottom w:val="nil"/>
              <w:right w:val="nil"/>
              <w:tl2br w:val="nil"/>
              <w:tr2bl w:val="nil"/>
            </w:tcBorders>
            <w:noWrap/>
            <w:vAlign w:val="center"/>
          </w:tcPr>
          <w:p>
            <w:pPr>
              <w:jc w:val="center"/>
            </w:pPr>
          </w:p>
        </w:tc>
        <w:tc>
          <w:tcPr>
            <w:tcW w:w="2145" w:type="dxa"/>
            <w:tcBorders>
              <w:top w:val="nil"/>
              <w:left w:val="nil"/>
              <w:bottom w:val="nil"/>
              <w:right w:val="nil"/>
              <w:tl2br w:val="nil"/>
              <w:tr2bl w:val="nil"/>
            </w:tcBorders>
            <w:noWrap/>
            <w:vAlign w:val="center"/>
          </w:tcPr>
          <w:p>
            <w:pPr>
              <w:jc w:val="center"/>
            </w:pPr>
            <w:r>
              <w:rPr>
                <w:rFonts w:ascii="宋体" w:eastAsia="宋体" w:cs="Arial"/>
                <w:color w:val="000000"/>
                <w:sz w:val="16"/>
              </w:rPr>
              <w:t>金额单位：万元</w:t>
            </w:r>
          </w:p>
        </w:tc>
      </w:tr>
      <w:tr>
        <w:trPr>
          <w:trHeight w:val="494"/>
        </w:trPr>
        <w:tc>
          <w:tcPr>
            <w:tcW w:w="1290" w:type="dxa"/>
            <w:tcBorders>
              <w:top w:val="single" w:sz="6" w:space="0" w:color="000000"/>
              <w:left w:val="single" w:sz="6" w:space="0" w:color="000000"/>
              <w:bottom w:val="nil"/>
              <w:right w:val="single" w:sz="6" w:space="0" w:color="000000"/>
              <w:tl2br w:val="nil"/>
              <w:tr2bl w:val="nil"/>
            </w:tcBorders>
            <w:noWrap/>
            <w:vAlign w:val="center"/>
          </w:tcPr>
          <w:p>
            <w:r>
              <w:rPr>
                <w:rFonts w:ascii="宋体" w:eastAsia="宋体"/>
                <w:strike w:val="0"/>
                <w:dstrike w:val="0"/>
                <w:color w:val="000000"/>
                <w:sz w:val="16"/>
              </w:rPr>
              <w:t>一、</w:t>
            </w:r>
            <w:r>
              <w:rPr>
                <w:rFonts w:ascii="Calibri" w:hAnsi="Calibri"/>
                <w:strike w:val="0"/>
                <w:dstrike w:val="0"/>
                <w:color w:val="000000"/>
                <w:sz w:val="16"/>
              </w:rPr>
              <w:t> </w:t>
            </w:r>
            <w:r>
              <w:rPr>
                <w:rFonts w:ascii="宋体" w:eastAsia="宋体"/>
                <w:strike w:val="0"/>
                <w:dstrike w:val="0"/>
                <w:color w:val="000000"/>
                <w:sz w:val="16"/>
              </w:rPr>
              <w:t>基本情况</w:t>
            </w: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项目名称</w:t>
            </w:r>
          </w:p>
        </w:tc>
        <w:tc>
          <w:tcPr>
            <w:tcW w:w="247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6"/>
              </w:rPr>
              <w:t>学历教育管理资金</w:t>
            </w:r>
          </w:p>
        </w:tc>
        <w:tc>
          <w:tcPr>
            <w:tcW w:w="148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实施(主管）单位</w:t>
            </w:r>
          </w:p>
        </w:tc>
        <w:tc>
          <w:tcPr>
            <w:tcW w:w="4455"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河北省农业广播电视学校丰南分校</w:t>
            </w:r>
          </w:p>
        </w:tc>
      </w:tr>
      <w:tr>
        <w:trPr>
          <w:trHeight w:val="404"/>
        </w:trPr>
        <w:tc>
          <w:tcPr>
            <w:tcW w:w="1290" w:type="dxa"/>
            <w:vMerge w:val="restart"/>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二、预算执行情况</w:t>
            </w:r>
          </w:p>
        </w:tc>
        <w:tc>
          <w:tcPr>
            <w:tcW w:w="2310"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预算安排情况（调整后）</w:t>
            </w:r>
          </w:p>
        </w:tc>
        <w:tc>
          <w:tcPr>
            <w:tcW w:w="280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资金到位情况</w:t>
            </w:r>
          </w:p>
        </w:tc>
        <w:tc>
          <w:tcPr>
            <w:tcW w:w="2310"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资金执行情况</w:t>
            </w:r>
          </w:p>
        </w:tc>
        <w:tc>
          <w:tcPr>
            <w:tcW w:w="214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预算执行进度</w:t>
            </w:r>
          </w:p>
        </w:tc>
      </w:tr>
      <w:tr>
        <w:trPr>
          <w:trHeight w:val="404"/>
        </w:trPr>
        <w:tc>
          <w:tcPr>
            <w:tcW w:w="1290" w:type="dxa"/>
            <w:vMerge/>
            <w:tcBorders>
              <w:top w:val="nil"/>
              <w:left w:val="single" w:sz="6" w:space="0" w:color="000000"/>
              <w:bottom w:val="nil"/>
              <w:right w:val="single" w:sz="6" w:space="0" w:color="000000"/>
              <w:tl2br w:val="nil"/>
              <w:tr2bl w:val="nil"/>
            </w:tcBorders>
            <w:noWrap/>
            <w:vAlign w:val="center"/>
          </w:tcP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预算数：</w:t>
            </w: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90.9</w:t>
            </w:r>
          </w:p>
        </w:tc>
        <w:tc>
          <w:tcPr>
            <w:tcW w:w="1320" w:type="dxa"/>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到位数：</w:t>
            </w:r>
          </w:p>
        </w:tc>
        <w:tc>
          <w:tcPr>
            <w:tcW w:w="148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90.9</w:t>
            </w: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执行数：</w:t>
            </w: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67.75</w:t>
            </w:r>
          </w:p>
        </w:tc>
        <w:tc>
          <w:tcPr>
            <w:tcW w:w="2145" w:type="dxa"/>
            <w:vMerge w:val="restart"/>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74.53%</w:t>
            </w:r>
          </w:p>
        </w:tc>
      </w:tr>
      <w:tr>
        <w:trPr>
          <w:trHeight w:val="404"/>
        </w:trPr>
        <w:tc>
          <w:tcPr>
            <w:tcW w:w="1290" w:type="dxa"/>
            <w:vMerge/>
            <w:tcBorders>
              <w:top w:val="nil"/>
              <w:left w:val="single" w:sz="6" w:space="0" w:color="000000"/>
              <w:bottom w:val="nil"/>
              <w:right w:val="single" w:sz="6" w:space="0" w:color="000000"/>
              <w:tl2br w:val="nil"/>
              <w:tr2bl w:val="nil"/>
            </w:tcBorders>
            <w:noWrap/>
            <w:vAlign w:val="center"/>
          </w:tcP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其中：财政资金</w:t>
            </w: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90.9</w:t>
            </w:r>
          </w:p>
        </w:tc>
        <w:tc>
          <w:tcPr>
            <w:tcW w:w="1320"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其中：财政资金</w:t>
            </w:r>
          </w:p>
        </w:tc>
        <w:tc>
          <w:tcPr>
            <w:tcW w:w="148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90.9</w:t>
            </w: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其中：财政资金</w:t>
            </w: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67.75</w:t>
            </w:r>
          </w:p>
        </w:tc>
        <w:tc>
          <w:tcPr>
            <w:tcW w:w="2145" w:type="dxa"/>
            <w:vMerge/>
            <w:tcBorders>
              <w:top w:val="nil"/>
              <w:left w:val="single" w:sz="6" w:space="0" w:color="000000"/>
              <w:bottom w:val="nil"/>
              <w:right w:val="single" w:sz="6" w:space="0" w:color="000000"/>
              <w:tl2br w:val="nil"/>
              <w:tr2bl w:val="nil"/>
            </w:tcBorders>
            <w:noWrap/>
            <w:vAlign w:val="center"/>
          </w:tcPr>
          <w:p/>
        </w:tc>
      </w:tr>
      <w:tr>
        <w:trPr>
          <w:trHeight w:val="404"/>
        </w:trPr>
        <w:tc>
          <w:tcPr>
            <w:tcW w:w="1290" w:type="dxa"/>
            <w:vMerge/>
            <w:tcBorders>
              <w:top w:val="nil"/>
              <w:left w:val="single" w:sz="6" w:space="0" w:color="000000"/>
              <w:bottom w:val="single" w:sz="6" w:space="0" w:color="000000"/>
              <w:right w:val="single" w:sz="6" w:space="0" w:color="000000"/>
              <w:tl2br w:val="nil"/>
              <w:tr2bl w:val="nil"/>
            </w:tcBorders>
            <w:noWrap/>
            <w:vAlign w:val="center"/>
          </w:tcP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其他</w:t>
            </w: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tc>
        <w:tc>
          <w:tcPr>
            <w:tcW w:w="1320"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其他</w:t>
            </w:r>
          </w:p>
        </w:tc>
        <w:tc>
          <w:tcPr>
            <w:tcW w:w="1485" w:type="dxa"/>
            <w:tcBorders>
              <w:top w:val="single" w:sz="6" w:space="0" w:color="000000"/>
              <w:left w:val="single" w:sz="6" w:space="0" w:color="000000"/>
              <w:bottom w:val="single" w:sz="6" w:space="0" w:color="000000"/>
              <w:right w:val="single" w:sz="6" w:space="0" w:color="000000"/>
              <w:tl2br w:val="nil"/>
              <w:tr2bl w:val="nil"/>
            </w:tcBorders>
            <w:noWrap/>
            <w:vAlign w:val="center"/>
          </w:tcP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其他</w:t>
            </w: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tc>
        <w:tc>
          <w:tcPr>
            <w:tcW w:w="2145" w:type="dxa"/>
            <w:vMerge/>
            <w:tcBorders>
              <w:top w:val="nil"/>
              <w:left w:val="single" w:sz="6" w:space="0" w:color="000000"/>
              <w:bottom w:val="single" w:sz="6" w:space="0" w:color="000000"/>
              <w:right w:val="single" w:sz="6" w:space="0" w:color="000000"/>
              <w:tl2br w:val="nil"/>
              <w:tr2bl w:val="nil"/>
            </w:tcBorders>
            <w:noWrap/>
            <w:vAlign w:val="center"/>
          </w:tcPr>
          <w:p/>
        </w:tc>
      </w:tr>
      <w:tr>
        <w:trPr>
          <w:trHeight w:val="404"/>
        </w:trPr>
        <w:tc>
          <w:tcPr>
            <w:tcW w:w="1290" w:type="dxa"/>
            <w:vMerge w:val="restart"/>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三、目标完成情况</w:t>
            </w:r>
          </w:p>
        </w:tc>
        <w:tc>
          <w:tcPr>
            <w:tcW w:w="3630"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年度预期目标</w:t>
            </w:r>
          </w:p>
        </w:tc>
        <w:tc>
          <w:tcPr>
            <w:tcW w:w="3795"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具体完成情况</w:t>
            </w:r>
          </w:p>
        </w:tc>
        <w:tc>
          <w:tcPr>
            <w:tcW w:w="214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总体完成率</w:t>
            </w:r>
          </w:p>
        </w:tc>
      </w:tr>
      <w:tr>
        <w:trPr>
          <w:trHeight w:val="1214"/>
        </w:trPr>
        <w:tc>
          <w:tcPr>
            <w:tcW w:w="1290" w:type="dxa"/>
            <w:vMerge/>
            <w:tcBorders>
              <w:top w:val="nil"/>
              <w:left w:val="single" w:sz="6" w:space="0" w:color="000000"/>
              <w:bottom w:val="single" w:sz="6" w:space="0" w:color="000000"/>
              <w:right w:val="single" w:sz="6" w:space="0" w:color="000000"/>
              <w:tl2br w:val="nil"/>
              <w:tr2bl w:val="nil"/>
            </w:tcBorders>
            <w:noWrap/>
            <w:vAlign w:val="center"/>
          </w:tcPr>
          <w:p/>
        </w:tc>
        <w:tc>
          <w:tcPr>
            <w:tcW w:w="3630"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保障教学、办公正常运转，完成全年招生计划</w:t>
            </w:r>
          </w:p>
        </w:tc>
        <w:tc>
          <w:tcPr>
            <w:tcW w:w="3795"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有效保障了校内办公设施正常使用，各项工作任务顺利开展，超额完成全年招生计划。</w:t>
            </w:r>
          </w:p>
        </w:tc>
        <w:tc>
          <w:tcPr>
            <w:tcW w:w="214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100%</w:t>
            </w:r>
          </w:p>
        </w:tc>
      </w:tr>
      <w:tr>
        <w:trPr>
          <w:trHeight w:val="404"/>
        </w:trPr>
        <w:tc>
          <w:tcPr>
            <w:tcW w:w="1290" w:type="dxa"/>
            <w:vMerge w:val="restart"/>
            <w:tcBorders>
              <w:top w:val="single" w:sz="6" w:space="0" w:color="000000"/>
              <w:left w:val="single" w:sz="6" w:space="0" w:color="auto"/>
              <w:bottom w:val="nil"/>
              <w:right w:val="nil"/>
              <w:tl2br w:val="nil"/>
              <w:tr2bl w:val="nil"/>
            </w:tcBorders>
            <w:noWrap/>
            <w:vAlign w:val="center"/>
          </w:tcPr>
          <w:p>
            <w:pPr>
              <w:jc w:val="center"/>
            </w:pPr>
            <w:r>
              <w:rPr>
                <w:rFonts w:ascii="宋体" w:eastAsia="宋体"/>
                <w:strike w:val="0"/>
                <w:dstrike w:val="0"/>
                <w:color w:val="000000"/>
                <w:sz w:val="16"/>
              </w:rPr>
              <w:t>四、</w:t>
            </w:r>
            <w:r>
              <w:rPr>
                <w:rFonts w:ascii="Calibri" w:hAnsi="Calibri"/>
                <w:strike w:val="0"/>
                <w:dstrike w:val="0"/>
                <w:color w:val="000000"/>
                <w:sz w:val="16"/>
              </w:rPr>
              <w:t> </w:t>
            </w:r>
            <w:r>
              <w:rPr>
                <w:rFonts w:ascii="宋体" w:eastAsia="宋体"/>
                <w:strike w:val="0"/>
                <w:dstrike w:val="0"/>
                <w:color w:val="000000"/>
                <w:sz w:val="16"/>
              </w:rPr>
              <w:t>年度绩效指标完成情况</w:t>
            </w:r>
          </w:p>
        </w:tc>
        <w:tc>
          <w:tcPr>
            <w:tcW w:w="1155" w:type="dxa"/>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一级指标</w:t>
            </w: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二级指标</w:t>
            </w:r>
          </w:p>
        </w:tc>
        <w:tc>
          <w:tcPr>
            <w:tcW w:w="280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三级指标</w:t>
            </w:r>
          </w:p>
        </w:tc>
        <w:tc>
          <w:tcPr>
            <w:tcW w:w="1155" w:type="dxa"/>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预期指标值</w:t>
            </w:r>
          </w:p>
        </w:tc>
        <w:tc>
          <w:tcPr>
            <w:tcW w:w="1155" w:type="dxa"/>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实际完成值</w:t>
            </w:r>
          </w:p>
        </w:tc>
        <w:tc>
          <w:tcPr>
            <w:tcW w:w="214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自评得分</w:t>
            </w:r>
          </w:p>
        </w:tc>
      </w:tr>
      <w:tr>
        <w:trPr>
          <w:trHeight w:val="404"/>
        </w:trPr>
        <w:tc>
          <w:tcPr>
            <w:tcW w:w="1290" w:type="dxa"/>
            <w:vMerge/>
            <w:tcBorders>
              <w:top w:val="nil"/>
              <w:left w:val="single" w:sz="6" w:space="0" w:color="auto"/>
              <w:bottom w:val="nil"/>
              <w:right w:val="nil"/>
              <w:tl2br w:val="nil"/>
              <w:tr2bl w:val="nil"/>
            </w:tcBorders>
            <w:noWrap/>
            <w:vAlign w:val="center"/>
          </w:tcPr>
          <w:p/>
        </w:tc>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6"/>
              </w:rPr>
              <w:t>产出指标（50）</w:t>
            </w:r>
          </w:p>
        </w:tc>
        <w:tc>
          <w:tcPr>
            <w:tcW w:w="1155" w:type="dxa"/>
            <w:vMerge w:val="restart"/>
            <w:tcBorders>
              <w:top w:val="single" w:sz="6" w:space="0" w:color="000000"/>
              <w:left w:val="nil"/>
              <w:bottom w:val="nil"/>
              <w:right w:val="single" w:sz="6" w:space="0" w:color="000000"/>
              <w:tl2br w:val="nil"/>
              <w:tr2bl w:val="nil"/>
            </w:tcBorders>
            <w:noWrap/>
            <w:vAlign w:val="center"/>
          </w:tcPr>
          <w:p>
            <w:pPr>
              <w:jc w:val="center"/>
            </w:pPr>
            <w:r>
              <w:rPr>
                <w:rFonts w:ascii="宋体" w:eastAsia="宋体" w:cs="Arial"/>
                <w:color w:val="000000"/>
                <w:sz w:val="16"/>
              </w:rPr>
              <w:t>数量指标</w:t>
            </w:r>
          </w:p>
        </w:tc>
        <w:tc>
          <w:tcPr>
            <w:tcW w:w="2805" w:type="dxa"/>
            <w:gridSpan w:val="2"/>
            <w:tcBorders>
              <w:top w:val="single" w:sz="6" w:space="0" w:color="000000"/>
              <w:left w:val="single" w:sz="6" w:space="0" w:color="000000"/>
              <w:bottom w:val="single" w:sz="6" w:space="0" w:color="000000"/>
              <w:right w:val="nil"/>
              <w:tl2br w:val="nil"/>
              <w:tr2bl w:val="nil"/>
            </w:tcBorders>
            <w:noWrap/>
            <w:vAlign w:val="center"/>
          </w:tcPr>
          <w:p>
            <w:r>
              <w:rPr>
                <w:rFonts w:ascii="宋体" w:eastAsia="宋体" w:cs="Arial"/>
                <w:color w:val="000000"/>
                <w:sz w:val="16"/>
              </w:rPr>
              <w:t>招生指标完成率（10）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2145" w:type="dxa"/>
            <w:tcBorders>
              <w:top w:val="single" w:sz="6" w:space="0" w:color="000000"/>
              <w:left w:val="nil"/>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10</w:t>
            </w:r>
          </w:p>
        </w:tc>
      </w:tr>
      <w:tr>
        <w:trPr>
          <w:trHeight w:val="404"/>
        </w:trPr>
        <w:tc>
          <w:tcPr>
            <w:tcW w:w="1290" w:type="dxa"/>
            <w:vMerge/>
            <w:tcBorders>
              <w:top w:val="nil"/>
              <w:left w:val="single" w:sz="6" w:space="0" w:color="auto"/>
              <w:bottom w:val="nil"/>
              <w:right w:val="nil"/>
              <w:tl2br w:val="nil"/>
              <w:tr2bl w:val="nil"/>
            </w:tcBorders>
            <w:noWrap/>
            <w:vAlign w:val="center"/>
          </w:tcPr>
          <w:p/>
        </w:tc>
        <w:tc>
          <w:tcPr>
            <w:tcW w:w="1155"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155" w:type="dxa"/>
            <w:vMerge/>
            <w:tcBorders>
              <w:top w:val="nil"/>
              <w:left w:val="nil"/>
              <w:bottom w:val="nil"/>
              <w:right w:val="single" w:sz="6" w:space="0" w:color="000000"/>
              <w:tl2br w:val="nil"/>
              <w:tr2bl w:val="nil"/>
            </w:tcBorders>
            <w:noWrap/>
            <w:vAlign w:val="center"/>
          </w:tcPr>
          <w:p/>
        </w:tc>
        <w:tc>
          <w:tcPr>
            <w:tcW w:w="2805" w:type="dxa"/>
            <w:gridSpan w:val="2"/>
            <w:tcBorders>
              <w:top w:val="single" w:sz="6" w:space="0" w:color="000000"/>
              <w:left w:val="single" w:sz="6" w:space="0" w:color="000000"/>
              <w:bottom w:val="single" w:sz="6" w:space="0" w:color="000000"/>
              <w:right w:val="nil"/>
              <w:tl2br w:val="nil"/>
              <w:tr2bl w:val="nil"/>
            </w:tcBorders>
            <w:noWrap/>
            <w:vAlign w:val="center"/>
          </w:tcPr>
          <w:p>
            <w:r>
              <w:rPr>
                <w:rFonts w:ascii="宋体" w:eastAsia="宋体" w:cs="Arial"/>
                <w:color w:val="000000"/>
                <w:sz w:val="16"/>
              </w:rPr>
              <w:t>特色教学百分比（5）</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≥20%</w:t>
            </w:r>
          </w:p>
        </w:tc>
        <w:tc>
          <w:tcPr>
            <w:tcW w:w="1155" w:type="dxa"/>
            <w:tcBorders>
              <w:top w:val="nil"/>
              <w:left w:val="nil"/>
              <w:bottom w:val="nil"/>
              <w:right w:val="nil"/>
              <w:tl2br w:val="nil"/>
              <w:tr2bl w:val="nil"/>
            </w:tcBorders>
            <w:noWrap/>
            <w:vAlign w:val="center"/>
          </w:tcPr>
          <w:p>
            <w:r>
              <w:rPr>
                <w:rFonts w:ascii="宋体" w:eastAsia="宋体" w:cs="Arial"/>
                <w:color w:val="000000"/>
                <w:sz w:val="18"/>
              </w:rPr>
              <w:t>≥20%</w:t>
            </w:r>
          </w:p>
        </w:tc>
        <w:tc>
          <w:tcPr>
            <w:tcW w:w="214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5</w:t>
            </w:r>
          </w:p>
        </w:tc>
      </w:tr>
      <w:tr>
        <w:trPr>
          <w:trHeight w:val="404"/>
        </w:trPr>
        <w:tc>
          <w:tcPr>
            <w:tcW w:w="1290" w:type="dxa"/>
            <w:vMerge/>
            <w:tcBorders>
              <w:top w:val="nil"/>
              <w:left w:val="single" w:sz="6" w:space="0" w:color="auto"/>
              <w:bottom w:val="nil"/>
              <w:right w:val="nil"/>
              <w:tl2br w:val="nil"/>
              <w:tr2bl w:val="nil"/>
            </w:tcBorders>
            <w:noWrap/>
            <w:vAlign w:val="center"/>
          </w:tcPr>
          <w:p/>
        </w:tc>
        <w:tc>
          <w:tcPr>
            <w:tcW w:w="1155"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155" w:type="dxa"/>
            <w:vMerge/>
            <w:tcBorders>
              <w:top w:val="nil"/>
              <w:left w:val="nil"/>
              <w:bottom w:val="single" w:sz="6" w:space="0" w:color="000000"/>
              <w:right w:val="single" w:sz="6" w:space="0" w:color="000000"/>
              <w:tl2br w:val="nil"/>
              <w:tr2bl w:val="nil"/>
            </w:tcBorders>
            <w:noWrap/>
            <w:vAlign w:val="center"/>
          </w:tcPr>
          <w:p/>
        </w:tc>
        <w:tc>
          <w:tcPr>
            <w:tcW w:w="280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培训、轮训完成率（5）</w:t>
            </w:r>
          </w:p>
        </w:tc>
        <w:tc>
          <w:tcPr>
            <w:tcW w:w="1155" w:type="dxa"/>
            <w:tcBorders>
              <w:top w:val="nil"/>
              <w:left w:val="nil"/>
              <w:bottom w:val="nil"/>
              <w:right w:val="nil"/>
              <w:tl2br w:val="nil"/>
              <w:tr2bl w:val="nil"/>
            </w:tcBorders>
            <w:noWrap/>
            <w:vAlign w:val="center"/>
          </w:tcPr>
          <w:p>
            <w:r>
              <w:rPr>
                <w:rFonts w:ascii="宋体" w:eastAsia="宋体" w:cs="Arial"/>
                <w:color w:val="000000"/>
                <w:sz w:val="18"/>
              </w:rPr>
              <w:t>≥100%</w:t>
            </w:r>
          </w:p>
        </w:tc>
        <w:tc>
          <w:tcPr>
            <w:tcW w:w="1155" w:type="dxa"/>
            <w:tcBorders>
              <w:top w:val="nil"/>
              <w:left w:val="nil"/>
              <w:bottom w:val="nil"/>
              <w:right w:val="nil"/>
              <w:tl2br w:val="nil"/>
              <w:tr2bl w:val="nil"/>
            </w:tcBorders>
            <w:noWrap/>
            <w:vAlign w:val="center"/>
          </w:tcPr>
          <w:p>
            <w:r>
              <w:rPr>
                <w:rFonts w:ascii="宋体" w:eastAsia="宋体" w:cs="Arial"/>
                <w:color w:val="000000"/>
                <w:sz w:val="18"/>
              </w:rPr>
              <w:t>≥100%</w:t>
            </w:r>
          </w:p>
        </w:tc>
        <w:tc>
          <w:tcPr>
            <w:tcW w:w="214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5</w:t>
            </w:r>
          </w:p>
        </w:tc>
      </w:tr>
      <w:tr>
        <w:trPr>
          <w:trHeight w:val="404"/>
        </w:trPr>
        <w:tc>
          <w:tcPr>
            <w:tcW w:w="1290" w:type="dxa"/>
            <w:vMerge/>
            <w:tcBorders>
              <w:top w:val="nil"/>
              <w:left w:val="single" w:sz="6" w:space="0" w:color="auto"/>
              <w:bottom w:val="nil"/>
              <w:right w:val="nil"/>
              <w:tl2br w:val="nil"/>
              <w:tr2bl w:val="nil"/>
            </w:tcBorders>
            <w:noWrap/>
            <w:vAlign w:val="center"/>
          </w:tcPr>
          <w:p/>
        </w:tc>
        <w:tc>
          <w:tcPr>
            <w:tcW w:w="1155"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155" w:type="dxa"/>
            <w:vMerge w:val="restart"/>
            <w:tcBorders>
              <w:top w:val="single" w:sz="6" w:space="0" w:color="000000"/>
              <w:left w:val="nil"/>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质量指标</w:t>
            </w:r>
          </w:p>
        </w:tc>
        <w:tc>
          <w:tcPr>
            <w:tcW w:w="280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学生毕业率（10）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214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10</w:t>
            </w:r>
          </w:p>
        </w:tc>
      </w:tr>
      <w:tr>
        <w:trPr>
          <w:trHeight w:val="404"/>
        </w:trPr>
        <w:tc>
          <w:tcPr>
            <w:tcW w:w="1290" w:type="dxa"/>
            <w:vMerge/>
            <w:tcBorders>
              <w:top w:val="nil"/>
              <w:left w:val="single" w:sz="6" w:space="0" w:color="auto"/>
              <w:bottom w:val="nil"/>
              <w:right w:val="nil"/>
              <w:tl2br w:val="nil"/>
              <w:tr2bl w:val="nil"/>
            </w:tcBorders>
            <w:noWrap/>
            <w:vAlign w:val="center"/>
          </w:tcPr>
          <w:p/>
        </w:tc>
        <w:tc>
          <w:tcPr>
            <w:tcW w:w="1155"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155" w:type="dxa"/>
            <w:vMerge/>
            <w:tcBorders>
              <w:top w:val="single" w:sz="6" w:space="0" w:color="000000"/>
              <w:left w:val="nil"/>
              <w:bottom w:val="single" w:sz="6" w:space="0" w:color="000000"/>
              <w:right w:val="single" w:sz="6" w:space="0" w:color="000000"/>
              <w:tl2br w:val="nil"/>
              <w:tr2bl w:val="nil"/>
            </w:tcBorders>
            <w:noWrap/>
            <w:vAlign w:val="center"/>
          </w:tcPr>
          <w:p/>
        </w:tc>
        <w:tc>
          <w:tcPr>
            <w:tcW w:w="280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教师培训合格率（5）</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214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5</w:t>
            </w:r>
          </w:p>
        </w:tc>
      </w:tr>
      <w:tr>
        <w:trPr>
          <w:trHeight w:val="404"/>
        </w:trPr>
        <w:tc>
          <w:tcPr>
            <w:tcW w:w="1290" w:type="dxa"/>
            <w:vMerge/>
            <w:tcBorders>
              <w:top w:val="nil"/>
              <w:left w:val="single" w:sz="6" w:space="0" w:color="auto"/>
              <w:bottom w:val="nil"/>
              <w:right w:val="nil"/>
              <w:tl2br w:val="nil"/>
              <w:tr2bl w:val="nil"/>
            </w:tcBorders>
            <w:noWrap/>
            <w:vAlign w:val="center"/>
          </w:tcPr>
          <w:p/>
        </w:tc>
        <w:tc>
          <w:tcPr>
            <w:tcW w:w="1155"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155" w:type="dxa"/>
            <w:vMerge w:val="restart"/>
            <w:tcBorders>
              <w:top w:val="single" w:sz="6" w:space="0" w:color="000000"/>
              <w:left w:val="nil"/>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时效指标</w:t>
            </w:r>
          </w:p>
        </w:tc>
        <w:tc>
          <w:tcPr>
            <w:tcW w:w="280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学生到课率（5）</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214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5</w:t>
            </w:r>
          </w:p>
        </w:tc>
      </w:tr>
      <w:tr>
        <w:trPr>
          <w:trHeight w:val="404"/>
        </w:trPr>
        <w:tc>
          <w:tcPr>
            <w:tcW w:w="1290" w:type="dxa"/>
            <w:vMerge/>
            <w:tcBorders>
              <w:top w:val="nil"/>
              <w:left w:val="single" w:sz="6" w:space="0" w:color="auto"/>
              <w:bottom w:val="nil"/>
              <w:right w:val="nil"/>
              <w:tl2br w:val="nil"/>
              <w:tr2bl w:val="nil"/>
            </w:tcBorders>
            <w:noWrap/>
            <w:vAlign w:val="center"/>
          </w:tcPr>
          <w:p/>
        </w:tc>
        <w:tc>
          <w:tcPr>
            <w:tcW w:w="1155"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155" w:type="dxa"/>
            <w:vMerge/>
            <w:tcBorders>
              <w:top w:val="single" w:sz="6" w:space="0" w:color="000000"/>
              <w:left w:val="nil"/>
              <w:bottom w:val="single" w:sz="6" w:space="0" w:color="000000"/>
              <w:right w:val="single" w:sz="6" w:space="0" w:color="000000"/>
              <w:tl2br w:val="nil"/>
              <w:tr2bl w:val="nil"/>
            </w:tcBorders>
            <w:noWrap/>
            <w:vAlign w:val="center"/>
          </w:tcPr>
          <w:p/>
        </w:tc>
        <w:tc>
          <w:tcPr>
            <w:tcW w:w="280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新生报到注册率（10）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214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10</w:t>
            </w:r>
          </w:p>
        </w:tc>
      </w:tr>
      <w:tr>
        <w:trPr>
          <w:trHeight w:val="404"/>
        </w:trPr>
        <w:tc>
          <w:tcPr>
            <w:tcW w:w="1290" w:type="dxa"/>
            <w:vMerge/>
            <w:tcBorders>
              <w:top w:val="nil"/>
              <w:left w:val="single" w:sz="6" w:space="0" w:color="auto"/>
              <w:bottom w:val="nil"/>
              <w:right w:val="nil"/>
              <w:tl2br w:val="nil"/>
              <w:tr2bl w:val="nil"/>
            </w:tcBorders>
            <w:noWrap/>
            <w:vAlign w:val="center"/>
          </w:tcPr>
          <w:p/>
        </w:tc>
        <w:tc>
          <w:tcPr>
            <w:tcW w:w="1155" w:type="dxa"/>
            <w:vMerge w:val="restart"/>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效益指标（30）</w:t>
            </w:r>
          </w:p>
        </w:tc>
        <w:tc>
          <w:tcPr>
            <w:tcW w:w="115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社会效益指标</w:t>
            </w:r>
          </w:p>
        </w:tc>
        <w:tc>
          <w:tcPr>
            <w:tcW w:w="280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招生宣传覆盖率（10）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214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10</w:t>
            </w:r>
          </w:p>
        </w:tc>
      </w:tr>
      <w:tr>
        <w:trPr>
          <w:trHeight w:val="404"/>
        </w:trPr>
        <w:tc>
          <w:tcPr>
            <w:tcW w:w="1290" w:type="dxa"/>
            <w:vMerge/>
            <w:tcBorders>
              <w:top w:val="nil"/>
              <w:left w:val="single" w:sz="6" w:space="0" w:color="auto"/>
              <w:bottom w:val="nil"/>
              <w:right w:val="nil"/>
              <w:tl2br w:val="nil"/>
              <w:tr2bl w:val="nil"/>
            </w:tcBorders>
            <w:noWrap/>
            <w:vAlign w:val="center"/>
          </w:tcPr>
          <w:p/>
        </w:tc>
        <w:tc>
          <w:tcPr>
            <w:tcW w:w="1155" w:type="dxa"/>
            <w:vMerge/>
            <w:tcBorders>
              <w:top w:val="nil"/>
              <w:left w:val="single" w:sz="6" w:space="0" w:color="000000"/>
              <w:bottom w:val="nil"/>
              <w:right w:val="single" w:sz="6" w:space="0" w:color="000000"/>
              <w:tl2br w:val="nil"/>
              <w:tr2bl w:val="nil"/>
            </w:tcBorders>
            <w:noWrap/>
            <w:vAlign w:val="center"/>
          </w:tcPr>
          <w:p/>
        </w:tc>
        <w:tc>
          <w:tcPr>
            <w:tcW w:w="1155" w:type="dxa"/>
            <w:vMerge/>
            <w:tcBorders>
              <w:top w:val="single" w:sz="6" w:space="0" w:color="000000"/>
              <w:left w:val="single" w:sz="6" w:space="0" w:color="000000"/>
              <w:bottom w:val="single" w:sz="6" w:space="0" w:color="000000"/>
              <w:right w:val="single" w:sz="6" w:space="0" w:color="000000"/>
              <w:tl2br w:val="nil"/>
              <w:tr2bl w:val="nil"/>
            </w:tcBorders>
            <w:noWrap/>
            <w:vAlign w:val="center"/>
          </w:tcPr>
          <w:p/>
        </w:tc>
        <w:tc>
          <w:tcPr>
            <w:tcW w:w="280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考试及格率（10）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214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10</w:t>
            </w:r>
          </w:p>
        </w:tc>
      </w:tr>
      <w:tr>
        <w:trPr>
          <w:trHeight w:val="404"/>
        </w:trPr>
        <w:tc>
          <w:tcPr>
            <w:tcW w:w="1290" w:type="dxa"/>
            <w:vMerge/>
            <w:tcBorders>
              <w:top w:val="nil"/>
              <w:left w:val="single" w:sz="6" w:space="0" w:color="auto"/>
              <w:bottom w:val="nil"/>
              <w:right w:val="nil"/>
              <w:tl2br w:val="nil"/>
              <w:tr2bl w:val="nil"/>
            </w:tcBorders>
            <w:noWrap/>
            <w:vAlign w:val="center"/>
          </w:tcPr>
          <w:p/>
        </w:tc>
        <w:tc>
          <w:tcPr>
            <w:tcW w:w="1155" w:type="dxa"/>
            <w:vMerge/>
            <w:tcBorders>
              <w:top w:val="nil"/>
              <w:left w:val="single" w:sz="6" w:space="0" w:color="000000"/>
              <w:bottom w:val="nil"/>
              <w:right w:val="single" w:sz="6" w:space="0" w:color="000000"/>
              <w:tl2br w:val="nil"/>
              <w:tr2bl w:val="nil"/>
            </w:tcBorders>
            <w:noWrap/>
            <w:vAlign w:val="center"/>
          </w:tcP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可持续影响指标</w:t>
            </w:r>
          </w:p>
        </w:tc>
        <w:tc>
          <w:tcPr>
            <w:tcW w:w="280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档案管理规范度（10）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214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10</w:t>
            </w:r>
          </w:p>
        </w:tc>
      </w:tr>
      <w:tr>
        <w:trPr>
          <w:trHeight w:val="404"/>
        </w:trPr>
        <w:tc>
          <w:tcPr>
            <w:tcW w:w="1290" w:type="dxa"/>
            <w:vMerge/>
            <w:tcBorders>
              <w:top w:val="nil"/>
              <w:left w:val="single" w:sz="6" w:space="0" w:color="auto"/>
              <w:bottom w:val="nil"/>
              <w:right w:val="nil"/>
              <w:tl2br w:val="nil"/>
              <w:tr2bl w:val="nil"/>
            </w:tcBorders>
            <w:noWrap/>
            <w:vAlign w:val="center"/>
          </w:tcPr>
          <w:p/>
        </w:tc>
        <w:tc>
          <w:tcPr>
            <w:tcW w:w="115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满意度指标（10）</w:t>
            </w:r>
          </w:p>
        </w:tc>
        <w:tc>
          <w:tcPr>
            <w:tcW w:w="115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满意度指标</w:t>
            </w:r>
          </w:p>
        </w:tc>
        <w:tc>
          <w:tcPr>
            <w:tcW w:w="280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学员满意度（5）</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2145" w:type="dxa"/>
            <w:tcBorders>
              <w:top w:val="single" w:sz="6" w:space="0" w:color="000000"/>
              <w:left w:val="nil"/>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4</w:t>
            </w:r>
          </w:p>
        </w:tc>
      </w:tr>
      <w:tr>
        <w:trPr>
          <w:trHeight w:val="404"/>
        </w:trPr>
        <w:tc>
          <w:tcPr>
            <w:tcW w:w="1290" w:type="dxa"/>
            <w:vMerge/>
            <w:tcBorders>
              <w:top w:val="nil"/>
              <w:left w:val="single" w:sz="6" w:space="0" w:color="auto"/>
              <w:bottom w:val="nil"/>
              <w:right w:val="nil"/>
              <w:tl2br w:val="nil"/>
              <w:tr2bl w:val="nil"/>
            </w:tcBorders>
            <w:noWrap/>
            <w:vAlign w:val="center"/>
          </w:tcPr>
          <w:p/>
        </w:tc>
        <w:tc>
          <w:tcPr>
            <w:tcW w:w="1155" w:type="dxa"/>
            <w:vMerge/>
            <w:tcBorders>
              <w:top w:val="single" w:sz="6" w:space="0" w:color="000000"/>
              <w:left w:val="single" w:sz="6" w:space="0" w:color="000000"/>
              <w:bottom w:val="single" w:sz="6" w:space="0" w:color="000000"/>
              <w:right w:val="single" w:sz="6" w:space="0" w:color="000000"/>
              <w:tl2br w:val="nil"/>
              <w:tr2bl w:val="nil"/>
            </w:tcBorders>
            <w:noWrap/>
            <w:vAlign w:val="center"/>
          </w:tcPr>
          <w:p/>
        </w:tc>
        <w:tc>
          <w:tcPr>
            <w:tcW w:w="1155" w:type="dxa"/>
            <w:vMerge/>
            <w:tcBorders>
              <w:top w:val="single" w:sz="6" w:space="0" w:color="000000"/>
              <w:left w:val="single" w:sz="6" w:space="0" w:color="000000"/>
              <w:bottom w:val="single" w:sz="6" w:space="0" w:color="000000"/>
              <w:right w:val="single" w:sz="6" w:space="0" w:color="000000"/>
              <w:tl2br w:val="nil"/>
              <w:tr2bl w:val="nil"/>
            </w:tcBorders>
            <w:noWrap/>
            <w:vAlign w:val="center"/>
          </w:tcPr>
          <w:p/>
        </w:tc>
        <w:tc>
          <w:tcPr>
            <w:tcW w:w="280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鉴定满意度（5）</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2145" w:type="dxa"/>
            <w:tcBorders>
              <w:top w:val="single" w:sz="6" w:space="0" w:color="000000"/>
              <w:left w:val="nil"/>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5</w:t>
            </w:r>
          </w:p>
        </w:tc>
      </w:tr>
      <w:tr>
        <w:trPr>
          <w:trHeight w:val="404"/>
        </w:trPr>
        <w:tc>
          <w:tcPr>
            <w:tcW w:w="1290" w:type="dxa"/>
            <w:vMerge/>
            <w:tcBorders>
              <w:top w:val="nil"/>
              <w:left w:val="single" w:sz="6" w:space="0" w:color="auto"/>
              <w:bottom w:val="nil"/>
              <w:right w:val="nil"/>
              <w:tl2br w:val="nil"/>
              <w:tr2bl w:val="nil"/>
            </w:tcBorders>
            <w:noWrap/>
            <w:vAlign w:val="center"/>
          </w:tc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6"/>
              </w:rPr>
              <w:t>预算执行率（10）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6"/>
              </w:rPr>
              <w:t>预算执行率</w:t>
            </w:r>
          </w:p>
        </w:tc>
        <w:tc>
          <w:tcPr>
            <w:tcW w:w="280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6"/>
              </w:rPr>
              <w:t>预算执行率</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214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Calibri" w:eastAsia="Calibri" w:cs="Arial" w:hAnsi="Calibri"/>
                <w:color w:val="000000"/>
                <w:sz w:val="21"/>
              </w:rPr>
              <w:t>7</w:t>
            </w:r>
          </w:p>
        </w:tc>
      </w:tr>
      <w:tr>
        <w:trPr>
          <w:trHeight w:val="404"/>
        </w:trPr>
        <w:tc>
          <w:tcPr>
            <w:tcW w:w="1290" w:type="dxa"/>
            <w:vMerge/>
            <w:tcBorders>
              <w:top w:val="nil"/>
              <w:left w:val="single" w:sz="6" w:space="0" w:color="auto"/>
              <w:bottom w:val="single" w:sz="6" w:space="0" w:color="auto"/>
              <w:right w:val="nil"/>
              <w:tl2br w:val="nil"/>
              <w:tr2bl w:val="nil"/>
            </w:tcBorders>
            <w:noWrap/>
            <w:vAlign w:val="center"/>
          </w:tcPr>
          <w:p/>
        </w:tc>
        <w:tc>
          <w:tcPr>
            <w:tcW w:w="7425" w:type="dxa"/>
            <w:gridSpan w:val="6"/>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6"/>
              </w:rPr>
              <w:t>总分</w:t>
            </w:r>
          </w:p>
        </w:tc>
        <w:tc>
          <w:tcPr>
            <w:tcW w:w="214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Calibri" w:eastAsia="Calibri" w:cs="Arial" w:hAnsi="Calibri"/>
                <w:color w:val="000000"/>
                <w:sz w:val="21"/>
              </w:rPr>
              <w:t>96</w:t>
            </w:r>
          </w:p>
        </w:tc>
      </w:tr>
      <w:tr>
        <w:trPr>
          <w:trHeight w:val="734"/>
        </w:trPr>
        <w:tc>
          <w:tcPr>
            <w:tcW w:w="1290" w:type="dxa"/>
            <w:tcBorders>
              <w:top w:val="nil"/>
              <w:left w:val="single" w:sz="6" w:space="0" w:color="000000"/>
              <w:bottom w:val="single" w:sz="6" w:space="0" w:color="000000"/>
              <w:right w:val="single" w:sz="6" w:space="0" w:color="000000"/>
              <w:tl2br w:val="nil"/>
              <w:tr2bl w:val="nil"/>
            </w:tcBorders>
            <w:noWrap/>
            <w:vAlign w:val="center"/>
          </w:tcPr>
          <w:p>
            <w:r>
              <w:rPr>
                <w:rFonts w:ascii="宋体" w:eastAsia="宋体"/>
                <w:strike w:val="0"/>
                <w:dstrike w:val="0"/>
                <w:color w:val="000000"/>
                <w:sz w:val="16"/>
              </w:rPr>
              <w:t>五、</w:t>
            </w:r>
            <w:r>
              <w:rPr>
                <w:rFonts w:ascii="Calibri" w:hAnsi="Calibri"/>
                <w:strike w:val="0"/>
                <w:dstrike w:val="0"/>
                <w:color w:val="000000"/>
                <w:sz w:val="16"/>
              </w:rPr>
              <w:t> </w:t>
            </w:r>
            <w:r>
              <w:rPr>
                <w:rFonts w:ascii="宋体" w:eastAsia="宋体"/>
                <w:strike w:val="0"/>
                <w:dstrike w:val="0"/>
                <w:color w:val="000000"/>
                <w:sz w:val="16"/>
              </w:rPr>
              <w:t>存在问题、原因及下一步整改措施</w:t>
            </w:r>
          </w:p>
        </w:tc>
        <w:tc>
          <w:tcPr>
            <w:tcW w:w="9570" w:type="dxa"/>
            <w:gridSpan w:val="7"/>
            <w:tcBorders>
              <w:top w:val="single" w:sz="6" w:space="0" w:color="auto"/>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存在问题：2022年因新冠肺炎疫情影响，预算执行率低；调查中学员对学校的满意度达90%以上，众口难调，没有做到全面兼顾。改进措施：提高服务质量，科学合理编制预算，做到精确化，明细化，争取学员满意度达100%。</w:t>
            </w:r>
          </w:p>
        </w:tc>
      </w:tr>
    </w:tbl>
    <w:p>
      <w:pPr>
        <w:adjustRightInd w:val="0"/>
        <w:snapToGrid w:val="0"/>
        <w:spacing w:line="580" w:lineRule="exact"/>
        <w:ind w:leftChars="200" w:left="420" w:firstLineChars="100" w:firstLine="320"/>
        <w:rPr>
          <w:rFonts w:ascii="仿宋_GB2312" w:eastAsia="仿宋_GB2312" w:cs="仿宋_GB2312" w:hAnsi="仿宋_GB2312"/>
          <w:sz w:val="32"/>
          <w:szCs w:val="32"/>
        </w:rPr>
      </w:pPr>
    </w:p>
    <w:tbl>
      <w:tblPr>
        <w:jc w:val="left"/>
        <w:tblInd w:w="-466" w:type="dxa"/>
        <w:tblW w:w="1043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290"/>
        <w:gridCol w:w="1485"/>
        <w:gridCol w:w="1155"/>
        <w:gridCol w:w="1320"/>
        <w:gridCol w:w="1170"/>
        <w:gridCol w:w="1380"/>
        <w:gridCol w:w="1155"/>
        <w:gridCol w:w="1470"/>
      </w:tblGrid>
      <w:tr>
        <w:trPr>
          <w:trHeight w:val="509"/>
        </w:trPr>
        <w:tc>
          <w:tcPr>
            <w:tcW w:w="10425" w:type="dxa"/>
            <w:gridSpan w:val="8"/>
            <w:tcBorders>
              <w:top w:val="nil"/>
              <w:left w:val="nil"/>
              <w:bottom w:val="nil"/>
              <w:right w:val="nil"/>
              <w:tl2br w:val="nil"/>
              <w:tr2bl w:val="nil"/>
            </w:tcBorders>
            <w:noWrap/>
            <w:vAlign w:val="center"/>
          </w:tcPr>
          <w:p>
            <w:pPr>
              <w:jc w:val="center"/>
            </w:pPr>
            <w:r>
              <w:rPr>
                <w:rFonts w:ascii="宋体" w:eastAsia="宋体" w:cs="Arial"/>
                <w:b/>
                <w:i w:val="0"/>
                <w:color w:val="000000"/>
                <w:sz w:val="40"/>
              </w:rPr>
              <w:t>部门预算项目绩效自评表</w:t>
            </w:r>
          </w:p>
        </w:tc>
      </w:tr>
      <w:tr>
        <w:trPr>
          <w:trHeight w:val="344"/>
        </w:trPr>
        <w:tc>
          <w:tcPr>
            <w:tcW w:w="10425" w:type="dxa"/>
            <w:gridSpan w:val="8"/>
            <w:tcBorders>
              <w:top w:val="nil"/>
              <w:left w:val="nil"/>
              <w:bottom w:val="nil"/>
              <w:right w:val="nil"/>
              <w:tl2br w:val="nil"/>
              <w:tr2bl w:val="nil"/>
            </w:tcBorders>
            <w:noWrap/>
            <w:vAlign w:val="bottom"/>
          </w:tcPr>
          <w:p>
            <w:pPr>
              <w:jc w:val="center"/>
            </w:pPr>
            <w:r>
              <w:rPr>
                <w:rFonts w:ascii="宋体" w:eastAsia="宋体" w:cs="Arial"/>
                <w:color w:val="000000"/>
                <w:sz w:val="20"/>
              </w:rPr>
              <w:t>（   2022  年度）</w:t>
            </w:r>
          </w:p>
        </w:tc>
      </w:tr>
      <w:tr>
        <w:trPr>
          <w:trHeight w:val="434"/>
        </w:trPr>
        <w:tc>
          <w:tcPr>
            <w:tcW w:w="1290" w:type="dxa"/>
            <w:tcBorders>
              <w:top w:val="nil"/>
              <w:left w:val="nil"/>
              <w:bottom w:val="nil"/>
              <w:right w:val="nil"/>
              <w:tl2br w:val="nil"/>
              <w:tr2bl w:val="nil"/>
            </w:tcBorders>
            <w:noWrap/>
            <w:vAlign w:val="center"/>
          </w:tcPr>
          <w:p>
            <w:r>
              <w:rPr>
                <w:rFonts w:ascii="宋体" w:eastAsia="宋体" w:cs="Arial"/>
                <w:color w:val="000000"/>
                <w:sz w:val="16"/>
              </w:rPr>
              <w:t>填报单位：</w:t>
            </w:r>
          </w:p>
        </w:tc>
        <w:tc>
          <w:tcPr>
            <w:tcW w:w="1485" w:type="dxa"/>
            <w:tcBorders>
              <w:top w:val="nil"/>
              <w:left w:val="nil"/>
              <w:bottom w:val="nil"/>
              <w:right w:val="nil"/>
              <w:tl2br w:val="nil"/>
              <w:tr2bl w:val="nil"/>
            </w:tcBorders>
            <w:noWrap/>
            <w:vAlign w:val="center"/>
          </w:tcPr>
          <w:p>
            <w:pPr>
              <w:jc w:val="center"/>
            </w:pPr>
            <w:r>
              <w:rPr>
                <w:rFonts w:ascii="宋体" w:eastAsia="宋体" w:cs="Arial"/>
                <w:color w:val="000000"/>
                <w:sz w:val="16"/>
              </w:rPr>
              <w:t>丰南农广校</w:t>
            </w:r>
          </w:p>
        </w:tc>
        <w:tc>
          <w:tcPr>
            <w:tcW w:w="1155" w:type="dxa"/>
            <w:tcBorders>
              <w:top w:val="nil"/>
              <w:left w:val="nil"/>
              <w:bottom w:val="nil"/>
              <w:right w:val="nil"/>
              <w:tl2br w:val="nil"/>
              <w:tr2bl w:val="nil"/>
            </w:tcBorders>
            <w:noWrap/>
            <w:vAlign w:val="center"/>
          </w:tcPr>
          <w:p>
            <w:pPr>
              <w:jc w:val="center"/>
            </w:pPr>
          </w:p>
        </w:tc>
        <w:tc>
          <w:tcPr>
            <w:tcW w:w="1320" w:type="dxa"/>
            <w:tcBorders>
              <w:top w:val="nil"/>
              <w:left w:val="nil"/>
              <w:bottom w:val="nil"/>
              <w:right w:val="nil"/>
              <w:tl2br w:val="nil"/>
              <w:tr2bl w:val="nil"/>
            </w:tcBorders>
            <w:noWrap/>
            <w:vAlign w:val="center"/>
          </w:tcPr>
          <w:p>
            <w:pPr>
              <w:jc w:val="center"/>
            </w:pPr>
          </w:p>
        </w:tc>
        <w:tc>
          <w:tcPr>
            <w:tcW w:w="1170" w:type="dxa"/>
            <w:tcBorders>
              <w:top w:val="nil"/>
              <w:left w:val="nil"/>
              <w:bottom w:val="nil"/>
              <w:right w:val="nil"/>
              <w:tl2br w:val="nil"/>
              <w:tr2bl w:val="nil"/>
            </w:tcBorders>
            <w:noWrap/>
            <w:vAlign w:val="center"/>
          </w:tcPr>
          <w:p>
            <w:pPr>
              <w:jc w:val="center"/>
            </w:pPr>
          </w:p>
        </w:tc>
        <w:tc>
          <w:tcPr>
            <w:tcW w:w="1380" w:type="dxa"/>
            <w:tcBorders>
              <w:top w:val="nil"/>
              <w:left w:val="nil"/>
              <w:bottom w:val="nil"/>
              <w:right w:val="nil"/>
              <w:tl2br w:val="nil"/>
              <w:tr2bl w:val="nil"/>
            </w:tcBorders>
            <w:noWrap/>
            <w:vAlign w:val="center"/>
          </w:tcPr>
          <w:p>
            <w:pPr>
              <w:jc w:val="center"/>
            </w:pPr>
          </w:p>
        </w:tc>
        <w:tc>
          <w:tcPr>
            <w:tcW w:w="1155" w:type="dxa"/>
            <w:tcBorders>
              <w:top w:val="nil"/>
              <w:left w:val="nil"/>
              <w:bottom w:val="nil"/>
              <w:right w:val="nil"/>
              <w:tl2br w:val="nil"/>
              <w:tr2bl w:val="nil"/>
            </w:tcBorders>
            <w:noWrap/>
            <w:vAlign w:val="center"/>
          </w:tcPr>
          <w:p>
            <w:pPr>
              <w:jc w:val="center"/>
            </w:pPr>
          </w:p>
        </w:tc>
        <w:tc>
          <w:tcPr>
            <w:tcW w:w="1470" w:type="dxa"/>
            <w:tcBorders>
              <w:top w:val="nil"/>
              <w:left w:val="nil"/>
              <w:bottom w:val="nil"/>
              <w:right w:val="nil"/>
              <w:tl2br w:val="nil"/>
              <w:tr2bl w:val="nil"/>
            </w:tcBorders>
            <w:noWrap/>
            <w:vAlign w:val="center"/>
          </w:tcPr>
          <w:p>
            <w:pPr>
              <w:jc w:val="center"/>
            </w:pPr>
            <w:r>
              <w:rPr>
                <w:rFonts w:ascii="宋体" w:eastAsia="宋体" w:cs="Arial"/>
                <w:color w:val="000000"/>
                <w:sz w:val="16"/>
              </w:rPr>
              <w:t>金额单位：万元</w:t>
            </w:r>
          </w:p>
        </w:tc>
      </w:tr>
      <w:tr>
        <w:trPr>
          <w:trHeight w:val="494"/>
        </w:trPr>
        <w:tc>
          <w:tcPr>
            <w:tcW w:w="1290" w:type="dxa"/>
            <w:tcBorders>
              <w:top w:val="single" w:sz="6" w:space="0" w:color="000000"/>
              <w:left w:val="single" w:sz="6" w:space="0" w:color="000000"/>
              <w:bottom w:val="nil"/>
              <w:right w:val="single" w:sz="6" w:space="0" w:color="000000"/>
              <w:tl2br w:val="nil"/>
              <w:tr2bl w:val="nil"/>
            </w:tcBorders>
            <w:noWrap/>
            <w:vAlign w:val="center"/>
          </w:tcPr>
          <w:p>
            <w:r>
              <w:rPr>
                <w:rFonts w:ascii="宋体" w:eastAsia="宋体"/>
                <w:strike w:val="0"/>
                <w:dstrike w:val="0"/>
                <w:color w:val="000000"/>
                <w:sz w:val="16"/>
              </w:rPr>
              <w:t>一、</w:t>
            </w:r>
            <w:r>
              <w:rPr>
                <w:rFonts w:ascii="Calibri" w:hAnsi="Calibri"/>
                <w:strike w:val="0"/>
                <w:dstrike w:val="0"/>
                <w:color w:val="000000"/>
                <w:sz w:val="16"/>
              </w:rPr>
              <w:t> </w:t>
            </w:r>
            <w:r>
              <w:rPr>
                <w:rFonts w:ascii="宋体" w:eastAsia="宋体"/>
                <w:strike w:val="0"/>
                <w:dstrike w:val="0"/>
                <w:color w:val="000000"/>
                <w:sz w:val="16"/>
              </w:rPr>
              <w:t>基本情况</w:t>
            </w:r>
          </w:p>
        </w:tc>
        <w:tc>
          <w:tcPr>
            <w:tcW w:w="148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项目名称</w:t>
            </w:r>
          </w:p>
        </w:tc>
        <w:tc>
          <w:tcPr>
            <w:tcW w:w="247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组织农民培训资金</w:t>
            </w:r>
          </w:p>
        </w:tc>
        <w:tc>
          <w:tcPr>
            <w:tcW w:w="1170"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实施(主管）单位</w:t>
            </w:r>
          </w:p>
        </w:tc>
        <w:tc>
          <w:tcPr>
            <w:tcW w:w="4005"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河北省农业广播电视学校丰南分校</w:t>
            </w:r>
          </w:p>
        </w:tc>
      </w:tr>
      <w:tr>
        <w:trPr>
          <w:trHeight w:val="404"/>
        </w:trPr>
        <w:tc>
          <w:tcPr>
            <w:tcW w:w="1290" w:type="dxa"/>
            <w:vMerge w:val="restart"/>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二、预算执行情况</w:t>
            </w:r>
          </w:p>
        </w:tc>
        <w:tc>
          <w:tcPr>
            <w:tcW w:w="2640"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预算安排情况（调整后）</w:t>
            </w:r>
          </w:p>
        </w:tc>
        <w:tc>
          <w:tcPr>
            <w:tcW w:w="2490"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资金到位情况</w:t>
            </w:r>
          </w:p>
        </w:tc>
        <w:tc>
          <w:tcPr>
            <w:tcW w:w="253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资金执行情况</w:t>
            </w:r>
          </w:p>
        </w:tc>
        <w:tc>
          <w:tcPr>
            <w:tcW w:w="1470"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预算执行进度</w:t>
            </w:r>
          </w:p>
        </w:tc>
      </w:tr>
      <w:tr>
        <w:trPr>
          <w:trHeight w:val="404"/>
        </w:trPr>
        <w:tc>
          <w:tcPr>
            <w:tcW w:w="1290" w:type="dxa"/>
            <w:vMerge/>
            <w:tcBorders>
              <w:top w:val="nil"/>
              <w:left w:val="single" w:sz="6" w:space="0" w:color="000000"/>
              <w:bottom w:val="nil"/>
              <w:right w:val="single" w:sz="6" w:space="0" w:color="000000"/>
              <w:tl2br w:val="nil"/>
              <w:tr2bl w:val="nil"/>
            </w:tcBorders>
            <w:noWrap/>
            <w:vAlign w:val="center"/>
          </w:tcPr>
          <w:p/>
        </w:tc>
        <w:tc>
          <w:tcPr>
            <w:tcW w:w="1485" w:type="dxa"/>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预算数：</w:t>
            </w: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14</w:t>
            </w:r>
          </w:p>
        </w:tc>
        <w:tc>
          <w:tcPr>
            <w:tcW w:w="1320" w:type="dxa"/>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到位数：</w:t>
            </w:r>
          </w:p>
        </w:tc>
        <w:tc>
          <w:tcPr>
            <w:tcW w:w="1170"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14</w:t>
            </w:r>
          </w:p>
        </w:tc>
        <w:tc>
          <w:tcPr>
            <w:tcW w:w="1380" w:type="dxa"/>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执行数：</w:t>
            </w: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8.57</w:t>
            </w:r>
          </w:p>
        </w:tc>
        <w:tc>
          <w:tcPr>
            <w:tcW w:w="1470" w:type="dxa"/>
            <w:vMerge w:val="restart"/>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61.21%</w:t>
            </w:r>
          </w:p>
        </w:tc>
      </w:tr>
      <w:tr>
        <w:trPr>
          <w:trHeight w:val="404"/>
        </w:trPr>
        <w:tc>
          <w:tcPr>
            <w:tcW w:w="1290" w:type="dxa"/>
            <w:vMerge/>
            <w:tcBorders>
              <w:top w:val="nil"/>
              <w:left w:val="single" w:sz="6" w:space="0" w:color="000000"/>
              <w:bottom w:val="nil"/>
              <w:right w:val="single" w:sz="6" w:space="0" w:color="000000"/>
              <w:tl2br w:val="nil"/>
              <w:tr2bl w:val="nil"/>
            </w:tcBorders>
            <w:noWrap/>
            <w:vAlign w:val="center"/>
          </w:tcPr>
          <w:p/>
        </w:tc>
        <w:tc>
          <w:tcPr>
            <w:tcW w:w="148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其中：财政资金</w:t>
            </w: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14</w:t>
            </w:r>
          </w:p>
        </w:tc>
        <w:tc>
          <w:tcPr>
            <w:tcW w:w="1320"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其中：财政资金</w:t>
            </w:r>
          </w:p>
        </w:tc>
        <w:tc>
          <w:tcPr>
            <w:tcW w:w="1170"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14</w:t>
            </w:r>
          </w:p>
        </w:tc>
        <w:tc>
          <w:tcPr>
            <w:tcW w:w="1380"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其中：财政资金</w:t>
            </w: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8.57</w:t>
            </w:r>
          </w:p>
        </w:tc>
        <w:tc>
          <w:tcPr>
            <w:tcW w:w="1470" w:type="dxa"/>
            <w:vMerge/>
            <w:tcBorders>
              <w:top w:val="nil"/>
              <w:left w:val="single" w:sz="6" w:space="0" w:color="000000"/>
              <w:bottom w:val="nil"/>
              <w:right w:val="single" w:sz="6" w:space="0" w:color="000000"/>
              <w:tl2br w:val="nil"/>
              <w:tr2bl w:val="nil"/>
            </w:tcBorders>
            <w:noWrap/>
            <w:vAlign w:val="center"/>
          </w:tcPr>
          <w:p/>
        </w:tc>
      </w:tr>
      <w:tr>
        <w:trPr>
          <w:trHeight w:val="404"/>
        </w:trPr>
        <w:tc>
          <w:tcPr>
            <w:tcW w:w="1290" w:type="dxa"/>
            <w:vMerge/>
            <w:tcBorders>
              <w:top w:val="nil"/>
              <w:left w:val="single" w:sz="6" w:space="0" w:color="000000"/>
              <w:bottom w:val="single" w:sz="6" w:space="0" w:color="000000"/>
              <w:right w:val="single" w:sz="6" w:space="0" w:color="000000"/>
              <w:tl2br w:val="nil"/>
              <w:tr2bl w:val="nil"/>
            </w:tcBorders>
            <w:noWrap/>
            <w:vAlign w:val="center"/>
          </w:tcPr>
          <w:p/>
        </w:tc>
        <w:tc>
          <w:tcPr>
            <w:tcW w:w="148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其他</w:t>
            </w: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tc>
        <w:tc>
          <w:tcPr>
            <w:tcW w:w="1320"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其他</w:t>
            </w:r>
          </w:p>
        </w:tc>
        <w:tc>
          <w:tcPr>
            <w:tcW w:w="1170" w:type="dxa"/>
            <w:tcBorders>
              <w:top w:val="single" w:sz="6" w:space="0" w:color="000000"/>
              <w:left w:val="single" w:sz="6" w:space="0" w:color="000000"/>
              <w:bottom w:val="single" w:sz="6" w:space="0" w:color="000000"/>
              <w:right w:val="single" w:sz="6" w:space="0" w:color="000000"/>
              <w:tl2br w:val="nil"/>
              <w:tr2bl w:val="nil"/>
            </w:tcBorders>
            <w:noWrap/>
            <w:vAlign w:val="center"/>
          </w:tcPr>
          <w:p/>
        </w:tc>
        <w:tc>
          <w:tcPr>
            <w:tcW w:w="1380"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其他</w:t>
            </w: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tc>
        <w:tc>
          <w:tcPr>
            <w:tcW w:w="1470" w:type="dxa"/>
            <w:vMerge/>
            <w:tcBorders>
              <w:top w:val="nil"/>
              <w:left w:val="single" w:sz="6" w:space="0" w:color="000000"/>
              <w:bottom w:val="single" w:sz="6" w:space="0" w:color="000000"/>
              <w:right w:val="single" w:sz="6" w:space="0" w:color="000000"/>
              <w:tl2br w:val="nil"/>
              <w:tr2bl w:val="nil"/>
            </w:tcBorders>
            <w:noWrap/>
            <w:vAlign w:val="center"/>
          </w:tcPr>
          <w:p/>
        </w:tc>
      </w:tr>
      <w:tr>
        <w:trPr>
          <w:trHeight w:val="404"/>
        </w:trPr>
        <w:tc>
          <w:tcPr>
            <w:tcW w:w="1290" w:type="dxa"/>
            <w:vMerge w:val="restart"/>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三、目标完成情况</w:t>
            </w:r>
          </w:p>
        </w:tc>
        <w:tc>
          <w:tcPr>
            <w:tcW w:w="3960"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年度预期目标</w:t>
            </w:r>
          </w:p>
        </w:tc>
        <w:tc>
          <w:tcPr>
            <w:tcW w:w="3705"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具体完成情况</w:t>
            </w:r>
          </w:p>
        </w:tc>
        <w:tc>
          <w:tcPr>
            <w:tcW w:w="1470"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总体完成率</w:t>
            </w:r>
          </w:p>
        </w:tc>
      </w:tr>
      <w:tr>
        <w:trPr>
          <w:trHeight w:val="1214"/>
        </w:trPr>
        <w:tc>
          <w:tcPr>
            <w:tcW w:w="1290" w:type="dxa"/>
            <w:vMerge/>
            <w:tcBorders>
              <w:top w:val="nil"/>
              <w:left w:val="single" w:sz="6" w:space="0" w:color="000000"/>
              <w:bottom w:val="single" w:sz="6" w:space="0" w:color="000000"/>
              <w:right w:val="single" w:sz="6" w:space="0" w:color="000000"/>
              <w:tl2br w:val="nil"/>
              <w:tr2bl w:val="nil"/>
            </w:tcBorders>
            <w:noWrap/>
            <w:vAlign w:val="center"/>
          </w:tcPr>
          <w:p/>
        </w:tc>
        <w:tc>
          <w:tcPr>
            <w:tcW w:w="3960"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根据区政府要求，做好高素质农民培训项目</w:t>
            </w:r>
          </w:p>
        </w:tc>
        <w:tc>
          <w:tcPr>
            <w:tcW w:w="3705"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按照区政府要求，圆满完成了高素质农民培训项目</w:t>
            </w:r>
          </w:p>
        </w:tc>
        <w:tc>
          <w:tcPr>
            <w:tcW w:w="1470"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100%</w:t>
            </w:r>
          </w:p>
        </w:tc>
      </w:tr>
      <w:tr>
        <w:trPr>
          <w:trHeight w:val="404"/>
        </w:trPr>
        <w:tc>
          <w:tcPr>
            <w:tcW w:w="1290" w:type="dxa"/>
            <w:vMerge w:val="restart"/>
            <w:tcBorders>
              <w:top w:val="single" w:sz="6" w:space="0" w:color="000000"/>
              <w:left w:val="single" w:sz="6" w:space="0" w:color="auto"/>
              <w:bottom w:val="nil"/>
              <w:right w:val="nil"/>
              <w:tl2br w:val="nil"/>
              <w:tr2bl w:val="nil"/>
            </w:tcBorders>
            <w:noWrap/>
            <w:vAlign w:val="center"/>
          </w:tcPr>
          <w:p>
            <w:pPr>
              <w:jc w:val="center"/>
            </w:pPr>
            <w:r>
              <w:rPr>
                <w:rFonts w:ascii="宋体" w:eastAsia="宋体"/>
                <w:strike w:val="0"/>
                <w:dstrike w:val="0"/>
                <w:color w:val="000000"/>
                <w:sz w:val="16"/>
              </w:rPr>
              <w:t>四、</w:t>
            </w:r>
            <w:r>
              <w:rPr>
                <w:rFonts w:ascii="Calibri" w:hAnsi="Calibri"/>
                <w:strike w:val="0"/>
                <w:dstrike w:val="0"/>
                <w:color w:val="000000"/>
                <w:sz w:val="16"/>
              </w:rPr>
              <w:t> </w:t>
            </w:r>
            <w:r>
              <w:rPr>
                <w:rFonts w:ascii="宋体" w:eastAsia="宋体"/>
                <w:strike w:val="0"/>
                <w:dstrike w:val="0"/>
                <w:color w:val="000000"/>
                <w:sz w:val="16"/>
              </w:rPr>
              <w:t>年度绩效指标完成情况</w:t>
            </w:r>
          </w:p>
        </w:tc>
        <w:tc>
          <w:tcPr>
            <w:tcW w:w="148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一级指标</w:t>
            </w: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二级指标</w:t>
            </w:r>
          </w:p>
        </w:tc>
        <w:tc>
          <w:tcPr>
            <w:tcW w:w="2490"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三级指标</w:t>
            </w:r>
          </w:p>
        </w:tc>
        <w:tc>
          <w:tcPr>
            <w:tcW w:w="1380"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预期指标值</w:t>
            </w: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实际完成值</w:t>
            </w:r>
          </w:p>
        </w:tc>
        <w:tc>
          <w:tcPr>
            <w:tcW w:w="1470"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自评得分</w:t>
            </w:r>
          </w:p>
        </w:tc>
      </w:tr>
      <w:tr>
        <w:trPr>
          <w:trHeight w:val="404"/>
        </w:trPr>
        <w:tc>
          <w:tcPr>
            <w:tcW w:w="1290" w:type="dxa"/>
            <w:vMerge/>
            <w:tcBorders>
              <w:top w:val="nil"/>
              <w:left w:val="single" w:sz="6" w:space="0" w:color="auto"/>
              <w:bottom w:val="nil"/>
              <w:right w:val="nil"/>
              <w:tl2br w:val="nil"/>
              <w:tr2bl w:val="nil"/>
            </w:tcBorders>
            <w:noWrap/>
            <w:vAlign w:val="center"/>
          </w:tcPr>
          <w:p/>
        </w:tc>
        <w:tc>
          <w:tcPr>
            <w:tcW w:w="1485" w:type="dxa"/>
            <w:vMerge w:val="restart"/>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产出指标（50）</w:t>
            </w:r>
          </w:p>
        </w:tc>
        <w:tc>
          <w:tcPr>
            <w:tcW w:w="1155" w:type="dxa"/>
            <w:vMerge w:val="restart"/>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数量指标</w:t>
            </w:r>
          </w:p>
        </w:tc>
        <w:tc>
          <w:tcPr>
            <w:tcW w:w="2490"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编写培训教材（种）（10）</w:t>
            </w:r>
          </w:p>
        </w:tc>
        <w:tc>
          <w:tcPr>
            <w:tcW w:w="1380"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3</w:t>
            </w: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3</w:t>
            </w:r>
          </w:p>
        </w:tc>
        <w:tc>
          <w:tcPr>
            <w:tcW w:w="1470"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10</w:t>
            </w:r>
          </w:p>
        </w:tc>
      </w:tr>
      <w:tr>
        <w:trPr>
          <w:trHeight w:val="404"/>
        </w:trPr>
        <w:tc>
          <w:tcPr>
            <w:tcW w:w="1290" w:type="dxa"/>
            <w:vMerge/>
            <w:tcBorders>
              <w:top w:val="nil"/>
              <w:left w:val="single" w:sz="6" w:space="0" w:color="auto"/>
              <w:bottom w:val="nil"/>
              <w:right w:val="nil"/>
              <w:tl2br w:val="nil"/>
              <w:tr2bl w:val="nil"/>
            </w:tcBorders>
            <w:noWrap/>
            <w:vAlign w:val="center"/>
          </w:tcPr>
          <w:p/>
        </w:tc>
        <w:tc>
          <w:tcPr>
            <w:tcW w:w="1485" w:type="dxa"/>
            <w:vMerge/>
            <w:tcBorders>
              <w:top w:val="nil"/>
              <w:left w:val="single" w:sz="6" w:space="0" w:color="000000"/>
              <w:bottom w:val="nil"/>
              <w:right w:val="single" w:sz="6" w:space="0" w:color="000000"/>
              <w:tl2br w:val="nil"/>
              <w:tr2bl w:val="nil"/>
            </w:tcBorders>
            <w:noWrap/>
            <w:vAlign w:val="center"/>
          </w:tcPr>
          <w:p/>
        </w:tc>
        <w:tc>
          <w:tcPr>
            <w:tcW w:w="1155" w:type="dxa"/>
            <w:vMerge/>
            <w:tcBorders>
              <w:top w:val="nil"/>
              <w:left w:val="single" w:sz="6" w:space="0" w:color="000000"/>
              <w:bottom w:val="nil"/>
              <w:right w:val="single" w:sz="6" w:space="0" w:color="000000"/>
              <w:tl2br w:val="nil"/>
              <w:tr2bl w:val="nil"/>
            </w:tcBorders>
            <w:noWrap/>
            <w:vAlign w:val="center"/>
          </w:tcPr>
          <w:p/>
        </w:tc>
        <w:tc>
          <w:tcPr>
            <w:tcW w:w="2490"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信息服务数量（条）（10）</w:t>
            </w:r>
          </w:p>
        </w:tc>
        <w:tc>
          <w:tcPr>
            <w:tcW w:w="138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pPr>
            <w:r>
              <w:rPr>
                <w:rFonts w:ascii="宋体" w:eastAsia="宋体" w:cs="Arial"/>
                <w:color w:val="000000"/>
                <w:sz w:val="18"/>
              </w:rPr>
              <w:t>≥300</w:t>
            </w:r>
          </w:p>
        </w:tc>
        <w:tc>
          <w:tcPr>
            <w:tcW w:w="11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pPr>
            <w:r>
              <w:rPr>
                <w:rFonts w:ascii="宋体" w:eastAsia="宋体" w:cs="Arial"/>
                <w:color w:val="000000"/>
                <w:sz w:val="18"/>
              </w:rPr>
              <w:t>≥300</w:t>
            </w:r>
          </w:p>
        </w:tc>
        <w:tc>
          <w:tcPr>
            <w:tcW w:w="1470"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10</w:t>
            </w:r>
          </w:p>
        </w:tc>
      </w:tr>
      <w:tr>
        <w:trPr>
          <w:trHeight w:val="404"/>
        </w:trPr>
        <w:tc>
          <w:tcPr>
            <w:tcW w:w="1290" w:type="dxa"/>
            <w:vMerge/>
            <w:tcBorders>
              <w:top w:val="nil"/>
              <w:left w:val="single" w:sz="6" w:space="0" w:color="auto"/>
              <w:bottom w:val="nil"/>
              <w:right w:val="nil"/>
              <w:tl2br w:val="nil"/>
              <w:tr2bl w:val="nil"/>
            </w:tcBorders>
            <w:noWrap/>
            <w:vAlign w:val="center"/>
          </w:tcPr>
          <w:p/>
        </w:tc>
        <w:tc>
          <w:tcPr>
            <w:tcW w:w="1485" w:type="dxa"/>
            <w:vMerge/>
            <w:tcBorders>
              <w:top w:val="nil"/>
              <w:left w:val="single" w:sz="6" w:space="0" w:color="000000"/>
              <w:bottom w:val="nil"/>
              <w:right w:val="single" w:sz="6" w:space="0" w:color="000000"/>
              <w:tl2br w:val="nil"/>
              <w:tr2bl w:val="nil"/>
            </w:tcBorders>
            <w:noWrap/>
            <w:vAlign w:val="center"/>
          </w:tcP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质量指标</w:t>
            </w:r>
          </w:p>
        </w:tc>
        <w:tc>
          <w:tcPr>
            <w:tcW w:w="2490" w:type="dxa"/>
            <w:gridSpan w:val="2"/>
            <w:tcBorders>
              <w:top w:val="nil"/>
              <w:left w:val="nil"/>
              <w:bottom w:val="nil"/>
              <w:right w:val="nil"/>
              <w:tl2br w:val="nil"/>
              <w:tr2bl w:val="nil"/>
            </w:tcBorders>
            <w:noWrap/>
            <w:vAlign w:val="bottom"/>
          </w:tcPr>
          <w:p>
            <w:r>
              <w:rPr>
                <w:rFonts w:ascii="宋体" w:eastAsia="宋体" w:cs="Arial"/>
                <w:color w:val="000000"/>
                <w:sz w:val="16"/>
              </w:rPr>
              <w:t>授课名师占比（10）</w:t>
            </w:r>
          </w:p>
        </w:tc>
        <w:tc>
          <w:tcPr>
            <w:tcW w:w="1380"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pPr>
            <w:r>
              <w:rPr>
                <w:rFonts w:ascii="宋体" w:eastAsia="宋体" w:cs="Arial"/>
                <w:color w:val="000000"/>
                <w:sz w:val="18"/>
              </w:rPr>
              <w:t>≥20</w:t>
            </w:r>
          </w:p>
        </w:tc>
        <w:tc>
          <w:tcPr>
            <w:tcW w:w="115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pPr>
            <w:r>
              <w:rPr>
                <w:rFonts w:ascii="宋体" w:eastAsia="宋体" w:cs="Arial"/>
                <w:color w:val="000000"/>
                <w:sz w:val="18"/>
              </w:rPr>
              <w:t>≥20</w:t>
            </w:r>
          </w:p>
        </w:tc>
        <w:tc>
          <w:tcPr>
            <w:tcW w:w="1470"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10</w:t>
            </w:r>
          </w:p>
        </w:tc>
      </w:tr>
      <w:tr>
        <w:trPr>
          <w:trHeight w:val="404"/>
        </w:trPr>
        <w:tc>
          <w:tcPr>
            <w:tcW w:w="1290" w:type="dxa"/>
            <w:vMerge/>
            <w:tcBorders>
              <w:top w:val="nil"/>
              <w:left w:val="single" w:sz="6" w:space="0" w:color="auto"/>
              <w:bottom w:val="nil"/>
              <w:right w:val="nil"/>
              <w:tl2br w:val="nil"/>
              <w:tr2bl w:val="nil"/>
            </w:tcBorders>
            <w:noWrap/>
            <w:vAlign w:val="center"/>
          </w:tcPr>
          <w:p/>
        </w:tc>
        <w:tc>
          <w:tcPr>
            <w:tcW w:w="1485" w:type="dxa"/>
            <w:vMerge/>
            <w:tcBorders>
              <w:top w:val="nil"/>
              <w:left w:val="single" w:sz="6" w:space="0" w:color="000000"/>
              <w:bottom w:val="nil"/>
              <w:right w:val="single" w:sz="6" w:space="0" w:color="000000"/>
              <w:tl2br w:val="nil"/>
              <w:tr2bl w:val="nil"/>
            </w:tcBorders>
            <w:noWrap/>
            <w:vAlign w:val="center"/>
          </w:tcPr>
          <w:p/>
        </w:tc>
        <w:tc>
          <w:tcPr>
            <w:tcW w:w="115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时效指标</w:t>
            </w:r>
          </w:p>
        </w:tc>
        <w:tc>
          <w:tcPr>
            <w:tcW w:w="2490"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培训参训率（10）</w:t>
            </w:r>
          </w:p>
        </w:tc>
        <w:tc>
          <w:tcPr>
            <w:tcW w:w="138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≥90%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≥90%</w:t>
            </w:r>
          </w:p>
        </w:tc>
        <w:tc>
          <w:tcPr>
            <w:tcW w:w="1470"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9</w:t>
            </w:r>
          </w:p>
        </w:tc>
      </w:tr>
      <w:tr>
        <w:trPr>
          <w:trHeight w:val="404"/>
        </w:trPr>
        <w:tc>
          <w:tcPr>
            <w:tcW w:w="1290" w:type="dxa"/>
            <w:vMerge/>
            <w:tcBorders>
              <w:top w:val="nil"/>
              <w:left w:val="single" w:sz="6" w:space="0" w:color="auto"/>
              <w:bottom w:val="nil"/>
              <w:right w:val="nil"/>
              <w:tl2br w:val="nil"/>
              <w:tr2bl w:val="nil"/>
            </w:tcBorders>
            <w:noWrap/>
            <w:vAlign w:val="center"/>
          </w:tcPr>
          <w:p/>
        </w:tc>
        <w:tc>
          <w:tcPr>
            <w:tcW w:w="1485" w:type="dxa"/>
            <w:vMerge/>
            <w:tcBorders>
              <w:top w:val="nil"/>
              <w:left w:val="single" w:sz="6" w:space="0" w:color="000000"/>
              <w:bottom w:val="nil"/>
              <w:right w:val="single" w:sz="6" w:space="0" w:color="000000"/>
              <w:tl2br w:val="nil"/>
              <w:tr2bl w:val="nil"/>
            </w:tcBorders>
            <w:noWrap/>
            <w:vAlign w:val="center"/>
          </w:tcPr>
          <w:p/>
        </w:tc>
        <w:tc>
          <w:tcPr>
            <w:tcW w:w="1155" w:type="dxa"/>
            <w:vMerge/>
            <w:tcBorders>
              <w:top w:val="single" w:sz="6" w:space="0" w:color="000000"/>
              <w:left w:val="single" w:sz="6" w:space="0" w:color="000000"/>
              <w:bottom w:val="single" w:sz="6" w:space="0" w:color="000000"/>
              <w:right w:val="single" w:sz="6" w:space="0" w:color="000000"/>
              <w:tl2br w:val="nil"/>
              <w:tr2bl w:val="nil"/>
            </w:tcBorders>
            <w:noWrap/>
            <w:vAlign w:val="center"/>
          </w:tcPr>
          <w:p/>
        </w:tc>
        <w:tc>
          <w:tcPr>
            <w:tcW w:w="2490"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鉴定参考率（10）</w:t>
            </w:r>
          </w:p>
        </w:tc>
        <w:tc>
          <w:tcPr>
            <w:tcW w:w="138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≥90%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≥90%</w:t>
            </w:r>
          </w:p>
        </w:tc>
        <w:tc>
          <w:tcPr>
            <w:tcW w:w="1470"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9</w:t>
            </w:r>
          </w:p>
        </w:tc>
      </w:tr>
      <w:tr>
        <w:trPr>
          <w:trHeight w:val="404"/>
        </w:trPr>
        <w:tc>
          <w:tcPr>
            <w:tcW w:w="1290" w:type="dxa"/>
            <w:vMerge/>
            <w:tcBorders>
              <w:top w:val="nil"/>
              <w:left w:val="single" w:sz="6" w:space="0" w:color="auto"/>
              <w:bottom w:val="nil"/>
              <w:right w:val="nil"/>
              <w:tl2br w:val="nil"/>
              <w:tr2bl w:val="nil"/>
            </w:tcBorders>
            <w:noWrap/>
            <w:vAlign w:val="center"/>
          </w:tcPr>
          <w:p/>
        </w:tc>
        <w:tc>
          <w:tcPr>
            <w:tcW w:w="1485" w:type="dxa"/>
            <w:vMerge w:val="restart"/>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效益指标（30）</w:t>
            </w: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经济效益指标</w:t>
            </w:r>
          </w:p>
        </w:tc>
        <w:tc>
          <w:tcPr>
            <w:tcW w:w="2490"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鉴定通过率（10）</w:t>
            </w:r>
          </w:p>
        </w:tc>
        <w:tc>
          <w:tcPr>
            <w:tcW w:w="138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≥90%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≥90%</w:t>
            </w:r>
          </w:p>
        </w:tc>
        <w:tc>
          <w:tcPr>
            <w:tcW w:w="1470"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10</w:t>
            </w:r>
          </w:p>
        </w:tc>
      </w:tr>
      <w:tr>
        <w:trPr>
          <w:trHeight w:val="404"/>
        </w:trPr>
        <w:tc>
          <w:tcPr>
            <w:tcW w:w="1290" w:type="dxa"/>
            <w:vMerge/>
            <w:tcBorders>
              <w:top w:val="nil"/>
              <w:left w:val="single" w:sz="6" w:space="0" w:color="auto"/>
              <w:bottom w:val="nil"/>
              <w:right w:val="nil"/>
              <w:tl2br w:val="nil"/>
              <w:tr2bl w:val="nil"/>
            </w:tcBorders>
            <w:noWrap/>
            <w:vAlign w:val="center"/>
          </w:tcPr>
          <w:p/>
        </w:tc>
        <w:tc>
          <w:tcPr>
            <w:tcW w:w="1485" w:type="dxa"/>
            <w:vMerge/>
            <w:tcBorders>
              <w:top w:val="nil"/>
              <w:left w:val="single" w:sz="6" w:space="0" w:color="000000"/>
              <w:bottom w:val="nil"/>
              <w:right w:val="single" w:sz="6" w:space="0" w:color="000000"/>
              <w:tl2br w:val="nil"/>
              <w:tr2bl w:val="nil"/>
            </w:tcBorders>
            <w:noWrap/>
            <w:vAlign w:val="center"/>
          </w:tcPr>
          <w:p/>
        </w:tc>
        <w:tc>
          <w:tcPr>
            <w:tcW w:w="115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社会效益指标</w:t>
            </w:r>
          </w:p>
        </w:tc>
        <w:tc>
          <w:tcPr>
            <w:tcW w:w="2490"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培训任务完成率（10）</w:t>
            </w:r>
          </w:p>
        </w:tc>
        <w:tc>
          <w:tcPr>
            <w:tcW w:w="138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≥90%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≥90%</w:t>
            </w:r>
          </w:p>
        </w:tc>
        <w:tc>
          <w:tcPr>
            <w:tcW w:w="1470"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10</w:t>
            </w:r>
          </w:p>
        </w:tc>
      </w:tr>
      <w:tr>
        <w:trPr>
          <w:trHeight w:val="404"/>
        </w:trPr>
        <w:tc>
          <w:tcPr>
            <w:tcW w:w="1290" w:type="dxa"/>
            <w:vMerge/>
            <w:tcBorders>
              <w:top w:val="nil"/>
              <w:left w:val="single" w:sz="6" w:space="0" w:color="auto"/>
              <w:bottom w:val="nil"/>
              <w:right w:val="nil"/>
              <w:tl2br w:val="nil"/>
              <w:tr2bl w:val="nil"/>
            </w:tcBorders>
            <w:noWrap/>
            <w:vAlign w:val="center"/>
          </w:tcPr>
          <w:p/>
        </w:tc>
        <w:tc>
          <w:tcPr>
            <w:tcW w:w="1485" w:type="dxa"/>
            <w:vMerge/>
            <w:tcBorders>
              <w:top w:val="nil"/>
              <w:left w:val="single" w:sz="6" w:space="0" w:color="000000"/>
              <w:bottom w:val="nil"/>
              <w:right w:val="single" w:sz="6" w:space="0" w:color="000000"/>
              <w:tl2br w:val="nil"/>
              <w:tr2bl w:val="nil"/>
            </w:tcBorders>
            <w:noWrap/>
            <w:vAlign w:val="center"/>
          </w:tcPr>
          <w:p/>
        </w:tc>
        <w:tc>
          <w:tcPr>
            <w:tcW w:w="1155" w:type="dxa"/>
            <w:vMerge/>
            <w:tcBorders>
              <w:top w:val="single" w:sz="6" w:space="0" w:color="000000"/>
              <w:left w:val="single" w:sz="6" w:space="0" w:color="000000"/>
              <w:bottom w:val="single" w:sz="6" w:space="0" w:color="000000"/>
              <w:right w:val="single" w:sz="6" w:space="0" w:color="000000"/>
              <w:tl2br w:val="nil"/>
              <w:tr2bl w:val="nil"/>
            </w:tcBorders>
            <w:noWrap/>
            <w:vAlign w:val="center"/>
          </w:tcPr>
          <w:p/>
        </w:tc>
        <w:tc>
          <w:tcPr>
            <w:tcW w:w="2490"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为民服务完成率（10）</w:t>
            </w:r>
          </w:p>
        </w:tc>
        <w:tc>
          <w:tcPr>
            <w:tcW w:w="138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≥90%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≥90%</w:t>
            </w:r>
          </w:p>
        </w:tc>
        <w:tc>
          <w:tcPr>
            <w:tcW w:w="1470"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10</w:t>
            </w:r>
          </w:p>
        </w:tc>
      </w:tr>
      <w:tr>
        <w:trPr>
          <w:trHeight w:val="404"/>
        </w:trPr>
        <w:tc>
          <w:tcPr>
            <w:tcW w:w="1290" w:type="dxa"/>
            <w:vMerge/>
            <w:tcBorders>
              <w:top w:val="nil"/>
              <w:left w:val="single" w:sz="6" w:space="0" w:color="auto"/>
              <w:bottom w:val="nil"/>
              <w:right w:val="nil"/>
              <w:tl2br w:val="nil"/>
              <w:tr2bl w:val="nil"/>
            </w:tcBorders>
            <w:noWrap/>
            <w:vAlign w:val="center"/>
          </w:tcPr>
          <w:p/>
        </w:tc>
        <w:tc>
          <w:tcPr>
            <w:tcW w:w="148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满意度指标（10）</w:t>
            </w:r>
          </w:p>
        </w:tc>
        <w:tc>
          <w:tcPr>
            <w:tcW w:w="115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满意度指标</w:t>
            </w:r>
          </w:p>
        </w:tc>
        <w:tc>
          <w:tcPr>
            <w:tcW w:w="2490"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学员培训满意率（5）</w:t>
            </w:r>
          </w:p>
        </w:tc>
        <w:tc>
          <w:tcPr>
            <w:tcW w:w="138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≥100%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≥90%</w:t>
            </w:r>
          </w:p>
        </w:tc>
        <w:tc>
          <w:tcPr>
            <w:tcW w:w="1470"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4</w:t>
            </w:r>
          </w:p>
        </w:tc>
      </w:tr>
      <w:tr>
        <w:trPr>
          <w:trHeight w:val="404"/>
        </w:trPr>
        <w:tc>
          <w:tcPr>
            <w:tcW w:w="1290" w:type="dxa"/>
            <w:vMerge/>
            <w:tcBorders>
              <w:top w:val="nil"/>
              <w:left w:val="single" w:sz="6" w:space="0" w:color="auto"/>
              <w:bottom w:val="nil"/>
              <w:right w:val="nil"/>
              <w:tl2br w:val="nil"/>
              <w:tr2bl w:val="nil"/>
            </w:tcBorders>
            <w:noWrap/>
            <w:vAlign w:val="center"/>
          </w:tcPr>
          <w:p/>
        </w:tc>
        <w:tc>
          <w:tcPr>
            <w:tcW w:w="1485" w:type="dxa"/>
            <w:vMerge/>
            <w:tcBorders>
              <w:top w:val="single" w:sz="6" w:space="0" w:color="000000"/>
              <w:left w:val="single" w:sz="6" w:space="0" w:color="000000"/>
              <w:bottom w:val="single" w:sz="6" w:space="0" w:color="000000"/>
              <w:right w:val="single" w:sz="6" w:space="0" w:color="000000"/>
              <w:tl2br w:val="nil"/>
              <w:tr2bl w:val="nil"/>
            </w:tcBorders>
            <w:noWrap/>
            <w:vAlign w:val="center"/>
          </w:tcPr>
          <w:p/>
        </w:tc>
        <w:tc>
          <w:tcPr>
            <w:tcW w:w="1155" w:type="dxa"/>
            <w:vMerge/>
            <w:tcBorders>
              <w:top w:val="single" w:sz="6" w:space="0" w:color="000000"/>
              <w:left w:val="single" w:sz="6" w:space="0" w:color="000000"/>
              <w:bottom w:val="single" w:sz="6" w:space="0" w:color="000000"/>
              <w:right w:val="single" w:sz="6" w:space="0" w:color="000000"/>
              <w:tl2br w:val="nil"/>
              <w:tr2bl w:val="nil"/>
            </w:tcBorders>
            <w:noWrap/>
            <w:vAlign w:val="center"/>
          </w:tcPr>
          <w:p/>
        </w:tc>
        <w:tc>
          <w:tcPr>
            <w:tcW w:w="2490"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技能鉴定满意率率（5）</w:t>
            </w:r>
          </w:p>
        </w:tc>
        <w:tc>
          <w:tcPr>
            <w:tcW w:w="138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≥100%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≥90%</w:t>
            </w:r>
          </w:p>
        </w:tc>
        <w:tc>
          <w:tcPr>
            <w:tcW w:w="1470"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4</w:t>
            </w:r>
          </w:p>
        </w:tc>
      </w:tr>
      <w:tr>
        <w:trPr>
          <w:trHeight w:val="404"/>
        </w:trPr>
        <w:tc>
          <w:tcPr>
            <w:tcW w:w="1290" w:type="dxa"/>
            <w:vMerge/>
            <w:tcBorders>
              <w:top w:val="nil"/>
              <w:left w:val="single" w:sz="6" w:space="0" w:color="auto"/>
              <w:bottom w:val="nil"/>
              <w:right w:val="nil"/>
              <w:tl2br w:val="nil"/>
              <w:tr2bl w:val="nil"/>
            </w:tcBorders>
            <w:noWrap/>
            <w:vAlign w:val="center"/>
          </w:tcPr>
          <w:p/>
        </w:tc>
        <w:tc>
          <w:tcPr>
            <w:tcW w:w="148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6"/>
              </w:rPr>
              <w:t>预算执行率（10）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6"/>
              </w:rPr>
              <w:t>预算执行率</w:t>
            </w:r>
          </w:p>
        </w:tc>
        <w:tc>
          <w:tcPr>
            <w:tcW w:w="249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6"/>
              </w:rPr>
              <w:t>预算执行率</w:t>
            </w:r>
          </w:p>
        </w:tc>
        <w:tc>
          <w:tcPr>
            <w:tcW w:w="138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≥90%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≥90%</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Calibri" w:eastAsia="Calibri" w:cs="Arial" w:hAnsi="Calibri"/>
                <w:color w:val="000000"/>
                <w:sz w:val="21"/>
              </w:rPr>
              <w:t>7</w:t>
            </w:r>
          </w:p>
        </w:tc>
      </w:tr>
      <w:tr>
        <w:trPr>
          <w:trHeight w:val="404"/>
        </w:trPr>
        <w:tc>
          <w:tcPr>
            <w:tcW w:w="1290" w:type="dxa"/>
            <w:vMerge/>
            <w:tcBorders>
              <w:top w:val="nil"/>
              <w:left w:val="single" w:sz="6" w:space="0" w:color="auto"/>
              <w:bottom w:val="single" w:sz="6" w:space="0" w:color="auto"/>
              <w:right w:val="nil"/>
              <w:tl2br w:val="nil"/>
              <w:tr2bl w:val="nil"/>
            </w:tcBorders>
            <w:noWrap/>
            <w:vAlign w:val="center"/>
          </w:tcPr>
          <w:p/>
        </w:tc>
        <w:tc>
          <w:tcPr>
            <w:tcW w:w="7665" w:type="dxa"/>
            <w:gridSpan w:val="6"/>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6"/>
              </w:rPr>
              <w:t>总分</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Calibri" w:eastAsia="Calibri" w:cs="Arial" w:hAnsi="Calibri"/>
                <w:color w:val="000000"/>
                <w:sz w:val="21"/>
              </w:rPr>
              <w:t>93</w:t>
            </w:r>
          </w:p>
        </w:tc>
      </w:tr>
      <w:tr>
        <w:trPr>
          <w:trHeight w:val="734"/>
        </w:trPr>
        <w:tc>
          <w:tcPr>
            <w:tcW w:w="1290" w:type="dxa"/>
            <w:tcBorders>
              <w:top w:val="nil"/>
              <w:left w:val="single" w:sz="6" w:space="0" w:color="000000"/>
              <w:bottom w:val="single" w:sz="6" w:space="0" w:color="000000"/>
              <w:right w:val="single" w:sz="6" w:space="0" w:color="000000"/>
              <w:tl2br w:val="nil"/>
              <w:tr2bl w:val="nil"/>
            </w:tcBorders>
            <w:noWrap/>
            <w:vAlign w:val="center"/>
          </w:tcPr>
          <w:p>
            <w:r>
              <w:rPr>
                <w:rFonts w:ascii="宋体" w:eastAsia="宋体"/>
                <w:strike w:val="0"/>
                <w:dstrike w:val="0"/>
                <w:color w:val="000000"/>
                <w:sz w:val="16"/>
              </w:rPr>
              <w:t>五、</w:t>
            </w:r>
            <w:r>
              <w:rPr>
                <w:rFonts w:ascii="Calibri" w:hAnsi="Calibri"/>
                <w:strike w:val="0"/>
                <w:dstrike w:val="0"/>
                <w:color w:val="000000"/>
                <w:sz w:val="16"/>
              </w:rPr>
              <w:t> </w:t>
            </w:r>
            <w:r>
              <w:rPr>
                <w:rFonts w:ascii="宋体" w:eastAsia="宋体"/>
                <w:strike w:val="0"/>
                <w:dstrike w:val="0"/>
                <w:color w:val="000000"/>
                <w:sz w:val="16"/>
              </w:rPr>
              <w:t>存在问题、原因及下一步整改措施</w:t>
            </w:r>
          </w:p>
        </w:tc>
        <w:tc>
          <w:tcPr>
            <w:tcW w:w="9135" w:type="dxa"/>
            <w:gridSpan w:val="7"/>
            <w:tcBorders>
              <w:top w:val="single" w:sz="6" w:space="0" w:color="auto"/>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存在问题：2022年因新冠肺炎疫情影响，无法组织集中培训，导致预算执行率低；调查中学员对学校的满意度达90%以上，众口难调，没有做到一一兼顾。整改措施：在制定项目方案、培训计划时尽量做到一一兼顾，争取学员满意度达100%。</w:t>
            </w:r>
          </w:p>
        </w:tc>
      </w:tr>
    </w:tbl>
    <w:p>
      <w:pPr>
        <w:adjustRightInd w:val="0"/>
        <w:snapToGrid w:val="0"/>
        <w:spacing w:line="580" w:lineRule="exact"/>
        <w:ind w:leftChars="200" w:left="420" w:firstLineChars="100" w:firstLine="320"/>
        <w:rPr>
          <w:rFonts w:ascii="仿宋_GB2312" w:eastAsia="仿宋_GB2312" w:cs="仿宋_GB2312" w:hAnsi="仿宋_GB2312"/>
          <w:sz w:val="32"/>
          <w:szCs w:val="32"/>
        </w:rPr>
      </w:pPr>
    </w:p>
    <w:tbl>
      <w:tblPr>
        <w:jc w:val="left"/>
        <w:tblInd w:w="-283" w:type="dxa"/>
        <w:tblW w:w="10085"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290"/>
        <w:gridCol w:w="1155"/>
        <w:gridCol w:w="1155"/>
        <w:gridCol w:w="1320"/>
        <w:gridCol w:w="1185"/>
        <w:gridCol w:w="1155"/>
        <w:gridCol w:w="1155"/>
        <w:gridCol w:w="1665"/>
      </w:tblGrid>
      <w:tr>
        <w:trPr>
          <w:trHeight w:val="509"/>
        </w:trPr>
        <w:tc>
          <w:tcPr>
            <w:tcW w:w="10080" w:type="dxa"/>
            <w:gridSpan w:val="8"/>
            <w:tcBorders>
              <w:top w:val="nil"/>
              <w:left w:val="nil"/>
              <w:bottom w:val="nil"/>
              <w:right w:val="nil"/>
              <w:tl2br w:val="nil"/>
              <w:tr2bl w:val="nil"/>
            </w:tcBorders>
            <w:noWrap/>
            <w:vAlign w:val="center"/>
          </w:tcPr>
          <w:p>
            <w:pPr>
              <w:jc w:val="center"/>
            </w:pPr>
            <w:r>
              <w:rPr>
                <w:rFonts w:ascii="宋体" w:eastAsia="宋体" w:cs="Arial"/>
                <w:b/>
                <w:i w:val="0"/>
                <w:color w:val="000000"/>
                <w:sz w:val="40"/>
              </w:rPr>
              <w:t>部门预算项目绩效自评表</w:t>
            </w:r>
          </w:p>
        </w:tc>
      </w:tr>
      <w:tr>
        <w:trPr>
          <w:trHeight w:val="344"/>
        </w:trPr>
        <w:tc>
          <w:tcPr>
            <w:tcW w:w="10080" w:type="dxa"/>
            <w:gridSpan w:val="8"/>
            <w:tcBorders>
              <w:top w:val="nil"/>
              <w:left w:val="nil"/>
              <w:bottom w:val="nil"/>
              <w:right w:val="nil"/>
              <w:tl2br w:val="nil"/>
              <w:tr2bl w:val="nil"/>
            </w:tcBorders>
            <w:noWrap/>
            <w:vAlign w:val="bottom"/>
          </w:tcPr>
          <w:p>
            <w:pPr>
              <w:jc w:val="center"/>
            </w:pPr>
            <w:r>
              <w:rPr>
                <w:rFonts w:ascii="宋体" w:eastAsia="宋体" w:cs="Arial"/>
                <w:color w:val="000000"/>
                <w:sz w:val="20"/>
              </w:rPr>
              <w:t>（  2022   年度）</w:t>
            </w:r>
          </w:p>
        </w:tc>
      </w:tr>
      <w:tr>
        <w:trPr>
          <w:trHeight w:val="434"/>
        </w:trPr>
        <w:tc>
          <w:tcPr>
            <w:tcW w:w="1290" w:type="dxa"/>
            <w:tcBorders>
              <w:top w:val="nil"/>
              <w:left w:val="nil"/>
              <w:bottom w:val="nil"/>
              <w:right w:val="nil"/>
              <w:tl2br w:val="nil"/>
              <w:tr2bl w:val="nil"/>
            </w:tcBorders>
            <w:noWrap/>
            <w:vAlign w:val="center"/>
          </w:tcPr>
          <w:p>
            <w:r>
              <w:rPr>
                <w:rFonts w:ascii="宋体" w:eastAsia="宋体" w:cs="Arial"/>
                <w:color w:val="000000"/>
                <w:sz w:val="16"/>
              </w:rPr>
              <w:t>填报单位：</w:t>
            </w:r>
          </w:p>
        </w:tc>
        <w:tc>
          <w:tcPr>
            <w:tcW w:w="1155" w:type="dxa"/>
            <w:tcBorders>
              <w:top w:val="nil"/>
              <w:left w:val="nil"/>
              <w:bottom w:val="nil"/>
              <w:right w:val="nil"/>
              <w:tl2br w:val="nil"/>
              <w:tr2bl w:val="nil"/>
            </w:tcBorders>
            <w:noWrap/>
            <w:vAlign w:val="center"/>
          </w:tcPr>
          <w:p>
            <w:pPr>
              <w:jc w:val="center"/>
            </w:pPr>
            <w:r>
              <w:rPr>
                <w:rFonts w:ascii="宋体" w:eastAsia="宋体" w:cs="Arial"/>
                <w:color w:val="000000"/>
                <w:sz w:val="16"/>
              </w:rPr>
              <w:t>丰南农广校</w:t>
            </w:r>
          </w:p>
        </w:tc>
        <w:tc>
          <w:tcPr>
            <w:tcW w:w="1155" w:type="dxa"/>
            <w:tcBorders>
              <w:top w:val="nil"/>
              <w:left w:val="nil"/>
              <w:bottom w:val="nil"/>
              <w:right w:val="nil"/>
              <w:tl2br w:val="nil"/>
              <w:tr2bl w:val="nil"/>
            </w:tcBorders>
            <w:noWrap/>
            <w:vAlign w:val="center"/>
          </w:tcPr>
          <w:p>
            <w:pPr>
              <w:jc w:val="center"/>
            </w:pPr>
          </w:p>
        </w:tc>
        <w:tc>
          <w:tcPr>
            <w:tcW w:w="1320" w:type="dxa"/>
            <w:tcBorders>
              <w:top w:val="nil"/>
              <w:left w:val="nil"/>
              <w:bottom w:val="nil"/>
              <w:right w:val="nil"/>
              <w:tl2br w:val="nil"/>
              <w:tr2bl w:val="nil"/>
            </w:tcBorders>
            <w:noWrap/>
            <w:vAlign w:val="center"/>
          </w:tcPr>
          <w:p>
            <w:pPr>
              <w:jc w:val="center"/>
            </w:pPr>
          </w:p>
        </w:tc>
        <w:tc>
          <w:tcPr>
            <w:tcW w:w="1185" w:type="dxa"/>
            <w:tcBorders>
              <w:top w:val="nil"/>
              <w:left w:val="nil"/>
              <w:bottom w:val="nil"/>
              <w:right w:val="nil"/>
              <w:tl2br w:val="nil"/>
              <w:tr2bl w:val="nil"/>
            </w:tcBorders>
            <w:noWrap/>
            <w:vAlign w:val="center"/>
          </w:tcPr>
          <w:p>
            <w:pPr>
              <w:jc w:val="center"/>
            </w:pPr>
          </w:p>
        </w:tc>
        <w:tc>
          <w:tcPr>
            <w:tcW w:w="1155" w:type="dxa"/>
            <w:tcBorders>
              <w:top w:val="nil"/>
              <w:left w:val="nil"/>
              <w:bottom w:val="nil"/>
              <w:right w:val="nil"/>
              <w:tl2br w:val="nil"/>
              <w:tr2bl w:val="nil"/>
            </w:tcBorders>
            <w:noWrap/>
            <w:vAlign w:val="center"/>
          </w:tcPr>
          <w:p>
            <w:pPr>
              <w:jc w:val="center"/>
            </w:pPr>
          </w:p>
        </w:tc>
        <w:tc>
          <w:tcPr>
            <w:tcW w:w="1155" w:type="dxa"/>
            <w:tcBorders>
              <w:top w:val="nil"/>
              <w:left w:val="nil"/>
              <w:bottom w:val="nil"/>
              <w:right w:val="nil"/>
              <w:tl2br w:val="nil"/>
              <w:tr2bl w:val="nil"/>
            </w:tcBorders>
            <w:noWrap/>
            <w:vAlign w:val="center"/>
          </w:tcPr>
          <w:p>
            <w:pPr>
              <w:jc w:val="center"/>
            </w:pPr>
          </w:p>
        </w:tc>
        <w:tc>
          <w:tcPr>
            <w:tcW w:w="1665" w:type="dxa"/>
            <w:tcBorders>
              <w:top w:val="nil"/>
              <w:left w:val="nil"/>
              <w:bottom w:val="nil"/>
              <w:right w:val="nil"/>
              <w:tl2br w:val="nil"/>
              <w:tr2bl w:val="nil"/>
            </w:tcBorders>
            <w:noWrap/>
            <w:vAlign w:val="center"/>
          </w:tcPr>
          <w:p>
            <w:pPr>
              <w:jc w:val="center"/>
            </w:pPr>
            <w:r>
              <w:rPr>
                <w:rFonts w:ascii="宋体" w:eastAsia="宋体" w:cs="Arial"/>
                <w:color w:val="000000"/>
                <w:sz w:val="16"/>
              </w:rPr>
              <w:t>金额单位：万元</w:t>
            </w:r>
          </w:p>
        </w:tc>
      </w:tr>
      <w:tr>
        <w:trPr>
          <w:trHeight w:val="494"/>
        </w:trPr>
        <w:tc>
          <w:tcPr>
            <w:tcW w:w="1290" w:type="dxa"/>
            <w:tcBorders>
              <w:top w:val="single" w:sz="6" w:space="0" w:color="000000"/>
              <w:left w:val="single" w:sz="6" w:space="0" w:color="000000"/>
              <w:bottom w:val="nil"/>
              <w:right w:val="single" w:sz="6" w:space="0" w:color="000000"/>
              <w:tl2br w:val="nil"/>
              <w:tr2bl w:val="nil"/>
            </w:tcBorders>
            <w:noWrap/>
            <w:vAlign w:val="center"/>
          </w:tcPr>
          <w:p>
            <w:r>
              <w:rPr>
                <w:rFonts w:ascii="宋体" w:eastAsia="宋体"/>
                <w:strike w:val="0"/>
                <w:dstrike w:val="0"/>
                <w:color w:val="000000"/>
                <w:sz w:val="16"/>
              </w:rPr>
              <w:t>一、</w:t>
            </w:r>
            <w:r>
              <w:rPr>
                <w:rFonts w:ascii="Calibri" w:hAnsi="Calibri"/>
                <w:strike w:val="0"/>
                <w:dstrike w:val="0"/>
                <w:color w:val="000000"/>
                <w:sz w:val="16"/>
              </w:rPr>
              <w:t> </w:t>
            </w:r>
            <w:r>
              <w:rPr>
                <w:rFonts w:ascii="宋体" w:eastAsia="宋体"/>
                <w:strike w:val="0"/>
                <w:dstrike w:val="0"/>
                <w:color w:val="000000"/>
                <w:sz w:val="16"/>
              </w:rPr>
              <w:t>基本情况</w:t>
            </w: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项目名称</w:t>
            </w:r>
          </w:p>
        </w:tc>
        <w:tc>
          <w:tcPr>
            <w:tcW w:w="247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6"/>
              </w:rPr>
              <w:t>劳务派遣人员费用</w:t>
            </w:r>
          </w:p>
        </w:tc>
        <w:tc>
          <w:tcPr>
            <w:tcW w:w="118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实施(主管）单位</w:t>
            </w:r>
          </w:p>
        </w:tc>
        <w:tc>
          <w:tcPr>
            <w:tcW w:w="3975"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河北省农业广播电视学校丰南分校</w:t>
            </w:r>
          </w:p>
        </w:tc>
      </w:tr>
      <w:tr>
        <w:trPr>
          <w:trHeight w:val="404"/>
        </w:trPr>
        <w:tc>
          <w:tcPr>
            <w:tcW w:w="1290" w:type="dxa"/>
            <w:vMerge w:val="restart"/>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二、预算执行情况</w:t>
            </w:r>
          </w:p>
        </w:tc>
        <w:tc>
          <w:tcPr>
            <w:tcW w:w="2310"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预算安排情况（调整后）</w:t>
            </w:r>
          </w:p>
        </w:tc>
        <w:tc>
          <w:tcPr>
            <w:tcW w:w="250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资金到位情况</w:t>
            </w:r>
          </w:p>
        </w:tc>
        <w:tc>
          <w:tcPr>
            <w:tcW w:w="2310"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资金执行情况</w:t>
            </w:r>
          </w:p>
        </w:tc>
        <w:tc>
          <w:tcPr>
            <w:tcW w:w="166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预算执行进度</w:t>
            </w:r>
          </w:p>
        </w:tc>
      </w:tr>
      <w:tr>
        <w:trPr>
          <w:trHeight w:val="404"/>
        </w:trPr>
        <w:tc>
          <w:tcPr>
            <w:tcW w:w="1290" w:type="dxa"/>
            <w:vMerge/>
            <w:tcBorders>
              <w:top w:val="nil"/>
              <w:left w:val="single" w:sz="6" w:space="0" w:color="000000"/>
              <w:bottom w:val="nil"/>
              <w:right w:val="single" w:sz="6" w:space="0" w:color="000000"/>
              <w:tl2br w:val="nil"/>
              <w:tr2bl w:val="nil"/>
            </w:tcBorders>
            <w:noWrap/>
            <w:vAlign w:val="center"/>
          </w:tcP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预算数：</w:t>
            </w: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20.47</w:t>
            </w:r>
          </w:p>
        </w:tc>
        <w:tc>
          <w:tcPr>
            <w:tcW w:w="1320" w:type="dxa"/>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到位数：</w:t>
            </w:r>
          </w:p>
        </w:tc>
        <w:tc>
          <w:tcPr>
            <w:tcW w:w="118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20.47</w:t>
            </w: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执行数：</w:t>
            </w: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20.47</w:t>
            </w:r>
          </w:p>
        </w:tc>
        <w:tc>
          <w:tcPr>
            <w:tcW w:w="1665" w:type="dxa"/>
            <w:vMerge w:val="restart"/>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100.00%</w:t>
            </w:r>
          </w:p>
        </w:tc>
      </w:tr>
      <w:tr>
        <w:trPr>
          <w:trHeight w:val="404"/>
        </w:trPr>
        <w:tc>
          <w:tcPr>
            <w:tcW w:w="1290" w:type="dxa"/>
            <w:vMerge/>
            <w:tcBorders>
              <w:top w:val="nil"/>
              <w:left w:val="single" w:sz="6" w:space="0" w:color="000000"/>
              <w:bottom w:val="nil"/>
              <w:right w:val="single" w:sz="6" w:space="0" w:color="000000"/>
              <w:tl2br w:val="nil"/>
              <w:tr2bl w:val="nil"/>
            </w:tcBorders>
            <w:noWrap/>
            <w:vAlign w:val="center"/>
          </w:tcP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其中：财政资金</w:t>
            </w: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20.47</w:t>
            </w:r>
          </w:p>
        </w:tc>
        <w:tc>
          <w:tcPr>
            <w:tcW w:w="1320"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其中：财政资金</w:t>
            </w:r>
          </w:p>
        </w:tc>
        <w:tc>
          <w:tcPr>
            <w:tcW w:w="118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20.47</w:t>
            </w: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其中：财政资金</w:t>
            </w: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20.47</w:t>
            </w:r>
          </w:p>
        </w:tc>
        <w:tc>
          <w:tcPr>
            <w:tcW w:w="1665" w:type="dxa"/>
            <w:vMerge/>
            <w:tcBorders>
              <w:top w:val="nil"/>
              <w:left w:val="single" w:sz="6" w:space="0" w:color="000000"/>
              <w:bottom w:val="nil"/>
              <w:right w:val="single" w:sz="6" w:space="0" w:color="000000"/>
              <w:tl2br w:val="nil"/>
              <w:tr2bl w:val="nil"/>
            </w:tcBorders>
            <w:noWrap/>
            <w:vAlign w:val="center"/>
          </w:tcPr>
          <w:p/>
        </w:tc>
      </w:tr>
      <w:tr>
        <w:trPr>
          <w:trHeight w:val="404"/>
        </w:trPr>
        <w:tc>
          <w:tcPr>
            <w:tcW w:w="1290" w:type="dxa"/>
            <w:vMerge/>
            <w:tcBorders>
              <w:top w:val="nil"/>
              <w:left w:val="single" w:sz="6" w:space="0" w:color="000000"/>
              <w:bottom w:val="single" w:sz="6" w:space="0" w:color="000000"/>
              <w:right w:val="single" w:sz="6" w:space="0" w:color="000000"/>
              <w:tl2br w:val="nil"/>
              <w:tr2bl w:val="nil"/>
            </w:tcBorders>
            <w:noWrap/>
            <w:vAlign w:val="center"/>
          </w:tcP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其他</w:t>
            </w: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tc>
        <w:tc>
          <w:tcPr>
            <w:tcW w:w="1320"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其他</w:t>
            </w:r>
          </w:p>
        </w:tc>
        <w:tc>
          <w:tcPr>
            <w:tcW w:w="1185" w:type="dxa"/>
            <w:tcBorders>
              <w:top w:val="single" w:sz="6" w:space="0" w:color="000000"/>
              <w:left w:val="single" w:sz="6" w:space="0" w:color="000000"/>
              <w:bottom w:val="single" w:sz="6" w:space="0" w:color="000000"/>
              <w:right w:val="single" w:sz="6" w:space="0" w:color="000000"/>
              <w:tl2br w:val="nil"/>
              <w:tr2bl w:val="nil"/>
            </w:tcBorders>
            <w:noWrap/>
            <w:vAlign w:val="center"/>
          </w:tcP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其他</w:t>
            </w: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tc>
        <w:tc>
          <w:tcPr>
            <w:tcW w:w="1665" w:type="dxa"/>
            <w:vMerge/>
            <w:tcBorders>
              <w:top w:val="nil"/>
              <w:left w:val="single" w:sz="6" w:space="0" w:color="000000"/>
              <w:bottom w:val="single" w:sz="6" w:space="0" w:color="000000"/>
              <w:right w:val="single" w:sz="6" w:space="0" w:color="000000"/>
              <w:tl2br w:val="nil"/>
              <w:tr2bl w:val="nil"/>
            </w:tcBorders>
            <w:noWrap/>
            <w:vAlign w:val="center"/>
          </w:tcPr>
          <w:p/>
        </w:tc>
      </w:tr>
      <w:tr>
        <w:trPr>
          <w:trHeight w:val="404"/>
        </w:trPr>
        <w:tc>
          <w:tcPr>
            <w:tcW w:w="1290" w:type="dxa"/>
            <w:vMerge w:val="restart"/>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三、目标完成情况</w:t>
            </w:r>
          </w:p>
        </w:tc>
        <w:tc>
          <w:tcPr>
            <w:tcW w:w="3630"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年度预期目标</w:t>
            </w:r>
          </w:p>
        </w:tc>
        <w:tc>
          <w:tcPr>
            <w:tcW w:w="3495"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具体完成情况</w:t>
            </w:r>
          </w:p>
        </w:tc>
        <w:tc>
          <w:tcPr>
            <w:tcW w:w="166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总体完成率</w:t>
            </w:r>
          </w:p>
        </w:tc>
      </w:tr>
      <w:tr>
        <w:trPr>
          <w:trHeight w:val="1214"/>
        </w:trPr>
        <w:tc>
          <w:tcPr>
            <w:tcW w:w="1290" w:type="dxa"/>
            <w:vMerge/>
            <w:tcBorders>
              <w:top w:val="nil"/>
              <w:left w:val="single" w:sz="6" w:space="0" w:color="000000"/>
              <w:bottom w:val="single" w:sz="6" w:space="0" w:color="000000"/>
              <w:right w:val="single" w:sz="6" w:space="0" w:color="000000"/>
              <w:tl2br w:val="nil"/>
              <w:tr2bl w:val="nil"/>
            </w:tcBorders>
            <w:noWrap/>
            <w:vAlign w:val="center"/>
          </w:tcPr>
          <w:p/>
        </w:tc>
        <w:tc>
          <w:tcPr>
            <w:tcW w:w="3630"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及时发放劳务派遣人员工资，保障机关正常运转</w:t>
            </w:r>
          </w:p>
        </w:tc>
        <w:tc>
          <w:tcPr>
            <w:tcW w:w="3495"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及时发放了劳务派遣人员工资，保障了机关正常运转</w:t>
            </w:r>
          </w:p>
        </w:tc>
        <w:tc>
          <w:tcPr>
            <w:tcW w:w="166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100%</w:t>
            </w:r>
          </w:p>
        </w:tc>
      </w:tr>
      <w:tr>
        <w:trPr>
          <w:trHeight w:val="404"/>
        </w:trPr>
        <w:tc>
          <w:tcPr>
            <w:tcW w:w="1290" w:type="dxa"/>
            <w:vMerge w:val="restart"/>
            <w:tcBorders>
              <w:top w:val="single" w:sz="6" w:space="0" w:color="000000"/>
              <w:left w:val="single" w:sz="6" w:space="0" w:color="auto"/>
              <w:bottom w:val="nil"/>
              <w:right w:val="nil"/>
              <w:tl2br w:val="nil"/>
              <w:tr2bl w:val="nil"/>
            </w:tcBorders>
            <w:noWrap/>
            <w:vAlign w:val="center"/>
          </w:tcPr>
          <w:p>
            <w:pPr>
              <w:jc w:val="center"/>
            </w:pPr>
            <w:r>
              <w:rPr>
                <w:rFonts w:ascii="宋体" w:eastAsia="宋体"/>
                <w:strike w:val="0"/>
                <w:dstrike w:val="0"/>
                <w:color w:val="000000"/>
                <w:sz w:val="16"/>
              </w:rPr>
              <w:t>四、</w:t>
            </w:r>
            <w:r>
              <w:rPr>
                <w:rFonts w:ascii="Calibri" w:hAnsi="Calibri"/>
                <w:strike w:val="0"/>
                <w:dstrike w:val="0"/>
                <w:color w:val="000000"/>
                <w:sz w:val="16"/>
              </w:rPr>
              <w:t> </w:t>
            </w:r>
            <w:r>
              <w:rPr>
                <w:rFonts w:ascii="宋体" w:eastAsia="宋体"/>
                <w:strike w:val="0"/>
                <w:dstrike w:val="0"/>
                <w:color w:val="000000"/>
                <w:sz w:val="16"/>
              </w:rPr>
              <w:t>年度绩效指标完成情况</w:t>
            </w:r>
          </w:p>
        </w:tc>
        <w:tc>
          <w:tcPr>
            <w:tcW w:w="1155" w:type="dxa"/>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一级指标</w:t>
            </w: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二级指标</w:t>
            </w:r>
          </w:p>
        </w:tc>
        <w:tc>
          <w:tcPr>
            <w:tcW w:w="250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三级指标</w:t>
            </w:r>
          </w:p>
        </w:tc>
        <w:tc>
          <w:tcPr>
            <w:tcW w:w="1155" w:type="dxa"/>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预期指标值</w:t>
            </w:r>
          </w:p>
        </w:tc>
        <w:tc>
          <w:tcPr>
            <w:tcW w:w="1155" w:type="dxa"/>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实际完成值</w:t>
            </w:r>
          </w:p>
        </w:tc>
        <w:tc>
          <w:tcPr>
            <w:tcW w:w="166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自评得分</w:t>
            </w:r>
          </w:p>
        </w:tc>
      </w:tr>
      <w:tr>
        <w:trPr>
          <w:trHeight w:val="419"/>
        </w:trPr>
        <w:tc>
          <w:tcPr>
            <w:tcW w:w="1290" w:type="dxa"/>
            <w:vMerge/>
            <w:tcBorders>
              <w:top w:val="nil"/>
              <w:left w:val="single" w:sz="6" w:space="0" w:color="auto"/>
              <w:bottom w:val="nil"/>
              <w:right w:val="nil"/>
              <w:tl2br w:val="nil"/>
              <w:tr2bl w:val="nil"/>
            </w:tcBorders>
            <w:noWrap/>
            <w:vAlign w:val="center"/>
          </w:tcPr>
          <w:p/>
        </w:tc>
        <w:tc>
          <w:tcPr>
            <w:tcW w:w="1155" w:type="dxa"/>
            <w:vMerge w:val="restart"/>
            <w:tcBorders>
              <w:top w:val="single" w:sz="6" w:space="0" w:color="auto"/>
              <w:left w:val="single" w:sz="6" w:space="0" w:color="auto"/>
              <w:bottom w:val="nil"/>
              <w:right w:val="single" w:sz="6" w:space="0" w:color="auto"/>
              <w:tl2br w:val="nil"/>
              <w:tr2bl w:val="nil"/>
            </w:tcBorders>
            <w:noWrap/>
            <w:vAlign w:val="center"/>
          </w:tcPr>
          <w:p>
            <w:pPr>
              <w:jc w:val="center"/>
            </w:pPr>
            <w:r>
              <w:rPr>
                <w:rFonts w:ascii="宋体" w:eastAsia="宋体" w:cs="Arial"/>
                <w:color w:val="000000"/>
                <w:sz w:val="16"/>
              </w:rPr>
              <w:t>产出指标（40）</w:t>
            </w:r>
          </w:p>
        </w:tc>
        <w:tc>
          <w:tcPr>
            <w:tcW w:w="1155" w:type="dxa"/>
            <w:tcBorders>
              <w:top w:val="single" w:sz="6" w:space="0" w:color="000000"/>
              <w:left w:val="nil"/>
              <w:bottom w:val="nil"/>
              <w:right w:val="single" w:sz="6" w:space="0" w:color="000000"/>
              <w:tl2br w:val="nil"/>
              <w:tr2bl w:val="nil"/>
            </w:tcBorders>
            <w:noWrap/>
            <w:vAlign w:val="center"/>
          </w:tcPr>
          <w:p>
            <w:pPr>
              <w:jc w:val="center"/>
            </w:pPr>
            <w:r>
              <w:rPr>
                <w:rFonts w:ascii="宋体" w:eastAsia="宋体" w:cs="Arial"/>
                <w:color w:val="000000"/>
                <w:sz w:val="16"/>
              </w:rPr>
              <w:t>数量指标</w:t>
            </w:r>
          </w:p>
        </w:tc>
        <w:tc>
          <w:tcPr>
            <w:tcW w:w="2505" w:type="dxa"/>
            <w:gridSpan w:val="2"/>
            <w:tcBorders>
              <w:top w:val="single" w:sz="6" w:space="0" w:color="000000"/>
              <w:left w:val="single" w:sz="6" w:space="0" w:color="000000"/>
              <w:bottom w:val="single" w:sz="6" w:space="0" w:color="000000"/>
              <w:right w:val="nil"/>
              <w:tl2br w:val="nil"/>
              <w:tr2bl w:val="nil"/>
            </w:tcBorders>
            <w:noWrap/>
            <w:vAlign w:val="center"/>
          </w:tcPr>
          <w:p>
            <w:r>
              <w:rPr>
                <w:rFonts w:ascii="宋体" w:eastAsia="宋体" w:cs="Arial"/>
                <w:color w:val="000000"/>
                <w:sz w:val="16"/>
              </w:rPr>
              <w:t>劳务派遣人员数量（10）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6"/>
              </w:rPr>
              <w:t>≥5人</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6"/>
              </w:rPr>
              <w:t>≥5人</w:t>
            </w:r>
          </w:p>
        </w:tc>
        <w:tc>
          <w:tcPr>
            <w:tcW w:w="1665" w:type="dxa"/>
            <w:tcBorders>
              <w:top w:val="single" w:sz="6" w:space="0" w:color="000000"/>
              <w:left w:val="nil"/>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10</w:t>
            </w:r>
          </w:p>
        </w:tc>
      </w:tr>
      <w:tr>
        <w:trPr>
          <w:trHeight w:val="419"/>
        </w:trPr>
        <w:tc>
          <w:tcPr>
            <w:tcW w:w="1290" w:type="dxa"/>
            <w:vMerge/>
            <w:tcBorders>
              <w:top w:val="nil"/>
              <w:left w:val="single" w:sz="6" w:space="0" w:color="auto"/>
              <w:bottom w:val="nil"/>
              <w:right w:val="nil"/>
              <w:tl2br w:val="nil"/>
              <w:tr2bl w:val="nil"/>
            </w:tcBorders>
            <w:noWrap/>
            <w:vAlign w:val="center"/>
          </w:tcPr>
          <w:p/>
        </w:tc>
        <w:tc>
          <w:tcPr>
            <w:tcW w:w="1155" w:type="dxa"/>
            <w:vMerge/>
            <w:tcBorders>
              <w:top w:val="nil"/>
              <w:left w:val="single" w:sz="6" w:space="0" w:color="auto"/>
              <w:bottom w:val="nil"/>
              <w:right w:val="single" w:sz="6" w:space="0" w:color="auto"/>
              <w:tl2br w:val="nil"/>
              <w:tr2bl w:val="nil"/>
            </w:tcBorders>
            <w:noWrap/>
            <w:vAlign w:val="center"/>
          </w:tcPr>
          <w:p/>
        </w:tc>
        <w:tc>
          <w:tcPr>
            <w:tcW w:w="1155" w:type="dxa"/>
            <w:tcBorders>
              <w:top w:val="single" w:sz="6" w:space="0" w:color="000000"/>
              <w:left w:val="nil"/>
              <w:bottom w:val="nil"/>
              <w:right w:val="single" w:sz="6" w:space="0" w:color="000000"/>
              <w:tl2br w:val="nil"/>
              <w:tr2bl w:val="nil"/>
            </w:tcBorders>
            <w:noWrap/>
            <w:vAlign w:val="center"/>
          </w:tcPr>
          <w:p>
            <w:pPr>
              <w:jc w:val="center"/>
            </w:pPr>
            <w:r>
              <w:rPr>
                <w:rFonts w:ascii="宋体" w:eastAsia="宋体" w:cs="Arial"/>
                <w:color w:val="000000"/>
                <w:sz w:val="16"/>
              </w:rPr>
              <w:t>时效指标</w:t>
            </w:r>
          </w:p>
        </w:tc>
        <w:tc>
          <w:tcPr>
            <w:tcW w:w="2505" w:type="dxa"/>
            <w:gridSpan w:val="2"/>
            <w:tcBorders>
              <w:top w:val="single" w:sz="6" w:space="0" w:color="000000"/>
              <w:left w:val="single" w:sz="6" w:space="0" w:color="000000"/>
              <w:bottom w:val="single" w:sz="6" w:space="0" w:color="000000"/>
              <w:right w:val="single" w:sz="6" w:space="0" w:color="auto"/>
              <w:tl2br w:val="nil"/>
              <w:tr2bl w:val="nil"/>
            </w:tcBorders>
            <w:noWrap/>
            <w:vAlign w:val="center"/>
          </w:tcPr>
          <w:p>
            <w:r>
              <w:rPr>
                <w:rFonts w:ascii="宋体" w:eastAsia="宋体" w:cs="Arial"/>
                <w:color w:val="000000"/>
                <w:sz w:val="16"/>
              </w:rPr>
              <w:t>工资及时发放率（10）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6"/>
              </w:rPr>
              <w:t>≥99%</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6"/>
              </w:rPr>
              <w:t>≥99%</w:t>
            </w:r>
          </w:p>
        </w:tc>
        <w:tc>
          <w:tcPr>
            <w:tcW w:w="1665" w:type="dxa"/>
            <w:tcBorders>
              <w:top w:val="single" w:sz="6" w:space="0" w:color="000000"/>
              <w:left w:val="nil"/>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10</w:t>
            </w:r>
          </w:p>
        </w:tc>
      </w:tr>
      <w:tr>
        <w:trPr>
          <w:trHeight w:val="404"/>
        </w:trPr>
        <w:tc>
          <w:tcPr>
            <w:tcW w:w="1290" w:type="dxa"/>
            <w:vMerge/>
            <w:tcBorders>
              <w:top w:val="nil"/>
              <w:left w:val="single" w:sz="6" w:space="0" w:color="auto"/>
              <w:bottom w:val="nil"/>
              <w:right w:val="nil"/>
              <w:tl2br w:val="nil"/>
              <w:tr2bl w:val="nil"/>
            </w:tcBorders>
            <w:noWrap/>
            <w:vAlign w:val="center"/>
          </w:tcPr>
          <w:p/>
        </w:tc>
        <w:tc>
          <w:tcPr>
            <w:tcW w:w="1155" w:type="dxa"/>
            <w:vMerge/>
            <w:tcBorders>
              <w:top w:val="nil"/>
              <w:left w:val="single" w:sz="6" w:space="0" w:color="auto"/>
              <w:bottom w:val="nil"/>
              <w:right w:val="single" w:sz="6" w:space="0" w:color="auto"/>
              <w:tl2br w:val="nil"/>
              <w:tr2bl w:val="nil"/>
            </w:tcBorders>
            <w:noWrap/>
            <w:vAlign w:val="center"/>
          </w:tcPr>
          <w:p/>
        </w:tc>
        <w:tc>
          <w:tcPr>
            <w:tcW w:w="1155" w:type="dxa"/>
            <w:tcBorders>
              <w:top w:val="single" w:sz="6" w:space="0" w:color="000000"/>
              <w:left w:val="nil"/>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质量指标</w:t>
            </w:r>
          </w:p>
        </w:tc>
        <w:tc>
          <w:tcPr>
            <w:tcW w:w="2505" w:type="dxa"/>
            <w:gridSpan w:val="2"/>
            <w:tcBorders>
              <w:top w:val="single" w:sz="6" w:space="0" w:color="000000"/>
              <w:left w:val="single" w:sz="6" w:space="0" w:color="000000"/>
              <w:bottom w:val="single" w:sz="6" w:space="0" w:color="000000"/>
              <w:right w:val="nil"/>
              <w:tl2br w:val="nil"/>
              <w:tr2bl w:val="nil"/>
            </w:tcBorders>
            <w:noWrap/>
            <w:vAlign w:val="center"/>
          </w:tcPr>
          <w:p>
            <w:r>
              <w:rPr>
                <w:rFonts w:ascii="宋体" w:eastAsia="宋体"/>
                <w:strike w:val="0"/>
                <w:dstrike w:val="0"/>
                <w:color w:val="000000"/>
                <w:sz w:val="16"/>
              </w:rPr>
              <w:t>工资发放准确率（10）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6"/>
              </w:rPr>
              <w:t>≥99%</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6"/>
              </w:rPr>
              <w:t>≥99%</w:t>
            </w:r>
          </w:p>
        </w:tc>
        <w:tc>
          <w:tcPr>
            <w:tcW w:w="166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16"/>
              </w:rPr>
              <w:t>10</w:t>
            </w:r>
          </w:p>
        </w:tc>
      </w:tr>
      <w:tr>
        <w:trPr>
          <w:trHeight w:val="404"/>
        </w:trPr>
        <w:tc>
          <w:tcPr>
            <w:tcW w:w="1290" w:type="dxa"/>
            <w:vMerge/>
            <w:tcBorders>
              <w:top w:val="nil"/>
              <w:left w:val="single" w:sz="6" w:space="0" w:color="auto"/>
              <w:bottom w:val="nil"/>
              <w:right w:val="nil"/>
              <w:tl2br w:val="nil"/>
              <w:tr2bl w:val="nil"/>
            </w:tcBorders>
            <w:noWrap/>
            <w:vAlign w:val="center"/>
          </w:tcPr>
          <w:p/>
        </w:tc>
        <w:tc>
          <w:tcPr>
            <w:tcW w:w="1155" w:type="dxa"/>
            <w:vMerge/>
            <w:tcBorders>
              <w:top w:val="nil"/>
              <w:left w:val="single" w:sz="6" w:space="0" w:color="auto"/>
              <w:bottom w:val="single" w:sz="6" w:space="0" w:color="auto"/>
              <w:right w:val="single" w:sz="6" w:space="0" w:color="auto"/>
              <w:tl2br w:val="nil"/>
              <w:tr2bl w:val="nil"/>
            </w:tcBorders>
            <w:noWrap/>
            <w:vAlign w:val="center"/>
          </w:tcPr>
          <w:p/>
        </w:tc>
        <w:tc>
          <w:tcPr>
            <w:tcW w:w="1155" w:type="dxa"/>
            <w:tcBorders>
              <w:top w:val="single" w:sz="6" w:space="0" w:color="000000"/>
              <w:left w:val="nil"/>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成本指标</w:t>
            </w:r>
          </w:p>
        </w:tc>
        <w:tc>
          <w:tcPr>
            <w:tcW w:w="2505" w:type="dxa"/>
            <w:gridSpan w:val="2"/>
            <w:tcBorders>
              <w:top w:val="single" w:sz="6" w:space="0" w:color="000000"/>
              <w:left w:val="single" w:sz="6" w:space="0" w:color="000000"/>
              <w:bottom w:val="single" w:sz="6" w:space="0" w:color="000000"/>
              <w:right w:val="nil"/>
              <w:tl2br w:val="nil"/>
              <w:tr2bl w:val="nil"/>
            </w:tcBorders>
            <w:noWrap/>
            <w:vAlign w:val="center"/>
          </w:tcPr>
          <w:p>
            <w:r>
              <w:rPr>
                <w:rFonts w:ascii="宋体" w:eastAsia="宋体" w:cs="Arial"/>
                <w:color w:val="000000"/>
                <w:sz w:val="16"/>
              </w:rPr>
              <w:t>劳务派遣人员月最低工资标准（10）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6"/>
              </w:rPr>
              <w:t>≥2100元/月，人</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6"/>
              </w:rPr>
              <w:t>≥2100元/月，人</w:t>
            </w:r>
          </w:p>
        </w:tc>
        <w:tc>
          <w:tcPr>
            <w:tcW w:w="166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16"/>
              </w:rPr>
              <w:t>10</w:t>
            </w:r>
          </w:p>
        </w:tc>
      </w:tr>
      <w:tr>
        <w:trPr>
          <w:trHeight w:val="419"/>
        </w:trPr>
        <w:tc>
          <w:tcPr>
            <w:tcW w:w="1290" w:type="dxa"/>
            <w:vMerge/>
            <w:tcBorders>
              <w:top w:val="nil"/>
              <w:left w:val="single" w:sz="6" w:space="0" w:color="auto"/>
              <w:bottom w:val="nil"/>
              <w:right w:val="nil"/>
              <w:tl2br w:val="nil"/>
              <w:tr2bl w:val="nil"/>
            </w:tcBorders>
            <w:noWrap/>
            <w:vAlign w:val="center"/>
          </w:tcPr>
          <w:p/>
        </w:tc>
        <w:tc>
          <w:tcPr>
            <w:tcW w:w="1155" w:type="dxa"/>
            <w:vMerge w:val="restart"/>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效益指标（30）</w:t>
            </w: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社会效益指标</w:t>
            </w:r>
          </w:p>
        </w:tc>
        <w:tc>
          <w:tcPr>
            <w:tcW w:w="250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安排就业人数（10）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6"/>
              </w:rPr>
              <w:t>≥0人</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6"/>
              </w:rPr>
              <w:t>≥0人</w:t>
            </w:r>
          </w:p>
        </w:tc>
        <w:tc>
          <w:tcPr>
            <w:tcW w:w="166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16"/>
              </w:rPr>
              <w:t>10</w:t>
            </w:r>
          </w:p>
        </w:tc>
      </w:tr>
      <w:tr>
        <w:trPr>
          <w:trHeight w:val="404"/>
        </w:trPr>
        <w:tc>
          <w:tcPr>
            <w:tcW w:w="1290" w:type="dxa"/>
            <w:vMerge/>
            <w:tcBorders>
              <w:top w:val="nil"/>
              <w:left w:val="single" w:sz="6" w:space="0" w:color="auto"/>
              <w:bottom w:val="nil"/>
              <w:right w:val="nil"/>
              <w:tl2br w:val="nil"/>
              <w:tr2bl w:val="nil"/>
            </w:tcBorders>
            <w:noWrap/>
            <w:vAlign w:val="center"/>
          </w:tcPr>
          <w:p/>
        </w:tc>
        <w:tc>
          <w:tcPr>
            <w:tcW w:w="1155" w:type="dxa"/>
            <w:vMerge/>
            <w:tcBorders>
              <w:top w:val="nil"/>
              <w:left w:val="single" w:sz="6" w:space="0" w:color="000000"/>
              <w:bottom w:val="nil"/>
              <w:right w:val="single" w:sz="6" w:space="0" w:color="000000"/>
              <w:tl2br w:val="nil"/>
              <w:tr2bl w:val="nil"/>
            </w:tcBorders>
            <w:noWrap/>
            <w:vAlign w:val="center"/>
          </w:tcP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经济效益指标</w:t>
            </w:r>
          </w:p>
        </w:tc>
        <w:tc>
          <w:tcPr>
            <w:tcW w:w="250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工资消费贡献率（10）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6"/>
              </w:rPr>
              <w:t>≥50%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6"/>
              </w:rPr>
              <w:t>≥50%</w:t>
            </w:r>
          </w:p>
        </w:tc>
        <w:tc>
          <w:tcPr>
            <w:tcW w:w="166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16"/>
              </w:rPr>
              <w:t>10</w:t>
            </w:r>
          </w:p>
        </w:tc>
      </w:tr>
      <w:tr>
        <w:trPr>
          <w:trHeight w:val="719"/>
        </w:trPr>
        <w:tc>
          <w:tcPr>
            <w:tcW w:w="1290" w:type="dxa"/>
            <w:vMerge/>
            <w:tcBorders>
              <w:top w:val="nil"/>
              <w:left w:val="single" w:sz="6" w:space="0" w:color="auto"/>
              <w:bottom w:val="nil"/>
              <w:right w:val="nil"/>
              <w:tl2br w:val="nil"/>
              <w:tr2bl w:val="nil"/>
            </w:tcBorders>
            <w:noWrap/>
            <w:vAlign w:val="center"/>
          </w:tcPr>
          <w:p/>
        </w:tc>
        <w:tc>
          <w:tcPr>
            <w:tcW w:w="1155" w:type="dxa"/>
            <w:vMerge/>
            <w:tcBorders>
              <w:top w:val="nil"/>
              <w:left w:val="single" w:sz="6" w:space="0" w:color="000000"/>
              <w:bottom w:val="nil"/>
              <w:right w:val="single" w:sz="6" w:space="0" w:color="000000"/>
              <w:tl2br w:val="nil"/>
              <w:tr2bl w:val="nil"/>
            </w:tcBorders>
            <w:noWrap/>
            <w:vAlign w:val="center"/>
          </w:tcP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可持续影响指标</w:t>
            </w:r>
          </w:p>
        </w:tc>
        <w:tc>
          <w:tcPr>
            <w:tcW w:w="250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保障事业发展（10）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6"/>
              </w:rPr>
              <w:t>≥0保障了机关正常运转</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6"/>
              </w:rPr>
              <w:t>≥0保障了机关正常运转</w:t>
            </w:r>
          </w:p>
        </w:tc>
        <w:tc>
          <w:tcPr>
            <w:tcW w:w="166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16"/>
              </w:rPr>
              <w:t>10</w:t>
            </w:r>
          </w:p>
        </w:tc>
      </w:tr>
      <w:tr>
        <w:trPr>
          <w:trHeight w:val="419"/>
        </w:trPr>
        <w:tc>
          <w:tcPr>
            <w:tcW w:w="1290" w:type="dxa"/>
            <w:vMerge/>
            <w:tcBorders>
              <w:top w:val="nil"/>
              <w:left w:val="single" w:sz="6" w:space="0" w:color="auto"/>
              <w:bottom w:val="nil"/>
              <w:right w:val="nil"/>
              <w:tl2br w:val="nil"/>
              <w:tr2bl w:val="nil"/>
            </w:tcBorders>
            <w:noWrap/>
            <w:vAlign w:val="center"/>
          </w:tcP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满意度指标（20）</w:t>
            </w: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满意度指标</w:t>
            </w:r>
          </w:p>
        </w:tc>
        <w:tc>
          <w:tcPr>
            <w:tcW w:w="250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劳务派遣人员满意度（20）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1665" w:type="dxa"/>
            <w:tcBorders>
              <w:top w:val="single" w:sz="6" w:space="0" w:color="000000"/>
              <w:left w:val="nil"/>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16"/>
              </w:rPr>
              <w:t>20</w:t>
            </w:r>
          </w:p>
        </w:tc>
      </w:tr>
      <w:tr>
        <w:trPr>
          <w:trHeight w:val="404"/>
        </w:trPr>
        <w:tc>
          <w:tcPr>
            <w:tcW w:w="1290" w:type="dxa"/>
            <w:vMerge/>
            <w:tcBorders>
              <w:top w:val="nil"/>
              <w:left w:val="single" w:sz="6" w:space="0" w:color="auto"/>
              <w:bottom w:val="nil"/>
              <w:right w:val="nil"/>
              <w:tl2br w:val="nil"/>
              <w:tr2bl w:val="nil"/>
            </w:tcBorders>
            <w:noWrap/>
            <w:vAlign w:val="center"/>
          </w:tc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6"/>
              </w:rPr>
              <w:t>预算执行率（10）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6"/>
              </w:rPr>
              <w:t>预算执行率</w:t>
            </w:r>
          </w:p>
        </w:tc>
        <w:tc>
          <w:tcPr>
            <w:tcW w:w="250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6"/>
              </w:rPr>
              <w:t>预算执行率（10）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166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Calibri" w:eastAsia="Calibri" w:cs="Arial" w:hAnsi="Calibri"/>
                <w:color w:val="000000"/>
                <w:sz w:val="16"/>
              </w:rPr>
              <w:t>10</w:t>
            </w:r>
          </w:p>
        </w:tc>
      </w:tr>
      <w:tr>
        <w:trPr>
          <w:trHeight w:val="404"/>
        </w:trPr>
        <w:tc>
          <w:tcPr>
            <w:tcW w:w="1290" w:type="dxa"/>
            <w:vMerge/>
            <w:tcBorders>
              <w:top w:val="nil"/>
              <w:left w:val="single" w:sz="6" w:space="0" w:color="auto"/>
              <w:bottom w:val="single" w:sz="6" w:space="0" w:color="auto"/>
              <w:right w:val="nil"/>
              <w:tl2br w:val="nil"/>
              <w:tr2bl w:val="nil"/>
            </w:tcBorders>
            <w:noWrap/>
            <w:vAlign w:val="center"/>
          </w:tcPr>
          <w:p/>
        </w:tc>
        <w:tc>
          <w:tcPr>
            <w:tcW w:w="7125" w:type="dxa"/>
            <w:gridSpan w:val="6"/>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6"/>
              </w:rPr>
              <w:t>总分</w:t>
            </w:r>
          </w:p>
        </w:tc>
        <w:tc>
          <w:tcPr>
            <w:tcW w:w="166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Calibri" w:eastAsia="Calibri" w:cs="Arial" w:hAnsi="Calibri"/>
                <w:color w:val="000000"/>
                <w:sz w:val="16"/>
              </w:rPr>
              <w:t>100</w:t>
            </w:r>
          </w:p>
        </w:tc>
      </w:tr>
      <w:tr>
        <w:trPr>
          <w:trHeight w:val="734"/>
        </w:trPr>
        <w:tc>
          <w:tcPr>
            <w:tcW w:w="1290" w:type="dxa"/>
            <w:tcBorders>
              <w:top w:val="nil"/>
              <w:left w:val="single" w:sz="6" w:space="0" w:color="000000"/>
              <w:bottom w:val="single" w:sz="6" w:space="0" w:color="000000"/>
              <w:right w:val="single" w:sz="6" w:space="0" w:color="000000"/>
              <w:tl2br w:val="nil"/>
              <w:tr2bl w:val="nil"/>
            </w:tcBorders>
            <w:noWrap/>
            <w:vAlign w:val="center"/>
          </w:tcPr>
          <w:p>
            <w:r>
              <w:rPr>
                <w:rFonts w:ascii="宋体" w:eastAsia="宋体"/>
                <w:strike w:val="0"/>
                <w:dstrike w:val="0"/>
                <w:color w:val="000000"/>
                <w:sz w:val="16"/>
              </w:rPr>
              <w:t>五、</w:t>
            </w:r>
            <w:r>
              <w:rPr>
                <w:rFonts w:ascii="Calibri" w:hAnsi="Calibri"/>
                <w:strike w:val="0"/>
                <w:dstrike w:val="0"/>
                <w:color w:val="000000"/>
                <w:sz w:val="16"/>
              </w:rPr>
              <w:t> </w:t>
            </w:r>
            <w:r>
              <w:rPr>
                <w:rFonts w:ascii="宋体" w:eastAsia="宋体"/>
                <w:strike w:val="0"/>
                <w:dstrike w:val="0"/>
                <w:color w:val="000000"/>
                <w:sz w:val="16"/>
              </w:rPr>
              <w:t>存在问题、原因及下一步整改措施</w:t>
            </w:r>
          </w:p>
        </w:tc>
        <w:tc>
          <w:tcPr>
            <w:tcW w:w="8790" w:type="dxa"/>
            <w:gridSpan w:val="7"/>
            <w:tcBorders>
              <w:top w:val="single" w:sz="6" w:space="0" w:color="auto"/>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不存在问题</w:t>
            </w:r>
          </w:p>
        </w:tc>
      </w:tr>
    </w:tbl>
    <w:p>
      <w:pPr>
        <w:adjustRightInd w:val="0"/>
        <w:snapToGrid w:val="0"/>
        <w:spacing w:line="580" w:lineRule="exact"/>
        <w:ind w:leftChars="200" w:left="420" w:firstLineChars="100" w:firstLine="320"/>
        <w:rPr>
          <w:rFonts w:ascii="仿宋_GB2312" w:eastAsia="仿宋_GB2312" w:cs="仿宋_GB2312" w:hAnsi="仿宋_GB2312"/>
          <w:bCs/>
          <w:sz w:val="32"/>
          <w:szCs w:val="32"/>
        </w:rPr>
      </w:pPr>
    </w:p>
    <w:tbl>
      <w:tblPr>
        <w:jc w:val="left"/>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290"/>
        <w:gridCol w:w="1155"/>
        <w:gridCol w:w="1155"/>
        <w:gridCol w:w="1320"/>
        <w:gridCol w:w="1185"/>
        <w:gridCol w:w="1155"/>
        <w:gridCol w:w="1155"/>
        <w:gridCol w:w="1530"/>
      </w:tblGrid>
      <w:tr>
        <w:trPr>
          <w:trHeight w:val="509"/>
        </w:trPr>
        <w:tc>
          <w:tcPr>
            <w:tcW w:w="9945" w:type="dxa"/>
            <w:gridSpan w:val="8"/>
            <w:tcBorders>
              <w:top w:val="nil"/>
              <w:left w:val="nil"/>
              <w:bottom w:val="nil"/>
              <w:right w:val="nil"/>
              <w:tl2br w:val="nil"/>
              <w:tr2bl w:val="nil"/>
            </w:tcBorders>
            <w:noWrap/>
            <w:vAlign w:val="center"/>
          </w:tcPr>
          <w:p>
            <w:pPr>
              <w:jc w:val="center"/>
            </w:pPr>
            <w:r>
              <w:rPr>
                <w:rFonts w:ascii="宋体" w:eastAsia="宋体" w:cs="Arial"/>
                <w:b/>
                <w:i w:val="0"/>
                <w:color w:val="000000"/>
                <w:sz w:val="40"/>
              </w:rPr>
              <w:t>部门预算项目绩效自评表</w:t>
            </w:r>
          </w:p>
        </w:tc>
      </w:tr>
      <w:tr>
        <w:trPr>
          <w:trHeight w:val="344"/>
        </w:trPr>
        <w:tc>
          <w:tcPr>
            <w:tcW w:w="9945" w:type="dxa"/>
            <w:gridSpan w:val="8"/>
            <w:tcBorders>
              <w:top w:val="nil"/>
              <w:left w:val="nil"/>
              <w:bottom w:val="nil"/>
              <w:right w:val="nil"/>
              <w:tl2br w:val="nil"/>
              <w:tr2bl w:val="nil"/>
            </w:tcBorders>
            <w:noWrap/>
            <w:vAlign w:val="bottom"/>
          </w:tcPr>
          <w:p>
            <w:pPr>
              <w:jc w:val="center"/>
            </w:pPr>
            <w:r>
              <w:rPr>
                <w:rFonts w:ascii="宋体" w:eastAsia="宋体" w:cs="Arial"/>
                <w:color w:val="000000"/>
                <w:sz w:val="20"/>
              </w:rPr>
              <w:t>（  2022  年度）</w:t>
            </w:r>
          </w:p>
        </w:tc>
      </w:tr>
      <w:tr>
        <w:trPr>
          <w:trHeight w:val="434"/>
        </w:trPr>
        <w:tc>
          <w:tcPr>
            <w:tcW w:w="1290" w:type="dxa"/>
            <w:tcBorders>
              <w:top w:val="nil"/>
              <w:left w:val="nil"/>
              <w:bottom w:val="nil"/>
              <w:right w:val="nil"/>
              <w:tl2br w:val="nil"/>
              <w:tr2bl w:val="nil"/>
            </w:tcBorders>
            <w:noWrap/>
            <w:vAlign w:val="center"/>
          </w:tcPr>
          <w:p>
            <w:r>
              <w:rPr>
                <w:rFonts w:ascii="宋体" w:eastAsia="宋体" w:cs="Arial"/>
                <w:color w:val="000000"/>
                <w:sz w:val="16"/>
              </w:rPr>
              <w:t>填报单位：</w:t>
            </w:r>
          </w:p>
        </w:tc>
        <w:tc>
          <w:tcPr>
            <w:tcW w:w="1155" w:type="dxa"/>
            <w:tcBorders>
              <w:top w:val="nil"/>
              <w:left w:val="nil"/>
              <w:bottom w:val="nil"/>
              <w:right w:val="nil"/>
              <w:tl2br w:val="nil"/>
              <w:tr2bl w:val="nil"/>
            </w:tcBorders>
            <w:noWrap/>
            <w:vAlign w:val="center"/>
          </w:tcPr>
          <w:p>
            <w:pPr>
              <w:jc w:val="center"/>
            </w:pPr>
            <w:r>
              <w:rPr>
                <w:rFonts w:ascii="宋体" w:eastAsia="宋体" w:cs="Arial"/>
                <w:color w:val="000000"/>
                <w:sz w:val="16"/>
              </w:rPr>
              <w:t>丰南农广校</w:t>
            </w:r>
          </w:p>
        </w:tc>
        <w:tc>
          <w:tcPr>
            <w:tcW w:w="1155" w:type="dxa"/>
            <w:tcBorders>
              <w:top w:val="nil"/>
              <w:left w:val="nil"/>
              <w:bottom w:val="nil"/>
              <w:right w:val="nil"/>
              <w:tl2br w:val="nil"/>
              <w:tr2bl w:val="nil"/>
            </w:tcBorders>
            <w:noWrap/>
            <w:vAlign w:val="center"/>
          </w:tcPr>
          <w:p>
            <w:pPr>
              <w:jc w:val="center"/>
            </w:pPr>
          </w:p>
        </w:tc>
        <w:tc>
          <w:tcPr>
            <w:tcW w:w="1320" w:type="dxa"/>
            <w:tcBorders>
              <w:top w:val="nil"/>
              <w:left w:val="nil"/>
              <w:bottom w:val="nil"/>
              <w:right w:val="nil"/>
              <w:tl2br w:val="nil"/>
              <w:tr2bl w:val="nil"/>
            </w:tcBorders>
            <w:noWrap/>
            <w:vAlign w:val="center"/>
          </w:tcPr>
          <w:p>
            <w:pPr>
              <w:jc w:val="center"/>
            </w:pPr>
          </w:p>
        </w:tc>
        <w:tc>
          <w:tcPr>
            <w:tcW w:w="1185" w:type="dxa"/>
            <w:tcBorders>
              <w:top w:val="nil"/>
              <w:left w:val="nil"/>
              <w:bottom w:val="nil"/>
              <w:right w:val="nil"/>
              <w:tl2br w:val="nil"/>
              <w:tr2bl w:val="nil"/>
            </w:tcBorders>
            <w:noWrap/>
            <w:vAlign w:val="center"/>
          </w:tcPr>
          <w:p>
            <w:pPr>
              <w:jc w:val="center"/>
            </w:pPr>
          </w:p>
        </w:tc>
        <w:tc>
          <w:tcPr>
            <w:tcW w:w="1155" w:type="dxa"/>
            <w:tcBorders>
              <w:top w:val="nil"/>
              <w:left w:val="nil"/>
              <w:bottom w:val="nil"/>
              <w:right w:val="nil"/>
              <w:tl2br w:val="nil"/>
              <w:tr2bl w:val="nil"/>
            </w:tcBorders>
            <w:noWrap/>
            <w:vAlign w:val="center"/>
          </w:tcPr>
          <w:p>
            <w:pPr>
              <w:jc w:val="center"/>
            </w:pPr>
          </w:p>
        </w:tc>
        <w:tc>
          <w:tcPr>
            <w:tcW w:w="1155" w:type="dxa"/>
            <w:tcBorders>
              <w:top w:val="nil"/>
              <w:left w:val="nil"/>
              <w:bottom w:val="nil"/>
              <w:right w:val="nil"/>
              <w:tl2br w:val="nil"/>
              <w:tr2bl w:val="nil"/>
            </w:tcBorders>
            <w:noWrap/>
            <w:vAlign w:val="center"/>
          </w:tcPr>
          <w:p>
            <w:pPr>
              <w:jc w:val="center"/>
            </w:pPr>
          </w:p>
        </w:tc>
        <w:tc>
          <w:tcPr>
            <w:tcW w:w="1530" w:type="dxa"/>
            <w:tcBorders>
              <w:top w:val="nil"/>
              <w:left w:val="nil"/>
              <w:bottom w:val="nil"/>
              <w:right w:val="nil"/>
              <w:tl2br w:val="nil"/>
              <w:tr2bl w:val="nil"/>
            </w:tcBorders>
            <w:noWrap/>
            <w:vAlign w:val="center"/>
          </w:tcPr>
          <w:p>
            <w:pPr>
              <w:jc w:val="center"/>
            </w:pPr>
            <w:r>
              <w:rPr>
                <w:rFonts w:ascii="宋体" w:eastAsia="宋体" w:cs="Arial"/>
                <w:color w:val="000000"/>
                <w:sz w:val="16"/>
              </w:rPr>
              <w:t>金额单位：万元</w:t>
            </w:r>
          </w:p>
        </w:tc>
      </w:tr>
      <w:tr>
        <w:trPr>
          <w:trHeight w:val="494"/>
        </w:trPr>
        <w:tc>
          <w:tcPr>
            <w:tcW w:w="1290" w:type="dxa"/>
            <w:tcBorders>
              <w:top w:val="single" w:sz="6" w:space="0" w:color="000000"/>
              <w:left w:val="single" w:sz="6" w:space="0" w:color="000000"/>
              <w:bottom w:val="nil"/>
              <w:right w:val="single" w:sz="6" w:space="0" w:color="000000"/>
              <w:tl2br w:val="nil"/>
              <w:tr2bl w:val="nil"/>
            </w:tcBorders>
            <w:noWrap/>
            <w:vAlign w:val="center"/>
          </w:tcPr>
          <w:p>
            <w:r>
              <w:rPr>
                <w:rFonts w:ascii="宋体" w:eastAsia="宋体"/>
                <w:strike w:val="0"/>
                <w:dstrike w:val="0"/>
                <w:color w:val="000000"/>
                <w:sz w:val="16"/>
              </w:rPr>
              <w:t>一、</w:t>
            </w:r>
            <w:r>
              <w:rPr>
                <w:rFonts w:ascii="Calibri" w:hAnsi="Calibri"/>
                <w:strike w:val="0"/>
                <w:dstrike w:val="0"/>
                <w:color w:val="000000"/>
                <w:sz w:val="16"/>
              </w:rPr>
              <w:t> </w:t>
            </w:r>
            <w:r>
              <w:rPr>
                <w:rFonts w:ascii="宋体" w:eastAsia="宋体"/>
                <w:strike w:val="0"/>
                <w:dstrike w:val="0"/>
                <w:color w:val="000000"/>
                <w:sz w:val="16"/>
              </w:rPr>
              <w:t>基本情况</w:t>
            </w: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项目名称</w:t>
            </w:r>
          </w:p>
        </w:tc>
        <w:tc>
          <w:tcPr>
            <w:tcW w:w="247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strike w:val="0"/>
                <w:dstrike w:val="0"/>
                <w:color w:val="000000"/>
                <w:sz w:val="16"/>
              </w:rPr>
              <w:t>上缴联合办学高校学费</w:t>
            </w:r>
          </w:p>
        </w:tc>
        <w:tc>
          <w:tcPr>
            <w:tcW w:w="118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实施(主管）单位</w:t>
            </w:r>
          </w:p>
        </w:tc>
        <w:tc>
          <w:tcPr>
            <w:tcW w:w="3840"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河北省农业广播电视学校丰南分校</w:t>
            </w:r>
          </w:p>
        </w:tc>
      </w:tr>
      <w:tr>
        <w:trPr>
          <w:trHeight w:val="404"/>
        </w:trPr>
        <w:tc>
          <w:tcPr>
            <w:tcW w:w="1290" w:type="dxa"/>
            <w:vMerge w:val="restart"/>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二、预算执行情况</w:t>
            </w:r>
          </w:p>
        </w:tc>
        <w:tc>
          <w:tcPr>
            <w:tcW w:w="2310"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预算安排情况（调整后）</w:t>
            </w:r>
          </w:p>
        </w:tc>
        <w:tc>
          <w:tcPr>
            <w:tcW w:w="250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资金到位情况</w:t>
            </w:r>
          </w:p>
        </w:tc>
        <w:tc>
          <w:tcPr>
            <w:tcW w:w="2310"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资金执行情况</w:t>
            </w:r>
          </w:p>
        </w:tc>
        <w:tc>
          <w:tcPr>
            <w:tcW w:w="1530"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预算执行进度</w:t>
            </w:r>
          </w:p>
        </w:tc>
      </w:tr>
      <w:tr>
        <w:trPr>
          <w:trHeight w:val="404"/>
        </w:trPr>
        <w:tc>
          <w:tcPr>
            <w:tcW w:w="1290" w:type="dxa"/>
            <w:vMerge/>
            <w:tcBorders>
              <w:top w:val="nil"/>
              <w:left w:val="single" w:sz="6" w:space="0" w:color="000000"/>
              <w:bottom w:val="nil"/>
              <w:right w:val="single" w:sz="6" w:space="0" w:color="000000"/>
              <w:tl2br w:val="nil"/>
              <w:tr2bl w:val="nil"/>
            </w:tcBorders>
            <w:noWrap/>
            <w:vAlign w:val="center"/>
          </w:tcP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预算数：</w:t>
            </w: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61.87</w:t>
            </w:r>
          </w:p>
        </w:tc>
        <w:tc>
          <w:tcPr>
            <w:tcW w:w="1320" w:type="dxa"/>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到位数：</w:t>
            </w:r>
          </w:p>
        </w:tc>
        <w:tc>
          <w:tcPr>
            <w:tcW w:w="118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61.87</w:t>
            </w: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执行数：</w:t>
            </w: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61.87</w:t>
            </w:r>
          </w:p>
        </w:tc>
        <w:tc>
          <w:tcPr>
            <w:tcW w:w="1530" w:type="dxa"/>
            <w:vMerge w:val="restart"/>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100.00%</w:t>
            </w:r>
          </w:p>
        </w:tc>
      </w:tr>
      <w:tr>
        <w:trPr>
          <w:trHeight w:val="404"/>
        </w:trPr>
        <w:tc>
          <w:tcPr>
            <w:tcW w:w="1290" w:type="dxa"/>
            <w:vMerge/>
            <w:tcBorders>
              <w:top w:val="nil"/>
              <w:left w:val="single" w:sz="6" w:space="0" w:color="000000"/>
              <w:bottom w:val="nil"/>
              <w:right w:val="single" w:sz="6" w:space="0" w:color="000000"/>
              <w:tl2br w:val="nil"/>
              <w:tr2bl w:val="nil"/>
            </w:tcBorders>
            <w:noWrap/>
            <w:vAlign w:val="center"/>
          </w:tcP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其中：财政资金</w:t>
            </w: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61.87</w:t>
            </w:r>
          </w:p>
        </w:tc>
        <w:tc>
          <w:tcPr>
            <w:tcW w:w="1320"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其中：财政资金</w:t>
            </w:r>
          </w:p>
        </w:tc>
        <w:tc>
          <w:tcPr>
            <w:tcW w:w="118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61.87</w:t>
            </w: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其中：财政资金</w:t>
            </w: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61.87</w:t>
            </w:r>
          </w:p>
        </w:tc>
        <w:tc>
          <w:tcPr>
            <w:tcW w:w="1530" w:type="dxa"/>
            <w:vMerge/>
            <w:tcBorders>
              <w:top w:val="nil"/>
              <w:left w:val="single" w:sz="6" w:space="0" w:color="000000"/>
              <w:bottom w:val="nil"/>
              <w:right w:val="single" w:sz="6" w:space="0" w:color="000000"/>
              <w:tl2br w:val="nil"/>
              <w:tr2bl w:val="nil"/>
            </w:tcBorders>
            <w:noWrap/>
            <w:vAlign w:val="center"/>
          </w:tcPr>
          <w:p/>
        </w:tc>
      </w:tr>
      <w:tr>
        <w:trPr>
          <w:trHeight w:val="404"/>
        </w:trPr>
        <w:tc>
          <w:tcPr>
            <w:tcW w:w="1290" w:type="dxa"/>
            <w:vMerge/>
            <w:tcBorders>
              <w:top w:val="nil"/>
              <w:left w:val="single" w:sz="6" w:space="0" w:color="000000"/>
              <w:bottom w:val="single" w:sz="6" w:space="0" w:color="000000"/>
              <w:right w:val="single" w:sz="6" w:space="0" w:color="000000"/>
              <w:tl2br w:val="nil"/>
              <w:tr2bl w:val="nil"/>
            </w:tcBorders>
            <w:noWrap/>
            <w:vAlign w:val="center"/>
          </w:tcP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其他</w:t>
            </w: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tc>
        <w:tc>
          <w:tcPr>
            <w:tcW w:w="1320"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其他</w:t>
            </w:r>
          </w:p>
        </w:tc>
        <w:tc>
          <w:tcPr>
            <w:tcW w:w="1185" w:type="dxa"/>
            <w:tcBorders>
              <w:top w:val="single" w:sz="6" w:space="0" w:color="000000"/>
              <w:left w:val="single" w:sz="6" w:space="0" w:color="000000"/>
              <w:bottom w:val="single" w:sz="6" w:space="0" w:color="000000"/>
              <w:right w:val="single" w:sz="6" w:space="0" w:color="000000"/>
              <w:tl2br w:val="nil"/>
              <w:tr2bl w:val="nil"/>
            </w:tcBorders>
            <w:noWrap/>
            <w:vAlign w:val="center"/>
          </w:tcP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其他</w:t>
            </w: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tc>
        <w:tc>
          <w:tcPr>
            <w:tcW w:w="1530" w:type="dxa"/>
            <w:vMerge/>
            <w:tcBorders>
              <w:top w:val="nil"/>
              <w:left w:val="single" w:sz="6" w:space="0" w:color="000000"/>
              <w:bottom w:val="single" w:sz="6" w:space="0" w:color="000000"/>
              <w:right w:val="single" w:sz="6" w:space="0" w:color="000000"/>
              <w:tl2br w:val="nil"/>
              <w:tr2bl w:val="nil"/>
            </w:tcBorders>
            <w:noWrap/>
            <w:vAlign w:val="center"/>
          </w:tcPr>
          <w:p/>
        </w:tc>
      </w:tr>
      <w:tr>
        <w:trPr>
          <w:trHeight w:val="404"/>
        </w:trPr>
        <w:tc>
          <w:tcPr>
            <w:tcW w:w="1290" w:type="dxa"/>
            <w:vMerge w:val="restart"/>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三、目标完成情况</w:t>
            </w:r>
          </w:p>
        </w:tc>
        <w:tc>
          <w:tcPr>
            <w:tcW w:w="3630"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年度预期目标</w:t>
            </w:r>
          </w:p>
        </w:tc>
        <w:tc>
          <w:tcPr>
            <w:tcW w:w="3495"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具体完成情况</w:t>
            </w:r>
          </w:p>
        </w:tc>
        <w:tc>
          <w:tcPr>
            <w:tcW w:w="1530"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总体完成率</w:t>
            </w:r>
          </w:p>
        </w:tc>
      </w:tr>
      <w:tr>
        <w:trPr>
          <w:trHeight w:val="1214"/>
        </w:trPr>
        <w:tc>
          <w:tcPr>
            <w:tcW w:w="1290" w:type="dxa"/>
            <w:vMerge/>
            <w:tcBorders>
              <w:top w:val="nil"/>
              <w:left w:val="single" w:sz="6" w:space="0" w:color="000000"/>
              <w:bottom w:val="single" w:sz="6" w:space="0" w:color="000000"/>
              <w:right w:val="single" w:sz="6" w:space="0" w:color="000000"/>
              <w:tl2br w:val="nil"/>
              <w:tr2bl w:val="nil"/>
            </w:tcBorders>
            <w:noWrap/>
            <w:vAlign w:val="center"/>
          </w:tcPr>
          <w:p/>
        </w:tc>
        <w:tc>
          <w:tcPr>
            <w:tcW w:w="3630"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保障及时上缴联合办学高校学费，保障学员顺利毕业</w:t>
            </w:r>
          </w:p>
        </w:tc>
        <w:tc>
          <w:tcPr>
            <w:tcW w:w="3495"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有效保障了及时上缴联合办学高校学费，保障学员顺利毕业</w:t>
            </w:r>
          </w:p>
        </w:tc>
        <w:tc>
          <w:tcPr>
            <w:tcW w:w="1530"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100%</w:t>
            </w:r>
          </w:p>
        </w:tc>
      </w:tr>
      <w:tr>
        <w:trPr>
          <w:trHeight w:val="404"/>
        </w:trPr>
        <w:tc>
          <w:tcPr>
            <w:tcW w:w="1290" w:type="dxa"/>
            <w:vMerge w:val="restart"/>
            <w:tcBorders>
              <w:top w:val="single" w:sz="6" w:space="0" w:color="000000"/>
              <w:left w:val="single" w:sz="6" w:space="0" w:color="auto"/>
              <w:bottom w:val="nil"/>
              <w:right w:val="nil"/>
              <w:tl2br w:val="nil"/>
              <w:tr2bl w:val="nil"/>
            </w:tcBorders>
            <w:noWrap/>
            <w:vAlign w:val="center"/>
          </w:tcPr>
          <w:p>
            <w:pPr>
              <w:jc w:val="center"/>
            </w:pPr>
            <w:r>
              <w:rPr>
                <w:rFonts w:ascii="宋体" w:eastAsia="宋体"/>
                <w:strike w:val="0"/>
                <w:dstrike w:val="0"/>
                <w:color w:val="000000"/>
                <w:sz w:val="16"/>
              </w:rPr>
              <w:t>四、</w:t>
            </w:r>
            <w:r>
              <w:rPr>
                <w:rFonts w:ascii="Calibri" w:hAnsi="Calibri"/>
                <w:strike w:val="0"/>
                <w:dstrike w:val="0"/>
                <w:color w:val="000000"/>
                <w:sz w:val="16"/>
              </w:rPr>
              <w:t> </w:t>
            </w:r>
            <w:r>
              <w:rPr>
                <w:rFonts w:ascii="宋体" w:eastAsia="宋体"/>
                <w:strike w:val="0"/>
                <w:dstrike w:val="0"/>
                <w:color w:val="000000"/>
                <w:sz w:val="16"/>
              </w:rPr>
              <w:t>年度绩效指标完成情况</w:t>
            </w:r>
          </w:p>
        </w:tc>
        <w:tc>
          <w:tcPr>
            <w:tcW w:w="1155" w:type="dxa"/>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一级指标</w:t>
            </w: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二级指标</w:t>
            </w:r>
          </w:p>
        </w:tc>
        <w:tc>
          <w:tcPr>
            <w:tcW w:w="250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三级指标</w:t>
            </w:r>
          </w:p>
        </w:tc>
        <w:tc>
          <w:tcPr>
            <w:tcW w:w="1155" w:type="dxa"/>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预期指标值</w:t>
            </w:r>
          </w:p>
        </w:tc>
        <w:tc>
          <w:tcPr>
            <w:tcW w:w="1155" w:type="dxa"/>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实际完成值</w:t>
            </w:r>
          </w:p>
        </w:tc>
        <w:tc>
          <w:tcPr>
            <w:tcW w:w="1530"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自评得分</w:t>
            </w:r>
          </w:p>
        </w:tc>
      </w:tr>
      <w:tr>
        <w:trPr>
          <w:trHeight w:val="404"/>
        </w:trPr>
        <w:tc>
          <w:tcPr>
            <w:tcW w:w="1290" w:type="dxa"/>
            <w:vMerge/>
            <w:tcBorders>
              <w:top w:val="nil"/>
              <w:left w:val="single" w:sz="6" w:space="0" w:color="auto"/>
              <w:bottom w:val="nil"/>
              <w:right w:val="nil"/>
              <w:tl2br w:val="nil"/>
              <w:tr2bl w:val="nil"/>
            </w:tcBorders>
            <w:noWrap/>
            <w:vAlign w:val="center"/>
          </w:tcPr>
          <w:p/>
        </w:tc>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6"/>
              </w:rPr>
              <w:t>产出指标（50）</w:t>
            </w:r>
          </w:p>
        </w:tc>
        <w:tc>
          <w:tcPr>
            <w:tcW w:w="1155" w:type="dxa"/>
            <w:vMerge w:val="restart"/>
            <w:tcBorders>
              <w:top w:val="single" w:sz="6" w:space="0" w:color="000000"/>
              <w:left w:val="nil"/>
              <w:bottom w:val="nil"/>
              <w:right w:val="single" w:sz="6" w:space="0" w:color="000000"/>
              <w:tl2br w:val="nil"/>
              <w:tr2bl w:val="nil"/>
            </w:tcBorders>
            <w:noWrap/>
            <w:vAlign w:val="center"/>
          </w:tcPr>
          <w:p>
            <w:pPr>
              <w:jc w:val="center"/>
            </w:pPr>
            <w:r>
              <w:rPr>
                <w:rFonts w:ascii="宋体" w:eastAsia="宋体" w:cs="Arial"/>
                <w:color w:val="000000"/>
                <w:sz w:val="16"/>
              </w:rPr>
              <w:t>数量指标</w:t>
            </w:r>
          </w:p>
        </w:tc>
        <w:tc>
          <w:tcPr>
            <w:tcW w:w="2505" w:type="dxa"/>
            <w:gridSpan w:val="2"/>
            <w:tcBorders>
              <w:top w:val="single" w:sz="6" w:space="0" w:color="000000"/>
              <w:left w:val="single" w:sz="6" w:space="0" w:color="000000"/>
              <w:bottom w:val="single" w:sz="6" w:space="0" w:color="000000"/>
              <w:right w:val="nil"/>
              <w:tl2br w:val="nil"/>
              <w:tr2bl w:val="nil"/>
            </w:tcBorders>
            <w:noWrap/>
            <w:vAlign w:val="center"/>
          </w:tcPr>
          <w:p>
            <w:r>
              <w:rPr>
                <w:rFonts w:ascii="宋体" w:eastAsia="宋体" w:cs="Arial"/>
                <w:color w:val="000000"/>
                <w:sz w:val="16"/>
              </w:rPr>
              <w:t>招生指标完成率（10）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1530" w:type="dxa"/>
            <w:tcBorders>
              <w:top w:val="single" w:sz="6" w:space="0" w:color="000000"/>
              <w:left w:val="nil"/>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10</w:t>
            </w:r>
          </w:p>
        </w:tc>
      </w:tr>
      <w:tr>
        <w:trPr>
          <w:trHeight w:val="404"/>
        </w:trPr>
        <w:tc>
          <w:tcPr>
            <w:tcW w:w="1290" w:type="dxa"/>
            <w:vMerge/>
            <w:tcBorders>
              <w:top w:val="nil"/>
              <w:left w:val="single" w:sz="6" w:space="0" w:color="auto"/>
              <w:bottom w:val="nil"/>
              <w:right w:val="nil"/>
              <w:tl2br w:val="nil"/>
              <w:tr2bl w:val="nil"/>
            </w:tcBorders>
            <w:noWrap/>
            <w:vAlign w:val="center"/>
          </w:tcPr>
          <w:p/>
        </w:tc>
        <w:tc>
          <w:tcPr>
            <w:tcW w:w="1155"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155" w:type="dxa"/>
            <w:vMerge/>
            <w:tcBorders>
              <w:top w:val="nil"/>
              <w:left w:val="nil"/>
              <w:bottom w:val="nil"/>
              <w:right w:val="single" w:sz="6" w:space="0" w:color="000000"/>
              <w:tl2br w:val="nil"/>
              <w:tr2bl w:val="nil"/>
            </w:tcBorders>
            <w:noWrap/>
            <w:vAlign w:val="center"/>
          </w:tcPr>
          <w:p/>
        </w:tc>
        <w:tc>
          <w:tcPr>
            <w:tcW w:w="2505" w:type="dxa"/>
            <w:gridSpan w:val="2"/>
            <w:tcBorders>
              <w:top w:val="single" w:sz="6" w:space="0" w:color="000000"/>
              <w:left w:val="single" w:sz="6" w:space="0" w:color="000000"/>
              <w:bottom w:val="single" w:sz="6" w:space="0" w:color="000000"/>
              <w:right w:val="nil"/>
              <w:tl2br w:val="nil"/>
              <w:tr2bl w:val="nil"/>
            </w:tcBorders>
            <w:noWrap/>
            <w:vAlign w:val="center"/>
          </w:tcPr>
          <w:p>
            <w:r>
              <w:rPr>
                <w:rFonts w:ascii="宋体" w:eastAsia="宋体" w:cs="Arial"/>
                <w:color w:val="000000"/>
                <w:sz w:val="16"/>
              </w:rPr>
              <w:t>特色教学百分比（5）</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≥20%</w:t>
            </w:r>
          </w:p>
        </w:tc>
        <w:tc>
          <w:tcPr>
            <w:tcW w:w="1155" w:type="dxa"/>
            <w:tcBorders>
              <w:top w:val="nil"/>
              <w:left w:val="nil"/>
              <w:bottom w:val="nil"/>
              <w:right w:val="nil"/>
              <w:tl2br w:val="nil"/>
              <w:tr2bl w:val="nil"/>
            </w:tcBorders>
            <w:noWrap/>
            <w:vAlign w:val="center"/>
          </w:tcPr>
          <w:p>
            <w:r>
              <w:rPr>
                <w:rFonts w:ascii="宋体" w:eastAsia="宋体" w:cs="Arial"/>
                <w:color w:val="000000"/>
                <w:sz w:val="18"/>
              </w:rPr>
              <w:t>≥20%</w:t>
            </w:r>
          </w:p>
        </w:tc>
        <w:tc>
          <w:tcPr>
            <w:tcW w:w="1530"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5</w:t>
            </w:r>
          </w:p>
        </w:tc>
      </w:tr>
      <w:tr>
        <w:trPr>
          <w:trHeight w:val="404"/>
        </w:trPr>
        <w:tc>
          <w:tcPr>
            <w:tcW w:w="1290" w:type="dxa"/>
            <w:vMerge/>
            <w:tcBorders>
              <w:top w:val="nil"/>
              <w:left w:val="single" w:sz="6" w:space="0" w:color="auto"/>
              <w:bottom w:val="nil"/>
              <w:right w:val="nil"/>
              <w:tl2br w:val="nil"/>
              <w:tr2bl w:val="nil"/>
            </w:tcBorders>
            <w:noWrap/>
            <w:vAlign w:val="center"/>
          </w:tcPr>
          <w:p/>
        </w:tc>
        <w:tc>
          <w:tcPr>
            <w:tcW w:w="1155"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155" w:type="dxa"/>
            <w:vMerge/>
            <w:tcBorders>
              <w:top w:val="nil"/>
              <w:left w:val="nil"/>
              <w:bottom w:val="single" w:sz="6" w:space="0" w:color="000000"/>
              <w:right w:val="single" w:sz="6" w:space="0" w:color="000000"/>
              <w:tl2br w:val="nil"/>
              <w:tr2bl w:val="nil"/>
            </w:tcBorders>
            <w:noWrap/>
            <w:vAlign w:val="center"/>
          </w:tcPr>
          <w:p/>
        </w:tc>
        <w:tc>
          <w:tcPr>
            <w:tcW w:w="250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培训、轮训完成率（5）</w:t>
            </w:r>
          </w:p>
        </w:tc>
        <w:tc>
          <w:tcPr>
            <w:tcW w:w="1155" w:type="dxa"/>
            <w:tcBorders>
              <w:top w:val="nil"/>
              <w:left w:val="nil"/>
              <w:bottom w:val="nil"/>
              <w:right w:val="nil"/>
              <w:tl2br w:val="nil"/>
              <w:tr2bl w:val="nil"/>
            </w:tcBorders>
            <w:noWrap/>
            <w:vAlign w:val="center"/>
          </w:tcPr>
          <w:p>
            <w:r>
              <w:rPr>
                <w:rFonts w:ascii="宋体" w:eastAsia="宋体" w:cs="Arial"/>
                <w:color w:val="000000"/>
                <w:sz w:val="18"/>
              </w:rPr>
              <w:t>≥100%</w:t>
            </w:r>
          </w:p>
        </w:tc>
        <w:tc>
          <w:tcPr>
            <w:tcW w:w="1155" w:type="dxa"/>
            <w:tcBorders>
              <w:top w:val="nil"/>
              <w:left w:val="nil"/>
              <w:bottom w:val="nil"/>
              <w:right w:val="nil"/>
              <w:tl2br w:val="nil"/>
              <w:tr2bl w:val="nil"/>
            </w:tcBorders>
            <w:noWrap/>
            <w:vAlign w:val="center"/>
          </w:tcPr>
          <w:p>
            <w:r>
              <w:rPr>
                <w:rFonts w:ascii="宋体" w:eastAsia="宋体" w:cs="Arial"/>
                <w:color w:val="000000"/>
                <w:sz w:val="18"/>
              </w:rPr>
              <w:t>≥100%</w:t>
            </w:r>
          </w:p>
        </w:tc>
        <w:tc>
          <w:tcPr>
            <w:tcW w:w="1530"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5</w:t>
            </w:r>
          </w:p>
        </w:tc>
      </w:tr>
      <w:tr>
        <w:trPr>
          <w:trHeight w:val="404"/>
        </w:trPr>
        <w:tc>
          <w:tcPr>
            <w:tcW w:w="1290" w:type="dxa"/>
            <w:vMerge/>
            <w:tcBorders>
              <w:top w:val="nil"/>
              <w:left w:val="single" w:sz="6" w:space="0" w:color="auto"/>
              <w:bottom w:val="nil"/>
              <w:right w:val="nil"/>
              <w:tl2br w:val="nil"/>
              <w:tr2bl w:val="nil"/>
            </w:tcBorders>
            <w:noWrap/>
            <w:vAlign w:val="center"/>
          </w:tcPr>
          <w:p/>
        </w:tc>
        <w:tc>
          <w:tcPr>
            <w:tcW w:w="1155"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155" w:type="dxa"/>
            <w:vMerge w:val="restart"/>
            <w:tcBorders>
              <w:top w:val="single" w:sz="6" w:space="0" w:color="000000"/>
              <w:left w:val="nil"/>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质量指标</w:t>
            </w:r>
          </w:p>
        </w:tc>
        <w:tc>
          <w:tcPr>
            <w:tcW w:w="250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学生毕业率（10）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1530"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10</w:t>
            </w:r>
          </w:p>
        </w:tc>
      </w:tr>
      <w:tr>
        <w:trPr>
          <w:trHeight w:val="404"/>
        </w:trPr>
        <w:tc>
          <w:tcPr>
            <w:tcW w:w="1290" w:type="dxa"/>
            <w:vMerge/>
            <w:tcBorders>
              <w:top w:val="nil"/>
              <w:left w:val="single" w:sz="6" w:space="0" w:color="auto"/>
              <w:bottom w:val="nil"/>
              <w:right w:val="nil"/>
              <w:tl2br w:val="nil"/>
              <w:tr2bl w:val="nil"/>
            </w:tcBorders>
            <w:noWrap/>
            <w:vAlign w:val="center"/>
          </w:tcPr>
          <w:p/>
        </w:tc>
        <w:tc>
          <w:tcPr>
            <w:tcW w:w="1155"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155" w:type="dxa"/>
            <w:vMerge/>
            <w:tcBorders>
              <w:top w:val="single" w:sz="6" w:space="0" w:color="000000"/>
              <w:left w:val="nil"/>
              <w:bottom w:val="single" w:sz="6" w:space="0" w:color="000000"/>
              <w:right w:val="single" w:sz="6" w:space="0" w:color="000000"/>
              <w:tl2br w:val="nil"/>
              <w:tr2bl w:val="nil"/>
            </w:tcBorders>
            <w:noWrap/>
            <w:vAlign w:val="center"/>
          </w:tcPr>
          <w:p/>
        </w:tc>
        <w:tc>
          <w:tcPr>
            <w:tcW w:w="250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教师培训合格率（5）</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1530"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5</w:t>
            </w:r>
          </w:p>
        </w:tc>
      </w:tr>
      <w:tr>
        <w:trPr>
          <w:trHeight w:val="404"/>
        </w:trPr>
        <w:tc>
          <w:tcPr>
            <w:tcW w:w="1290" w:type="dxa"/>
            <w:vMerge/>
            <w:tcBorders>
              <w:top w:val="nil"/>
              <w:left w:val="single" w:sz="6" w:space="0" w:color="auto"/>
              <w:bottom w:val="nil"/>
              <w:right w:val="nil"/>
              <w:tl2br w:val="nil"/>
              <w:tr2bl w:val="nil"/>
            </w:tcBorders>
            <w:noWrap/>
            <w:vAlign w:val="center"/>
          </w:tcPr>
          <w:p/>
        </w:tc>
        <w:tc>
          <w:tcPr>
            <w:tcW w:w="1155"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155" w:type="dxa"/>
            <w:tcBorders>
              <w:top w:val="single" w:sz="6" w:space="0" w:color="000000"/>
              <w:left w:val="nil"/>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时效指标</w:t>
            </w:r>
          </w:p>
        </w:tc>
        <w:tc>
          <w:tcPr>
            <w:tcW w:w="250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预算执行率（5）</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1530"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5</w:t>
            </w:r>
          </w:p>
        </w:tc>
      </w:tr>
      <w:tr>
        <w:trPr>
          <w:trHeight w:val="404"/>
        </w:trPr>
        <w:tc>
          <w:tcPr>
            <w:tcW w:w="1290" w:type="dxa"/>
            <w:vMerge/>
            <w:tcBorders>
              <w:top w:val="nil"/>
              <w:left w:val="single" w:sz="6" w:space="0" w:color="auto"/>
              <w:bottom w:val="nil"/>
              <w:right w:val="nil"/>
              <w:tl2br w:val="nil"/>
              <w:tr2bl w:val="nil"/>
            </w:tcBorders>
            <w:noWrap/>
            <w:vAlign w:val="center"/>
          </w:tcPr>
          <w:p/>
        </w:tc>
        <w:tc>
          <w:tcPr>
            <w:tcW w:w="1155"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155" w:type="dxa"/>
            <w:tcBorders>
              <w:top w:val="single" w:sz="6" w:space="0" w:color="000000"/>
              <w:left w:val="nil"/>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成本指标</w:t>
            </w:r>
          </w:p>
        </w:tc>
        <w:tc>
          <w:tcPr>
            <w:tcW w:w="250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上缴学费率（10）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1530"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10</w:t>
            </w:r>
          </w:p>
        </w:tc>
      </w:tr>
      <w:tr>
        <w:trPr>
          <w:trHeight w:val="404"/>
        </w:trPr>
        <w:tc>
          <w:tcPr>
            <w:tcW w:w="1290" w:type="dxa"/>
            <w:vMerge/>
            <w:tcBorders>
              <w:top w:val="nil"/>
              <w:left w:val="single" w:sz="6" w:space="0" w:color="auto"/>
              <w:bottom w:val="nil"/>
              <w:right w:val="nil"/>
              <w:tl2br w:val="nil"/>
              <w:tr2bl w:val="nil"/>
            </w:tcBorders>
            <w:noWrap/>
            <w:vAlign w:val="center"/>
          </w:tcPr>
          <w:p/>
        </w:tc>
        <w:tc>
          <w:tcPr>
            <w:tcW w:w="1155" w:type="dxa"/>
            <w:vMerge w:val="restart"/>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效益指标（30）</w:t>
            </w:r>
          </w:p>
        </w:tc>
        <w:tc>
          <w:tcPr>
            <w:tcW w:w="115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社会效益指标</w:t>
            </w:r>
          </w:p>
        </w:tc>
        <w:tc>
          <w:tcPr>
            <w:tcW w:w="250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招生宣传覆盖率（10）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1530"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10</w:t>
            </w:r>
          </w:p>
        </w:tc>
      </w:tr>
      <w:tr>
        <w:trPr>
          <w:trHeight w:val="404"/>
        </w:trPr>
        <w:tc>
          <w:tcPr>
            <w:tcW w:w="1290" w:type="dxa"/>
            <w:vMerge/>
            <w:tcBorders>
              <w:top w:val="nil"/>
              <w:left w:val="single" w:sz="6" w:space="0" w:color="auto"/>
              <w:bottom w:val="nil"/>
              <w:right w:val="nil"/>
              <w:tl2br w:val="nil"/>
              <w:tr2bl w:val="nil"/>
            </w:tcBorders>
            <w:noWrap/>
            <w:vAlign w:val="center"/>
          </w:tcPr>
          <w:p/>
        </w:tc>
        <w:tc>
          <w:tcPr>
            <w:tcW w:w="1155" w:type="dxa"/>
            <w:vMerge/>
            <w:tcBorders>
              <w:top w:val="nil"/>
              <w:left w:val="single" w:sz="6" w:space="0" w:color="000000"/>
              <w:bottom w:val="nil"/>
              <w:right w:val="single" w:sz="6" w:space="0" w:color="000000"/>
              <w:tl2br w:val="nil"/>
              <w:tr2bl w:val="nil"/>
            </w:tcBorders>
            <w:noWrap/>
            <w:vAlign w:val="center"/>
          </w:tcPr>
          <w:p/>
        </w:tc>
        <w:tc>
          <w:tcPr>
            <w:tcW w:w="1155" w:type="dxa"/>
            <w:vMerge/>
            <w:tcBorders>
              <w:top w:val="single" w:sz="6" w:space="0" w:color="000000"/>
              <w:left w:val="single" w:sz="6" w:space="0" w:color="000000"/>
              <w:bottom w:val="single" w:sz="6" w:space="0" w:color="000000"/>
              <w:right w:val="single" w:sz="6" w:space="0" w:color="000000"/>
              <w:tl2br w:val="nil"/>
              <w:tr2bl w:val="nil"/>
            </w:tcBorders>
            <w:noWrap/>
            <w:vAlign w:val="center"/>
          </w:tcPr>
          <w:p/>
        </w:tc>
        <w:tc>
          <w:tcPr>
            <w:tcW w:w="250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考试及格率（10）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1530"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10</w:t>
            </w:r>
          </w:p>
        </w:tc>
      </w:tr>
      <w:tr>
        <w:trPr>
          <w:trHeight w:val="404"/>
        </w:trPr>
        <w:tc>
          <w:tcPr>
            <w:tcW w:w="1290" w:type="dxa"/>
            <w:vMerge/>
            <w:tcBorders>
              <w:top w:val="nil"/>
              <w:left w:val="single" w:sz="6" w:space="0" w:color="auto"/>
              <w:bottom w:val="nil"/>
              <w:right w:val="nil"/>
              <w:tl2br w:val="nil"/>
              <w:tr2bl w:val="nil"/>
            </w:tcBorders>
            <w:noWrap/>
            <w:vAlign w:val="center"/>
          </w:tcPr>
          <w:p/>
        </w:tc>
        <w:tc>
          <w:tcPr>
            <w:tcW w:w="1155" w:type="dxa"/>
            <w:vMerge/>
            <w:tcBorders>
              <w:top w:val="nil"/>
              <w:left w:val="single" w:sz="6" w:space="0" w:color="000000"/>
              <w:bottom w:val="nil"/>
              <w:right w:val="single" w:sz="6" w:space="0" w:color="000000"/>
              <w:tl2br w:val="nil"/>
              <w:tr2bl w:val="nil"/>
            </w:tcBorders>
            <w:noWrap/>
            <w:vAlign w:val="center"/>
          </w:tcPr>
          <w:p/>
        </w:tc>
        <w:tc>
          <w:tcPr>
            <w:tcW w:w="115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可持续影响指标</w:t>
            </w:r>
          </w:p>
        </w:tc>
        <w:tc>
          <w:tcPr>
            <w:tcW w:w="250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档案管理规范度（10）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1530"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10</w:t>
            </w:r>
          </w:p>
        </w:tc>
      </w:tr>
      <w:tr>
        <w:trPr>
          <w:trHeight w:val="404"/>
        </w:trPr>
        <w:tc>
          <w:tcPr>
            <w:tcW w:w="1290" w:type="dxa"/>
            <w:vMerge/>
            <w:tcBorders>
              <w:top w:val="nil"/>
              <w:left w:val="single" w:sz="6" w:space="0" w:color="auto"/>
              <w:bottom w:val="nil"/>
              <w:right w:val="nil"/>
              <w:tl2br w:val="nil"/>
              <w:tr2bl w:val="nil"/>
            </w:tcBorders>
            <w:noWrap/>
            <w:vAlign w:val="center"/>
          </w:tcPr>
          <w:p/>
        </w:tc>
        <w:tc>
          <w:tcPr>
            <w:tcW w:w="115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满意度指标（10）</w:t>
            </w:r>
          </w:p>
        </w:tc>
        <w:tc>
          <w:tcPr>
            <w:tcW w:w="1155" w:type="dxa"/>
            <w:vMerge w:val="restart"/>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满意度指标</w:t>
            </w:r>
          </w:p>
        </w:tc>
        <w:tc>
          <w:tcPr>
            <w:tcW w:w="250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学员满意度（5）</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1530" w:type="dxa"/>
            <w:tcBorders>
              <w:top w:val="single" w:sz="6" w:space="0" w:color="000000"/>
              <w:left w:val="nil"/>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5</w:t>
            </w:r>
          </w:p>
        </w:tc>
      </w:tr>
      <w:tr>
        <w:trPr>
          <w:trHeight w:val="404"/>
        </w:trPr>
        <w:tc>
          <w:tcPr>
            <w:tcW w:w="1290" w:type="dxa"/>
            <w:vMerge/>
            <w:tcBorders>
              <w:top w:val="nil"/>
              <w:left w:val="single" w:sz="6" w:space="0" w:color="auto"/>
              <w:bottom w:val="nil"/>
              <w:right w:val="nil"/>
              <w:tl2br w:val="nil"/>
              <w:tr2bl w:val="nil"/>
            </w:tcBorders>
            <w:noWrap/>
            <w:vAlign w:val="center"/>
          </w:tcPr>
          <w:p/>
        </w:tc>
        <w:tc>
          <w:tcPr>
            <w:tcW w:w="1155" w:type="dxa"/>
            <w:vMerge/>
            <w:tcBorders>
              <w:top w:val="single" w:sz="6" w:space="0" w:color="000000"/>
              <w:left w:val="single" w:sz="6" w:space="0" w:color="000000"/>
              <w:bottom w:val="single" w:sz="6" w:space="0" w:color="000000"/>
              <w:right w:val="single" w:sz="6" w:space="0" w:color="000000"/>
              <w:tl2br w:val="nil"/>
              <w:tr2bl w:val="nil"/>
            </w:tcBorders>
            <w:noWrap/>
            <w:vAlign w:val="center"/>
          </w:tcPr>
          <w:p/>
        </w:tc>
        <w:tc>
          <w:tcPr>
            <w:tcW w:w="1155" w:type="dxa"/>
            <w:vMerge/>
            <w:tcBorders>
              <w:top w:val="single" w:sz="6" w:space="0" w:color="000000"/>
              <w:left w:val="single" w:sz="6" w:space="0" w:color="000000"/>
              <w:bottom w:val="single" w:sz="6" w:space="0" w:color="000000"/>
              <w:right w:val="single" w:sz="6" w:space="0" w:color="000000"/>
              <w:tl2br w:val="nil"/>
              <w:tr2bl w:val="nil"/>
            </w:tcBorders>
            <w:noWrap/>
            <w:vAlign w:val="center"/>
          </w:tcPr>
          <w:p/>
        </w:tc>
        <w:tc>
          <w:tcPr>
            <w:tcW w:w="250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鉴定满意度（5）</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1530" w:type="dxa"/>
            <w:tcBorders>
              <w:top w:val="single" w:sz="6" w:space="0" w:color="000000"/>
              <w:left w:val="nil"/>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5</w:t>
            </w:r>
          </w:p>
        </w:tc>
      </w:tr>
      <w:tr>
        <w:trPr>
          <w:trHeight w:val="404"/>
        </w:trPr>
        <w:tc>
          <w:tcPr>
            <w:tcW w:w="1290" w:type="dxa"/>
            <w:vMerge/>
            <w:tcBorders>
              <w:top w:val="nil"/>
              <w:left w:val="single" w:sz="6" w:space="0" w:color="auto"/>
              <w:bottom w:val="nil"/>
              <w:right w:val="nil"/>
              <w:tl2br w:val="nil"/>
              <w:tr2bl w:val="nil"/>
            </w:tcBorders>
            <w:noWrap/>
            <w:vAlign w:val="center"/>
          </w:tc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6"/>
              </w:rPr>
              <w:t>预算执行率（10）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6"/>
              </w:rPr>
              <w:t>预算执行率</w:t>
            </w:r>
          </w:p>
        </w:tc>
        <w:tc>
          <w:tcPr>
            <w:tcW w:w="250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6"/>
              </w:rPr>
              <w:t>预算执行率</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Calibri" w:eastAsia="Calibri" w:cs="Arial" w:hAnsi="Calibri"/>
                <w:color w:val="000000"/>
                <w:sz w:val="21"/>
              </w:rPr>
              <w:t>10</w:t>
            </w:r>
          </w:p>
        </w:tc>
      </w:tr>
      <w:tr>
        <w:trPr>
          <w:trHeight w:val="404"/>
        </w:trPr>
        <w:tc>
          <w:tcPr>
            <w:tcW w:w="1290" w:type="dxa"/>
            <w:vMerge/>
            <w:tcBorders>
              <w:top w:val="nil"/>
              <w:left w:val="single" w:sz="6" w:space="0" w:color="auto"/>
              <w:bottom w:val="single" w:sz="6" w:space="0" w:color="auto"/>
              <w:right w:val="nil"/>
              <w:tl2br w:val="nil"/>
              <w:tr2bl w:val="nil"/>
            </w:tcBorders>
            <w:noWrap/>
            <w:vAlign w:val="center"/>
          </w:tcPr>
          <w:p/>
        </w:tc>
        <w:tc>
          <w:tcPr>
            <w:tcW w:w="7125" w:type="dxa"/>
            <w:gridSpan w:val="6"/>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6"/>
              </w:rPr>
              <w:t>总分</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Calibri" w:eastAsia="Calibri" w:cs="Arial" w:hAnsi="Calibri"/>
                <w:color w:val="000000"/>
                <w:sz w:val="21"/>
              </w:rPr>
              <w:t>100</w:t>
            </w:r>
          </w:p>
        </w:tc>
      </w:tr>
      <w:tr>
        <w:trPr>
          <w:trHeight w:val="734"/>
        </w:trPr>
        <w:tc>
          <w:tcPr>
            <w:tcW w:w="1290" w:type="dxa"/>
            <w:tcBorders>
              <w:top w:val="nil"/>
              <w:left w:val="single" w:sz="6" w:space="0" w:color="000000"/>
              <w:bottom w:val="single" w:sz="6" w:space="0" w:color="000000"/>
              <w:right w:val="single" w:sz="6" w:space="0" w:color="000000"/>
              <w:tl2br w:val="nil"/>
              <w:tr2bl w:val="nil"/>
            </w:tcBorders>
            <w:noWrap/>
            <w:vAlign w:val="center"/>
          </w:tcPr>
          <w:p>
            <w:r>
              <w:rPr>
                <w:rFonts w:ascii="宋体" w:eastAsia="宋体"/>
                <w:strike w:val="0"/>
                <w:dstrike w:val="0"/>
                <w:color w:val="000000"/>
                <w:sz w:val="16"/>
              </w:rPr>
              <w:t>五、</w:t>
            </w:r>
            <w:r>
              <w:rPr>
                <w:rFonts w:ascii="Calibri" w:hAnsi="Calibri"/>
                <w:strike w:val="0"/>
                <w:dstrike w:val="0"/>
                <w:color w:val="000000"/>
                <w:sz w:val="16"/>
              </w:rPr>
              <w:t> </w:t>
            </w:r>
            <w:r>
              <w:rPr>
                <w:rFonts w:ascii="宋体" w:eastAsia="宋体"/>
                <w:strike w:val="0"/>
                <w:dstrike w:val="0"/>
                <w:color w:val="000000"/>
                <w:sz w:val="16"/>
              </w:rPr>
              <w:t>存在问题、原因及下一步整改措施</w:t>
            </w:r>
          </w:p>
        </w:tc>
        <w:tc>
          <w:tcPr>
            <w:tcW w:w="8655" w:type="dxa"/>
            <w:gridSpan w:val="7"/>
            <w:tcBorders>
              <w:top w:val="single" w:sz="6" w:space="0" w:color="auto"/>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不存在问题</w:t>
            </w:r>
          </w:p>
        </w:tc>
      </w:tr>
    </w:tbl>
    <w:p>
      <w:pPr>
        <w:adjustRightInd w:val="0"/>
        <w:snapToGrid w:val="0"/>
        <w:spacing w:line="580" w:lineRule="exact"/>
        <w:ind w:leftChars="200" w:left="420" w:firstLineChars="100" w:firstLine="320"/>
        <w:rPr>
          <w:rFonts w:ascii="仿宋_GB2312" w:eastAsia="仿宋_GB2312" w:cs="仿宋_GB2312" w:hAnsi="仿宋_GB2312"/>
          <w:bCs/>
          <w:sz w:val="32"/>
          <w:szCs w:val="32"/>
        </w:rPr>
      </w:pPr>
      <w:r>
        <w:rPr>
          <w:rFonts w:ascii="仿宋_GB2312" w:eastAsia="仿宋_GB2312" w:cs="仿宋_GB2312" w:hAnsi="仿宋_GB2312" w:hint="eastAsia"/>
          <w:bCs/>
          <w:sz w:val="32"/>
          <w:szCs w:val="32"/>
        </w:rPr>
        <w:t>（三）部门评价项目绩效评价结果</w:t>
      </w:r>
    </w:p>
    <w:p>
      <w:pPr>
        <w:adjustRightInd w:val="0"/>
        <w:snapToGrid w:val="0"/>
        <w:spacing w:line="580" w:lineRule="exact"/>
        <w:ind w:left="40" w:firstLineChars="200" w:firstLine="640"/>
        <w:rPr>
          <w:rFonts w:ascii="仿宋_GB2312" w:eastAsia="仿宋_GB2312" w:cs="仿宋_GB2312" w:hAnsi="仿宋_GB2312"/>
          <w:sz w:val="32"/>
          <w:szCs w:val="32"/>
        </w:rPr>
      </w:pPr>
      <w:r>
        <w:rPr>
          <w:rFonts w:ascii="仿宋_GB2312" w:eastAsia="仿宋_GB2312" w:cs="仿宋_GB2312" w:hAnsi="仿宋_GB2312"/>
          <w:sz w:val="32"/>
          <w:szCs w:val="32"/>
        </w:rPr>
        <w:t>2022 年度，我校年初预算项目 5个，预算金额 266 万元， 其中村干部学费补贴30万元，因政策原因，无法支出。预算调整后金额187.24</w:t>
      </w:r>
      <w:r>
        <w:rPr>
          <w:rFonts w:ascii="仿宋_GB2312" w:eastAsia="仿宋_GB2312" w:cs="仿宋_GB2312" w:hAnsi="仿宋_GB2312" w:hint="eastAsia"/>
          <w:sz w:val="32"/>
          <w:szCs w:val="32"/>
        </w:rPr>
        <w:t>万元</w:t>
      </w:r>
      <w:r>
        <w:rPr>
          <w:rFonts w:ascii="仿宋_GB2312" w:eastAsia="仿宋_GB2312" w:cs="仿宋_GB2312" w:hAnsi="仿宋_GB2312"/>
          <w:sz w:val="32"/>
          <w:szCs w:val="32"/>
        </w:rPr>
        <w:t>，实际支出 158.66 万元。综合自评得分 100 分，评价等次为优，通过绩效自评结果，对比倒查年初绩效目标设定情况，发现绩效目标 全部保质保量完成，在学历教育管理资金和组织农民培训资金两个项目中满意度指标稍有欠缺，在以后工作中我们将提高服务质量， 争取满意度达 100%。</w:t>
      </w:r>
    </w:p>
    <w:p>
      <w:pPr>
        <w:adjustRightInd w:val="0"/>
        <w:snapToGrid w:val="0"/>
        <w:spacing w:line="580" w:lineRule="exact"/>
        <w:ind w:firstLineChars="200" w:firstLine="640"/>
        <w:rPr>
          <w:rFonts w:ascii="仿宋_GB2312" w:eastAsia="仿宋_GB2312" w:cs="仿宋_GB2312" w:hAnsi="仿宋_GB2312"/>
          <w:bCs/>
          <w:sz w:val="32"/>
          <w:szCs w:val="32"/>
        </w:rPr>
      </w:pPr>
      <w:r>
        <w:rPr>
          <w:rFonts w:ascii="仿宋_GB2312" w:eastAsia="仿宋_GB2312" w:cs="仿宋_GB2312" w:hAnsi="仿宋_GB2312" w:hint="eastAsia"/>
          <w:sz w:val="32"/>
          <w:szCs w:val="32"/>
        </w:rPr>
        <w:t>十、其他需要说明的情况</w:t>
      </w:r>
    </w:p>
    <w:p>
      <w:pPr>
        <w:adjustRightInd w:val="0"/>
        <w:snapToGrid w:val="0"/>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sz w:val="32"/>
          <w:szCs w:val="32"/>
        </w:rPr>
        <w:t>1.</w:t>
      </w:r>
      <w:r>
        <w:rPr>
          <w:rFonts w:ascii="仿宋_GB2312" w:eastAsia="仿宋_GB2312" w:cs="仿宋_GB2312" w:hAnsi="仿宋_GB2312" w:hint="eastAsia"/>
          <w:sz w:val="32"/>
          <w:szCs w:val="32"/>
        </w:rPr>
        <w:t>本部门2022年度政府性基金预算财政拨款收入支出决算表无收支及结转结余情况，故此表以空表列示。</w:t>
      </w:r>
    </w:p>
    <w:p>
      <w:pPr>
        <w:adjustRightInd w:val="0"/>
        <w:snapToGrid w:val="0"/>
        <w:spacing w:line="580" w:lineRule="exact"/>
        <w:ind w:firstLineChars="200" w:firstLine="640"/>
        <w:rPr>
          <w:rFonts w:ascii="仿宋_GB2312" w:eastAsia="仿宋_GB2312" w:cs="仿宋_GB2312" w:hAnsi="仿宋_GB2312" w:hint="eastAsia"/>
          <w:sz w:val="32"/>
          <w:szCs w:val="32"/>
        </w:rPr>
      </w:pPr>
      <w:r>
        <w:rPr>
          <w:rFonts w:ascii="仿宋_GB2312" w:eastAsia="仿宋_GB2312" w:cs="仿宋_GB2312" w:hAnsi="仿宋_GB2312"/>
          <w:sz w:val="32"/>
          <w:szCs w:val="32"/>
        </w:rPr>
        <w:t>2.</w:t>
      </w:r>
      <w:r>
        <w:rPr>
          <w:rFonts w:ascii="仿宋_GB2312" w:eastAsia="仿宋_GB2312" w:cs="仿宋_GB2312" w:hAnsi="仿宋_GB2312" w:hint="eastAsia"/>
          <w:sz w:val="32"/>
          <w:szCs w:val="32"/>
        </w:rPr>
        <w:t>本部门 2021 年度国有资本经营预算财政拨款支出决算表无 收支及结转结余情况，故此表以空表列示</w:t>
      </w:r>
    </w:p>
    <w:p>
      <w:pPr>
        <w:adjustRightInd w:val="0"/>
        <w:snapToGrid w:val="0"/>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sz w:val="32"/>
          <w:szCs w:val="32"/>
        </w:rPr>
        <w:t>3.</w:t>
      </w:r>
      <w:r>
        <w:rPr>
          <w:rFonts w:ascii="仿宋_GB2312" w:eastAsia="仿宋_GB2312" w:cs="仿宋_GB2312" w:hAnsi="仿宋_GB2312" w:hint="eastAsia"/>
          <w:sz w:val="32"/>
          <w:szCs w:val="32"/>
        </w:rPr>
        <w:t>由于决算公开表格中金额数值应当保留两位小数，公开数据为四舍五入计算结果，个别数据合计项与分项之和存在小数点后差额，特此说明。</w:t>
      </w:r>
    </w:p>
    <w:p>
      <w:pPr>
        <w:widowControl/>
        <w:spacing w:line="580" w:lineRule="exact"/>
        <w:ind w:firstLineChars="200" w:firstLine="640"/>
        <w:jc w:val="left"/>
        <w:rPr>
          <w:rFonts w:ascii="仿宋_GB2312" w:eastAsia="仿宋_GB2312" w:cs="仿宋_GB2312" w:hAnsi="仿宋_GB2312"/>
          <w:bCs/>
          <w:sz w:val="32"/>
          <w:szCs w:val="32"/>
        </w:rPr>
      </w:pPr>
    </w:p>
    <w:p>
      <w:pPr>
        <w:rPr>
          <w:rFonts w:ascii="仿宋_GB2312" w:eastAsia="仿宋_GB2312" w:cs="仿宋_GB2312" w:hAnsi="仿宋_GB2312"/>
          <w:sz w:val="32"/>
          <w:szCs w:val="32"/>
        </w:rPr>
      </w:pPr>
    </w:p>
    <w:p>
      <w:pPr>
        <w:rPr>
          <w:rFonts w:ascii="仿宋_GB2312" w:eastAsia="仿宋_GB2312" w:cs="ArialUnicodeMS" w:hAnsi="宋体"/>
          <w:sz w:val="32"/>
          <w:szCs w:val="32"/>
        </w:rPr>
      </w:pPr>
    </w:p>
    <w:p>
      <w:pPr>
        <w:rPr>
          <w:rFonts w:ascii="仿宋_GB2312" w:eastAsia="仿宋_GB2312" w:cs="ArialUnicodeMS" w:hAnsi="宋体"/>
          <w:sz w:val="32"/>
          <w:szCs w:val="32"/>
        </w:rPr>
      </w:pPr>
    </w:p>
    <w:p>
      <w:pPr>
        <w:rPr>
          <w:rFonts w:ascii="仿宋_GB2312" w:eastAsia="仿宋_GB2312" w:cs="ArialUnicodeMS" w:hAnsi="宋体"/>
          <w:sz w:val="32"/>
          <w:szCs w:val="32"/>
        </w:rPr>
      </w:pPr>
    </w:p>
    <w:p>
      <w:pPr>
        <w:rPr>
          <w:rFonts w:ascii="仿宋_GB2312" w:eastAsia="仿宋_GB2312" w:cs="ArialUnicodeMS" w:hAnsi="宋体"/>
          <w:sz w:val="32"/>
          <w:szCs w:val="32"/>
        </w:rPr>
      </w:pPr>
    </w:p>
    <w:p>
      <w:pPr>
        <w:widowControl/>
        <w:jc w:val="center"/>
        <w:rPr>
          <w:rFonts w:ascii="黑体" w:eastAsia="黑体" w:cs="黑体" w:hAnsi="黑体"/>
          <w:color w:val="000000"/>
          <w:sz w:val="44"/>
          <w:szCs w:val="44"/>
          <w14:shadow w14:sx="100000" w14:sy="100000" w14:blurRad="38100" w14:dir="5400000" w14:dist="22860" w14:algn="tl">
            <w14:srgbClr w14:val="000000">
              <w14:alpha w14:val="70000"/>
            </w14:srgbClr>
          </w14:shadow>
        </w:rPr>
      </w:pPr>
    </w:p>
    <w:p>
      <w:pPr>
        <w:widowControl/>
        <w:jc w:val="center"/>
        <w:rPr>
          <w:rFonts w:ascii="黑体" w:eastAsia="黑体" w:cs="黑体" w:hAnsi="黑体"/>
          <w:color w:val="000000"/>
          <w:sz w:val="44"/>
          <w:szCs w:val="44"/>
          <w14:shadow w14:sx="100000" w14:sy="100000" w14:blurRad="38100" w14:dir="5400000" w14:dist="22860" w14:algn="tl">
            <w14:srgbClr w14:val="000000">
              <w14:alpha w14:val="70000"/>
            </w14:srgbClr>
          </w14:shadow>
        </w:rPr>
      </w:pPr>
    </w:p>
    <w:p>
      <w:pPr>
        <w:widowControl/>
        <w:jc w:val="center"/>
        <w:rPr>
          <w:rFonts w:ascii="黑体" w:eastAsia="黑体" w:cs="黑体" w:hAnsi="黑体"/>
          <w:color w:val="000000"/>
          <w:sz w:val="44"/>
          <w:szCs w:val="44"/>
          <w14:shadow w14:sx="100000" w14:sy="100000" w14:blurRad="38100" w14:dir="5400000" w14:dist="22860" w14:algn="tl">
            <w14:srgbClr w14:val="000000">
              <w14:alpha w14:val="70000"/>
            </w14:srgbClr>
          </w14:shadow>
        </w:rPr>
      </w:pPr>
    </w:p>
    <w:p>
      <w:pPr>
        <w:widowControl/>
        <w:jc w:val="center"/>
        <w:rPr>
          <w:rFonts w:ascii="黑体" w:eastAsia="黑体" w:cs="黑体" w:hAnsi="黑体"/>
          <w:color w:val="000000"/>
          <w:sz w:val="44"/>
          <w:szCs w:val="44"/>
          <w14:shadow w14:sx="100000" w14:sy="100000" w14:blurRad="38100" w14:dir="5400000" w14:dist="22860" w14:algn="tl">
            <w14:srgbClr w14:val="000000">
              <w14:alpha w14:val="70000"/>
            </w14:srgbClr>
          </w14:shadow>
        </w:rPr>
      </w:pPr>
    </w:p>
    <w:p>
      <w:pPr>
        <w:widowControl/>
        <w:jc w:val="center"/>
        <w:rPr>
          <w:rFonts w:ascii="黑体" w:eastAsia="黑体" w:cs="黑体" w:hAnsi="黑体"/>
          <w:color w:val="000000"/>
          <w:sz w:val="44"/>
          <w:szCs w:val="44"/>
          <w14:shadow w14:sx="100000" w14:sy="100000" w14:blurRad="38100" w14:dir="5400000" w14:dist="22860" w14:algn="tl">
            <w14:srgbClr w14:val="000000">
              <w14:alpha w14:val="70000"/>
            </w14:srgbClr>
          </w14:shadow>
        </w:rPr>
      </w:pPr>
    </w:p>
    <w:p>
      <w:pPr>
        <w:widowControl/>
        <w:jc w:val="center"/>
        <w:rPr>
          <w:rFonts w:ascii="黑体" w:eastAsia="黑体" w:cs="黑体" w:hAnsi="黑体"/>
          <w:color w:val="000000"/>
          <w:sz w:val="44"/>
          <w:szCs w:val="44"/>
          <w14:shadow w14:sx="100000" w14:sy="100000" w14:blurRad="38100" w14:dir="5400000" w14:dist="22860" w14:algn="tl">
            <w14:srgbClr w14:val="000000">
              <w14:alpha w14:val="70000"/>
            </w14:srgbClr>
          </w14:shadow>
        </w:rPr>
      </w:pPr>
    </w:p>
    <w:p>
      <w:pPr>
        <w:widowControl/>
        <w:jc w:val="center"/>
        <w:rPr>
          <w:rFonts w:ascii="黑体" w:eastAsia="黑体" w:cs="黑体" w:hAnsi="黑体"/>
          <w:color w:val="000000"/>
          <w:sz w:val="44"/>
          <w:szCs w:val="44"/>
          <w14:shadow w14:sx="100000" w14:sy="100000" w14:blurRad="38100" w14:dir="5400000" w14:dist="22860" w14:algn="tl">
            <w14:srgbClr w14:val="000000">
              <w14:alpha w14:val="70000"/>
            </w14:srgbClr>
          </w14:shadow>
        </w:rPr>
      </w:pPr>
      <w:r>
        <w:rPr>
          <w:rFonts w:ascii="仿宋_GB2312" w:eastAsia="仿宋_GB2312" w:cs="Times New Roman" w:hAnsi="宋体" w:hint="eastAsia"/>
          <w:color w:val="000000"/>
          <w:kern w:val="0"/>
          <w:sz w:val="32"/>
          <w:szCs w:val="32"/>
        </w:rPr>
        <w:drawing>
          <wp:anchor distT="0" distB="0" distL="114300" distR="114300" simplePos="0" relativeHeight="57" behindDoc="0" locked="0" layoutInCell="1" hidden="0" allowOverlap="1">
            <wp:simplePos x="0" y="0"/>
            <wp:positionH relativeFrom="column">
              <wp:posOffset>589916</wp:posOffset>
            </wp:positionH>
            <wp:positionV relativeFrom="margin">
              <wp:posOffset>3020689</wp:posOffset>
            </wp:positionV>
            <wp:extent cx="640078" cy="640079"/>
            <wp:effectExtent l="0" t="0" r="0" b="0"/>
            <wp:wrapNone/>
            <wp:docPr id="64" name="图片 76" descr="32313535383135393b32313535383230393bcbb5c3f7cae9"/>
            <wp:cNvGraphicFramePr>
              <a:graphicFrameLocks noChangeAspect="1"/>
            </wp:cNvGraphicFramePr>
            <a:graphic>
              <a:graphicData uri="http://schemas.openxmlformats.org/drawingml/2006/picture">
                <pic:pic>
                  <pic:nvPicPr>
                    <pic:cNvPr id="66" name="图片 76 66"/>
                    <pic:cNvPicPr/>
                  </pic:nvPicPr>
                  <pic:blipFill>
                    <a:blip r:embed="rId25"/>
                    <a:stretch>
                      <a:fillRect/>
                    </a:stretch>
                  </pic:blipFill>
                  <pic:spPr>
                    <a:xfrm rot="0">
                      <a:off x="0" y="0"/>
                      <a:ext cx="640078" cy="640079"/>
                    </a:xfrm>
                    <a:prstGeom prst="rect"/>
                    <a:noFill/>
                    <a:ln w="9525" cmpd="sng" cap="flat">
                      <a:noFill/>
                      <a:prstDash val="solid"/>
                      <a:miter/>
                    </a:ln>
                  </pic:spPr>
                </pic:pic>
              </a:graphicData>
            </a:graphic>
          </wp:anchor>
        </w:drawing>
      </w:r>
    </w:p>
    <w:p>
      <w:pPr>
        <w:widowControl/>
        <w:jc w:val="center"/>
        <w:rPr>
          <w:sz w:val="44"/>
          <w:szCs w:val="44"/>
          <w14:textOutline w14:w="9525" w14:cap="flat">
            <w14:solidFill>
              <w14:srgbClr w14:val="808080"/>
            </w14:solidFill>
            <w14:prstDash w14:val="solid"/>
            <w14:round/>
          </w14:textOutline>
        </w:rPr>
      </w:pPr>
      <w:r>
        <w:rPr>
          <w:rFonts w:ascii="黑体" w:eastAsia="黑体" w:cs="黑体" w:hAnsi="黑体" w:hint="eastAsia"/>
          <w:color w:val="000000"/>
          <w:sz w:val="44"/>
          <w:szCs w:val="44"/>
          <w14:shadow w14:sx="100000" w14:sy="100000" w14:blurRad="38100" w14:dir="5400000" w14:dist="22860" w14:algn="tl">
            <w14:srgbClr w14:val="000000">
              <w14:alpha w14:val="70000"/>
            </w14:srgbClr>
          </w14:shadow>
        </w:rPr>
        <w:t>第四部分  名词解释</w:t>
      </w:r>
    </w:p>
    <w:p>
      <w:pPr>
        <w:widowControl/>
        <w:jc w:val="center"/>
        <w:rPr>
          <w:rFonts w:ascii="黑体" w:eastAsia="黑体" w:cs="黑体" w:hAnsi="黑体"/>
          <w:color w:val="000000"/>
          <w:sz w:val="44"/>
          <w:szCs w:val="44"/>
          <w14:shadow w14:sx="100000" w14:sy="100000" w14:blurRad="38100" w14:dir="5400000" w14:dist="22860" w14:algn="tl">
            <w14:srgbClr w14:val="000000">
              <w14:alpha w14:val="70000"/>
            </w14:srgbClr>
          </w14:shadow>
        </w:rPr>
      </w:pPr>
    </w:p>
    <w:p>
      <w:pPr>
        <w:widowControl/>
        <w:jc w:val="center"/>
        <w:rPr>
          <w:rFonts w:ascii="黑体" w:eastAsia="黑体" w:cs="黑体" w:hAnsi="黑体"/>
          <w:color w:val="000000"/>
          <w:sz w:val="44"/>
          <w:szCs w:val="44"/>
          <w14:shadow w14:sx="100000" w14:sy="100000" w14:blurRad="38100" w14:dir="5400000" w14:dist="22860" w14:algn="tl">
            <w14:srgbClr w14:val="000000">
              <w14:alpha w14:val="70000"/>
            </w14:srgbClr>
          </w14:shadow>
        </w:rPr>
      </w:pPr>
    </w:p>
    <w:p>
      <w:pPr>
        <w:widowControl/>
        <w:jc w:val="center"/>
        <w:rPr>
          <w:rFonts w:ascii="黑体" w:eastAsia="黑体" w:cs="黑体" w:hAnsi="黑体"/>
          <w:color w:val="000000"/>
          <w:sz w:val="44"/>
          <w:szCs w:val="44"/>
          <w14:shadow w14:sx="100000" w14:sy="100000" w14:blurRad="38100" w14:dir="5400000" w14:dist="22860" w14:algn="tl">
            <w14:srgbClr w14:val="000000">
              <w14:alpha w14:val="70000"/>
            </w14:srgbClr>
          </w14:shadow>
        </w:rPr>
      </w:pPr>
      <w:r>
        <w:rPr>
          <w:rFonts w:ascii="黑体" w:eastAsia="黑体" w:cs="黑体" w:hAnsi="黑体" w:hint="eastAsia"/>
          <w:color w:val="000000"/>
          <w:sz w:val="44"/>
          <w:szCs w:val="44"/>
          <w14:shadow w14:sx="100000" w14:sy="100000" w14:blurRad="38100" w14:dir="5400000" w14:dist="22860" w14:algn="tl">
            <w14:srgbClr w14:val="000000">
              <w14:alpha w14:val="70000"/>
            </w14:srgbClr>
          </w14:shadow>
        </w:rPr>
        <w:t xml:space="preserve">   </w:t>
      </w:r>
    </w:p>
    <w:p>
      <w:pPr>
        <w:widowControl/>
        <w:jc w:val="center"/>
        <w:rPr>
          <w:rFonts w:ascii="黑体" w:eastAsia="黑体" w:cs="黑体" w:hAnsi="黑体"/>
          <w:color w:val="000000"/>
          <w:sz w:val="44"/>
          <w:szCs w:val="44"/>
          <w14:shadow w14:sx="100000" w14:sy="100000" w14:blurRad="38100" w14:dir="5400000" w14:dist="22860" w14:algn="tl">
            <w14:srgbClr w14:val="000000">
              <w14:alpha w14:val="70000"/>
            </w14:srgbClr>
          </w14:shadow>
        </w:rPr>
      </w:pPr>
    </w:p>
    <w:p>
      <w:pPr>
        <w:widowControl/>
        <w:jc w:val="center"/>
        <w:rPr>
          <w:rFonts w:ascii="黑体" w:eastAsia="黑体" w:cs="黑体" w:hAnsi="黑体"/>
          <w:color w:val="000000"/>
          <w:sz w:val="44"/>
          <w:szCs w:val="44"/>
          <w14:shadow w14:sx="100000" w14:sy="100000" w14:blurRad="38100" w14:dir="5400000" w14:dist="22860" w14:algn="tl">
            <w14:srgbClr w14:val="000000">
              <w14:alpha w14:val="70000"/>
            </w14:srgbClr>
          </w14:shadow>
        </w:rPr>
      </w:pPr>
    </w:p>
    <w:p>
      <w:pPr>
        <w:rPr>
          <w:rFonts w:ascii="仿宋_GB2312" w:eastAsia="仿宋_GB2312" w:cs="ArialUnicodeMS" w:hAnsi="宋体"/>
          <w:sz w:val="32"/>
          <w:szCs w:val="32"/>
        </w:rPr>
      </w:pPr>
    </w:p>
    <w:p>
      <w:pPr>
        <w:rPr>
          <w:rFonts w:ascii="仿宋_GB2312" w:eastAsia="仿宋_GB2312" w:cs="ArialUnicodeMS" w:hAnsi="宋体"/>
          <w:sz w:val="32"/>
          <w:szCs w:val="32"/>
        </w:rPr>
      </w:pPr>
      <w:r>
        <w:rPr>
          <w:rFonts w:ascii="仿宋_GB2312" w:eastAsia="仿宋_GB2312" w:cs="ArialUnicodeMS" w:hAnsi="宋体" w:hint="eastAsia"/>
          <w:sz w:val="32"/>
          <w:szCs w:val="32"/>
        </w:rPr>
        <w:br w:type="page"/>
      </w:r>
    </w:p>
    <w:p>
      <w:pPr>
        <w:numPr>
          <w:ilvl w:val="0"/>
          <w:numId w:val="3"/>
        </w:numPr>
        <w:spacing w:line="580" w:lineRule="exact"/>
        <w:rPr>
          <w:rFonts w:ascii="仿宋_GB2312" w:eastAsia="仿宋_GB2312" w:cs="Times New Roman" w:hAnsi="宋体"/>
          <w:bCs/>
          <w:color w:val="000000"/>
          <w:kern w:val="0"/>
          <w:sz w:val="32"/>
          <w:szCs w:val="32"/>
        </w:rPr>
      </w:pPr>
      <w:r>
        <w:rPr>
          <w:rFonts w:ascii="仿宋_GB2312" w:eastAsia="仿宋_GB2312" w:cs="Times New Roman" w:hAnsi="宋体" w:hint="eastAsia"/>
          <w:b/>
          <w:bCs/>
          <w:color w:val="000000"/>
          <w:kern w:val="0"/>
          <w:sz w:val="32"/>
          <w:szCs w:val="32"/>
        </w:rPr>
        <w:t>财政拨款收入：</w:t>
      </w:r>
      <w:r>
        <w:rPr>
          <w:rFonts w:ascii="仿宋_GB2312" w:eastAsia="仿宋_GB2312" w:cs="Times New Roman" w:hAnsi="宋体" w:hint="eastAsia"/>
          <w:bCs/>
          <w:color w:val="000000"/>
          <w:kern w:val="0"/>
          <w:sz w:val="32"/>
          <w:szCs w:val="32"/>
        </w:rPr>
        <w:t>指单位从同级财政部门取得的财政预</w:t>
      </w:r>
    </w:p>
    <w:p>
      <w:pPr>
        <w:spacing w:line="580" w:lineRule="exact"/>
        <w:rPr>
          <w:rFonts w:ascii="仿宋_GB2312" w:eastAsia="仿宋_GB2312" w:cs="Times New Roman" w:hAnsi="宋体"/>
          <w:bCs/>
          <w:color w:val="000000"/>
          <w:kern w:val="0"/>
          <w:sz w:val="32"/>
          <w:szCs w:val="32"/>
        </w:rPr>
      </w:pPr>
      <w:r>
        <w:rPr>
          <w:rFonts w:ascii="仿宋_GB2312" w:eastAsia="仿宋_GB2312" w:cs="Times New Roman" w:hAnsi="宋体" w:hint="eastAsia"/>
          <w:bCs/>
          <w:color w:val="000000"/>
          <w:kern w:val="0"/>
          <w:sz w:val="32"/>
          <w:szCs w:val="32"/>
        </w:rPr>
        <w:t>算资金。</w:t>
      </w:r>
    </w:p>
    <w:p>
      <w:pPr>
        <w:numPr>
          <w:ilvl w:val="0"/>
          <w:numId w:val="3"/>
        </w:numPr>
        <w:spacing w:line="580" w:lineRule="exact"/>
        <w:rPr>
          <w:rFonts w:ascii="仿宋_GB2312" w:eastAsia="仿宋_GB2312" w:cs="Times New Roman" w:hAnsi="宋体"/>
          <w:bCs/>
          <w:color w:val="000000"/>
          <w:kern w:val="0"/>
          <w:sz w:val="32"/>
          <w:szCs w:val="32"/>
        </w:rPr>
      </w:pPr>
      <w:r>
        <w:rPr>
          <w:rFonts w:ascii="仿宋_GB2312" w:eastAsia="仿宋_GB2312" w:cs="Times New Roman" w:hAnsi="宋体" w:hint="eastAsia"/>
          <w:b/>
          <w:bCs/>
          <w:color w:val="000000"/>
          <w:kern w:val="0"/>
          <w:sz w:val="32"/>
          <w:szCs w:val="32"/>
        </w:rPr>
        <w:t>事业收入：</w:t>
      </w:r>
      <w:r>
        <w:rPr>
          <w:rFonts w:ascii="仿宋_GB2312" w:eastAsia="仿宋_GB2312" w:cs="Times New Roman" w:hAnsi="宋体" w:hint="eastAsia"/>
          <w:bCs/>
          <w:color w:val="000000"/>
          <w:kern w:val="0"/>
          <w:sz w:val="32"/>
          <w:szCs w:val="32"/>
        </w:rPr>
        <w:t>指事业单位开展专业业务活动及辅助活动</w:t>
      </w:r>
    </w:p>
    <w:p>
      <w:pPr>
        <w:spacing w:line="580" w:lineRule="exact"/>
        <w:rPr>
          <w:rFonts w:ascii="仿宋_GB2312" w:eastAsia="仿宋_GB2312" w:cs="Times New Roman" w:hAnsi="宋体"/>
          <w:bCs/>
          <w:color w:val="000000"/>
          <w:kern w:val="0"/>
          <w:sz w:val="32"/>
          <w:szCs w:val="32"/>
        </w:rPr>
      </w:pPr>
      <w:r>
        <w:rPr>
          <w:rFonts w:ascii="仿宋_GB2312" w:eastAsia="仿宋_GB2312" w:cs="Times New Roman" w:hAnsi="宋体" w:hint="eastAsia"/>
          <w:bCs/>
          <w:color w:val="000000"/>
          <w:kern w:val="0"/>
          <w:sz w:val="32"/>
          <w:szCs w:val="32"/>
        </w:rPr>
        <w:t>取得的收入。</w:t>
      </w:r>
    </w:p>
    <w:p>
      <w:pPr>
        <w:numPr>
          <w:ilvl w:val="0"/>
          <w:numId w:val="3"/>
        </w:numPr>
        <w:spacing w:line="580" w:lineRule="exact"/>
        <w:rPr>
          <w:rFonts w:ascii="仿宋_GB2312" w:eastAsia="仿宋_GB2312" w:cs="Times New Roman" w:hAnsi="宋体"/>
          <w:bCs/>
          <w:color w:val="000000"/>
          <w:kern w:val="0"/>
          <w:sz w:val="32"/>
          <w:szCs w:val="32"/>
        </w:rPr>
      </w:pPr>
      <w:r>
        <w:rPr>
          <w:rFonts w:ascii="仿宋_GB2312" w:eastAsia="仿宋_GB2312" w:cs="Times New Roman" w:hAnsi="宋体" w:hint="eastAsia"/>
          <w:b/>
          <w:bCs/>
          <w:color w:val="000000"/>
          <w:kern w:val="0"/>
          <w:sz w:val="32"/>
          <w:szCs w:val="32"/>
        </w:rPr>
        <w:t>经营收入：</w:t>
      </w:r>
      <w:r>
        <w:rPr>
          <w:rFonts w:ascii="仿宋_GB2312" w:eastAsia="仿宋_GB2312" w:cs="Times New Roman" w:hAnsi="宋体" w:hint="eastAsia"/>
          <w:bCs/>
          <w:color w:val="000000"/>
          <w:kern w:val="0"/>
          <w:sz w:val="32"/>
          <w:szCs w:val="32"/>
        </w:rPr>
        <w:t>指事业单位在专业业务活动及其辅助活动</w:t>
      </w:r>
    </w:p>
    <w:p>
      <w:pPr>
        <w:spacing w:line="580" w:lineRule="exact"/>
        <w:rPr>
          <w:rFonts w:ascii="仿宋_GB2312" w:eastAsia="仿宋_GB2312" w:cs="Times New Roman" w:hAnsi="宋体"/>
          <w:bCs/>
          <w:color w:val="000000"/>
          <w:kern w:val="0"/>
          <w:sz w:val="32"/>
          <w:szCs w:val="32"/>
        </w:rPr>
      </w:pPr>
      <w:r>
        <w:rPr>
          <w:rFonts w:ascii="仿宋_GB2312" w:eastAsia="仿宋_GB2312" w:cs="Times New Roman" w:hAnsi="宋体" w:hint="eastAsia"/>
          <w:bCs/>
          <w:color w:val="000000"/>
          <w:kern w:val="0"/>
          <w:sz w:val="32"/>
          <w:szCs w:val="32"/>
        </w:rPr>
        <w:t>之外开展非独立核算经营活动取得的收入。</w:t>
      </w:r>
    </w:p>
    <w:p>
      <w:pPr>
        <w:numPr>
          <w:ilvl w:val="0"/>
          <w:numId w:val="3"/>
        </w:numPr>
        <w:spacing w:line="580" w:lineRule="exact"/>
        <w:rPr>
          <w:rFonts w:ascii="仿宋_GB2312" w:eastAsia="仿宋_GB2312" w:cs="Times New Roman" w:hAnsi="宋体"/>
          <w:bCs/>
          <w:color w:val="000000"/>
          <w:kern w:val="0"/>
          <w:sz w:val="32"/>
          <w:szCs w:val="32"/>
        </w:rPr>
      </w:pPr>
      <w:r>
        <w:rPr>
          <w:rFonts w:ascii="仿宋_GB2312" w:eastAsia="仿宋_GB2312" w:cs="Times New Roman" w:hAnsi="宋体" w:hint="eastAsia"/>
          <w:b/>
          <w:bCs/>
          <w:color w:val="000000"/>
          <w:kern w:val="0"/>
          <w:sz w:val="32"/>
          <w:szCs w:val="32"/>
        </w:rPr>
        <w:t>其他收入：</w:t>
      </w:r>
      <w:r>
        <w:rPr>
          <w:rFonts w:ascii="仿宋_GB2312" w:eastAsia="仿宋_GB2312" w:cs="Times New Roman" w:hAnsi="宋体" w:hint="eastAsia"/>
          <w:bCs/>
          <w:color w:val="000000"/>
          <w:kern w:val="0"/>
          <w:sz w:val="32"/>
          <w:szCs w:val="32"/>
        </w:rPr>
        <w:t>指单位取得的除上述收入以外的各项收</w:t>
      </w:r>
    </w:p>
    <w:p>
      <w:pPr>
        <w:spacing w:line="580" w:lineRule="exact"/>
        <w:rPr>
          <w:rFonts w:ascii="仿宋_GB2312" w:eastAsia="仿宋_GB2312" w:cs="Times New Roman" w:hAnsi="宋体"/>
          <w:b/>
          <w:bCs/>
          <w:color w:val="000000"/>
          <w:kern w:val="0"/>
          <w:sz w:val="32"/>
          <w:szCs w:val="32"/>
        </w:rPr>
      </w:pPr>
      <w:r>
        <w:rPr>
          <w:rFonts w:ascii="仿宋_GB2312" w:eastAsia="仿宋_GB2312" w:cs="Times New Roman" w:hAnsi="宋体" w:hint="eastAsia"/>
          <w:bCs/>
          <w:color w:val="000000"/>
          <w:kern w:val="0"/>
          <w:sz w:val="32"/>
          <w:szCs w:val="32"/>
        </w:rPr>
        <w:t>入。主要是事业单位固定资产出租收入、存款利息收入等。</w:t>
      </w:r>
    </w:p>
    <w:p>
      <w:pPr>
        <w:spacing w:line="580" w:lineRule="exact"/>
        <w:rPr>
          <w:rFonts w:ascii="仿宋_GB2312" w:eastAsia="仿宋_GB2312" w:cs="Times New Roman" w:hAnsi="宋体"/>
          <w:bCs/>
          <w:color w:val="000000"/>
          <w:kern w:val="0"/>
          <w:sz w:val="32"/>
          <w:szCs w:val="32"/>
        </w:rPr>
      </w:pPr>
      <w:r>
        <w:rPr>
          <w:rFonts w:ascii="仿宋_GB2312" w:eastAsia="仿宋_GB2312" w:cs="Times New Roman" w:hAnsi="宋体" w:hint="eastAsia"/>
          <w:b/>
          <w:bCs/>
          <w:color w:val="000000"/>
          <w:kern w:val="0"/>
          <w:sz w:val="32"/>
          <w:szCs w:val="32"/>
        </w:rPr>
        <w:t xml:space="preserve">   五、使用非财政拨款结余：</w:t>
      </w:r>
      <w:r>
        <w:rPr>
          <w:rFonts w:ascii="仿宋_GB2312" w:eastAsia="仿宋_GB2312" w:cs="Times New Roman" w:hAnsi="宋体" w:hint="eastAsia"/>
          <w:bCs/>
          <w:color w:val="000000"/>
          <w:kern w:val="0"/>
          <w:sz w:val="32"/>
          <w:szCs w:val="32"/>
        </w:rPr>
        <w:t>指事业单位使用以前年度积累的非财政拨款结余弥补当年收支差额的金额。</w:t>
      </w:r>
    </w:p>
    <w:p>
      <w:pPr>
        <w:numPr>
          <w:ilvl w:val="0"/>
          <w:numId w:val="4"/>
        </w:numPr>
        <w:spacing w:line="580" w:lineRule="exact"/>
        <w:rPr>
          <w:rFonts w:ascii="仿宋_GB2312" w:eastAsia="仿宋_GB2312" w:cs="Times New Roman" w:hAnsi="宋体"/>
          <w:bCs/>
          <w:color w:val="000000"/>
          <w:kern w:val="0"/>
          <w:sz w:val="32"/>
          <w:szCs w:val="32"/>
        </w:rPr>
      </w:pPr>
      <w:r>
        <w:rPr>
          <w:rFonts w:ascii="仿宋_GB2312" w:eastAsia="仿宋_GB2312" w:cs="Times New Roman" w:hAnsi="宋体" w:hint="eastAsia"/>
          <w:b/>
          <w:bCs/>
          <w:color w:val="000000"/>
          <w:kern w:val="0"/>
          <w:sz w:val="32"/>
          <w:szCs w:val="32"/>
        </w:rPr>
        <w:t>年初结转和结余：</w:t>
      </w:r>
      <w:r>
        <w:rPr>
          <w:rFonts w:ascii="仿宋_GB2312" w:eastAsia="仿宋_GB2312" w:cs="Times New Roman" w:hAnsi="宋体" w:hint="eastAsia"/>
          <w:bCs/>
          <w:color w:val="000000"/>
          <w:kern w:val="0"/>
          <w:sz w:val="32"/>
          <w:szCs w:val="32"/>
        </w:rPr>
        <w:t>指单位以前年度尚未完成、结转到</w:t>
      </w:r>
    </w:p>
    <w:p>
      <w:pPr>
        <w:spacing w:line="580" w:lineRule="exact"/>
        <w:rPr>
          <w:rFonts w:ascii="仿宋_GB2312" w:eastAsia="仿宋_GB2312" w:cs="Times New Roman" w:hAnsi="宋体"/>
          <w:bCs/>
          <w:color w:val="000000"/>
          <w:kern w:val="0"/>
          <w:sz w:val="32"/>
          <w:szCs w:val="32"/>
        </w:rPr>
      </w:pPr>
      <w:r>
        <w:rPr>
          <w:rFonts w:ascii="仿宋_GB2312" w:eastAsia="仿宋_GB2312" w:cs="Times New Roman" w:hAnsi="宋体" w:hint="eastAsia"/>
          <w:bCs/>
          <w:color w:val="000000"/>
          <w:kern w:val="0"/>
          <w:sz w:val="32"/>
          <w:szCs w:val="32"/>
        </w:rPr>
        <w:t>本年仍按原规定用途继续使用的资金，或项目已完成等产生的结余资金。</w:t>
      </w:r>
    </w:p>
    <w:p>
      <w:pPr>
        <w:numPr>
          <w:ilvl w:val="0"/>
          <w:numId w:val="4"/>
        </w:numPr>
        <w:spacing w:line="580" w:lineRule="exact"/>
        <w:rPr>
          <w:rFonts w:ascii="仿宋_GB2312" w:eastAsia="仿宋_GB2312" w:cs="Times New Roman" w:hAnsi="宋体"/>
          <w:bCs/>
          <w:color w:val="000000"/>
          <w:kern w:val="0"/>
          <w:sz w:val="32"/>
          <w:szCs w:val="32"/>
        </w:rPr>
      </w:pPr>
      <w:r>
        <w:rPr>
          <w:rFonts w:ascii="仿宋_GB2312" w:eastAsia="仿宋_GB2312" w:cs="Times New Roman" w:hAnsi="宋体" w:hint="eastAsia"/>
          <w:b/>
          <w:bCs/>
          <w:color w:val="000000"/>
          <w:kern w:val="0"/>
          <w:sz w:val="32"/>
          <w:szCs w:val="32"/>
        </w:rPr>
        <w:t>结余分配：</w:t>
      </w:r>
      <w:r>
        <w:rPr>
          <w:rFonts w:ascii="仿宋_GB2312" w:eastAsia="仿宋_GB2312" w:cs="Times New Roman" w:hAnsi="宋体" w:hint="eastAsia"/>
          <w:bCs/>
          <w:color w:val="000000"/>
          <w:kern w:val="0"/>
          <w:sz w:val="32"/>
          <w:szCs w:val="32"/>
        </w:rPr>
        <w:t>指事业单位按照会计制度规定缴纳的所得</w:t>
      </w:r>
    </w:p>
    <w:p>
      <w:pPr>
        <w:spacing w:line="580" w:lineRule="exact"/>
        <w:rPr>
          <w:rFonts w:ascii="仿宋_GB2312" w:eastAsia="仿宋_GB2312" w:cs="Times New Roman" w:hAnsi="宋体"/>
          <w:bCs/>
          <w:color w:val="000000"/>
          <w:kern w:val="0"/>
          <w:sz w:val="32"/>
          <w:szCs w:val="32"/>
        </w:rPr>
      </w:pPr>
      <w:r>
        <w:rPr>
          <w:rFonts w:ascii="仿宋_GB2312" w:eastAsia="仿宋_GB2312" w:cs="Times New Roman" w:hAnsi="宋体" w:hint="eastAsia"/>
          <w:bCs/>
          <w:color w:val="000000"/>
          <w:kern w:val="0"/>
          <w:sz w:val="32"/>
          <w:szCs w:val="32"/>
        </w:rPr>
        <w:t>税、提取的专用结余以及转入非财政拨款结余的金额等。</w:t>
      </w:r>
    </w:p>
    <w:p>
      <w:pPr>
        <w:numPr>
          <w:ilvl w:val="0"/>
          <w:numId w:val="4"/>
        </w:numPr>
        <w:spacing w:line="580" w:lineRule="exact"/>
        <w:rPr>
          <w:rFonts w:ascii="仿宋_GB2312" w:eastAsia="仿宋_GB2312" w:cs="Times New Roman" w:hAnsi="宋体"/>
          <w:bCs/>
          <w:color w:val="000000"/>
          <w:kern w:val="0"/>
          <w:sz w:val="32"/>
          <w:szCs w:val="32"/>
        </w:rPr>
      </w:pPr>
      <w:r>
        <w:rPr>
          <w:rFonts w:ascii="仿宋_GB2312" w:eastAsia="仿宋_GB2312" w:cs="Times New Roman" w:hAnsi="宋体" w:hint="eastAsia"/>
          <w:b/>
          <w:bCs/>
          <w:color w:val="000000"/>
          <w:kern w:val="0"/>
          <w:sz w:val="32"/>
          <w:szCs w:val="32"/>
        </w:rPr>
        <w:t>年末结转和结余：</w:t>
      </w:r>
      <w:r>
        <w:rPr>
          <w:rFonts w:ascii="仿宋_GB2312" w:eastAsia="仿宋_GB2312" w:cs="Times New Roman" w:hAnsi="宋体" w:hint="eastAsia"/>
          <w:bCs/>
          <w:color w:val="000000"/>
          <w:kern w:val="0"/>
          <w:sz w:val="32"/>
          <w:szCs w:val="32"/>
        </w:rPr>
        <w:t>指单位按有关规定结转到下年或以</w:t>
      </w:r>
    </w:p>
    <w:p>
      <w:pPr>
        <w:spacing w:line="580" w:lineRule="exact"/>
        <w:rPr>
          <w:rFonts w:ascii="仿宋_GB2312" w:eastAsia="仿宋_GB2312" w:cs="Times New Roman" w:hAnsi="宋体"/>
          <w:bCs/>
          <w:color w:val="000000"/>
          <w:kern w:val="0"/>
          <w:sz w:val="32"/>
          <w:szCs w:val="32"/>
        </w:rPr>
      </w:pPr>
      <w:r>
        <w:rPr>
          <w:rFonts w:ascii="仿宋_GB2312" w:eastAsia="仿宋_GB2312" w:cs="Times New Roman" w:hAnsi="宋体" w:hint="eastAsia"/>
          <w:bCs/>
          <w:color w:val="000000"/>
          <w:kern w:val="0"/>
          <w:sz w:val="32"/>
          <w:szCs w:val="32"/>
        </w:rPr>
        <w:t>后年度继续使用的资金，或项目已完成等产生的结余资金。</w:t>
      </w:r>
    </w:p>
    <w:p>
      <w:pPr>
        <w:numPr>
          <w:ilvl w:val="0"/>
          <w:numId w:val="4"/>
        </w:numPr>
        <w:spacing w:line="580" w:lineRule="exact"/>
        <w:rPr>
          <w:rFonts w:ascii="仿宋_GB2312" w:eastAsia="仿宋_GB2312" w:cs="Times New Roman" w:hAnsi="宋体"/>
          <w:bCs/>
          <w:color w:val="000000"/>
          <w:kern w:val="0"/>
          <w:sz w:val="32"/>
          <w:szCs w:val="32"/>
        </w:rPr>
      </w:pPr>
      <w:r>
        <w:rPr>
          <w:rFonts w:ascii="仿宋_GB2312" w:eastAsia="仿宋_GB2312" w:cs="Times New Roman" w:hAnsi="宋体" w:hint="eastAsia"/>
          <w:b/>
          <w:bCs/>
          <w:color w:val="000000"/>
          <w:kern w:val="0"/>
          <w:sz w:val="32"/>
          <w:szCs w:val="32"/>
        </w:rPr>
        <w:t>基本支出：</w:t>
      </w:r>
      <w:r>
        <w:rPr>
          <w:rFonts w:ascii="仿宋_GB2312" w:eastAsia="仿宋_GB2312" w:cs="Times New Roman" w:hAnsi="宋体" w:hint="eastAsia"/>
          <w:bCs/>
          <w:color w:val="000000"/>
          <w:kern w:val="0"/>
          <w:sz w:val="32"/>
          <w:szCs w:val="32"/>
        </w:rPr>
        <w:t>指为保障机构正常运转、完成日常工作任</w:t>
      </w:r>
    </w:p>
    <w:p>
      <w:pPr>
        <w:spacing w:line="580" w:lineRule="exact"/>
        <w:rPr>
          <w:rFonts w:ascii="仿宋_GB2312" w:eastAsia="仿宋_GB2312" w:cs="Times New Roman" w:hAnsi="宋体"/>
          <w:bCs/>
          <w:color w:val="000000"/>
          <w:kern w:val="0"/>
          <w:sz w:val="32"/>
          <w:szCs w:val="32"/>
        </w:rPr>
      </w:pPr>
      <w:r>
        <w:rPr>
          <w:rFonts w:ascii="仿宋_GB2312" w:eastAsia="仿宋_GB2312" w:cs="Times New Roman" w:hAnsi="宋体" w:hint="eastAsia"/>
          <w:bCs/>
          <w:color w:val="000000"/>
          <w:kern w:val="0"/>
          <w:sz w:val="32"/>
          <w:szCs w:val="32"/>
        </w:rPr>
        <w:t>务而发生的人员支出和公用支出。</w:t>
      </w:r>
    </w:p>
    <w:p>
      <w:pPr>
        <w:widowControl/>
        <w:spacing w:line="560" w:lineRule="exact"/>
        <w:ind w:firstLineChars="200" w:firstLine="640"/>
        <w:rPr>
          <w:rFonts w:ascii="仿宋_GB2312" w:eastAsia="仿宋_GB2312" w:cs="Times New Roman" w:hAnsi="宋体"/>
          <w:color w:val="000000"/>
          <w:kern w:val="0"/>
          <w:sz w:val="32"/>
          <w:szCs w:val="32"/>
        </w:rPr>
      </w:pPr>
      <w:r>
        <w:rPr>
          <w:rFonts w:ascii="仿宋_GB2312" w:eastAsia="仿宋_GB2312" w:cs="Times New Roman" w:hAnsi="宋体" w:hint="eastAsia"/>
          <w:b/>
          <w:bCs/>
          <w:color w:val="000000"/>
          <w:kern w:val="0"/>
          <w:sz w:val="32"/>
          <w:szCs w:val="32"/>
        </w:rPr>
        <w:t>十、项目支出：</w:t>
      </w:r>
      <w:r>
        <w:rPr>
          <w:rFonts w:ascii="仿宋_GB2312" w:eastAsia="仿宋_GB2312" w:cs="Times New Roman" w:hAnsi="宋体" w:hint="eastAsia"/>
          <w:color w:val="000000"/>
          <w:kern w:val="0"/>
          <w:sz w:val="32"/>
          <w:szCs w:val="32"/>
        </w:rPr>
        <w:t>指在基本支出之外为完成特定行政任务和事业发展目标所发生的支出。</w:t>
      </w:r>
    </w:p>
    <w:p>
      <w:pPr>
        <w:widowControl/>
        <w:spacing w:line="560" w:lineRule="exact"/>
        <w:ind w:firstLineChars="200" w:firstLine="640"/>
        <w:rPr>
          <w:rFonts w:ascii="仿宋_GB2312" w:eastAsia="仿宋_GB2312" w:cs="Times New Roman" w:hAnsi="宋体"/>
          <w:color w:val="000000"/>
          <w:kern w:val="0"/>
          <w:sz w:val="32"/>
          <w:szCs w:val="32"/>
        </w:rPr>
      </w:pPr>
      <w:r>
        <w:rPr>
          <w:rFonts w:ascii="仿宋_GB2312" w:eastAsia="仿宋_GB2312" w:cs="Times New Roman" w:hAnsi="宋体" w:hint="eastAsia"/>
          <w:b/>
          <w:bCs/>
          <w:color w:val="000000"/>
          <w:kern w:val="0"/>
          <w:sz w:val="32"/>
          <w:szCs w:val="32"/>
        </w:rPr>
        <w:t>十一、基本建设支出：</w:t>
      </w:r>
      <w:r>
        <w:rPr>
          <w:rFonts w:ascii="仿宋_GB2312" w:eastAsia="仿宋_GB2312" w:cs="Times New Roman" w:hAnsi="宋体"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Chars="200" w:firstLine="640"/>
        <w:rPr>
          <w:rFonts w:ascii="仿宋_GB2312" w:eastAsia="仿宋_GB2312" w:cs="Times New Roman" w:hAnsi="宋体"/>
          <w:b/>
          <w:bCs/>
          <w:color w:val="000000"/>
          <w:kern w:val="0"/>
          <w:sz w:val="32"/>
          <w:szCs w:val="32"/>
        </w:rPr>
      </w:pPr>
      <w:r>
        <w:rPr>
          <w:rFonts w:ascii="仿宋_GB2312" w:eastAsia="仿宋_GB2312" w:cs="Times New Roman" w:hAnsi="宋体" w:hint="eastAsia"/>
          <w:b/>
          <w:bCs/>
          <w:color w:val="000000"/>
          <w:kern w:val="0"/>
          <w:sz w:val="32"/>
          <w:szCs w:val="32"/>
        </w:rPr>
        <w:t>十二、其他资本性支出：</w:t>
      </w:r>
      <w:r>
        <w:rPr>
          <w:rFonts w:ascii="仿宋_GB2312" w:eastAsia="仿宋_GB2312" w:cs="Times New Roman" w:hAnsi="宋体"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Chars="200" w:firstLine="640"/>
        <w:rPr>
          <w:rFonts w:ascii="仿宋_GB2312" w:eastAsia="仿宋_GB2312" w:cs="Times New Roman" w:hAnsi="宋体"/>
          <w:color w:val="000000"/>
          <w:kern w:val="0"/>
          <w:sz w:val="32"/>
          <w:szCs w:val="32"/>
        </w:rPr>
      </w:pPr>
      <w:r>
        <w:rPr>
          <w:rFonts w:ascii="仿宋_GB2312" w:eastAsia="仿宋_GB2312" w:cs="Times New Roman" w:hAnsi="宋体" w:hint="eastAsia"/>
          <w:b/>
          <w:bCs/>
          <w:color w:val="000000"/>
          <w:kern w:val="0"/>
          <w:sz w:val="32"/>
          <w:szCs w:val="32"/>
        </w:rPr>
        <w:t>十三、“三公”经费：</w:t>
      </w:r>
      <w:r>
        <w:rPr>
          <w:rFonts w:ascii="仿宋_GB2312" w:eastAsia="仿宋_GB2312" w:cs="Times New Roman" w:hAnsi="宋体"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Chars="200" w:firstLine="640"/>
        <w:rPr>
          <w:rFonts w:ascii="仿宋_GB2312" w:eastAsia="仿宋_GB2312" w:cs="Times New Roman" w:hAnsi="宋体"/>
          <w:color w:val="000000"/>
          <w:kern w:val="0"/>
          <w:sz w:val="32"/>
          <w:szCs w:val="32"/>
        </w:rPr>
      </w:pPr>
      <w:r>
        <w:rPr>
          <w:rFonts w:ascii="仿宋_GB2312" w:eastAsia="仿宋_GB2312" w:cs="Times New Roman" w:hAnsi="宋体" w:hint="eastAsia"/>
          <w:b/>
          <w:bCs/>
          <w:color w:val="000000"/>
          <w:kern w:val="0"/>
          <w:sz w:val="32"/>
          <w:szCs w:val="32"/>
        </w:rPr>
        <w:t>十四、其他交通费用：</w:t>
      </w:r>
      <w:r>
        <w:rPr>
          <w:rFonts w:ascii="仿宋_GB2312" w:eastAsia="仿宋_GB2312" w:cs="Times New Roman" w:hAnsi="宋体" w:hint="eastAsia"/>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Chars="200" w:firstLine="640"/>
        <w:rPr>
          <w:rFonts w:ascii="仿宋_GB2312" w:eastAsia="仿宋_GB2312" w:cs="Times New Roman" w:hAnsi="宋体"/>
          <w:color w:val="000000"/>
          <w:kern w:val="0"/>
          <w:sz w:val="32"/>
          <w:szCs w:val="32"/>
        </w:rPr>
      </w:pPr>
      <w:r>
        <w:rPr>
          <w:rFonts w:ascii="仿宋_GB2312" w:eastAsia="仿宋_GB2312" w:cs="Times New Roman" w:hAnsi="宋体" w:hint="eastAsia"/>
          <w:b/>
          <w:bCs/>
          <w:color w:val="000000"/>
          <w:kern w:val="0"/>
          <w:sz w:val="32"/>
          <w:szCs w:val="32"/>
        </w:rPr>
        <w:t>十五、公务用车购置：</w:t>
      </w:r>
      <w:r>
        <w:rPr>
          <w:rFonts w:ascii="仿宋_GB2312" w:eastAsia="仿宋_GB2312" w:cs="Times New Roman" w:hAnsi="宋体" w:hint="eastAsia"/>
          <w:color w:val="000000"/>
          <w:kern w:val="0"/>
          <w:sz w:val="32"/>
          <w:szCs w:val="32"/>
        </w:rPr>
        <w:t>填列单位公务用车车辆购置支出（含车辆购置税、牌照费）。</w:t>
      </w:r>
    </w:p>
    <w:p>
      <w:pPr>
        <w:widowControl/>
        <w:spacing w:line="560" w:lineRule="exact"/>
        <w:ind w:firstLineChars="200" w:firstLine="640"/>
        <w:rPr>
          <w:rFonts w:ascii="仿宋_GB2312" w:eastAsia="仿宋_GB2312" w:cs="Times New Roman" w:hAnsi="宋体"/>
          <w:color w:val="000000"/>
          <w:kern w:val="0"/>
          <w:sz w:val="32"/>
          <w:szCs w:val="32"/>
        </w:rPr>
      </w:pPr>
      <w:r>
        <w:rPr>
          <w:rFonts w:ascii="仿宋_GB2312" w:eastAsia="仿宋_GB2312" w:cs="Times New Roman" w:hAnsi="宋体" w:hint="eastAsia"/>
          <w:b/>
          <w:bCs/>
          <w:color w:val="000000"/>
          <w:kern w:val="0"/>
          <w:sz w:val="32"/>
          <w:szCs w:val="32"/>
        </w:rPr>
        <w:t>十六、其他交通工具购置：</w:t>
      </w:r>
      <w:r>
        <w:rPr>
          <w:rFonts w:ascii="仿宋_GB2312" w:eastAsia="仿宋_GB2312" w:cs="Times New Roman" w:hAnsi="宋体" w:hint="eastAsia"/>
          <w:color w:val="000000"/>
          <w:kern w:val="0"/>
          <w:sz w:val="32"/>
          <w:szCs w:val="32"/>
        </w:rPr>
        <w:t>填列单位除公务用车外的其他各类交通工具（如船舶、飞机等）购置支出（含车辆购置税、牌照费）。</w:t>
      </w:r>
    </w:p>
    <w:p>
      <w:pPr>
        <w:widowControl/>
        <w:spacing w:line="560" w:lineRule="exact"/>
        <w:ind w:firstLineChars="200" w:firstLine="640"/>
        <w:rPr>
          <w:rFonts w:ascii="仿宋_GB2312" w:eastAsia="仿宋_GB2312" w:cs="Times New Roman" w:hAnsi="宋体"/>
          <w:color w:val="000000"/>
          <w:kern w:val="0"/>
          <w:sz w:val="32"/>
          <w:szCs w:val="32"/>
        </w:rPr>
      </w:pPr>
      <w:r>
        <w:rPr>
          <w:rFonts w:ascii="仿宋_GB2312" w:eastAsia="仿宋_GB2312" w:cs="Times New Roman" w:hAnsi="宋体" w:hint="eastAsia"/>
          <w:b/>
          <w:bCs/>
          <w:color w:val="000000"/>
          <w:kern w:val="0"/>
          <w:sz w:val="32"/>
          <w:szCs w:val="32"/>
        </w:rPr>
        <w:t>十七、机关运行经费：</w:t>
      </w:r>
      <w:r>
        <w:rPr>
          <w:rFonts w:ascii="仿宋_GB2312" w:eastAsia="仿宋_GB2312" w:cs="Times New Roman" w:hAnsi="宋体"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Chars="200" w:firstLine="640"/>
        <w:jc w:val="left"/>
        <w:rPr>
          <w:rFonts w:ascii="仿宋_GB2312" w:eastAsia="仿宋_GB2312" w:cs="ArialUnicodeMS" w:hAnsi="Cambria"/>
          <w:kern w:val="0"/>
          <w:sz w:val="32"/>
          <w:szCs w:val="32"/>
        </w:rPr>
      </w:pPr>
      <w:r>
        <w:rPr>
          <w:rFonts w:ascii="仿宋_GB2312" w:eastAsia="仿宋_GB2312" w:cs="Times New Roman" w:hAnsi="宋体" w:hint="eastAsia"/>
          <w:b/>
          <w:bCs/>
          <w:color w:val="000000"/>
          <w:kern w:val="0"/>
          <w:sz w:val="32"/>
          <w:szCs w:val="32"/>
        </w:rPr>
        <w:t>十八、经费形式:</w:t>
      </w:r>
      <w:r>
        <w:rPr>
          <w:rFonts w:ascii="仿宋_GB2312" w:eastAsia="仿宋_GB2312" w:cs="Times New Roman" w:hAnsi="宋体" w:hint="eastAsia"/>
          <w:color w:val="000000"/>
          <w:kern w:val="0"/>
          <w:sz w:val="32"/>
          <w:szCs w:val="32"/>
        </w:rPr>
        <w:t>按照经费来源，</w:t>
      </w:r>
      <w:r>
        <w:rPr>
          <w:rFonts w:ascii="仿宋_GB2312" w:eastAsia="仿宋_GB2312" w:cs="ArialUnicodeMS" w:hAnsi="Cambria" w:hint="eastAsia"/>
          <w:kern w:val="0"/>
          <w:sz w:val="32"/>
          <w:szCs w:val="32"/>
        </w:rPr>
        <w:t>可分为财政拨款、财政性资金基本保证、财政性资金定额或定项补助、财政性资金零补助四类</w:t>
      </w:r>
    </w:p>
    <w:p/>
    <w:sectPr>
      <w:pgSz w:w="11906" w:h="16838"/>
      <w:pgMar w:top="2041" w:right="1531" w:bottom="2041" w:left="1531"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黑体_GBK">
    <w:altName w:val="汉仪中黑 197"/>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楷体_GB2312">
    <w:altName w:val="楷体"/>
    <w:panose1 w:val="02010609030101010101"/>
    <w:charset w:val="86"/>
    <w:family w:val="modern"/>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思源黑体 CN Heavy">
    <w:altName w:val="黑体"/>
    <w:panose1 w:val="00000000000000000000"/>
    <w:charset w:val="86"/>
    <w:family w:val="swiss"/>
    <w:pitch w:val="variable"/>
    <w:sig w:usb0="00000000" w:usb1="00000000" w:usb2="00000016" w:usb3="00000000" w:csb0="00060107" w:csb1="00000000"/>
  </w:font>
  <w:font w:name="思源黑体 CN Bold">
    <w:altName w:val="黑体"/>
    <w:panose1 w:val="00000000000000000000"/>
    <w:charset w:val="86"/>
    <w:family w:val="swiss"/>
    <w:pitch w:val="variable"/>
    <w:sig w:usb0="00000000" w:usb1="00000000" w:usb2="00000016" w:usb3="00000000" w:csb0="00060107" w:csb1="00000000"/>
  </w:font>
  <w:font w:name="方正魏碑简体">
    <w:altName w:val="微软雅黑"/>
    <w:panose1 w:val="00000000000000000000"/>
    <w:charset w:val="86"/>
    <w:family w:val="auto"/>
    <w:pitch w:val="variable"/>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variable"/>
    <w:sig w:usb0="00000001" w:usb1="080E0000" w:usb2="00000010" w:usb3="00000000" w:csb0="00040000" w:csb1="00000000"/>
  </w:font>
  <w:font w:name="仿宋">
    <w:panose1 w:val="02010609060101010101"/>
    <w:charset w:val="86"/>
    <w:family w:val="auto"/>
    <w:pitch w:val="variable"/>
    <w:sig w:usb0="800002BF" w:usb1="38CF7CFA" w:usb2="00000016" w:usb3="00000000" w:csb0="00040001" w:csb1="00000000"/>
  </w:font>
  <w:font w:name="ArialUnicodeMS">
    <w:altName w:val="Malgun Gothic"/>
    <w:panose1 w:val="00000000000000000000"/>
    <w:charset w:val="81"/>
    <w:family w:val="auto"/>
    <w:pitch w:val="variable"/>
    <w:sig w:usb0="00000000" w:usb1="00000000" w:usb2="00000010" w:usb3="00000000" w:csb0="00080001" w:csb1="00000000"/>
  </w:font>
  <w:font w:name="Calibri">
    <w:panose1 w:val="020F0502020204030204"/>
    <w:charset w:val="00"/>
    <w:family w:val="swiss"/>
    <w:pitch w:val="variable"/>
    <w:sig w:usb0="E0002EFF" w:usb1="C000247B" w:usb2="00000009" w:usb3="00000000" w:csb0="000001FF" w:csb1="00000000"/>
  </w:font>
  <w:font w:name="华文中宋">
    <w:altName w:val="汉仪中黑 197"/>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2000019F" w:csb1="00000000"/>
  </w:font>
  <w:font w:name="DengXian-Regular">
    <w:altName w:val="宋体"/>
    <w:panose1 w:val="00000000000000000000"/>
    <w:charset w:val="86"/>
    <w:family w:val="auto"/>
    <w:pitch w:val="variable"/>
    <w:sig w:usb0="00000000" w:usb1="00000000" w:usb2="00000010" w:usb3="00000000" w:csb0="00040001" w:csb1="00000000"/>
  </w:font>
  <w:font w:name="DengXian-Bold">
    <w:altName w:val="宋体"/>
    <w:panose1 w:val="00000000000000000000"/>
    <w:charset w:val="86"/>
    <w:family w:val="auto"/>
    <w:pitch w:val="variable"/>
    <w:sig w:usb0="00000000" w:usb1="00000000" w:usb2="00000010"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45DB9A87"/>
    <w:multiLevelType w:val="singleLevel"/>
    <w:tmpl w:val="45DB9A87"/>
    <w:lvl w:ilvl="0">
      <w:start w:val="3"/>
      <w:numFmt w:val="chineseCounting"/>
      <w:lvlRestart w:val="0"/>
      <w:suff w:val="nothing"/>
      <w:lvlText w:val="（%1）"/>
      <w:lvlJc w:val="left"/>
      <w:pPr>
        <w:ind w:left="0" w:hanging="0"/>
      </w:pPr>
      <w:rPr>
        <w:rFonts w:hint="eastAsia"/>
      </w:rPr>
    </w:lvl>
  </w:abstractNum>
  <w:abstractNum w:abstractNumId="1">
    <w:nsid w:val="5F222FFA"/>
    <w:multiLevelType w:val="singleLevel"/>
    <w:tmpl w:val="5F222FFA"/>
    <w:lvl w:ilvl="0">
      <w:start w:val="1"/>
      <w:numFmt w:val="decimal"/>
      <w:lvlRestart w:val="0"/>
      <w:suff w:val="nothing"/>
      <w:lvlText w:val="（%1）"/>
      <w:lvlJc w:val="left"/>
      <w:pPr>
        <w:ind w:left="0" w:hanging="0"/>
      </w:pPr>
    </w:lvl>
  </w:abstractNum>
  <w:abstractNum w:abstractNumId="2">
    <w:nsid w:val="53D25D65"/>
    <w:multiLevelType w:val="multilevel"/>
    <w:tmpl w:val="53D25D65"/>
    <w:lvl w:ilvl="0">
      <w:start w:val="1"/>
      <w:numFmt w:val="japaneseCounting"/>
      <w:lvlRestart w:val="0"/>
      <w:lvlText w:val="%1、"/>
      <w:lvlJc w:val="left"/>
      <w:pPr>
        <w:tabs>
          <w:tab w:val="num" w:pos="1395"/>
        </w:tabs>
        <w:ind w:left="1395" w:hanging="720"/>
      </w:pPr>
      <w:rPr>
        <w:rFonts w:hint="default"/>
        <w:b/>
        <w:u w:val="none"/>
      </w:rPr>
    </w:lvl>
    <w:lvl w:ilvl="1">
      <w:start w:val="1"/>
      <w:numFmt w:val="lowerLetter"/>
      <w:lvlText w:val="%2)"/>
      <w:lvlJc w:val="left"/>
      <w:pPr>
        <w:tabs>
          <w:tab w:val="num" w:pos="1515"/>
        </w:tabs>
        <w:ind w:left="1515" w:hanging="420"/>
      </w:pPr>
      <w:rPr>
        <w:rFonts w:hint="default"/>
        <w:u w:val="none"/>
      </w:rPr>
    </w:lvl>
    <w:lvl w:ilvl="2">
      <w:start w:val="1"/>
      <w:numFmt w:val="lowerRoman"/>
      <w:lvlText w:val="%3."/>
      <w:lvlJc w:val="right"/>
      <w:pPr>
        <w:tabs>
          <w:tab w:val="num" w:pos="1935"/>
        </w:tabs>
        <w:ind w:left="1935" w:hanging="420"/>
      </w:pPr>
      <w:rPr>
        <w:rFonts w:hint="default"/>
        <w:u w:val="none"/>
      </w:rPr>
    </w:lvl>
    <w:lvl w:ilvl="3">
      <w:start w:val="1"/>
      <w:numFmt w:val="decimal"/>
      <w:lvlText w:val="%4."/>
      <w:lvlJc w:val="left"/>
      <w:pPr>
        <w:tabs>
          <w:tab w:val="num" w:pos="2355"/>
        </w:tabs>
        <w:ind w:left="2355" w:hanging="420"/>
      </w:pPr>
      <w:rPr>
        <w:rFonts w:hint="default"/>
        <w:u w:val="none"/>
      </w:rPr>
    </w:lvl>
    <w:lvl w:ilvl="4">
      <w:start w:val="1"/>
      <w:numFmt w:val="lowerLetter"/>
      <w:lvlText w:val="%5)"/>
      <w:lvlJc w:val="left"/>
      <w:pPr>
        <w:tabs>
          <w:tab w:val="num" w:pos="2775"/>
        </w:tabs>
        <w:ind w:left="2775" w:hanging="420"/>
      </w:pPr>
      <w:rPr>
        <w:rFonts w:hint="default"/>
        <w:u w:val="none"/>
      </w:rPr>
    </w:lvl>
    <w:lvl w:ilvl="5">
      <w:start w:val="1"/>
      <w:numFmt w:val="lowerRoman"/>
      <w:lvlText w:val="%6."/>
      <w:lvlJc w:val="right"/>
      <w:pPr>
        <w:tabs>
          <w:tab w:val="num" w:pos="3195"/>
        </w:tabs>
        <w:ind w:left="3195" w:hanging="420"/>
      </w:pPr>
      <w:rPr>
        <w:rFonts w:hint="default"/>
        <w:u w:val="none"/>
      </w:rPr>
    </w:lvl>
    <w:lvl w:ilvl="6">
      <w:start w:val="1"/>
      <w:numFmt w:val="decimal"/>
      <w:lvlText w:val="%7."/>
      <w:lvlJc w:val="left"/>
      <w:pPr>
        <w:tabs>
          <w:tab w:val="num" w:pos="3615"/>
        </w:tabs>
        <w:ind w:left="3615" w:hanging="420"/>
      </w:pPr>
      <w:rPr>
        <w:rFonts w:hint="default"/>
        <w:u w:val="none"/>
      </w:rPr>
    </w:lvl>
    <w:lvl w:ilvl="7">
      <w:start w:val="1"/>
      <w:numFmt w:val="lowerLetter"/>
      <w:lvlText w:val="%8)"/>
      <w:lvlJc w:val="left"/>
      <w:pPr>
        <w:tabs>
          <w:tab w:val="num" w:pos="4035"/>
        </w:tabs>
        <w:ind w:left="4035" w:hanging="420"/>
      </w:pPr>
      <w:rPr>
        <w:rFonts w:hint="default"/>
        <w:u w:val="none"/>
      </w:rPr>
    </w:lvl>
    <w:lvl w:ilvl="8">
      <w:start w:val="1"/>
      <w:numFmt w:val="lowerRoman"/>
      <w:lvlText w:val="%9."/>
      <w:lvlJc w:val="right"/>
      <w:pPr>
        <w:tabs>
          <w:tab w:val="num" w:pos="4455"/>
        </w:tabs>
        <w:ind w:left="4455" w:hanging="420"/>
      </w:pPr>
      <w:rPr>
        <w:rFonts w:hint="default"/>
        <w:u w:val="none"/>
      </w:rPr>
    </w:lvl>
  </w:abstractNum>
  <w:abstractNum w:abstractNumId="3">
    <w:nsid w:val="486A544E"/>
    <w:multiLevelType w:val="multilevel"/>
    <w:tmpl w:val="486A544E"/>
    <w:lvl w:ilvl="0">
      <w:start w:val="6"/>
      <w:numFmt w:val="japaneseCounting"/>
      <w:lvlRestart w:val="0"/>
      <w:lvlText w:val="%1、"/>
      <w:lvlJc w:val="left"/>
      <w:pPr>
        <w:ind w:left="1360" w:hanging="720"/>
      </w:pPr>
      <w:rPr>
        <w:rFonts w:hint="default"/>
        <w:b/>
        <w:u w:val="none"/>
      </w:rPr>
    </w:lvl>
    <w:lvl w:ilvl="1">
      <w:start w:val="1"/>
      <w:numFmt w:val="lowerLetter"/>
      <w:lvlText w:val="%2)"/>
      <w:lvlJc w:val="left"/>
      <w:pPr>
        <w:ind w:left="1480" w:hanging="420"/>
      </w:pPr>
      <w:rPr>
        <w:rFonts w:hint="default"/>
        <w:u w:val="none"/>
      </w:rPr>
    </w:lvl>
    <w:lvl w:ilvl="2">
      <w:start w:val="1"/>
      <w:numFmt w:val="lowerRoman"/>
      <w:lvlText w:val="%3."/>
      <w:lvlJc w:val="right"/>
      <w:pPr>
        <w:ind w:left="1900" w:hanging="420"/>
      </w:pPr>
      <w:rPr>
        <w:rFonts w:hint="default"/>
        <w:u w:val="none"/>
      </w:rPr>
    </w:lvl>
    <w:lvl w:ilvl="3">
      <w:start w:val="1"/>
      <w:numFmt w:val="decimal"/>
      <w:lvlText w:val="%4."/>
      <w:lvlJc w:val="left"/>
      <w:pPr>
        <w:ind w:left="2320" w:hanging="420"/>
      </w:pPr>
      <w:rPr>
        <w:rFonts w:hint="default"/>
        <w:u w:val="none"/>
      </w:rPr>
    </w:lvl>
    <w:lvl w:ilvl="4">
      <w:start w:val="1"/>
      <w:numFmt w:val="lowerLetter"/>
      <w:lvlText w:val="%5)"/>
      <w:lvlJc w:val="left"/>
      <w:pPr>
        <w:ind w:left="2740" w:hanging="420"/>
      </w:pPr>
      <w:rPr>
        <w:rFonts w:hint="default"/>
        <w:u w:val="none"/>
      </w:rPr>
    </w:lvl>
    <w:lvl w:ilvl="5">
      <w:start w:val="1"/>
      <w:numFmt w:val="lowerRoman"/>
      <w:lvlText w:val="%6."/>
      <w:lvlJc w:val="right"/>
      <w:pPr>
        <w:ind w:left="3160" w:hanging="420"/>
      </w:pPr>
      <w:rPr>
        <w:rFonts w:hint="default"/>
        <w:u w:val="none"/>
      </w:rPr>
    </w:lvl>
    <w:lvl w:ilvl="6">
      <w:start w:val="1"/>
      <w:numFmt w:val="decimal"/>
      <w:lvlText w:val="%7."/>
      <w:lvlJc w:val="left"/>
      <w:pPr>
        <w:ind w:left="3580" w:hanging="420"/>
      </w:pPr>
      <w:rPr>
        <w:rFonts w:hint="default"/>
        <w:u w:val="none"/>
      </w:rPr>
    </w:lvl>
    <w:lvl w:ilvl="7">
      <w:start w:val="1"/>
      <w:numFmt w:val="lowerLetter"/>
      <w:lvlText w:val="%8)"/>
      <w:lvlJc w:val="left"/>
      <w:pPr>
        <w:ind w:left="4000" w:hanging="420"/>
      </w:pPr>
      <w:rPr>
        <w:rFonts w:hint="default"/>
        <w:u w:val="none"/>
      </w:rPr>
    </w:lvl>
    <w:lvl w:ilvl="8">
      <w:start w:val="1"/>
      <w:numFmt w:val="lowerRoman"/>
      <w:lvlText w:val="%9."/>
      <w:lvlJc w:val="right"/>
      <w:pPr>
        <w:ind w:left="4420" w:hanging="420"/>
      </w:pPr>
      <w:rPr>
        <w:rFonts w:hint="default"/>
        <w:u w:val="none"/>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jb3VudCI6NTYsImhkaWQiOiJkZjViYTRjMjBkZTE4YmQ4NGFlYTFhMmIxNTk5MDk4NyIsInVzZXJDb3VudCI6NTR9"/>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alloon Text"/>
    <w:basedOn w:val="0"/>
    <w:rPr>
      <w:sz w:val="18"/>
      <w:szCs w:val="18"/>
    </w:r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jc w:val="center"/>
    </w:pPr>
    <w:rPr>
      <w:sz w:val="18"/>
      <w:szCs w:val="18"/>
    </w:rPr>
  </w:style>
  <w:style w:type="character" w:customStyle="1" w:styleId="18">
    <w:name w:val="font11"/>
    <w:basedOn w:val="10"/>
    <w:rPr>
      <w:rFonts w:ascii="宋体" w:eastAsia="宋体" w:cs="宋体" w:hAnsi="宋体"/>
      <w:color w:val="000000"/>
      <w:sz w:val="20"/>
      <w:szCs w:val="20"/>
      <w:u w:val="none"/>
    </w:rPr>
  </w:style>
  <w:style w:type="character" w:customStyle="1" w:styleId="19">
    <w:name w:val="font01"/>
    <w:basedOn w:val="10"/>
    <w:rPr>
      <w:rFonts w:ascii="宋体" w:eastAsia="宋体" w:cs="宋体" w:hAnsi="宋体"/>
      <w:color w:val="000000"/>
      <w:sz w:val="22"/>
      <w:szCs w:val="22"/>
      <w:u w:val="none"/>
    </w:rPr>
  </w:style>
  <w:style w:type="character" w:customStyle="1" w:styleId="20">
    <w:name w:val="font41"/>
    <w:basedOn w:val="10"/>
    <w:rPr>
      <w:rFonts w:ascii="宋体" w:eastAsia="宋体" w:cs="宋体" w:hAnsi="宋体"/>
      <w:color w:val="000000"/>
      <w:sz w:val="24"/>
      <w:szCs w:val="24"/>
      <w:u w:val="none"/>
    </w:rPr>
  </w:style>
  <w:style w:type="character" w:customStyle="1" w:styleId="21">
    <w:name w:val="font31"/>
    <w:basedOn w:val="10"/>
    <w:rPr>
      <w:rFonts w:ascii="华文中宋" w:eastAsia="华文中宋" w:cs="华文中宋" w:hAnsi="华文中宋"/>
      <w:color w:val="000000"/>
      <w:sz w:val="32"/>
      <w:szCs w:val="32"/>
      <w:u w:val="none"/>
    </w:rPr>
  </w:style>
  <w:style w:type="character" w:customStyle="1" w:styleId="22">
    <w:name w:val="font91"/>
    <w:basedOn w:val="10"/>
    <w:rPr>
      <w:rFonts w:ascii="华文中宋" w:eastAsia="华文中宋" w:cs="华文中宋" w:hAnsi="华文中宋"/>
      <w:color w:val="000000"/>
      <w:sz w:val="32"/>
      <w:szCs w:val="32"/>
      <w:u w:val="none"/>
    </w:rPr>
  </w:style>
  <w:style w:type="character" w:customStyle="1" w:styleId="23">
    <w:name w:val="font51"/>
    <w:basedOn w:val="10"/>
    <w:rPr>
      <w:rFonts w:ascii="宋体" w:eastAsia="宋体" w:cs="宋体" w:hAnsi="宋体"/>
      <w:color w:val="000000"/>
      <w:sz w:val="24"/>
      <w:szCs w:val="24"/>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image" Target="media/2.jpeg"/><Relationship Id="rId7" Type="http://schemas.openxmlformats.org/officeDocument/2006/relationships/image" Target="media/8.png"/><Relationship Id="rId8" Type="http://schemas.openxmlformats.org/officeDocument/2006/relationships/image" Target="media/20.jpeg"/><Relationship Id="rId9" Type="http://schemas.openxmlformats.org/officeDocument/2006/relationships/image" Target="media/20.jpeg"/><Relationship Id="rId10" Type="http://schemas.openxmlformats.org/officeDocument/2006/relationships/image" Target="media/40.png"/><Relationship Id="rId11" Type="http://schemas.openxmlformats.org/officeDocument/2006/relationships/header" Target="header3.xml"/><Relationship Id="rId12" Type="http://schemas.openxmlformats.org/officeDocument/2006/relationships/image" Target="media/43.png"/><Relationship Id="rId13" Type="http://schemas.openxmlformats.org/officeDocument/2006/relationships/image" Target="media/46.png"/><Relationship Id="rId14" Type="http://schemas.openxmlformats.org/officeDocument/2006/relationships/image" Target="media/52.png"/><Relationship Id="rId15" Type="http://schemas.openxmlformats.org/officeDocument/2006/relationships/image" Target="media/55.emf"/><Relationship Id="rId16" Type="http://schemas.openxmlformats.org/officeDocument/2006/relationships/oleObject" Target="embeddings/oleObject1.bin"/><Relationship Id="rId17" Type="http://schemas.openxmlformats.org/officeDocument/2006/relationships/image" Target="media/57.emf"/><Relationship Id="rId18" Type="http://schemas.openxmlformats.org/officeDocument/2006/relationships/oleObject" Target="embeddings/oleObject2.bin"/><Relationship Id="rId19" Type="http://schemas.openxmlformats.org/officeDocument/2006/relationships/image" Target="media/59.emf"/><Relationship Id="rId20" Type="http://schemas.openxmlformats.org/officeDocument/2006/relationships/oleObject" Target="embeddings/oleObject3.bin"/><Relationship Id="rId21" Type="http://schemas.openxmlformats.org/officeDocument/2006/relationships/image" Target="media/61.emf"/><Relationship Id="rId22" Type="http://schemas.openxmlformats.org/officeDocument/2006/relationships/oleObject" Target="embeddings/oleObject4.bin"/><Relationship Id="rId23" Type="http://schemas.openxmlformats.org/officeDocument/2006/relationships/image" Target="media/63.emf"/><Relationship Id="rId24" Type="http://schemas.openxmlformats.org/officeDocument/2006/relationships/oleObject" Target="embeddings/oleObject5.bin"/><Relationship Id="rId25" Type="http://schemas.openxmlformats.org/officeDocument/2006/relationships/image" Target="media/65.png"/><Relationship Id="rId26" Type="http://schemas.openxmlformats.org/officeDocument/2006/relationships/styles" Target="styles.xml"/><Relationship Id="rId27" Type="http://schemas.openxmlformats.org/officeDocument/2006/relationships/numbering" Target="numbering.xml"/><Relationship Id="rId28" Type="http://schemas.openxmlformats.org/officeDocument/2006/relationships/fontTable" Target="fontTable.xml"/></Relationships>
</file>

<file path=docProps/app.xml><?xml version="1.0" encoding="utf-8"?>
<Properties xmlns="http://schemas.openxmlformats.org/officeDocument/2006/extended-properties">
  <Template>Normal.eit</Template>
  <TotalTime>933</TotalTime>
  <Application>Yozo_Office27021597764231179</Application>
  <Pages>35</Pages>
  <Words>0</Words>
  <Characters>12420</Characters>
  <Lines>0</Lines>
  <Paragraphs>213</Paragraphs>
  <CharactersWithSpaces>16560</CharactersWithSpaces>
  <Company>神州网信技术有限公司</Company>
</Properties>
</file>

<file path=docProps/core.xml><?xml version="1.0" encoding="utf-8"?>
<cp:coreProperties xmlns:cp="http://schemas.openxmlformats.org/package/2006/metadata/core-properties" xmlns:dc="http://purl.org/dc/elements/1.1/" xmlns:dcterms="http://purl.org/dc/terms/" xmlns:xsi="http://www.w3.org/2001/XMLSchema-instance">
  <dc:creator>王明新TIAD</dc:creator>
  <cp:lastModifiedBy>Administrator</cp:lastModifiedBy>
  <cp:revision>13</cp:revision>
  <cp:lastPrinted>2023-08-04T01:00:00Z</cp:lastPrinted>
  <dcterms:created xsi:type="dcterms:W3CDTF">2023-08-04T07:55:00Z</dcterms:created>
  <dcterms:modified xsi:type="dcterms:W3CDTF">2024-09-30T02:56:14Z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2052-10.8.0.6308</vt:lpwstr>
  </property>
  <property fmtid="{D5CDD505-2E9C-101B-9397-08002B2CF9AE}" pid="3" name="KSOTemplateUUID">
    <vt:lpwstr>v1.0_mb_S7ajbG3IpAnL1wSthNCxfw==</vt:lpwstr>
  </property>
  <property fmtid="{D5CDD505-2E9C-101B-9397-08002B2CF9AE}" pid="4" name="ICV">
    <vt:lpwstr>1515CEFC20754C3380B382230295B456</vt:lpwstr>
  </property>
</Properties>
</file>