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7D" w:rsidRPr="001E6B7D" w:rsidRDefault="001E6B7D">
      <w:pPr>
        <w:jc w:val="center"/>
        <w:rPr>
          <w:rFonts w:ascii="黑体" w:eastAsia="黑体" w:hAnsi="黑体" w:cs="黑体" w:hint="eastAsia"/>
          <w:sz w:val="48"/>
          <w:szCs w:val="48"/>
        </w:rPr>
      </w:pPr>
      <w:bookmarkStart w:id="0" w:name="_top"/>
      <w:r w:rsidRPr="001E6B7D">
        <w:rPr>
          <w:rFonts w:ascii="黑体" w:eastAsia="黑体" w:hAnsi="黑体" w:cs="黑体" w:hint="eastAsia"/>
          <w:sz w:val="48"/>
          <w:szCs w:val="48"/>
        </w:rPr>
        <w:t>唐山市丰南区烟草制品零售点</w:t>
      </w:r>
    </w:p>
    <w:p w:rsidR="006B5ACF" w:rsidRPr="001E6B7D" w:rsidRDefault="001E6B7D" w:rsidP="001E6B7D">
      <w:pPr>
        <w:jc w:val="center"/>
        <w:rPr>
          <w:rFonts w:ascii="黑体" w:eastAsia="黑体" w:hAnsi="黑体" w:cs="黑体"/>
          <w:sz w:val="48"/>
          <w:szCs w:val="48"/>
        </w:rPr>
      </w:pPr>
      <w:r w:rsidRPr="001E6B7D">
        <w:rPr>
          <w:rFonts w:ascii="黑体" w:eastAsia="黑体" w:hAnsi="黑体" w:cs="黑体" w:hint="eastAsia"/>
          <w:sz w:val="48"/>
          <w:szCs w:val="48"/>
        </w:rPr>
        <w:t>合理布局规定（征求意见稿）</w:t>
      </w:r>
    </w:p>
    <w:p w:rsidR="006B5ACF" w:rsidRDefault="00266DB5">
      <w:pPr>
        <w:numPr>
          <w:ilvl w:val="0"/>
          <w:numId w:val="1"/>
        </w:numPr>
        <w:tabs>
          <w:tab w:val="left" w:pos="420"/>
        </w:tabs>
        <w:ind w:firstLineChars="200" w:firstLine="720"/>
        <w:jc w:val="center"/>
        <w:rPr>
          <w:rFonts w:ascii="仿宋" w:eastAsia="仿宋" w:hAnsi="仿宋" w:cs="仿宋"/>
          <w:sz w:val="36"/>
          <w:szCs w:val="36"/>
        </w:rPr>
      </w:pPr>
      <w:r>
        <w:rPr>
          <w:rFonts w:ascii="黑体" w:eastAsia="黑体" w:hAnsi="黑体" w:cs="黑体" w:hint="eastAsia"/>
          <w:sz w:val="36"/>
          <w:szCs w:val="36"/>
        </w:rPr>
        <w:t>总    则</w:t>
      </w:r>
      <w:bookmarkEnd w:id="0"/>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为深入推进国务院“放管服”改革，适应国家简政放权要求，加强烟草专卖零售许可证管理，规范烟草制品零售市场经营秩序，保护未成年人、消费者和经营者合法权益，促进烟草市场健康发展，营造好良好的社会营商环境。根据《中华人民共和国行政许可法》</w:t>
      </w:r>
      <w:r w:rsidR="0082558B">
        <w:rPr>
          <w:rFonts w:ascii="宋体" w:eastAsia="宋体" w:hAnsi="宋体" w:cs="宋体" w:hint="eastAsia"/>
          <w:sz w:val="28"/>
          <w:szCs w:val="28"/>
        </w:rPr>
        <w:t>、</w:t>
      </w:r>
      <w:r>
        <w:rPr>
          <w:rFonts w:ascii="宋体" w:eastAsia="宋体" w:hAnsi="宋体" w:cs="宋体" w:hint="eastAsia"/>
          <w:sz w:val="28"/>
          <w:szCs w:val="28"/>
        </w:rPr>
        <w:t>《中华人民共和国未成年人保护法》</w:t>
      </w:r>
      <w:r w:rsidR="0082558B">
        <w:rPr>
          <w:rFonts w:ascii="宋体" w:eastAsia="宋体" w:hAnsi="宋体" w:cs="宋体" w:hint="eastAsia"/>
          <w:sz w:val="28"/>
          <w:szCs w:val="28"/>
        </w:rPr>
        <w:t>、</w:t>
      </w:r>
      <w:r>
        <w:rPr>
          <w:rFonts w:ascii="宋体" w:eastAsia="宋体" w:hAnsi="宋体" w:cs="宋体" w:hint="eastAsia"/>
          <w:sz w:val="28"/>
          <w:szCs w:val="28"/>
        </w:rPr>
        <w:t>《中华人民共和国烟草专卖法》及其实施条例、《烟草专卖许可证管理办法》及其实施细则、《唐山市防止二手烟草烟雾危害管理办法》等规定，结合本</w:t>
      </w:r>
      <w:r w:rsidR="002A138A" w:rsidRPr="002A138A">
        <w:rPr>
          <w:rFonts w:ascii="宋体" w:eastAsia="宋体" w:hAnsi="宋体" w:cs="宋体" w:hint="eastAsia"/>
          <w:sz w:val="28"/>
          <w:szCs w:val="28"/>
        </w:rPr>
        <w:t>辖区</w:t>
      </w:r>
      <w:r>
        <w:rPr>
          <w:rFonts w:ascii="宋体" w:eastAsia="宋体" w:hAnsi="宋体" w:cs="宋体" w:hint="eastAsia"/>
          <w:sz w:val="28"/>
          <w:szCs w:val="28"/>
        </w:rPr>
        <w:t>实际，制订本规定。</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烟草制品零售点合理布局遵循依法行政、科学规划、服务社会、均衡发展、动态平衡、市场导向、分区规划的原则，零售点布局超出规划数量的不予新设。</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本《规定》适用于</w:t>
      </w:r>
      <w:r w:rsidR="00297431">
        <w:rPr>
          <w:rFonts w:ascii="宋体" w:eastAsia="宋体" w:hAnsi="宋体" w:cs="宋体" w:hint="eastAsia"/>
          <w:sz w:val="28"/>
          <w:szCs w:val="28"/>
        </w:rPr>
        <w:t>唐山市丰南区</w:t>
      </w:r>
      <w:r w:rsidR="00C14331">
        <w:rPr>
          <w:rFonts w:ascii="宋体" w:eastAsia="宋体" w:hAnsi="宋体" w:cs="宋体" w:hint="eastAsia"/>
          <w:sz w:val="28"/>
          <w:szCs w:val="28"/>
        </w:rPr>
        <w:t>、</w:t>
      </w:r>
      <w:r w:rsidR="001159BC">
        <w:rPr>
          <w:rFonts w:ascii="宋体" w:eastAsia="宋体" w:hAnsi="宋体" w:cs="宋体" w:hint="eastAsia"/>
          <w:sz w:val="28"/>
          <w:szCs w:val="28"/>
        </w:rPr>
        <w:t>唐山市汉沽管理区</w:t>
      </w:r>
      <w:r w:rsidR="00C14331">
        <w:rPr>
          <w:rFonts w:ascii="宋体" w:eastAsia="宋体" w:hAnsi="宋体" w:cs="宋体" w:hint="eastAsia"/>
          <w:sz w:val="28"/>
          <w:szCs w:val="28"/>
        </w:rPr>
        <w:t>、</w:t>
      </w:r>
      <w:r w:rsidR="001159BC">
        <w:rPr>
          <w:rFonts w:ascii="宋体" w:eastAsia="宋体" w:hAnsi="宋体" w:cs="宋体" w:hint="eastAsia"/>
          <w:sz w:val="28"/>
          <w:szCs w:val="28"/>
        </w:rPr>
        <w:t>唐山市芦台经济技术开发区所辖</w:t>
      </w:r>
      <w:r>
        <w:rPr>
          <w:rFonts w:ascii="宋体" w:eastAsia="宋体" w:hAnsi="宋体" w:cs="宋体" w:hint="eastAsia"/>
          <w:sz w:val="28"/>
          <w:szCs w:val="28"/>
        </w:rPr>
        <w:t>行政区域内烟草制品零售点（不含电子烟）的设置与管理。</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本《规定》所称烟草制品零售点（以下简称零售点）是指公民、法人及其他组织依法申请取得烟草专卖零售许可证从事烟草制品零售业务的经营场所。</w:t>
      </w:r>
    </w:p>
    <w:p w:rsidR="006B5ACF" w:rsidRDefault="00266DB5">
      <w:pPr>
        <w:tabs>
          <w:tab w:val="left" w:pos="420"/>
        </w:tabs>
        <w:ind w:firstLineChars="200" w:firstLine="560"/>
        <w:rPr>
          <w:rFonts w:ascii="宋体" w:eastAsia="宋体" w:hAnsi="宋体" w:cs="宋体"/>
          <w:sz w:val="28"/>
          <w:szCs w:val="28"/>
        </w:rPr>
      </w:pPr>
      <w:r>
        <w:rPr>
          <w:rFonts w:ascii="宋体" w:eastAsia="宋体" w:hAnsi="宋体" w:cs="宋体" w:hint="eastAsia"/>
          <w:sz w:val="28"/>
          <w:szCs w:val="28"/>
        </w:rPr>
        <w:t>零售点应当设置于与住所相独立的固定经营场所，面向公众经营，并在营业执照登记注册的经营场所范围内。</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lastRenderedPageBreak/>
        <w:t>本《规定》所称的合理布局，是以维护国家利益、维护消费者利益，满足社会需求、方便消费者购买为根本，综合考量辖区内人口数量、经济发展水平、消费能力、交通状况等因素，适当照顾弱势群体，保护未成年人身心健康，维护正常市场秩序，对辖区零售点进行布局。</w:t>
      </w:r>
    </w:p>
    <w:p w:rsidR="006B5ACF" w:rsidRDefault="00266DB5">
      <w:pPr>
        <w:numPr>
          <w:ilvl w:val="0"/>
          <w:numId w:val="1"/>
        </w:numPr>
        <w:tabs>
          <w:tab w:val="left" w:pos="420"/>
        </w:tabs>
        <w:ind w:firstLineChars="200" w:firstLine="720"/>
        <w:jc w:val="center"/>
        <w:rPr>
          <w:rFonts w:ascii="黑体" w:eastAsia="黑体" w:hAnsi="黑体" w:cs="黑体"/>
          <w:sz w:val="36"/>
          <w:szCs w:val="36"/>
        </w:rPr>
      </w:pPr>
      <w:r>
        <w:rPr>
          <w:rFonts w:ascii="黑体" w:eastAsia="黑体" w:hAnsi="黑体" w:cs="黑体" w:hint="eastAsia"/>
          <w:sz w:val="36"/>
          <w:szCs w:val="36"/>
        </w:rPr>
        <w:t>合理布局规定标准</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申请烟草专卖零售许可证，应当具备下列条件：</w:t>
      </w:r>
    </w:p>
    <w:p w:rsidR="006B5ACF" w:rsidRDefault="00266DB5">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（一）有与经营烟草制品零售业务相适应的资金；</w:t>
      </w:r>
    </w:p>
    <w:p w:rsidR="006B5ACF" w:rsidRDefault="00266DB5">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（二）有与住所相独立的固定经营场所；</w:t>
      </w:r>
    </w:p>
    <w:p w:rsidR="006B5ACF" w:rsidRDefault="00266DB5">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（三）符合当地烟草制品零售点合理布局的要求；</w:t>
      </w:r>
    </w:p>
    <w:p w:rsidR="006B5ACF" w:rsidRDefault="00266DB5">
      <w:pPr>
        <w:tabs>
          <w:tab w:val="left" w:pos="420"/>
        </w:tabs>
        <w:ind w:leftChars="200" w:left="420"/>
        <w:rPr>
          <w:rFonts w:ascii="宋体" w:eastAsia="宋体" w:hAnsi="宋体" w:cs="宋体"/>
          <w:sz w:val="28"/>
          <w:szCs w:val="28"/>
        </w:rPr>
      </w:pPr>
      <w:r>
        <w:rPr>
          <w:rFonts w:ascii="宋体" w:eastAsia="宋体" w:hAnsi="宋体" w:cs="宋体" w:hint="eastAsia"/>
          <w:sz w:val="28"/>
          <w:szCs w:val="28"/>
        </w:rPr>
        <w:t>（四）国家烟草专卖局规定的其他条件。</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本规划以区域位置、人口消费结构、特殊环境差异等因素，将街道、乡镇等较为稳定、相对独立的区域划分为若干市场单元，根据人口数量、交通状况、经济发展水平、消费能力等因素，综合计算确定各市场单元零售点总量指导数。</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市场单元零售点总量指导数实行定期评价、动态管理。根据经济发展、城市建设、乡村建设、市场形势等变化情况对局部市场单元零售点总量指导数进行调整。调整后的各市场单元零售点总量指导数应在地方政府网站或本单位行政许可办公场所依法依规公告后施行。</w:t>
      </w:r>
    </w:p>
    <w:p w:rsidR="006B5ACF" w:rsidRDefault="00266DB5">
      <w:p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有以下情形的，可立即启用应急机制，对市场单元零售点总量指导、区域类型等进行调整，在地方政府网站或本单位行政许可办公</w:t>
      </w:r>
      <w:r>
        <w:rPr>
          <w:rFonts w:ascii="宋体" w:eastAsia="宋体" w:hAnsi="宋体" w:cs="宋体" w:hint="eastAsia"/>
          <w:sz w:val="28"/>
          <w:szCs w:val="28"/>
        </w:rPr>
        <w:lastRenderedPageBreak/>
        <w:t>场所依法依规公告后施行：</w:t>
      </w:r>
    </w:p>
    <w:p w:rsidR="006B5ACF" w:rsidRDefault="00266DB5">
      <w:pPr>
        <w:numPr>
          <w:ilvl w:val="0"/>
          <w:numId w:val="3"/>
        </w:num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因政府拆迁、城市规划、乡村建设等因素导致居民小区、大型商超、交通枢纽等情况新增或退出的，可及时调整市场单元零售点规划数量；</w:t>
      </w:r>
    </w:p>
    <w:p w:rsidR="006B5ACF" w:rsidRDefault="00266DB5">
      <w:pPr>
        <w:numPr>
          <w:ilvl w:val="0"/>
          <w:numId w:val="3"/>
        </w:num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因城市建设改造，实际已形成住宅小区、商圈等，与原区域类型不同，由烟草专卖局根据实际情况判断区域类型，并向社会公告，按本《规定》相关条款执行；</w:t>
      </w:r>
    </w:p>
    <w:p w:rsidR="006B5ACF" w:rsidRDefault="00266DB5">
      <w:pPr>
        <w:numPr>
          <w:ilvl w:val="0"/>
          <w:numId w:val="3"/>
        </w:numPr>
        <w:tabs>
          <w:tab w:val="left" w:pos="420"/>
        </w:tabs>
        <w:ind w:firstLineChars="300" w:firstLine="840"/>
        <w:rPr>
          <w:rFonts w:ascii="宋体" w:eastAsia="宋体" w:hAnsi="宋体" w:cs="宋体"/>
          <w:sz w:val="28"/>
          <w:szCs w:val="28"/>
        </w:rPr>
      </w:pPr>
      <w:r>
        <w:rPr>
          <w:rFonts w:ascii="宋体" w:eastAsia="宋体" w:hAnsi="宋体" w:cs="宋体" w:hint="eastAsia"/>
          <w:sz w:val="28"/>
          <w:szCs w:val="28"/>
        </w:rPr>
        <w:t>出现第十四条情形时，可对所涉及的市场单元零售点规划数量进行调整，并在排队轮候系统进行公示。</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市场单元内零售点存量等于或超过总量指导数时该市场单元为饱和区，不予发放烟草专卖零售许可证，对申请人由发证机关作出不予许可决定后，依照申请人意愿进入排队轮候程序，有办证指标时，烟草专卖局按照轮候顺序通知申请人提交申请材料，并在市场单元规划数量内根据“退一进一”的原则办理。按照预留联系方式无法联系到申请人的，视为放弃本次申请。</w:t>
      </w:r>
    </w:p>
    <w:p w:rsidR="006B5ACF" w:rsidRDefault="00266DB5">
      <w:pPr>
        <w:tabs>
          <w:tab w:val="left" w:pos="420"/>
        </w:tabs>
        <w:ind w:firstLineChars="200" w:firstLine="560"/>
        <w:rPr>
          <w:rFonts w:ascii="宋体" w:eastAsia="宋体" w:hAnsi="宋体" w:cs="宋体"/>
          <w:sz w:val="28"/>
          <w:szCs w:val="28"/>
        </w:rPr>
      </w:pPr>
      <w:r>
        <w:rPr>
          <w:rFonts w:ascii="宋体" w:eastAsia="宋体" w:hAnsi="宋体" w:cs="宋体" w:hint="eastAsia"/>
          <w:sz w:val="28"/>
          <w:szCs w:val="28"/>
        </w:rPr>
        <w:t>放弃本次申请或经核查不符合办证条件的，按照轮候顺序通知下一个轮候申请人提交申请材料。</w:t>
      </w:r>
    </w:p>
    <w:p w:rsidR="006B5ACF" w:rsidRDefault="00266DB5">
      <w:pPr>
        <w:tabs>
          <w:tab w:val="left" w:pos="420"/>
        </w:tabs>
        <w:ind w:firstLineChars="200" w:firstLine="560"/>
        <w:rPr>
          <w:rFonts w:ascii="宋体" w:eastAsia="宋体" w:hAnsi="宋体" w:cs="宋体"/>
          <w:sz w:val="28"/>
          <w:szCs w:val="28"/>
        </w:rPr>
      </w:pPr>
      <w:r>
        <w:rPr>
          <w:rFonts w:ascii="宋体" w:eastAsia="宋体" w:hAnsi="宋体" w:cs="宋体" w:hint="eastAsia"/>
          <w:sz w:val="28"/>
          <w:szCs w:val="28"/>
        </w:rPr>
        <w:t>轮候申请人与实际申请人应当一致，轮候顺序不得调换或转让。</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零售点总体布局实行“总量+间距”组合运用布局模式，在满足市场单元内零售户存量低于总量指导数的前提下，对零售许可新办申请设置距离控制标准,具体间距标准如下：</w:t>
      </w:r>
    </w:p>
    <w:p w:rsidR="006B5ACF" w:rsidRPr="001919A8" w:rsidRDefault="00266DB5">
      <w:pPr>
        <w:numPr>
          <w:ilvl w:val="0"/>
          <w:numId w:val="4"/>
        </w:numPr>
        <w:tabs>
          <w:tab w:val="left" w:pos="420"/>
        </w:tabs>
        <w:ind w:firstLineChars="200" w:firstLine="560"/>
        <w:jc w:val="left"/>
        <w:rPr>
          <w:rFonts w:ascii="宋体" w:eastAsia="宋体" w:hAnsi="宋体" w:cs="宋体"/>
          <w:color w:val="FF0000"/>
          <w:sz w:val="28"/>
          <w:szCs w:val="28"/>
        </w:rPr>
      </w:pPr>
      <w:r>
        <w:rPr>
          <w:rFonts w:ascii="宋体" w:eastAsia="宋体" w:hAnsi="宋体" w:cs="宋体" w:hint="eastAsia"/>
          <w:sz w:val="28"/>
          <w:szCs w:val="28"/>
        </w:rPr>
        <w:t>相邻零售点间距距离不低于</w:t>
      </w:r>
      <w:r w:rsidR="00B23309" w:rsidRPr="00B23309">
        <w:rPr>
          <w:rFonts w:ascii="宋体" w:eastAsia="宋体" w:hAnsi="宋体" w:cs="宋体" w:hint="eastAsia"/>
          <w:sz w:val="28"/>
          <w:szCs w:val="28"/>
        </w:rPr>
        <w:t>50</w:t>
      </w:r>
      <w:r w:rsidRPr="00B23309">
        <w:rPr>
          <w:rFonts w:ascii="宋体" w:eastAsia="宋体" w:hAnsi="宋体" w:cs="宋体" w:hint="eastAsia"/>
          <w:sz w:val="28"/>
          <w:szCs w:val="28"/>
        </w:rPr>
        <w:t>米；</w:t>
      </w:r>
    </w:p>
    <w:p w:rsidR="006B5ACF" w:rsidRPr="00B23309" w:rsidRDefault="00266DB5">
      <w:pPr>
        <w:numPr>
          <w:ilvl w:val="0"/>
          <w:numId w:val="4"/>
        </w:numPr>
        <w:tabs>
          <w:tab w:val="left" w:pos="420"/>
        </w:tabs>
        <w:ind w:firstLineChars="200" w:firstLine="560"/>
        <w:jc w:val="left"/>
        <w:rPr>
          <w:rFonts w:ascii="宋体" w:eastAsia="宋体" w:hAnsi="宋体" w:cs="宋体"/>
          <w:sz w:val="28"/>
          <w:szCs w:val="28"/>
        </w:rPr>
      </w:pPr>
      <w:r w:rsidRPr="00B23309">
        <w:rPr>
          <w:rFonts w:ascii="宋体" w:eastAsia="宋体" w:hAnsi="宋体" w:cs="宋体" w:hint="eastAsia"/>
          <w:sz w:val="28"/>
          <w:szCs w:val="28"/>
        </w:rPr>
        <w:lastRenderedPageBreak/>
        <w:t>国道、省道、县道公路沿线相邻零售点间距不低于</w:t>
      </w:r>
      <w:r w:rsidR="00B23309" w:rsidRPr="00B23309">
        <w:rPr>
          <w:rFonts w:ascii="宋体" w:eastAsia="宋体" w:hAnsi="宋体" w:cs="宋体" w:hint="eastAsia"/>
          <w:sz w:val="28"/>
          <w:szCs w:val="28"/>
        </w:rPr>
        <w:t>100</w:t>
      </w:r>
      <w:r w:rsidRPr="00B23309">
        <w:rPr>
          <w:rFonts w:ascii="宋体" w:eastAsia="宋体" w:hAnsi="宋体" w:cs="宋体" w:hint="eastAsia"/>
          <w:sz w:val="28"/>
          <w:szCs w:val="28"/>
        </w:rPr>
        <w:t>米；</w:t>
      </w:r>
    </w:p>
    <w:p w:rsidR="006B5ACF" w:rsidRDefault="00266DB5">
      <w:pPr>
        <w:numPr>
          <w:ilvl w:val="0"/>
          <w:numId w:val="4"/>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与烟草制品零售业务没有直接或间接互补营销关系的业态类型，相邻零售点间距距离不低于300米。</w:t>
      </w:r>
    </w:p>
    <w:p w:rsidR="006B5ACF" w:rsidRDefault="00266DB5">
      <w:pPr>
        <w:numPr>
          <w:ilvl w:val="0"/>
          <w:numId w:val="2"/>
        </w:numPr>
        <w:tabs>
          <w:tab w:val="clear" w:pos="0"/>
          <w:tab w:val="left" w:pos="420"/>
        </w:tabs>
        <w:ind w:firstLineChars="200" w:firstLine="560"/>
        <w:rPr>
          <w:rFonts w:ascii="宋体" w:eastAsia="宋体" w:hAnsi="宋体" w:cs="宋体"/>
          <w:sz w:val="28"/>
          <w:szCs w:val="28"/>
        </w:rPr>
      </w:pPr>
      <w:r>
        <w:rPr>
          <w:rFonts w:ascii="宋体" w:eastAsia="宋体" w:hAnsi="宋体" w:cs="宋体" w:hint="eastAsia"/>
          <w:sz w:val="28"/>
          <w:szCs w:val="28"/>
        </w:rPr>
        <w:t>特殊区域市场内，按“一区域一政策”的原则，按以下标准单独设置零售点：</w:t>
      </w:r>
    </w:p>
    <w:p w:rsidR="006B5ACF" w:rsidRDefault="00266DB5">
      <w:pPr>
        <w:pStyle w:val="a3"/>
        <w:ind w:firstLineChars="200" w:firstLine="560"/>
        <w:rPr>
          <w:rFonts w:ascii="宋体" w:eastAsia="宋体" w:hAnsi="宋体" w:cs="宋体"/>
          <w:sz w:val="28"/>
          <w:szCs w:val="28"/>
        </w:rPr>
      </w:pPr>
      <w:r>
        <w:rPr>
          <w:rFonts w:ascii="宋体" w:eastAsia="宋体" w:hAnsi="宋体" w:cs="宋体" w:hint="eastAsia"/>
          <w:sz w:val="28"/>
          <w:szCs w:val="28"/>
        </w:rPr>
        <w:t>（一）营业面积在1000平方米以上的单一功能的超市或2000平米以上的宾馆、酒店、娱乐休闲等单一功能的消费场所设置1个零售点，该类零售点不受本《规定》合理布局总量和第十条规定间距限制且不作为其他申办点的参照点；</w:t>
      </w:r>
    </w:p>
    <w:p w:rsidR="006B5ACF" w:rsidRDefault="00266DB5">
      <w:pPr>
        <w:pStyle w:val="a3"/>
        <w:ind w:firstLineChars="200" w:firstLine="560"/>
        <w:rPr>
          <w:rFonts w:ascii="宋体" w:eastAsia="宋体" w:hAnsi="宋体" w:cs="宋体"/>
          <w:sz w:val="28"/>
          <w:szCs w:val="28"/>
        </w:rPr>
      </w:pPr>
      <w:r>
        <w:rPr>
          <w:rFonts w:ascii="宋体" w:eastAsia="宋体" w:hAnsi="宋体" w:cs="宋体" w:hint="eastAsia"/>
          <w:sz w:val="28"/>
          <w:szCs w:val="28"/>
        </w:rPr>
        <w:t>（二）高速服务区两侧可各设立1个，该类零售点不受本《规定》合理布局总量和第十条规定间距限制且不作为其他申办点的参照点；</w:t>
      </w:r>
    </w:p>
    <w:p w:rsidR="006B5ACF" w:rsidRDefault="00266DB5">
      <w:pPr>
        <w:pStyle w:val="a3"/>
        <w:ind w:firstLineChars="200" w:firstLine="560"/>
        <w:rPr>
          <w:rFonts w:ascii="宋体" w:eastAsia="宋体" w:hAnsi="宋体" w:cs="宋体"/>
          <w:sz w:val="28"/>
          <w:szCs w:val="28"/>
        </w:rPr>
      </w:pPr>
      <w:r>
        <w:rPr>
          <w:rFonts w:ascii="宋体" w:eastAsia="宋体" w:hAnsi="宋体" w:cs="宋体" w:hint="eastAsia"/>
          <w:sz w:val="28"/>
          <w:szCs w:val="28"/>
        </w:rPr>
        <w:t>（三）部队、监狱、看守所、拘留所、戒毒所等全封闭管理区域设置</w:t>
      </w:r>
      <w:r w:rsidR="00B23309" w:rsidRPr="00B23309">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个零售点，该类零售点不受本《规定》合理布局总量和第十条规定间距限制且不作为其他申办点的参照点；</w:t>
      </w:r>
    </w:p>
    <w:p w:rsidR="006B5ACF" w:rsidRDefault="00266DB5">
      <w:pPr>
        <w:pStyle w:val="a3"/>
        <w:ind w:firstLineChars="200" w:firstLine="560"/>
        <w:rPr>
          <w:rFonts w:ascii="宋体" w:eastAsia="宋体" w:hAnsi="宋体" w:cs="宋体"/>
          <w:sz w:val="28"/>
          <w:szCs w:val="28"/>
        </w:rPr>
      </w:pPr>
      <w:r>
        <w:rPr>
          <w:rFonts w:ascii="宋体" w:eastAsia="宋体" w:hAnsi="宋体" w:cs="宋体" w:hint="eastAsia"/>
          <w:sz w:val="28"/>
          <w:szCs w:val="28"/>
        </w:rPr>
        <w:t>（四）机场、汽车站、火车站内可设置</w:t>
      </w:r>
      <w:r w:rsidR="00B23309" w:rsidRPr="00B23309">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个零售点，该类零售点不受本《规定》合理布局总量和第十条规定间距限制且不作为其他申办点的参照点；</w:t>
      </w:r>
    </w:p>
    <w:p w:rsidR="006B5ACF" w:rsidRDefault="00266DB5">
      <w:pPr>
        <w:pStyle w:val="a3"/>
        <w:ind w:firstLineChars="200" w:firstLine="560"/>
        <w:rPr>
          <w:rFonts w:ascii="宋体" w:eastAsia="宋体" w:hAnsi="宋体" w:cs="宋体"/>
          <w:sz w:val="28"/>
          <w:szCs w:val="28"/>
        </w:rPr>
      </w:pPr>
      <w:r>
        <w:rPr>
          <w:rFonts w:ascii="宋体" w:eastAsia="宋体" w:hAnsi="宋体" w:cs="宋体" w:hint="eastAsia"/>
          <w:sz w:val="28"/>
          <w:szCs w:val="28"/>
        </w:rPr>
        <w:t>（五）商业综合体、购物中心等复合功能场所内（形成的便利店、烟酒专柜、超市、商场等实际商品展卖场区），20000平米以下的，设置1个零售点；20000平米以上的，可在一层及地下一层分别设置1个零售点，该类零售点不受本《规定》合理布局总量和第十条（一）、（二）款规定间距限制且不作为其他申办点的参照点；</w:t>
      </w:r>
    </w:p>
    <w:p w:rsidR="006B5ACF" w:rsidRDefault="00266DB5">
      <w:pPr>
        <w:pStyle w:val="a3"/>
        <w:ind w:firstLineChars="200" w:firstLine="560"/>
        <w:rPr>
          <w:rFonts w:ascii="宋体" w:eastAsia="宋体" w:hAnsi="宋体" w:cs="宋体"/>
          <w:sz w:val="28"/>
          <w:szCs w:val="28"/>
        </w:rPr>
      </w:pPr>
      <w:r>
        <w:rPr>
          <w:rFonts w:ascii="宋体" w:eastAsia="宋体" w:hAnsi="宋体" w:cs="宋体" w:hint="eastAsia"/>
          <w:sz w:val="28"/>
          <w:szCs w:val="28"/>
        </w:rPr>
        <w:lastRenderedPageBreak/>
        <w:t>（六）由政府统一规划建设的各类综合商品批发市场、专业市场、集贸市场、标准化市场等的交易大厅内可设置</w:t>
      </w:r>
      <w:r w:rsidR="00B23309" w:rsidRPr="00B23309">
        <w:rPr>
          <w:rFonts w:ascii="宋体" w:eastAsia="宋体" w:hAnsi="宋体" w:cs="宋体" w:hint="eastAsia"/>
          <w:sz w:val="28"/>
          <w:szCs w:val="28"/>
        </w:rPr>
        <w:t>1</w:t>
      </w:r>
      <w:r>
        <w:rPr>
          <w:rFonts w:ascii="宋体" w:eastAsia="宋体" w:hAnsi="宋体" w:cs="宋体" w:hint="eastAsia"/>
          <w:sz w:val="28"/>
          <w:szCs w:val="28"/>
        </w:rPr>
        <w:t>个零售点，该类零售点不受本《规定》合理布局总量和第十条（一）、（二）款规定限制且不作为其他申办点的参照点；</w:t>
      </w:r>
    </w:p>
    <w:p w:rsidR="006B5ACF" w:rsidRDefault="00266DB5">
      <w:pPr>
        <w:pStyle w:val="a3"/>
        <w:ind w:firstLineChars="200" w:firstLine="560"/>
        <w:rPr>
          <w:rFonts w:ascii="宋体" w:eastAsia="宋体" w:hAnsi="宋体" w:cs="宋体"/>
          <w:sz w:val="28"/>
          <w:szCs w:val="28"/>
        </w:rPr>
      </w:pPr>
      <w:r>
        <w:rPr>
          <w:rFonts w:ascii="宋体" w:eastAsia="宋体" w:hAnsi="宋体" w:cs="宋体" w:hint="eastAsia"/>
          <w:sz w:val="28"/>
          <w:szCs w:val="28"/>
        </w:rPr>
        <w:t>（七）工业园内，临街有独立面向公共正常开放且具有卷烟陈列、展示条件的便利店、超市等消费场所，可设置</w:t>
      </w:r>
      <w:r w:rsidR="00AF2354">
        <w:rPr>
          <w:rFonts w:ascii="宋体" w:eastAsia="宋体" w:hAnsi="宋体" w:cs="宋体" w:hint="eastAsia"/>
          <w:sz w:val="28"/>
          <w:szCs w:val="28"/>
        </w:rPr>
        <w:t>7</w:t>
      </w:r>
      <w:r>
        <w:rPr>
          <w:rFonts w:ascii="宋体" w:eastAsia="宋体" w:hAnsi="宋体" w:cs="宋体" w:hint="eastAsia"/>
          <w:sz w:val="28"/>
          <w:szCs w:val="28"/>
        </w:rPr>
        <w:t>个零售点（工业园内有多个企业且各配有生活区的，按每个生活区可设置1个零售点执行），该类零售点</w:t>
      </w:r>
      <w:r w:rsidR="002B413B">
        <w:rPr>
          <w:rFonts w:ascii="宋体" w:eastAsia="宋体" w:hAnsi="宋体" w:cs="宋体" w:hint="eastAsia"/>
          <w:sz w:val="28"/>
          <w:szCs w:val="28"/>
        </w:rPr>
        <w:t>按照</w:t>
      </w:r>
      <w:r>
        <w:rPr>
          <w:rFonts w:ascii="宋体" w:eastAsia="宋体" w:hAnsi="宋体" w:cs="宋体" w:hint="eastAsia"/>
          <w:sz w:val="28"/>
          <w:szCs w:val="28"/>
        </w:rPr>
        <w:t>本《规定》合理布局总量和第十条（一）、（二）款规定</w:t>
      </w:r>
      <w:r w:rsidR="002B413B">
        <w:rPr>
          <w:rFonts w:ascii="宋体" w:eastAsia="宋体" w:hAnsi="宋体" w:cs="宋体" w:hint="eastAsia"/>
          <w:sz w:val="28"/>
          <w:szCs w:val="28"/>
        </w:rPr>
        <w:t>距离限制的50%办理，</w:t>
      </w:r>
      <w:r>
        <w:rPr>
          <w:rFonts w:ascii="宋体" w:eastAsia="宋体" w:hAnsi="宋体" w:cs="宋体" w:hint="eastAsia"/>
          <w:sz w:val="28"/>
          <w:szCs w:val="28"/>
        </w:rPr>
        <w:t>且不作为其他申办点的参照点；</w:t>
      </w:r>
    </w:p>
    <w:p w:rsidR="006B5ACF" w:rsidRDefault="00266DB5">
      <w:pPr>
        <w:pStyle w:val="a3"/>
        <w:ind w:firstLineChars="200" w:firstLine="560"/>
        <w:rPr>
          <w:rFonts w:ascii="宋体" w:eastAsia="宋体" w:hAnsi="宋体" w:cs="宋体"/>
          <w:sz w:val="28"/>
          <w:szCs w:val="28"/>
        </w:rPr>
      </w:pPr>
      <w:r>
        <w:rPr>
          <w:rFonts w:ascii="宋体" w:eastAsia="宋体" w:hAnsi="宋体" w:cs="宋体" w:hint="eastAsia"/>
          <w:sz w:val="28"/>
          <w:szCs w:val="28"/>
        </w:rPr>
        <w:t>（八）</w:t>
      </w:r>
      <w:r w:rsidRPr="00DD5A6D">
        <w:rPr>
          <w:rFonts w:ascii="宋体" w:eastAsia="宋体" w:hAnsi="宋体" w:cs="宋体" w:hint="eastAsia"/>
          <w:sz w:val="28"/>
          <w:szCs w:val="28"/>
        </w:rPr>
        <w:t>旅游景区内的消费场所设立零售点，可设置</w:t>
      </w:r>
      <w:r w:rsidR="00B23309" w:rsidRPr="00DD5A6D">
        <w:rPr>
          <w:rFonts w:ascii="宋体" w:eastAsia="宋体" w:hAnsi="宋体" w:cs="宋体" w:hint="eastAsia"/>
          <w:sz w:val="28"/>
          <w:szCs w:val="28"/>
        </w:rPr>
        <w:t>20</w:t>
      </w:r>
      <w:r w:rsidRPr="00DD5A6D">
        <w:rPr>
          <w:rFonts w:ascii="宋体" w:eastAsia="宋体" w:hAnsi="宋体" w:cs="宋体" w:hint="eastAsia"/>
          <w:sz w:val="28"/>
          <w:szCs w:val="28"/>
        </w:rPr>
        <w:t>个，该类零售点不受本《</w:t>
      </w:r>
      <w:r w:rsidRPr="00B65443">
        <w:rPr>
          <w:rFonts w:ascii="宋体" w:eastAsia="宋体" w:hAnsi="宋体" w:cs="宋体" w:hint="eastAsia"/>
          <w:sz w:val="28"/>
          <w:szCs w:val="28"/>
        </w:rPr>
        <w:t>规定》合理布局总量</w:t>
      </w:r>
      <w:r w:rsidR="00B65443">
        <w:rPr>
          <w:rFonts w:ascii="宋体" w:eastAsia="宋体" w:hAnsi="宋体" w:cs="宋体" w:hint="eastAsia"/>
          <w:sz w:val="28"/>
          <w:szCs w:val="28"/>
        </w:rPr>
        <w:t>限制</w:t>
      </w:r>
      <w:r w:rsidRPr="00DD5A6D">
        <w:rPr>
          <w:rFonts w:ascii="宋体" w:eastAsia="宋体" w:hAnsi="宋体" w:cs="宋体" w:hint="eastAsia"/>
          <w:sz w:val="28"/>
          <w:szCs w:val="28"/>
        </w:rPr>
        <w:t>，相邻零售点间距离不低于</w:t>
      </w:r>
      <w:r w:rsidR="00B23309" w:rsidRPr="00DD5A6D">
        <w:rPr>
          <w:rFonts w:ascii="宋体" w:eastAsia="宋体" w:hAnsi="宋体" w:cs="宋体" w:hint="eastAsia"/>
          <w:sz w:val="28"/>
          <w:szCs w:val="28"/>
        </w:rPr>
        <w:t>30</w:t>
      </w:r>
      <w:r w:rsidRPr="00DD5A6D">
        <w:rPr>
          <w:rFonts w:ascii="宋体" w:eastAsia="宋体" w:hAnsi="宋体" w:cs="宋体" w:hint="eastAsia"/>
          <w:sz w:val="28"/>
          <w:szCs w:val="28"/>
        </w:rPr>
        <w:t>米；</w:t>
      </w:r>
      <w:r w:rsidR="00B23309" w:rsidRPr="00DD5A6D">
        <w:rPr>
          <w:rFonts w:ascii="宋体" w:eastAsia="宋体" w:hAnsi="宋体" w:cs="宋体" w:hint="eastAsia"/>
          <w:sz w:val="28"/>
          <w:szCs w:val="28"/>
        </w:rPr>
        <w:t>旅游景区</w:t>
      </w:r>
      <w:r w:rsidR="003223D1" w:rsidRPr="00DD5A6D">
        <w:rPr>
          <w:rFonts w:ascii="宋体" w:eastAsia="宋体" w:hAnsi="宋体" w:cs="宋体" w:hint="eastAsia"/>
          <w:sz w:val="28"/>
          <w:szCs w:val="28"/>
        </w:rPr>
        <w:t>特指经国家级标准评定的</w:t>
      </w:r>
      <w:r w:rsidR="00B23309" w:rsidRPr="00DD5A6D">
        <w:rPr>
          <w:rFonts w:ascii="宋体" w:eastAsia="宋体" w:hAnsi="宋体" w:cs="宋体" w:hint="eastAsia"/>
          <w:sz w:val="28"/>
          <w:szCs w:val="28"/>
        </w:rPr>
        <w:t>4A级及以上</w:t>
      </w:r>
      <w:r w:rsidR="00822DCD">
        <w:rPr>
          <w:rFonts w:ascii="宋体" w:eastAsia="宋体" w:hAnsi="宋体" w:cs="宋体" w:hint="eastAsia"/>
          <w:sz w:val="28"/>
          <w:szCs w:val="28"/>
        </w:rPr>
        <w:t>，</w:t>
      </w:r>
      <w:r w:rsidR="003223D1" w:rsidRPr="00DD5A6D">
        <w:rPr>
          <w:rFonts w:ascii="宋体" w:eastAsia="宋体" w:hAnsi="宋体" w:cs="宋体" w:hint="eastAsia"/>
          <w:sz w:val="28"/>
          <w:szCs w:val="28"/>
        </w:rPr>
        <w:t>需持门票进入的</w:t>
      </w:r>
      <w:r w:rsidR="00B23309" w:rsidRPr="00DD5A6D">
        <w:rPr>
          <w:rFonts w:ascii="宋体" w:eastAsia="宋体" w:hAnsi="宋体" w:cs="宋体" w:hint="eastAsia"/>
          <w:sz w:val="28"/>
          <w:szCs w:val="28"/>
        </w:rPr>
        <w:t>旅游景点</w:t>
      </w:r>
      <w:r w:rsidR="00A57AC4">
        <w:rPr>
          <w:rFonts w:ascii="宋体" w:eastAsia="宋体" w:hAnsi="宋体" w:cs="宋体" w:hint="eastAsia"/>
          <w:sz w:val="28"/>
          <w:szCs w:val="28"/>
        </w:rPr>
        <w:t>内部</w:t>
      </w:r>
      <w:r w:rsidR="003223D1" w:rsidRPr="00DD5A6D">
        <w:rPr>
          <w:rFonts w:ascii="宋体" w:eastAsia="宋体" w:hAnsi="宋体" w:cs="宋体" w:hint="eastAsia"/>
          <w:sz w:val="28"/>
          <w:szCs w:val="28"/>
        </w:rPr>
        <w:t>。景区内与烟草制品零售业务没有直接或间接互补营销关系的业态类型的不予办理。</w:t>
      </w:r>
    </w:p>
    <w:p w:rsidR="003F2498" w:rsidRPr="003F2498" w:rsidRDefault="00266DB5" w:rsidP="003F2498">
      <w:pPr>
        <w:pStyle w:val="a3"/>
        <w:ind w:firstLineChars="200" w:firstLine="560"/>
        <w:rPr>
          <w:rFonts w:ascii="宋体" w:eastAsia="宋体" w:hAnsi="宋体" w:cs="宋体"/>
          <w:sz w:val="28"/>
          <w:szCs w:val="28"/>
        </w:rPr>
      </w:pPr>
      <w:r w:rsidRPr="003F2498">
        <w:rPr>
          <w:rFonts w:ascii="宋体" w:eastAsia="宋体" w:hAnsi="宋体" w:cs="宋体" w:hint="eastAsia"/>
          <w:sz w:val="28"/>
          <w:szCs w:val="28"/>
        </w:rPr>
        <w:t>（九）</w:t>
      </w:r>
      <w:r w:rsidR="003F2498" w:rsidRPr="003F2498">
        <w:rPr>
          <w:rFonts w:ascii="宋体" w:eastAsia="宋体" w:hAnsi="宋体" w:cs="宋体" w:hint="eastAsia"/>
          <w:sz w:val="28"/>
          <w:szCs w:val="28"/>
        </w:rPr>
        <w:t>封闭式住宅小区内对内经营的不再新增零售点，毗邻街道对外经营的零售点,依照本《规定》第十条规定办理。</w:t>
      </w:r>
    </w:p>
    <w:p w:rsidR="006B5ACF" w:rsidRPr="003F2498" w:rsidRDefault="003F2498" w:rsidP="003F2498">
      <w:pPr>
        <w:pStyle w:val="a3"/>
        <w:ind w:firstLineChars="200" w:firstLine="560"/>
        <w:rPr>
          <w:rFonts w:ascii="宋体" w:eastAsia="宋体" w:hAnsi="宋体" w:cs="宋体"/>
          <w:sz w:val="28"/>
          <w:szCs w:val="28"/>
        </w:rPr>
      </w:pPr>
      <w:r w:rsidRPr="003F2498">
        <w:rPr>
          <w:rFonts w:ascii="宋体" w:eastAsia="宋体" w:hAnsi="宋体" w:cs="宋体" w:hint="eastAsia"/>
          <w:sz w:val="28"/>
          <w:szCs w:val="28"/>
        </w:rPr>
        <w:t>如封闭式小区外部无法设立零售点，在小区内有独立面向公共正常开放且具有卷烟陈列、展示条件的便利店、超市等消费场所的，可设置</w:t>
      </w:r>
      <w:r w:rsidR="00CC6052">
        <w:rPr>
          <w:rFonts w:ascii="宋体" w:eastAsia="宋体" w:hAnsi="宋体" w:cs="宋体" w:hint="eastAsia"/>
          <w:sz w:val="28"/>
          <w:szCs w:val="28"/>
        </w:rPr>
        <w:t>1</w:t>
      </w:r>
      <w:r w:rsidRPr="003F2498">
        <w:rPr>
          <w:rFonts w:ascii="宋体" w:eastAsia="宋体" w:hAnsi="宋体" w:cs="宋体" w:hint="eastAsia"/>
          <w:sz w:val="28"/>
          <w:szCs w:val="28"/>
        </w:rPr>
        <w:t>个零售点,依照本《规定》第十条规定办理；</w:t>
      </w:r>
    </w:p>
    <w:p w:rsidR="006B5ACF" w:rsidRDefault="00266DB5">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（十）</w:t>
      </w:r>
      <w:r w:rsidR="003223D1" w:rsidRPr="00DD5A6D">
        <w:rPr>
          <w:rFonts w:ascii="宋体" w:eastAsia="宋体" w:hAnsi="宋体" w:cs="宋体" w:hint="eastAsia"/>
          <w:sz w:val="28"/>
          <w:szCs w:val="28"/>
        </w:rPr>
        <w:t>500人口以下的</w:t>
      </w:r>
      <w:r w:rsidRPr="00DD5A6D">
        <w:rPr>
          <w:rFonts w:ascii="宋体" w:eastAsia="宋体" w:hAnsi="宋体" w:cs="宋体" w:hint="eastAsia"/>
          <w:sz w:val="28"/>
          <w:szCs w:val="28"/>
        </w:rPr>
        <w:t>行政村内零售点（含国道、省道、县道公路沿线零售点）数量不超过</w:t>
      </w:r>
      <w:r w:rsidR="003223D1" w:rsidRPr="00DD5A6D">
        <w:rPr>
          <w:rFonts w:ascii="宋体" w:eastAsia="宋体" w:hAnsi="宋体" w:cs="宋体" w:hint="eastAsia"/>
          <w:sz w:val="28"/>
          <w:szCs w:val="28"/>
        </w:rPr>
        <w:t>1</w:t>
      </w:r>
      <w:r w:rsidRPr="00DD5A6D">
        <w:rPr>
          <w:rFonts w:ascii="宋体" w:eastAsia="宋体" w:hAnsi="宋体" w:cs="宋体" w:hint="eastAsia"/>
          <w:sz w:val="28"/>
          <w:szCs w:val="28"/>
        </w:rPr>
        <w:t>个，</w:t>
      </w:r>
      <w:r w:rsidR="003223D1" w:rsidRPr="00DD5A6D">
        <w:rPr>
          <w:rFonts w:ascii="宋体" w:eastAsia="宋体" w:hAnsi="宋体" w:cs="宋体" w:hint="eastAsia"/>
          <w:sz w:val="28"/>
          <w:szCs w:val="28"/>
        </w:rPr>
        <w:t>500人口以上1500人口以下的行政村内零售点（含国道、省道、县道公路沿线零售点）数量不超过2</w:t>
      </w:r>
      <w:r w:rsidR="003223D1" w:rsidRPr="00DD5A6D">
        <w:rPr>
          <w:rFonts w:ascii="宋体" w:eastAsia="宋体" w:hAnsi="宋体" w:cs="宋体" w:hint="eastAsia"/>
          <w:sz w:val="28"/>
          <w:szCs w:val="28"/>
        </w:rPr>
        <w:lastRenderedPageBreak/>
        <w:t>个，1500人口以上3000人口以下的行政村内零售点（含国道、省道、县道公路沿线零售点）数量不超过4个，3000</w:t>
      </w:r>
      <w:r w:rsidR="008624D7">
        <w:rPr>
          <w:rFonts w:ascii="宋体" w:eastAsia="宋体" w:hAnsi="宋体" w:cs="宋体" w:hint="eastAsia"/>
          <w:sz w:val="28"/>
          <w:szCs w:val="28"/>
        </w:rPr>
        <w:t>人口以上的行政村</w:t>
      </w:r>
      <w:r w:rsidR="003223D1" w:rsidRPr="00DD5A6D">
        <w:rPr>
          <w:rFonts w:ascii="宋体" w:eastAsia="宋体" w:hAnsi="宋体" w:cs="宋体" w:hint="eastAsia"/>
          <w:sz w:val="28"/>
          <w:szCs w:val="28"/>
        </w:rPr>
        <w:t>内零售点（含国道、省道、县道公路沿线零售点）数量不超过</w:t>
      </w:r>
      <w:r w:rsidR="00C61945" w:rsidRPr="00DD5A6D">
        <w:rPr>
          <w:rFonts w:ascii="宋体" w:eastAsia="宋体" w:hAnsi="宋体" w:cs="宋体" w:hint="eastAsia"/>
          <w:sz w:val="28"/>
          <w:szCs w:val="28"/>
        </w:rPr>
        <w:t>6</w:t>
      </w:r>
      <w:r w:rsidR="003223D1" w:rsidRPr="00DD5A6D">
        <w:rPr>
          <w:rFonts w:ascii="宋体" w:eastAsia="宋体" w:hAnsi="宋体" w:cs="宋体" w:hint="eastAsia"/>
          <w:sz w:val="28"/>
          <w:szCs w:val="28"/>
        </w:rPr>
        <w:t>个，</w:t>
      </w:r>
      <w:r w:rsidRPr="00DD5A6D">
        <w:rPr>
          <w:rFonts w:ascii="宋体" w:eastAsia="宋体" w:hAnsi="宋体" w:cs="宋体" w:hint="eastAsia"/>
          <w:sz w:val="28"/>
          <w:szCs w:val="28"/>
        </w:rPr>
        <w:t>依照本《规定》第十条规定办理；</w:t>
      </w:r>
    </w:p>
    <w:p w:rsidR="006B5ACF" w:rsidRDefault="00266DB5">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（十一）已形成商圈的，根据经济消费、流动人口、区域位置等因素综合设置零售点数量，依照本《规定》第十条规定办理。</w:t>
      </w:r>
    </w:p>
    <w:p w:rsidR="006B5ACF" w:rsidRDefault="00266DB5">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商圈范围内含本《规定》第十一条其他情形的，相关情形零售点数量不计入该商圈零售点数量。</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属于下列区域场所或情形的，为零售点禁入区，不予设置零售点：</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化工、化肥、农药、油漆、鞭炮、散装汽油等固态、液态易燃、易爆、有毒物品生产、经营、储存场所内；易燃、易爆气体生产、经营、储存场所内及周围100米范围内；</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中、小学校内及进出通道口向外延伸200米范围内；</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幼儿园内及进出通道口向外延伸50米范围内；</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学前教育机构、中等职业学校以及其他未成年人集中的室内和室外场所；</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高等院校、培训机构等的室内场所；</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妇幼保健院（所）、儿童医院、儿童福利院的室内和室外场所及其他医疗卫生机构的室内场所，养老院（老年公寓）、疗养院的室内公共场所；</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文化体育活动场所的室内区域、室外观众席以及演艺、</w:t>
      </w:r>
      <w:r>
        <w:rPr>
          <w:rFonts w:ascii="宋体" w:eastAsia="宋体" w:hAnsi="宋体" w:cs="宋体" w:hint="eastAsia"/>
          <w:sz w:val="28"/>
          <w:szCs w:val="28"/>
        </w:rPr>
        <w:lastRenderedPageBreak/>
        <w:t>比赛区域；</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党政机关内部；</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利用信息网络和自动售货机（柜）经营卷烟的；</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外商投资企业及港、澳、台个体工商户。外商投资企业，包括外商独资、中外合资、中外合作企业，含港、澳、台投资（有外资成分的娱乐服务类企业除外）；</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容易诱导未成年人关注、购买、吸食烟草制品经营场所；</w:t>
      </w:r>
    </w:p>
    <w:p w:rsidR="006B5ACF" w:rsidRDefault="00266DB5">
      <w:pPr>
        <w:numPr>
          <w:ilvl w:val="0"/>
          <w:numId w:val="5"/>
        </w:numPr>
        <w:spacing w:line="360" w:lineRule="auto"/>
        <w:ind w:firstLine="645"/>
        <w:rPr>
          <w:rFonts w:ascii="宋体" w:eastAsia="宋体" w:hAnsi="宋体" w:cs="宋体"/>
          <w:sz w:val="28"/>
          <w:szCs w:val="28"/>
        </w:rPr>
      </w:pPr>
      <w:r>
        <w:rPr>
          <w:rFonts w:ascii="宋体" w:eastAsia="宋体" w:hAnsi="宋体" w:cs="宋体" w:hint="eastAsia"/>
          <w:sz w:val="28"/>
          <w:szCs w:val="28"/>
        </w:rPr>
        <w:t>法律、法规、规章等规定的不予设置的情况。</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 持民政、残联等部门有效证明的残疾人、烈士遗属、因公牺牲军人遗属、病故军人遗属，持有效证明申请办理本</w:t>
      </w:r>
      <w:r w:rsidR="009D30CE">
        <w:rPr>
          <w:rFonts w:ascii="宋体" w:eastAsia="宋体" w:hAnsi="宋体" w:cs="宋体" w:hint="eastAsia"/>
          <w:sz w:val="28"/>
          <w:szCs w:val="28"/>
        </w:rPr>
        <w:t>辖区</w:t>
      </w:r>
      <w:r>
        <w:rPr>
          <w:rFonts w:ascii="宋体" w:eastAsia="宋体" w:hAnsi="宋体" w:cs="宋体" w:hint="eastAsia"/>
          <w:sz w:val="28"/>
          <w:szCs w:val="28"/>
        </w:rPr>
        <w:t>范围内第一个零售点的（营业执照限定类型为非家庭经营形式的个体工商户或个人独资企业）。</w:t>
      </w:r>
      <w:r w:rsidR="00744AD1" w:rsidRPr="00744AD1">
        <w:rPr>
          <w:rFonts w:ascii="宋体" w:eastAsia="宋体" w:hAnsi="宋体" w:cs="宋体" w:hint="eastAsia"/>
          <w:sz w:val="28"/>
          <w:szCs w:val="28"/>
        </w:rPr>
        <w:t>遵循市场单元零售点总量指导数控制前提下</w:t>
      </w:r>
      <w:r>
        <w:rPr>
          <w:rFonts w:ascii="宋体" w:eastAsia="宋体" w:hAnsi="宋体" w:cs="宋体" w:hint="eastAsia"/>
          <w:sz w:val="28"/>
          <w:szCs w:val="28"/>
        </w:rPr>
        <w:t>，布局规定中距离限制放宽到原标准的80%。取得有效许可证后，申请人与实际经营人必须为同一人（收、付款账户与申请人一致），经审批机关市场检查中发现</w:t>
      </w:r>
      <w:r w:rsidR="00332D07">
        <w:rPr>
          <w:rFonts w:ascii="宋体" w:eastAsia="宋体" w:hAnsi="宋体" w:cs="宋体" w:hint="eastAsia"/>
          <w:sz w:val="28"/>
          <w:szCs w:val="28"/>
        </w:rPr>
        <w:t>非</w:t>
      </w:r>
      <w:r w:rsidRPr="00332D07">
        <w:rPr>
          <w:rFonts w:ascii="宋体" w:eastAsia="宋体" w:hAnsi="宋体" w:cs="宋体" w:hint="eastAsia"/>
          <w:color w:val="000000" w:themeColor="text1"/>
          <w:sz w:val="28"/>
          <w:szCs w:val="28"/>
        </w:rPr>
        <w:t>本人实际</w:t>
      </w:r>
      <w:r>
        <w:rPr>
          <w:rFonts w:ascii="宋体" w:eastAsia="宋体" w:hAnsi="宋体" w:cs="宋体" w:hint="eastAsia"/>
          <w:sz w:val="28"/>
          <w:szCs w:val="28"/>
        </w:rPr>
        <w:t>经营或本人不再经营的，零售点不再适用此项规定，许可证到期不予延续。</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有下列情形之一的，在符合本《规定》第十一条规定的基础上（新经营地址与原地址均属于第十一条相同区域内的，视同符合），可不受区域总量限制，布局规定中距离限制放宽到原设置距离的50%。</w:t>
      </w:r>
    </w:p>
    <w:p w:rsidR="006B5ACF" w:rsidRDefault="00266DB5">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因道路规划、城市建设等客观原因造成无法在核定经营</w:t>
      </w:r>
      <w:r>
        <w:rPr>
          <w:rFonts w:ascii="宋体" w:eastAsia="宋体" w:hAnsi="宋体" w:cs="宋体" w:hint="eastAsia"/>
          <w:sz w:val="28"/>
          <w:szCs w:val="28"/>
        </w:rPr>
        <w:lastRenderedPageBreak/>
        <w:t>地址经营的，经营主体未发生变化，许可证有效期内及注销后90日内，在原发证机关辖区内首次主动变更经营地址的；</w:t>
      </w:r>
    </w:p>
    <w:p w:rsidR="006B5ACF" w:rsidRDefault="00266DB5">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规定》实施前设立或因客观原因造成经营场所位于中小学、幼儿园周围不予设置零售点距离范围，经营主体未发生变化，许可证有效期内及注销后90日内，在原发证机关辖区内首次主动变更经营地址，重新申领烟草专卖零售许可证的；</w:t>
      </w:r>
    </w:p>
    <w:p w:rsidR="006B5ACF" w:rsidRDefault="00266DB5">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因设立易燃、易爆气体生产、经营、储存场所造成经营场所位于不予设置零售点距离范围，经营主体未发生变化，许可证有效期内及注销后90日内，在原发证机关辖区内首次主动变更经营地址，重新申领烟草专卖零售许可证的；</w:t>
      </w:r>
    </w:p>
    <w:p w:rsidR="006B5ACF" w:rsidRDefault="00266DB5">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因地震、火灾、水灾、泥石流等不可抗力因素导致经营场所灭失，经营主体未发生变化，许可证有效期内及注销后90日内，持证人及时在原发证机关辖区内提出重新申领烟草专卖零售许可证的；</w:t>
      </w:r>
    </w:p>
    <w:p w:rsidR="006B5ACF" w:rsidRDefault="00266DB5">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属于政府招商引资、政策扶持项目（需提供政府相关证明文件）申请办理烟草专卖零售许可证的；</w:t>
      </w:r>
    </w:p>
    <w:p w:rsidR="006B5ACF" w:rsidRDefault="00266DB5">
      <w:pPr>
        <w:numPr>
          <w:ilvl w:val="0"/>
          <w:numId w:val="6"/>
        </w:numPr>
        <w:tabs>
          <w:tab w:val="left" w:pos="420"/>
        </w:tabs>
        <w:ind w:firstLine="640"/>
        <w:rPr>
          <w:rFonts w:ascii="宋体" w:eastAsia="宋体" w:hAnsi="宋体" w:cs="宋体"/>
          <w:sz w:val="28"/>
          <w:szCs w:val="28"/>
        </w:rPr>
      </w:pPr>
      <w:r>
        <w:rPr>
          <w:rFonts w:ascii="宋体" w:eastAsia="宋体" w:hAnsi="宋体" w:cs="宋体" w:hint="eastAsia"/>
          <w:sz w:val="28"/>
          <w:szCs w:val="28"/>
        </w:rPr>
        <w:t>符合当地烟草公司规定的雪茄烟存储、销售、品鉴等经营条件且仅从事雪茄烟零售业务的（取得有效许可证后，申请变更许可范围的，零售点不再适用此项规定，依照本《规定》第十条办理）。</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有下列情形之一的，可不受零售点间隔距离和总量限制。</w:t>
      </w:r>
    </w:p>
    <w:p w:rsidR="006B5ACF" w:rsidRDefault="00266DB5">
      <w:pPr>
        <w:numPr>
          <w:ilvl w:val="0"/>
          <w:numId w:val="7"/>
        </w:numPr>
        <w:spacing w:line="360" w:lineRule="auto"/>
        <w:ind w:firstLine="645"/>
        <w:rPr>
          <w:rFonts w:ascii="宋体" w:eastAsia="宋体" w:hAnsi="宋体" w:cs="宋体"/>
          <w:sz w:val="28"/>
          <w:szCs w:val="28"/>
        </w:rPr>
      </w:pPr>
      <w:r>
        <w:rPr>
          <w:rFonts w:ascii="宋体" w:eastAsia="宋体" w:hAnsi="宋体" w:cs="宋体" w:hint="eastAsia"/>
          <w:sz w:val="28"/>
          <w:szCs w:val="28"/>
        </w:rPr>
        <w:t>原持有烟草专卖零售许可证的国有企业，按照国家关于</w:t>
      </w:r>
      <w:r>
        <w:rPr>
          <w:rFonts w:ascii="宋体" w:eastAsia="宋体" w:hAnsi="宋体" w:cs="宋体" w:hint="eastAsia"/>
          <w:sz w:val="28"/>
          <w:szCs w:val="28"/>
        </w:rPr>
        <w:lastRenderedPageBreak/>
        <w:t>发展混合所有制经济的要求，经国家有关部门批准为国有控股的混合所有制，在许可证有效期内且经营主体、经营地址未发生改变；</w:t>
      </w:r>
    </w:p>
    <w:p w:rsidR="006B5ACF" w:rsidRDefault="00266DB5">
      <w:pPr>
        <w:numPr>
          <w:ilvl w:val="0"/>
          <w:numId w:val="7"/>
        </w:numPr>
        <w:spacing w:line="360" w:lineRule="auto"/>
        <w:ind w:firstLine="645"/>
        <w:rPr>
          <w:rFonts w:ascii="宋体" w:eastAsia="宋体" w:hAnsi="宋体" w:cs="宋体"/>
          <w:sz w:val="28"/>
          <w:szCs w:val="28"/>
        </w:rPr>
      </w:pPr>
      <w:r>
        <w:rPr>
          <w:rFonts w:ascii="宋体" w:eastAsia="宋体" w:hAnsi="宋体" w:cs="宋体" w:hint="eastAsia"/>
          <w:sz w:val="28"/>
          <w:szCs w:val="28"/>
        </w:rPr>
        <w:t>持有烟草专卖零售许可非家庭经营的自然人，自然人在许可证有效期内，死亡或丧失民事行为能力的，原自然人连续经营3年以上，且申请歇业前2年内无违法违规行为，原自然人内部家庭成员（具有完全民事行为能力的配偶、父母或子女）在其死亡或被宣告丧失民事行为能力之日起90日内申请于原经营地址继续经营的。</w:t>
      </w:r>
    </w:p>
    <w:p w:rsidR="00F86724" w:rsidRPr="008624D7" w:rsidRDefault="00F86724" w:rsidP="00F86724">
      <w:pPr>
        <w:numPr>
          <w:ilvl w:val="0"/>
          <w:numId w:val="2"/>
        </w:numPr>
        <w:tabs>
          <w:tab w:val="clear" w:pos="0"/>
          <w:tab w:val="left" w:pos="420"/>
        </w:tabs>
        <w:ind w:firstLineChars="200" w:firstLine="560"/>
        <w:jc w:val="left"/>
        <w:rPr>
          <w:rFonts w:ascii="宋体" w:eastAsia="宋体" w:hAnsi="宋体" w:cs="宋体"/>
          <w:sz w:val="28"/>
          <w:szCs w:val="28"/>
        </w:rPr>
      </w:pPr>
      <w:r w:rsidRPr="008624D7">
        <w:rPr>
          <w:rFonts w:ascii="宋体" w:eastAsia="宋体" w:hAnsi="宋体" w:cs="宋体" w:hint="eastAsia"/>
          <w:sz w:val="28"/>
          <w:szCs w:val="28"/>
        </w:rPr>
        <w:t>行政村内零售点数量为零，为便利群众生活，可不受市场单元零售点总量限制，设置1个零售点，依照本《规定》第十条规定办理。</w:t>
      </w:r>
    </w:p>
    <w:p w:rsidR="006B5ACF" w:rsidRDefault="00F86724" w:rsidP="00F86724">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本《规定》第十三条、第十四条、第十五条、</w:t>
      </w:r>
      <w:r w:rsidRPr="008624D7">
        <w:rPr>
          <w:rFonts w:ascii="宋体" w:eastAsia="宋体" w:hAnsi="宋体" w:cs="宋体" w:hint="eastAsia"/>
          <w:sz w:val="28"/>
          <w:szCs w:val="28"/>
        </w:rPr>
        <w:t>第十六</w:t>
      </w:r>
      <w:r>
        <w:rPr>
          <w:rFonts w:ascii="宋体" w:eastAsia="宋体" w:hAnsi="宋体" w:cs="宋体" w:hint="eastAsia"/>
          <w:sz w:val="28"/>
          <w:szCs w:val="28"/>
        </w:rPr>
        <w:t>条申请人必须具有自主经营能力和完全民事行为能力，具有本《规定》第十二条规定情形的，不予设置零售点。</w:t>
      </w:r>
      <w:r w:rsidR="00266DB5">
        <w:rPr>
          <w:rFonts w:ascii="宋体" w:eastAsia="宋体" w:hAnsi="宋体" w:cs="宋体" w:hint="eastAsia"/>
          <w:sz w:val="28"/>
          <w:szCs w:val="28"/>
        </w:rPr>
        <w:t>申请人已纳入轮候，其经营场所附近，因本《规定》第十四条新增零售点的，新增的零售点不作为其申办参照点。</w:t>
      </w:r>
    </w:p>
    <w:p w:rsidR="006B5ACF" w:rsidRDefault="00266DB5">
      <w:pPr>
        <w:numPr>
          <w:ilvl w:val="0"/>
          <w:numId w:val="1"/>
        </w:numPr>
        <w:tabs>
          <w:tab w:val="left" w:pos="420"/>
        </w:tabs>
        <w:ind w:firstLineChars="200" w:firstLine="720"/>
        <w:jc w:val="center"/>
        <w:rPr>
          <w:rFonts w:ascii="黑体" w:eastAsia="黑体" w:hAnsi="黑体" w:cs="黑体"/>
          <w:sz w:val="36"/>
          <w:szCs w:val="36"/>
        </w:rPr>
      </w:pPr>
      <w:r>
        <w:rPr>
          <w:rFonts w:ascii="黑体" w:eastAsia="黑体" w:hAnsi="黑体" w:cs="黑体" w:hint="eastAsia"/>
          <w:sz w:val="36"/>
          <w:szCs w:val="36"/>
        </w:rPr>
        <w:t xml:space="preserve"> 附   则</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规定中的术语认定：</w:t>
      </w:r>
    </w:p>
    <w:p w:rsidR="006B5ACF" w:rsidRDefault="00266DB5">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w:t>
      </w:r>
      <w:hyperlink w:anchor="经营场所" w:history="1">
        <w:r>
          <w:rPr>
            <w:rFonts w:ascii="宋体" w:eastAsia="宋体" w:hAnsi="宋体" w:cs="宋体" w:hint="eastAsia"/>
            <w:sz w:val="28"/>
            <w:szCs w:val="28"/>
          </w:rPr>
          <w:t>经营场所</w:t>
        </w:r>
      </w:hyperlink>
      <w:r>
        <w:rPr>
          <w:rFonts w:ascii="宋体" w:eastAsia="宋体" w:hAnsi="宋体" w:cs="宋体" w:hint="eastAsia"/>
          <w:sz w:val="28"/>
          <w:szCs w:val="28"/>
        </w:rPr>
        <w:t>”是指用于从事烟草制品销售、交易、存储的地方。该经营地址为实际经营地址，有独立面向公共正常开放且具有卷烟陈列、展示条件，具备正常开展经营活动的场所。办公区域、仓储区域、二楼以上区域（机场、汽车站、火车站除外）、公厕、车间厂房等除外；</w:t>
      </w:r>
    </w:p>
    <w:p w:rsidR="006B5ACF" w:rsidRDefault="00266DB5">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lastRenderedPageBreak/>
        <w:t>“与住所相独立”是指经营场所不与住所相混合在一起、无法进行物理上的区分。以下情况为不相独立：一是住所与经营场所混用；二是住所与经营场所相连接，如经营场所与个人生活区域连通或经营场所为住宅、公寓及住宅附属</w:t>
      </w:r>
      <w:r w:rsidR="00F30830">
        <w:rPr>
          <w:rFonts w:ascii="宋体" w:eastAsia="宋体" w:hAnsi="宋体" w:cs="宋体" w:hint="eastAsia"/>
          <w:sz w:val="28"/>
          <w:szCs w:val="28"/>
        </w:rPr>
        <w:t>的阳台、窗口、地下室、储藏室、仓库、架空层、外扩房间等（行政村</w:t>
      </w:r>
      <w:r>
        <w:rPr>
          <w:rFonts w:ascii="宋体" w:eastAsia="宋体" w:hAnsi="宋体" w:cs="宋体" w:hint="eastAsia"/>
          <w:sz w:val="28"/>
          <w:szCs w:val="28"/>
        </w:rPr>
        <w:t>：与住宅相独立的耳房、厢房、围房除外）；</w:t>
      </w:r>
    </w:p>
    <w:p w:rsidR="006B5ACF" w:rsidRDefault="00266DB5">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固定经营场所”是指固定的、不可移动的合法建筑，不包括流动摊点（车、棚）、开放式摊位、简易板房、书报亭、电话亭、违章建筑、集装箱屋、临时建筑、未交付使用的建筑、已被政府纳入拆迁规划（已正式开始施工）、政府明令禁止办理烟草专卖零售许可证的区域或分时共享的同一商铺等；</w:t>
      </w:r>
    </w:p>
    <w:p w:rsidR="006B5ACF" w:rsidRDefault="00266DB5">
      <w:pPr>
        <w:numPr>
          <w:ilvl w:val="0"/>
          <w:numId w:val="8"/>
        </w:numPr>
        <w:spacing w:line="360" w:lineRule="auto"/>
        <w:ind w:firstLine="645"/>
        <w:rPr>
          <w:rFonts w:ascii="宋体" w:eastAsia="宋体" w:hAnsi="宋体" w:cs="宋体"/>
          <w:sz w:val="28"/>
          <w:szCs w:val="28"/>
        </w:rPr>
      </w:pPr>
      <w:r>
        <w:rPr>
          <w:rFonts w:ascii="宋体" w:eastAsia="宋体" w:hAnsi="宋体" w:cs="宋体" w:hint="eastAsia"/>
          <w:sz w:val="28"/>
          <w:szCs w:val="28"/>
        </w:rPr>
        <w:t>“</w:t>
      </w:r>
      <w:hyperlink w:anchor="与烟草制品零售业务没有直接或间接互补营销关系的业态类型" w:history="1">
        <w:r>
          <w:rPr>
            <w:rFonts w:ascii="宋体" w:eastAsia="宋体" w:hAnsi="宋体" w:cs="宋体" w:hint="eastAsia"/>
            <w:sz w:val="28"/>
            <w:szCs w:val="28"/>
          </w:rPr>
          <w:t>与烟草制品零售业务没有直接或间接互补营销关系的业态类型</w:t>
        </w:r>
      </w:hyperlink>
      <w:r>
        <w:rPr>
          <w:rFonts w:ascii="宋体" w:eastAsia="宋体" w:hAnsi="宋体" w:cs="宋体" w:hint="eastAsia"/>
          <w:sz w:val="28"/>
          <w:szCs w:val="28"/>
        </w:rPr>
        <w:t>”是指不以经营烟酒糖茶及预包装食品为主业，包括但不限于主营计生用品、服装制售、美容美发美甲、洗浴桑拿、按摩足疗、茶叶茶室、现制现售食品</w:t>
      </w:r>
      <w:r w:rsidR="00827780">
        <w:rPr>
          <w:rFonts w:ascii="宋体" w:eastAsia="宋体" w:hAnsi="宋体" w:cs="宋体" w:hint="eastAsia"/>
          <w:sz w:val="28"/>
          <w:szCs w:val="28"/>
        </w:rPr>
        <w:t>饮料</w:t>
      </w:r>
      <w:r>
        <w:rPr>
          <w:rFonts w:ascii="宋体" w:eastAsia="宋体" w:hAnsi="宋体" w:cs="宋体" w:hint="eastAsia"/>
          <w:sz w:val="28"/>
          <w:szCs w:val="28"/>
        </w:rPr>
        <w:t>、医疗保健、日化美妆、仪器仪表、金银珠宝、丧葬花圈、金融证券、体育健身、音像制品、工艺美术、回收寄售、寄卖典当、渔具钓具、水产海鲜、花园园艺、鲜花礼品、办公用品、彩票博彩、传真打印、影像照相、床上用品、家电家具、中介劳服、旅行社、祭祀用品、通信器材、机耕农具、农畜养殖、建筑装潢、搬家运输、五金交电、汽车租赁、汽车美容、车辆维修、宠物店、烘培面点、寄递配送等专业性较强的门店及酒店、饭店、私人会所、酒吧、台球厅、咖啡厅、歌舞厅、麻将棋牌、</w:t>
      </w:r>
      <w:r>
        <w:rPr>
          <w:rFonts w:ascii="宋体" w:eastAsia="宋体" w:hAnsi="宋体" w:cs="宋体" w:hint="eastAsia"/>
          <w:sz w:val="28"/>
          <w:szCs w:val="28"/>
        </w:rPr>
        <w:lastRenderedPageBreak/>
        <w:t xml:space="preserve">网吧等单一功能的消费场所（本规定第十一条（一）款的除外）； </w:t>
      </w:r>
    </w:p>
    <w:p w:rsidR="006B5ACF" w:rsidRDefault="00266DB5">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w:t>
      </w:r>
      <w:hyperlink w:anchor="中、小学校" w:history="1">
        <w:r w:rsidR="006B5ACF">
          <w:rPr>
            <w:rFonts w:ascii="宋体" w:eastAsia="宋体" w:hAnsi="宋体" w:cs="宋体" w:hint="eastAsia"/>
            <w:sz w:val="28"/>
            <w:szCs w:val="28"/>
          </w:rPr>
          <w:t>中、小学校</w:t>
        </w:r>
      </w:hyperlink>
      <w:r>
        <w:rPr>
          <w:rFonts w:ascii="宋体" w:eastAsia="宋体" w:hAnsi="宋体" w:cs="宋体" w:hint="eastAsia"/>
          <w:sz w:val="28"/>
          <w:szCs w:val="28"/>
        </w:rPr>
        <w:t>”是指以未成年人为教育对象，实施中等和初等教育的学校，包括普通中小学、特殊教育学校、中等职业学校、专门学校；</w:t>
      </w:r>
    </w:p>
    <w:p w:rsidR="006B5ACF" w:rsidRDefault="00266DB5">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w:t>
      </w:r>
      <w:hyperlink w:anchor="幼儿园" w:history="1">
        <w:r>
          <w:rPr>
            <w:rFonts w:ascii="宋体" w:eastAsia="宋体" w:hAnsi="宋体" w:cs="宋体" w:hint="eastAsia"/>
            <w:sz w:val="28"/>
            <w:szCs w:val="28"/>
          </w:rPr>
          <w:t>幼儿园</w:t>
        </w:r>
      </w:hyperlink>
      <w:r>
        <w:rPr>
          <w:rFonts w:ascii="宋体" w:eastAsia="宋体" w:hAnsi="宋体" w:cs="宋体" w:hint="eastAsia"/>
          <w:sz w:val="28"/>
          <w:szCs w:val="28"/>
        </w:rPr>
        <w:t>”是指经教育部门依法批准的公办和民办全日制、寄宿制、半日制幼儿园及小学附设的学前班、幼儿班，不包括幼儿看护、早教、幼儿托管机构等；</w:t>
      </w:r>
    </w:p>
    <w:p w:rsidR="006B5ACF" w:rsidRDefault="00266DB5">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“进出通道口”是指供各类人员进出校园的通道，含正门、边门、侧门、专用消防通道等；</w:t>
      </w:r>
    </w:p>
    <w:p w:rsidR="006B5ACF" w:rsidRDefault="00266DB5">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“容易诱导未成年人关注、购买、吸食烟草制品经营场所”是指母婴用品、书店、文具店、玩具店、游乐场所等；</w:t>
      </w:r>
    </w:p>
    <w:p w:rsidR="006B5ACF" w:rsidRDefault="00266DB5">
      <w:pPr>
        <w:numPr>
          <w:ilvl w:val="0"/>
          <w:numId w:val="8"/>
        </w:numPr>
        <w:tabs>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“封闭式”是指执法、服务车辆或人员需通过登记、刷卡或其他方式得到许可后，方能进出的区域。</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零售点间距测量标准。拟申请零售点与周边最近零售点之间，行人可通行并符合交通法规的通行线路的最短距离，测量的起点与终点分别为邻近两个零售点最近出入口的中间点，或者与中小学、幼儿园等场所可出入门的中间点之间的距离。因道路施工、临时封闭，或遇到临时障碍物需绕行的距离，不计算在零售点间距中。</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实施前已合法持有烟草专卖零售许可证的零售户，按照尊重历史、立足现状、信赖保护的原则，在许可证有效期内不受烟草制品零售点合理布局规定调整的影响。但属于第十二条规定的，原烟草专卖零售许可证到期后不予延续。</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本规定中的“以上”“不超过”均包含本数，“以下”“不低于”“范围内”均不含本数。</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本规定如有与法律、法规及规章相抵触的，以法律、法规、规章的规定为准。</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本规定自xxxx年xx月xx日起施行，有效期限五年（但依据法律法规规定的程序另行修订的除外）。xxxx烟草专卖局xxxx年xx月xx日印发的《xxxx烟草制品零售点布局管理规定》（xxxx号）同时废止。</w:t>
      </w:r>
    </w:p>
    <w:p w:rsidR="006B5ACF" w:rsidRDefault="00266DB5">
      <w:pPr>
        <w:numPr>
          <w:ilvl w:val="0"/>
          <w:numId w:val="2"/>
        </w:numPr>
        <w:tabs>
          <w:tab w:val="clear" w:pos="0"/>
          <w:tab w:val="left" w:pos="420"/>
        </w:tabs>
        <w:ind w:firstLineChars="200" w:firstLine="560"/>
        <w:jc w:val="left"/>
        <w:rPr>
          <w:rFonts w:ascii="宋体" w:eastAsia="宋体" w:hAnsi="宋体" w:cs="宋体"/>
          <w:sz w:val="28"/>
          <w:szCs w:val="28"/>
        </w:rPr>
      </w:pPr>
      <w:r>
        <w:rPr>
          <w:rFonts w:ascii="宋体" w:eastAsia="宋体" w:hAnsi="宋体" w:cs="宋体" w:hint="eastAsia"/>
          <w:sz w:val="28"/>
          <w:szCs w:val="28"/>
        </w:rPr>
        <w:t>本规定由</w:t>
      </w:r>
      <w:r w:rsidR="00E80398">
        <w:rPr>
          <w:rFonts w:ascii="宋体" w:eastAsia="宋体" w:hAnsi="宋体" w:cs="宋体" w:hint="eastAsia"/>
          <w:sz w:val="28"/>
          <w:szCs w:val="28"/>
        </w:rPr>
        <w:t>唐山市</w:t>
      </w:r>
      <w:r w:rsidR="001159BC">
        <w:rPr>
          <w:rFonts w:ascii="宋体" w:eastAsia="宋体" w:hAnsi="宋体" w:cs="宋体" w:hint="eastAsia"/>
          <w:sz w:val="28"/>
          <w:szCs w:val="28"/>
        </w:rPr>
        <w:t>丰南区</w:t>
      </w:r>
      <w:r>
        <w:rPr>
          <w:rFonts w:ascii="宋体" w:eastAsia="宋体" w:hAnsi="宋体" w:cs="宋体" w:hint="eastAsia"/>
          <w:sz w:val="28"/>
          <w:szCs w:val="28"/>
        </w:rPr>
        <w:t>烟草专卖局负责解释。</w:t>
      </w:r>
    </w:p>
    <w:p w:rsidR="006B5ACF" w:rsidRDefault="006B5ACF">
      <w:pPr>
        <w:pStyle w:val="a4"/>
        <w:widowControl/>
        <w:spacing w:beforeAutospacing="0" w:afterAutospacing="0" w:line="315" w:lineRule="atLeast"/>
        <w:ind w:firstLine="420"/>
        <w:jc w:val="both"/>
      </w:pPr>
    </w:p>
    <w:p w:rsidR="006B5ACF" w:rsidRDefault="006B5ACF">
      <w:pPr>
        <w:tabs>
          <w:tab w:val="left" w:pos="420"/>
        </w:tabs>
        <w:jc w:val="left"/>
        <w:rPr>
          <w:rFonts w:ascii="宋体" w:eastAsia="宋体" w:hAnsi="宋体" w:cs="宋体"/>
          <w:sz w:val="28"/>
          <w:szCs w:val="28"/>
        </w:rPr>
      </w:pPr>
    </w:p>
    <w:sectPr w:rsidR="006B5ACF" w:rsidSect="00E540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AB" w:rsidRDefault="00376FAB" w:rsidP="00C14331">
      <w:r>
        <w:separator/>
      </w:r>
    </w:p>
  </w:endnote>
  <w:endnote w:type="continuationSeparator" w:id="1">
    <w:p w:rsidR="00376FAB" w:rsidRDefault="00376FAB" w:rsidP="00C14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AB" w:rsidRDefault="00376FAB" w:rsidP="00C14331">
      <w:r>
        <w:separator/>
      </w:r>
    </w:p>
  </w:footnote>
  <w:footnote w:type="continuationSeparator" w:id="1">
    <w:p w:rsidR="00376FAB" w:rsidRDefault="00376FAB" w:rsidP="00C14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83F5A"/>
    <w:multiLevelType w:val="singleLevel"/>
    <w:tmpl w:val="8FD83F5A"/>
    <w:lvl w:ilvl="0">
      <w:start w:val="1"/>
      <w:numFmt w:val="chineseCounting"/>
      <w:suff w:val="nothing"/>
      <w:lvlText w:val="（%1）"/>
      <w:lvlJc w:val="left"/>
      <w:rPr>
        <w:rFonts w:hint="eastAsia"/>
      </w:rPr>
    </w:lvl>
  </w:abstractNum>
  <w:abstractNum w:abstractNumId="1">
    <w:nsid w:val="C27D7C3A"/>
    <w:multiLevelType w:val="multilevel"/>
    <w:tmpl w:val="C27D7C3A"/>
    <w:lvl w:ilvl="0">
      <w:start w:val="1"/>
      <w:numFmt w:val="chineseCounting"/>
      <w:suff w:val="space"/>
      <w:lvlText w:val="第%1章"/>
      <w:lvlJc w:val="center"/>
      <w:pPr>
        <w:tabs>
          <w:tab w:val="left" w:pos="2694"/>
        </w:tabs>
      </w:pPr>
      <w:rPr>
        <w:rFonts w:ascii="黑体" w:eastAsia="黑体" w:hAnsi="黑体" w:cs="黑体" w:hint="eastAsia"/>
        <w:b w:val="0"/>
        <w:bCs w:val="0"/>
      </w:rPr>
    </w:lvl>
    <w:lvl w:ilvl="1">
      <w:start w:val="1"/>
      <w:numFmt w:val="chineseCounting"/>
      <w:suff w:val="nothing"/>
      <w:lvlText w:val="第%2条"/>
      <w:lvlJc w:val="left"/>
      <w:pPr>
        <w:tabs>
          <w:tab w:val="left" w:pos="3114"/>
        </w:tabs>
      </w:pPr>
      <w:rPr>
        <w:rFonts w:hint="eastAsia"/>
        <w:b/>
        <w:bCs/>
      </w:rPr>
    </w:lvl>
    <w:lvl w:ilvl="2">
      <w:start w:val="1"/>
      <w:numFmt w:val="chineseCounting"/>
      <w:suff w:val="nothing"/>
      <w:lvlText w:val="（%3）"/>
      <w:lvlJc w:val="left"/>
      <w:rPr>
        <w:rFonts w:hint="eastAsia"/>
        <w:b w:val="0"/>
        <w:bCs w:val="0"/>
      </w:rPr>
    </w:lvl>
    <w:lvl w:ilvl="3">
      <w:start w:val="1"/>
      <w:numFmt w:val="decimal"/>
      <w:suff w:val="nothing"/>
      <w:lvlText w:val="%4．"/>
      <w:lvlJc w:val="left"/>
      <w:rPr>
        <w:rFonts w:hint="eastAsia"/>
        <w:b/>
        <w:bCs/>
      </w:rPr>
    </w:lvl>
    <w:lvl w:ilvl="4">
      <w:start w:val="1"/>
      <w:numFmt w:val="decimal"/>
      <w:suff w:val="nothing"/>
      <w:lvlText w:val="（%5）"/>
      <w:lvlJc w:val="left"/>
      <w:rPr>
        <w:rFonts w:hint="eastAsia"/>
        <w:b/>
        <w:bCs/>
      </w:rPr>
    </w:lvl>
    <w:lvl w:ilvl="5">
      <w:start w:val="1"/>
      <w:numFmt w:val="decimalEnclosedCircleChinese"/>
      <w:suff w:val="nothing"/>
      <w:lvlText w:val="%6"/>
      <w:lvlJc w:val="left"/>
      <w:rPr>
        <w:rFonts w:hint="eastAsia"/>
        <w:b/>
        <w:bCs/>
      </w:rPr>
    </w:lvl>
    <w:lvl w:ilvl="6">
      <w:start w:val="1"/>
      <w:numFmt w:val="decimal"/>
      <w:suff w:val="nothing"/>
      <w:lvlText w:val="%7）"/>
      <w:lvlJc w:val="left"/>
      <w:rPr>
        <w:rFonts w:hint="eastAsia"/>
        <w:b/>
        <w:bCs/>
      </w:rPr>
    </w:lvl>
    <w:lvl w:ilvl="7">
      <w:start w:val="1"/>
      <w:numFmt w:val="lowerLetter"/>
      <w:suff w:val="nothing"/>
      <w:lvlText w:val="%8．"/>
      <w:lvlJc w:val="left"/>
      <w:rPr>
        <w:rFonts w:hint="eastAsia"/>
        <w:b/>
        <w:bCs/>
      </w:rPr>
    </w:lvl>
    <w:lvl w:ilvl="8">
      <w:start w:val="1"/>
      <w:numFmt w:val="lowerLetter"/>
      <w:suff w:val="nothing"/>
      <w:lvlText w:val="%9）"/>
      <w:lvlJc w:val="left"/>
      <w:rPr>
        <w:rFonts w:hint="eastAsia"/>
        <w:b/>
        <w:bCs/>
      </w:rPr>
    </w:lvl>
  </w:abstractNum>
  <w:abstractNum w:abstractNumId="2">
    <w:nsid w:val="C9DF9172"/>
    <w:multiLevelType w:val="multilevel"/>
    <w:tmpl w:val="C9DF9172"/>
    <w:lvl w:ilvl="0">
      <w:start w:val="1"/>
      <w:numFmt w:val="chineseCounting"/>
      <w:suff w:val="space"/>
      <w:lvlText w:val="第%1条"/>
      <w:lvlJc w:val="left"/>
      <w:pPr>
        <w:tabs>
          <w:tab w:val="left" w:pos="0"/>
        </w:tabs>
      </w:pPr>
      <w:rPr>
        <w:rFonts w:ascii="黑体" w:eastAsia="黑体" w:hAnsi="黑体" w:cs="黑体" w:hint="eastAsia"/>
        <w:color w:val="auto"/>
        <w:sz w:val="32"/>
        <w:szCs w:val="32"/>
      </w:rPr>
    </w:lvl>
    <w:lvl w:ilvl="1">
      <w:start w:val="1"/>
      <w:numFmt w:val="chineseCounting"/>
      <w:suff w:val="nothing"/>
      <w:lvlText w:val="（%2）"/>
      <w:lvlJc w:val="left"/>
      <w:pPr>
        <w:tabs>
          <w:tab w:val="left" w:pos="420"/>
        </w:tabs>
        <w:ind w:left="-430"/>
      </w:pPr>
      <w:rPr>
        <w:rFonts w:ascii="仿宋" w:eastAsia="仿宋" w:hAnsi="仿宋" w:cs="仿宋" w:hint="eastAsia"/>
        <w:b w:val="0"/>
        <w:bCs w:val="0"/>
        <w:sz w:val="32"/>
        <w:szCs w:val="32"/>
      </w:rPr>
    </w:lvl>
    <w:lvl w:ilvl="2">
      <w:start w:val="1"/>
      <w:numFmt w:val="decimal"/>
      <w:suff w:val="nothing"/>
      <w:lvlText w:val="%3."/>
      <w:lvlJc w:val="left"/>
      <w:rPr>
        <w:rFonts w:ascii="仿宋" w:eastAsia="仿宋" w:hAnsi="仿宋" w:cs="仿宋" w:hint="eastAsia"/>
        <w:sz w:val="32"/>
        <w:szCs w:val="32"/>
      </w:rPr>
    </w:lvl>
    <w:lvl w:ilvl="3">
      <w:start w:val="1"/>
      <w:numFmt w:val="decimal"/>
      <w:suff w:val="nothing"/>
      <w:lvlText w:val="%4．"/>
      <w:lvlJc w:val="left"/>
      <w:rPr>
        <w:rFonts w:ascii="黑体" w:eastAsia="黑体" w:hAnsi="黑体" w:cs="黑体" w:hint="eastAsia"/>
        <w:sz w:val="32"/>
        <w:szCs w:val="32"/>
      </w:rPr>
    </w:lvl>
    <w:lvl w:ilvl="4">
      <w:start w:val="1"/>
      <w:numFmt w:val="decimal"/>
      <w:suff w:val="nothing"/>
      <w:lvlText w:val="（%5）"/>
      <w:lvlJc w:val="left"/>
      <w:rPr>
        <w:rFonts w:ascii="黑体" w:eastAsia="黑体" w:hAnsi="黑体" w:cs="黑体" w:hint="eastAsia"/>
        <w:sz w:val="32"/>
        <w:szCs w:val="32"/>
      </w:rPr>
    </w:lvl>
    <w:lvl w:ilvl="5">
      <w:start w:val="1"/>
      <w:numFmt w:val="decimalEnclosedCircleChinese"/>
      <w:suff w:val="nothing"/>
      <w:lvlText w:val="%6"/>
      <w:lvlJc w:val="left"/>
      <w:rPr>
        <w:rFonts w:ascii="黑体" w:eastAsia="黑体" w:hAnsi="黑体" w:cs="黑体" w:hint="eastAsia"/>
        <w:sz w:val="32"/>
        <w:szCs w:val="32"/>
      </w:rPr>
    </w:lvl>
    <w:lvl w:ilvl="6">
      <w:start w:val="1"/>
      <w:numFmt w:val="decimal"/>
      <w:suff w:val="nothing"/>
      <w:lvlText w:val="%7）"/>
      <w:lvlJc w:val="left"/>
      <w:rPr>
        <w:rFonts w:ascii="黑体" w:eastAsia="黑体" w:hAnsi="黑体" w:cs="黑体" w:hint="eastAsia"/>
        <w:sz w:val="32"/>
        <w:szCs w:val="32"/>
      </w:rPr>
    </w:lvl>
    <w:lvl w:ilvl="7">
      <w:start w:val="1"/>
      <w:numFmt w:val="lowerLetter"/>
      <w:suff w:val="nothing"/>
      <w:lvlText w:val="%8．"/>
      <w:lvlJc w:val="left"/>
      <w:rPr>
        <w:rFonts w:ascii="黑体" w:eastAsia="黑体" w:hAnsi="黑体" w:cs="黑体" w:hint="eastAsia"/>
        <w:sz w:val="32"/>
        <w:szCs w:val="32"/>
      </w:rPr>
    </w:lvl>
    <w:lvl w:ilvl="8">
      <w:start w:val="1"/>
      <w:numFmt w:val="lowerLetter"/>
      <w:suff w:val="nothing"/>
      <w:lvlText w:val="%9）"/>
      <w:lvlJc w:val="left"/>
      <w:rPr>
        <w:rFonts w:ascii="黑体" w:eastAsia="黑体" w:hAnsi="黑体" w:cs="黑体" w:hint="eastAsia"/>
        <w:sz w:val="32"/>
        <w:szCs w:val="32"/>
      </w:rPr>
    </w:lvl>
  </w:abstractNum>
  <w:abstractNum w:abstractNumId="3">
    <w:nsid w:val="ECB3E846"/>
    <w:multiLevelType w:val="singleLevel"/>
    <w:tmpl w:val="ECB3E846"/>
    <w:lvl w:ilvl="0">
      <w:start w:val="1"/>
      <w:numFmt w:val="chineseCounting"/>
      <w:suff w:val="nothing"/>
      <w:lvlText w:val="（%1）"/>
      <w:lvlJc w:val="left"/>
      <w:rPr>
        <w:rFonts w:hint="eastAsia"/>
      </w:rPr>
    </w:lvl>
  </w:abstractNum>
  <w:abstractNum w:abstractNumId="4">
    <w:nsid w:val="052A492F"/>
    <w:multiLevelType w:val="singleLevel"/>
    <w:tmpl w:val="052A492F"/>
    <w:lvl w:ilvl="0">
      <w:start w:val="1"/>
      <w:numFmt w:val="chineseCounting"/>
      <w:suff w:val="nothing"/>
      <w:lvlText w:val="（%1）"/>
      <w:lvlJc w:val="left"/>
      <w:pPr>
        <w:ind w:left="-10"/>
      </w:pPr>
      <w:rPr>
        <w:rFonts w:hint="eastAsia"/>
      </w:rPr>
    </w:lvl>
  </w:abstractNum>
  <w:abstractNum w:abstractNumId="5">
    <w:nsid w:val="07F53358"/>
    <w:multiLevelType w:val="singleLevel"/>
    <w:tmpl w:val="01485EB2"/>
    <w:lvl w:ilvl="0">
      <w:start w:val="1"/>
      <w:numFmt w:val="chineseCounting"/>
      <w:suff w:val="nothing"/>
      <w:lvlText w:val="（%1）"/>
      <w:lvlJc w:val="left"/>
      <w:rPr>
        <w:rFonts w:hint="eastAsia"/>
        <w:color w:val="auto"/>
      </w:rPr>
    </w:lvl>
  </w:abstractNum>
  <w:abstractNum w:abstractNumId="6">
    <w:nsid w:val="081D1180"/>
    <w:multiLevelType w:val="singleLevel"/>
    <w:tmpl w:val="081D1180"/>
    <w:lvl w:ilvl="0">
      <w:start w:val="1"/>
      <w:numFmt w:val="chineseCounting"/>
      <w:suff w:val="nothing"/>
      <w:lvlText w:val="（%1）"/>
      <w:lvlJc w:val="left"/>
      <w:pPr>
        <w:ind w:left="195"/>
      </w:pPr>
      <w:rPr>
        <w:rFonts w:hint="eastAsia"/>
      </w:rPr>
    </w:lvl>
  </w:abstractNum>
  <w:abstractNum w:abstractNumId="7">
    <w:nsid w:val="44F23472"/>
    <w:multiLevelType w:val="singleLevel"/>
    <w:tmpl w:val="44F23472"/>
    <w:lvl w:ilvl="0">
      <w:start w:val="1"/>
      <w:numFmt w:val="chineseCounting"/>
      <w:suff w:val="nothing"/>
      <w:lvlText w:val="（%1）"/>
      <w:lvlJc w:val="left"/>
      <w:rPr>
        <w:rFonts w:hint="eastAsia"/>
      </w:rPr>
    </w:lvl>
  </w:abstractNum>
  <w:abstractNum w:abstractNumId="8">
    <w:nsid w:val="7B20206B"/>
    <w:multiLevelType w:val="singleLevel"/>
    <w:tmpl w:val="7B20206B"/>
    <w:lvl w:ilvl="0">
      <w:start w:val="1"/>
      <w:numFmt w:val="decimal"/>
      <w:lvlText w:val="%1."/>
      <w:lvlJc w:val="left"/>
      <w:pPr>
        <w:tabs>
          <w:tab w:val="left" w:pos="312"/>
        </w:tabs>
      </w:pPr>
    </w:lvl>
  </w:abstractNum>
  <w:num w:numId="1">
    <w:abstractNumId w:val="1"/>
  </w:num>
  <w:num w:numId="2">
    <w:abstractNumId w:val="2"/>
  </w:num>
  <w:num w:numId="3">
    <w:abstractNumId w:val="0"/>
  </w:num>
  <w:num w:numId="4">
    <w:abstractNumId w:val="5"/>
  </w:num>
  <w:num w:numId="5">
    <w:abstractNumId w:val="7"/>
  </w:num>
  <w:num w:numId="6">
    <w:abstractNumId w:val="4"/>
  </w:num>
  <w:num w:numId="7">
    <w:abstractNumId w:val="3"/>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VerticalSpacing w:val="156"/>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A5Mzg5MTU2YmIxMzQ2ZjZkMDI3Y2NjYmQ3ZDEwYWIifQ=="/>
  </w:docVars>
  <w:rsids>
    <w:rsidRoot w:val="66E26686"/>
    <w:rsid w:val="F7F55363"/>
    <w:rsid w:val="00031AB1"/>
    <w:rsid w:val="001159BC"/>
    <w:rsid w:val="001266FC"/>
    <w:rsid w:val="001919A8"/>
    <w:rsid w:val="001E3A78"/>
    <w:rsid w:val="001E6B7D"/>
    <w:rsid w:val="0024152E"/>
    <w:rsid w:val="00266DB5"/>
    <w:rsid w:val="00297431"/>
    <w:rsid w:val="002A138A"/>
    <w:rsid w:val="002B413B"/>
    <w:rsid w:val="00320DF4"/>
    <w:rsid w:val="003223D1"/>
    <w:rsid w:val="00332D07"/>
    <w:rsid w:val="00376FAB"/>
    <w:rsid w:val="003F2498"/>
    <w:rsid w:val="003F67E9"/>
    <w:rsid w:val="0049143C"/>
    <w:rsid w:val="004D1414"/>
    <w:rsid w:val="00500858"/>
    <w:rsid w:val="005055F8"/>
    <w:rsid w:val="00536015"/>
    <w:rsid w:val="006961E0"/>
    <w:rsid w:val="006B5ACF"/>
    <w:rsid w:val="00744AD1"/>
    <w:rsid w:val="007819D0"/>
    <w:rsid w:val="007B0C96"/>
    <w:rsid w:val="00822DCD"/>
    <w:rsid w:val="0082558B"/>
    <w:rsid w:val="00827780"/>
    <w:rsid w:val="008624D7"/>
    <w:rsid w:val="009D30CE"/>
    <w:rsid w:val="00A57AC4"/>
    <w:rsid w:val="00AF2354"/>
    <w:rsid w:val="00B23309"/>
    <w:rsid w:val="00B65443"/>
    <w:rsid w:val="00C0526F"/>
    <w:rsid w:val="00C14331"/>
    <w:rsid w:val="00C61945"/>
    <w:rsid w:val="00CC6052"/>
    <w:rsid w:val="00CD234A"/>
    <w:rsid w:val="00DD5A6D"/>
    <w:rsid w:val="00E54075"/>
    <w:rsid w:val="00E64807"/>
    <w:rsid w:val="00E80398"/>
    <w:rsid w:val="00EC3B83"/>
    <w:rsid w:val="00F30830"/>
    <w:rsid w:val="00F51C84"/>
    <w:rsid w:val="00F86724"/>
    <w:rsid w:val="0156547C"/>
    <w:rsid w:val="03471472"/>
    <w:rsid w:val="078A4B27"/>
    <w:rsid w:val="08597C79"/>
    <w:rsid w:val="09D71772"/>
    <w:rsid w:val="0D3A3CBA"/>
    <w:rsid w:val="0DDF72BE"/>
    <w:rsid w:val="0E0C4DFD"/>
    <w:rsid w:val="10BC5702"/>
    <w:rsid w:val="127B2E60"/>
    <w:rsid w:val="15E9458A"/>
    <w:rsid w:val="16AA7F7C"/>
    <w:rsid w:val="18DA283C"/>
    <w:rsid w:val="1A7F2D68"/>
    <w:rsid w:val="1BFD7B7A"/>
    <w:rsid w:val="22794399"/>
    <w:rsid w:val="22E079AB"/>
    <w:rsid w:val="25A72C88"/>
    <w:rsid w:val="268964E8"/>
    <w:rsid w:val="28905503"/>
    <w:rsid w:val="297939AC"/>
    <w:rsid w:val="2A3F0751"/>
    <w:rsid w:val="2ABD1842"/>
    <w:rsid w:val="2D160A8E"/>
    <w:rsid w:val="2E847F51"/>
    <w:rsid w:val="2F2F348A"/>
    <w:rsid w:val="2FFE5F66"/>
    <w:rsid w:val="326E243B"/>
    <w:rsid w:val="33307380"/>
    <w:rsid w:val="38917328"/>
    <w:rsid w:val="3A115770"/>
    <w:rsid w:val="3CC03C61"/>
    <w:rsid w:val="3DB443FE"/>
    <w:rsid w:val="4056719A"/>
    <w:rsid w:val="426060AC"/>
    <w:rsid w:val="44806DEE"/>
    <w:rsid w:val="465E7A7F"/>
    <w:rsid w:val="498D572D"/>
    <w:rsid w:val="4A987ED5"/>
    <w:rsid w:val="4B606EE5"/>
    <w:rsid w:val="4C8449BE"/>
    <w:rsid w:val="50C068F3"/>
    <w:rsid w:val="546C41B9"/>
    <w:rsid w:val="59296D66"/>
    <w:rsid w:val="5AC52C21"/>
    <w:rsid w:val="60E90970"/>
    <w:rsid w:val="62FA5AFF"/>
    <w:rsid w:val="637A6B3B"/>
    <w:rsid w:val="660348FD"/>
    <w:rsid w:val="66E26686"/>
    <w:rsid w:val="67BF2E2C"/>
    <w:rsid w:val="6D9126D1"/>
    <w:rsid w:val="6FEB7051"/>
    <w:rsid w:val="7AE2E736"/>
    <w:rsid w:val="7D714396"/>
    <w:rsid w:val="7DE4127F"/>
    <w:rsid w:val="7E8B71C0"/>
    <w:rsid w:val="7EB66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07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54075"/>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54075"/>
    <w:pPr>
      <w:jc w:val="left"/>
    </w:pPr>
  </w:style>
  <w:style w:type="paragraph" w:styleId="a4">
    <w:name w:val="Normal (Web)"/>
    <w:basedOn w:val="a"/>
    <w:qFormat/>
    <w:rsid w:val="00E54075"/>
    <w:pPr>
      <w:spacing w:beforeAutospacing="1" w:afterAutospacing="1"/>
      <w:jc w:val="left"/>
    </w:pPr>
    <w:rPr>
      <w:rFonts w:cs="Times New Roman"/>
      <w:kern w:val="0"/>
      <w:sz w:val="24"/>
    </w:rPr>
  </w:style>
  <w:style w:type="character" w:styleId="a5">
    <w:name w:val="FollowedHyperlink"/>
    <w:basedOn w:val="a0"/>
    <w:qFormat/>
    <w:rsid w:val="00E54075"/>
    <w:rPr>
      <w:color w:val="800080"/>
      <w:u w:val="single"/>
    </w:rPr>
  </w:style>
  <w:style w:type="character" w:styleId="a6">
    <w:name w:val="Hyperlink"/>
    <w:basedOn w:val="a0"/>
    <w:qFormat/>
    <w:rsid w:val="00E54075"/>
    <w:rPr>
      <w:color w:val="0000FF"/>
      <w:u w:val="single"/>
    </w:rPr>
  </w:style>
  <w:style w:type="character" w:styleId="a7">
    <w:name w:val="annotation reference"/>
    <w:basedOn w:val="a0"/>
    <w:qFormat/>
    <w:rsid w:val="00E54075"/>
    <w:rPr>
      <w:sz w:val="21"/>
      <w:szCs w:val="21"/>
    </w:rPr>
  </w:style>
  <w:style w:type="paragraph" w:styleId="a8">
    <w:name w:val="header"/>
    <w:basedOn w:val="a"/>
    <w:link w:val="Char"/>
    <w:rsid w:val="00C14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14331"/>
    <w:rPr>
      <w:rFonts w:asciiTheme="minorHAnsi" w:eastAsiaTheme="minorEastAsia" w:hAnsiTheme="minorHAnsi" w:cstheme="minorBidi"/>
      <w:kern w:val="2"/>
      <w:sz w:val="18"/>
      <w:szCs w:val="18"/>
    </w:rPr>
  </w:style>
  <w:style w:type="paragraph" w:styleId="a9">
    <w:name w:val="footer"/>
    <w:basedOn w:val="a"/>
    <w:link w:val="Char0"/>
    <w:rsid w:val="00C14331"/>
    <w:pPr>
      <w:tabs>
        <w:tab w:val="center" w:pos="4153"/>
        <w:tab w:val="right" w:pos="8306"/>
      </w:tabs>
      <w:snapToGrid w:val="0"/>
      <w:jc w:val="left"/>
    </w:pPr>
    <w:rPr>
      <w:sz w:val="18"/>
      <w:szCs w:val="18"/>
    </w:rPr>
  </w:style>
  <w:style w:type="character" w:customStyle="1" w:styleId="Char0">
    <w:name w:val="页脚 Char"/>
    <w:basedOn w:val="a0"/>
    <w:link w:val="a9"/>
    <w:rsid w:val="00C14331"/>
    <w:rPr>
      <w:rFonts w:asciiTheme="minorHAnsi" w:eastAsiaTheme="minorEastAsia" w:hAnsiTheme="minorHAnsi" w:cstheme="minorBidi"/>
      <w:kern w:val="2"/>
      <w:sz w:val="18"/>
      <w:szCs w:val="18"/>
    </w:rPr>
  </w:style>
  <w:style w:type="paragraph" w:styleId="aa">
    <w:name w:val="Balloon Text"/>
    <w:basedOn w:val="a"/>
    <w:link w:val="Char1"/>
    <w:rsid w:val="003F2498"/>
    <w:rPr>
      <w:sz w:val="18"/>
      <w:szCs w:val="18"/>
    </w:rPr>
  </w:style>
  <w:style w:type="character" w:customStyle="1" w:styleId="Char1">
    <w:name w:val="批注框文本 Char"/>
    <w:basedOn w:val="a0"/>
    <w:link w:val="aa"/>
    <w:rsid w:val="003F249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12</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高高</dc:creator>
  <cp:lastModifiedBy>tsfn-zmk-lj</cp:lastModifiedBy>
  <cp:revision>26</cp:revision>
  <dcterms:created xsi:type="dcterms:W3CDTF">2024-10-03T18:14:00Z</dcterms:created>
  <dcterms:modified xsi:type="dcterms:W3CDTF">2024-10-18T04:49:00Z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D47BB4A45E5C4F0D8C68DC0639D142E3_13</vt:lpwstr>
  </property>
</Properties>
</file>