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3975" w:firstLineChars="900"/>
        <w:jc w:val="both"/>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一、中国共产主义青年团唐山市丰南区委员会本级收支预算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2959" w:type="dxa"/>
            <w:tcBorders>
              <w:top w:val="single" w:color="FFFFFF" w:sz="6" w:space="0"/>
              <w:left w:val="single" w:color="FFFFFF" w:sz="6" w:space="0"/>
              <w:right w:val="single" w:color="FFFFFF" w:sz="6" w:space="0"/>
            </w:tcBorders>
            <w:vAlign w:val="center"/>
          </w:tcPr>
          <w:p>
            <w:pPr>
              <w:pStyle w:val="6"/>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146.39</w:t>
            </w:r>
          </w:p>
        </w:tc>
        <w:tc>
          <w:tcPr>
            <w:tcW w:w="2959" w:type="dxa"/>
            <w:vAlign w:val="center"/>
          </w:tcPr>
          <w:p>
            <w:pPr>
              <w:pStyle w:val="10"/>
            </w:pPr>
            <w:r>
              <w:t>一、一般公共服务支出</w:t>
            </w:r>
          </w:p>
        </w:tc>
        <w:tc>
          <w:tcPr>
            <w:tcW w:w="2959" w:type="dxa"/>
            <w:vAlign w:val="center"/>
          </w:tcPr>
          <w:p>
            <w:pPr>
              <w:pStyle w:val="11"/>
            </w:pPr>
            <w:r>
              <w:t>133.51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2"/>
            </w:pPr>
            <w:r>
              <w:t>本年收入合计</w:t>
            </w:r>
          </w:p>
        </w:tc>
        <w:tc>
          <w:tcPr>
            <w:tcW w:w="2959" w:type="dxa"/>
            <w:vAlign w:val="center"/>
          </w:tcPr>
          <w:p>
            <w:pPr>
              <w:pStyle w:val="13"/>
            </w:pPr>
            <w:r>
              <w:t>146.39</w:t>
            </w:r>
          </w:p>
        </w:tc>
        <w:tc>
          <w:tcPr>
            <w:tcW w:w="2959" w:type="dxa"/>
            <w:vAlign w:val="center"/>
          </w:tcPr>
          <w:p>
            <w:pPr>
              <w:pStyle w:val="12"/>
            </w:pPr>
            <w:r>
              <w:t>本年支出合计</w:t>
            </w:r>
          </w:p>
        </w:tc>
        <w:tc>
          <w:tcPr>
            <w:tcW w:w="2959" w:type="dxa"/>
            <w:vAlign w:val="center"/>
          </w:tcPr>
          <w:p>
            <w:pPr>
              <w:pStyle w:val="13"/>
            </w:pPr>
            <w:r>
              <w:t>146.39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34</w:t>
            </w:r>
          </w:p>
        </w:tc>
        <w:tc>
          <w:tcPr>
            <w:tcW w:w="2959" w:type="dxa"/>
            <w:vAlign w:val="center"/>
          </w:tcPr>
          <w:p>
            <w:pPr>
              <w:pStyle w:val="12"/>
            </w:pPr>
            <w:r>
              <w:t>收入总计</w:t>
            </w:r>
          </w:p>
        </w:tc>
        <w:tc>
          <w:tcPr>
            <w:tcW w:w="2959" w:type="dxa"/>
            <w:vAlign w:val="center"/>
          </w:tcPr>
          <w:p>
            <w:pPr>
              <w:pStyle w:val="13"/>
            </w:pPr>
            <w:r>
              <w:t>146.39</w:t>
            </w:r>
          </w:p>
        </w:tc>
        <w:tc>
          <w:tcPr>
            <w:tcW w:w="2959" w:type="dxa"/>
            <w:vAlign w:val="center"/>
          </w:tcPr>
          <w:p>
            <w:pPr>
              <w:pStyle w:val="12"/>
            </w:pPr>
            <w:r>
              <w:t>支出总计</w:t>
            </w:r>
          </w:p>
        </w:tc>
        <w:tc>
          <w:tcPr>
            <w:tcW w:w="2959" w:type="dxa"/>
            <w:vAlign w:val="center"/>
          </w:tcPr>
          <w:p>
            <w:pPr>
              <w:pStyle w:val="13"/>
            </w:pPr>
            <w:r>
              <w:t>146.39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146.39</w:t>
            </w:r>
          </w:p>
        </w:tc>
        <w:tc>
          <w:tcPr>
            <w:tcW w:w="758" w:type="dxa"/>
            <w:vAlign w:val="center"/>
          </w:tcPr>
          <w:p>
            <w:pPr>
              <w:pStyle w:val="13"/>
            </w:pPr>
            <w:r>
              <w:t>146.39</w:t>
            </w:r>
          </w:p>
        </w:tc>
        <w:tc>
          <w:tcPr>
            <w:tcW w:w="758" w:type="dxa"/>
            <w:vAlign w:val="center"/>
          </w:tcPr>
          <w:p>
            <w:pPr>
              <w:pStyle w:val="13"/>
            </w:pPr>
            <w:r>
              <w:t>146.39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133.51</w:t>
            </w:r>
          </w:p>
        </w:tc>
        <w:tc>
          <w:tcPr>
            <w:tcW w:w="758" w:type="dxa"/>
            <w:vAlign w:val="center"/>
          </w:tcPr>
          <w:p>
            <w:pPr>
              <w:pStyle w:val="11"/>
            </w:pPr>
            <w:r>
              <w:t>133.51</w:t>
            </w:r>
          </w:p>
        </w:tc>
        <w:tc>
          <w:tcPr>
            <w:tcW w:w="758" w:type="dxa"/>
            <w:vAlign w:val="center"/>
          </w:tcPr>
          <w:p>
            <w:pPr>
              <w:pStyle w:val="11"/>
            </w:pPr>
            <w:r>
              <w:t>133.51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20129</w:t>
            </w:r>
          </w:p>
        </w:tc>
        <w:tc>
          <w:tcPr>
            <w:tcW w:w="758" w:type="dxa"/>
            <w:vAlign w:val="center"/>
          </w:tcPr>
          <w:p>
            <w:pPr>
              <w:pStyle w:val="10"/>
            </w:pPr>
            <w:r>
              <w:t>群众团体事务</w:t>
            </w:r>
          </w:p>
        </w:tc>
        <w:tc>
          <w:tcPr>
            <w:tcW w:w="758" w:type="dxa"/>
            <w:vAlign w:val="center"/>
          </w:tcPr>
          <w:p>
            <w:pPr>
              <w:pStyle w:val="11"/>
            </w:pPr>
            <w:r>
              <w:t>133.51</w:t>
            </w:r>
          </w:p>
        </w:tc>
        <w:tc>
          <w:tcPr>
            <w:tcW w:w="758" w:type="dxa"/>
            <w:vAlign w:val="center"/>
          </w:tcPr>
          <w:p>
            <w:pPr>
              <w:pStyle w:val="11"/>
            </w:pPr>
            <w:r>
              <w:t>133.51</w:t>
            </w:r>
          </w:p>
        </w:tc>
        <w:tc>
          <w:tcPr>
            <w:tcW w:w="758" w:type="dxa"/>
            <w:vAlign w:val="center"/>
          </w:tcPr>
          <w:p>
            <w:pPr>
              <w:pStyle w:val="11"/>
            </w:pPr>
            <w:r>
              <w:t>133.51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2012901</w:t>
            </w:r>
          </w:p>
        </w:tc>
        <w:tc>
          <w:tcPr>
            <w:tcW w:w="758" w:type="dxa"/>
            <w:vAlign w:val="center"/>
          </w:tcPr>
          <w:p>
            <w:pPr>
              <w:pStyle w:val="10"/>
            </w:pPr>
            <w:r>
              <w:t>行政运行</w:t>
            </w:r>
          </w:p>
        </w:tc>
        <w:tc>
          <w:tcPr>
            <w:tcW w:w="758" w:type="dxa"/>
            <w:vAlign w:val="center"/>
          </w:tcPr>
          <w:p>
            <w:pPr>
              <w:pStyle w:val="11"/>
            </w:pPr>
            <w:r>
              <w:t>64.77</w:t>
            </w:r>
          </w:p>
        </w:tc>
        <w:tc>
          <w:tcPr>
            <w:tcW w:w="758" w:type="dxa"/>
            <w:vAlign w:val="center"/>
          </w:tcPr>
          <w:p>
            <w:pPr>
              <w:pStyle w:val="11"/>
            </w:pPr>
            <w:r>
              <w:t>64.77</w:t>
            </w:r>
          </w:p>
        </w:tc>
        <w:tc>
          <w:tcPr>
            <w:tcW w:w="758" w:type="dxa"/>
            <w:vAlign w:val="center"/>
          </w:tcPr>
          <w:p>
            <w:pPr>
              <w:pStyle w:val="11"/>
            </w:pPr>
            <w:r>
              <w:t>64.77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2012902</w:t>
            </w:r>
          </w:p>
        </w:tc>
        <w:tc>
          <w:tcPr>
            <w:tcW w:w="758" w:type="dxa"/>
            <w:vAlign w:val="center"/>
          </w:tcPr>
          <w:p>
            <w:pPr>
              <w:pStyle w:val="10"/>
            </w:pPr>
            <w:r>
              <w:t>一般行政管理事务</w:t>
            </w:r>
          </w:p>
        </w:tc>
        <w:tc>
          <w:tcPr>
            <w:tcW w:w="758" w:type="dxa"/>
            <w:vAlign w:val="center"/>
          </w:tcPr>
          <w:p>
            <w:pPr>
              <w:pStyle w:val="11"/>
            </w:pPr>
            <w:r>
              <w:t>68.74</w:t>
            </w:r>
          </w:p>
        </w:tc>
        <w:tc>
          <w:tcPr>
            <w:tcW w:w="758" w:type="dxa"/>
            <w:vAlign w:val="center"/>
          </w:tcPr>
          <w:p>
            <w:pPr>
              <w:pStyle w:val="11"/>
            </w:pPr>
            <w:r>
              <w:t>68.74</w:t>
            </w:r>
          </w:p>
        </w:tc>
        <w:tc>
          <w:tcPr>
            <w:tcW w:w="758" w:type="dxa"/>
            <w:vAlign w:val="center"/>
          </w:tcPr>
          <w:p>
            <w:pPr>
              <w:pStyle w:val="11"/>
            </w:pPr>
            <w:r>
              <w:t>68.74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5.75</w:t>
            </w:r>
          </w:p>
        </w:tc>
        <w:tc>
          <w:tcPr>
            <w:tcW w:w="758" w:type="dxa"/>
            <w:vAlign w:val="center"/>
          </w:tcPr>
          <w:p>
            <w:pPr>
              <w:pStyle w:val="11"/>
            </w:pPr>
            <w:r>
              <w:t>5.75</w:t>
            </w:r>
          </w:p>
        </w:tc>
        <w:tc>
          <w:tcPr>
            <w:tcW w:w="758" w:type="dxa"/>
            <w:vAlign w:val="center"/>
          </w:tcPr>
          <w:p>
            <w:pPr>
              <w:pStyle w:val="11"/>
            </w:pPr>
            <w:r>
              <w:t>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4.42</w:t>
            </w:r>
          </w:p>
        </w:tc>
        <w:tc>
          <w:tcPr>
            <w:tcW w:w="758" w:type="dxa"/>
            <w:vAlign w:val="center"/>
          </w:tcPr>
          <w:p>
            <w:pPr>
              <w:pStyle w:val="11"/>
            </w:pPr>
            <w:r>
              <w:t>4.42</w:t>
            </w:r>
          </w:p>
        </w:tc>
        <w:tc>
          <w:tcPr>
            <w:tcW w:w="758" w:type="dxa"/>
            <w:vAlign w:val="center"/>
          </w:tcPr>
          <w:p>
            <w:pPr>
              <w:pStyle w:val="11"/>
            </w:pPr>
            <w:r>
              <w:t>4.42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4.42</w:t>
            </w:r>
          </w:p>
        </w:tc>
        <w:tc>
          <w:tcPr>
            <w:tcW w:w="758" w:type="dxa"/>
            <w:vAlign w:val="center"/>
          </w:tcPr>
          <w:p>
            <w:pPr>
              <w:pStyle w:val="11"/>
            </w:pPr>
            <w:r>
              <w:t>4.42</w:t>
            </w:r>
          </w:p>
        </w:tc>
        <w:tc>
          <w:tcPr>
            <w:tcW w:w="758" w:type="dxa"/>
            <w:vAlign w:val="center"/>
          </w:tcPr>
          <w:p>
            <w:pPr>
              <w:pStyle w:val="11"/>
            </w:pPr>
            <w:r>
              <w:t>4.42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20807</w:t>
            </w:r>
          </w:p>
        </w:tc>
        <w:tc>
          <w:tcPr>
            <w:tcW w:w="758" w:type="dxa"/>
            <w:vAlign w:val="center"/>
          </w:tcPr>
          <w:p>
            <w:pPr>
              <w:pStyle w:val="10"/>
            </w:pPr>
            <w:r>
              <w:t>就业补助</w:t>
            </w:r>
          </w:p>
        </w:tc>
        <w:tc>
          <w:tcPr>
            <w:tcW w:w="758" w:type="dxa"/>
            <w:vAlign w:val="center"/>
          </w:tcPr>
          <w:p>
            <w:pPr>
              <w:pStyle w:val="11"/>
            </w:pPr>
            <w:r>
              <w:t>1.33</w:t>
            </w:r>
          </w:p>
        </w:tc>
        <w:tc>
          <w:tcPr>
            <w:tcW w:w="758" w:type="dxa"/>
            <w:vAlign w:val="center"/>
          </w:tcPr>
          <w:p>
            <w:pPr>
              <w:pStyle w:val="11"/>
            </w:pPr>
            <w:r>
              <w:t>1.33</w:t>
            </w:r>
          </w:p>
        </w:tc>
        <w:tc>
          <w:tcPr>
            <w:tcW w:w="758" w:type="dxa"/>
            <w:vAlign w:val="center"/>
          </w:tcPr>
          <w:p>
            <w:pPr>
              <w:pStyle w:val="11"/>
            </w:pPr>
            <w:r>
              <w:t>1.33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2080711</w:t>
            </w:r>
          </w:p>
        </w:tc>
        <w:tc>
          <w:tcPr>
            <w:tcW w:w="758" w:type="dxa"/>
            <w:vAlign w:val="center"/>
          </w:tcPr>
          <w:p>
            <w:pPr>
              <w:pStyle w:val="10"/>
            </w:pPr>
            <w:r>
              <w:t>就业见习补贴</w:t>
            </w:r>
          </w:p>
        </w:tc>
        <w:tc>
          <w:tcPr>
            <w:tcW w:w="758" w:type="dxa"/>
            <w:vAlign w:val="center"/>
          </w:tcPr>
          <w:p>
            <w:pPr>
              <w:pStyle w:val="11"/>
            </w:pPr>
            <w:r>
              <w:t>1.33</w:t>
            </w:r>
          </w:p>
        </w:tc>
        <w:tc>
          <w:tcPr>
            <w:tcW w:w="758" w:type="dxa"/>
            <w:vAlign w:val="center"/>
          </w:tcPr>
          <w:p>
            <w:pPr>
              <w:pStyle w:val="11"/>
            </w:pPr>
            <w:r>
              <w:t>1.33</w:t>
            </w:r>
          </w:p>
        </w:tc>
        <w:tc>
          <w:tcPr>
            <w:tcW w:w="758" w:type="dxa"/>
            <w:vAlign w:val="center"/>
          </w:tcPr>
          <w:p>
            <w:pPr>
              <w:pStyle w:val="11"/>
            </w:pPr>
            <w:r>
              <w:t>1.33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3.52</w:t>
            </w:r>
          </w:p>
        </w:tc>
        <w:tc>
          <w:tcPr>
            <w:tcW w:w="758" w:type="dxa"/>
            <w:vAlign w:val="center"/>
          </w:tcPr>
          <w:p>
            <w:pPr>
              <w:pStyle w:val="11"/>
            </w:pPr>
            <w:r>
              <w:t>3.52</w:t>
            </w:r>
          </w:p>
        </w:tc>
        <w:tc>
          <w:tcPr>
            <w:tcW w:w="758" w:type="dxa"/>
            <w:vAlign w:val="center"/>
          </w:tcPr>
          <w:p>
            <w:pPr>
              <w:pStyle w:val="11"/>
            </w:pPr>
            <w:r>
              <w:t>3.52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3.52</w:t>
            </w:r>
          </w:p>
        </w:tc>
        <w:tc>
          <w:tcPr>
            <w:tcW w:w="758" w:type="dxa"/>
            <w:vAlign w:val="center"/>
          </w:tcPr>
          <w:p>
            <w:pPr>
              <w:pStyle w:val="11"/>
            </w:pPr>
            <w:r>
              <w:t>3.52</w:t>
            </w:r>
          </w:p>
        </w:tc>
        <w:tc>
          <w:tcPr>
            <w:tcW w:w="758" w:type="dxa"/>
            <w:vAlign w:val="center"/>
          </w:tcPr>
          <w:p>
            <w:pPr>
              <w:pStyle w:val="11"/>
            </w:pPr>
            <w:r>
              <w:t>3.52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1.67</w:t>
            </w:r>
          </w:p>
        </w:tc>
        <w:tc>
          <w:tcPr>
            <w:tcW w:w="758" w:type="dxa"/>
            <w:vAlign w:val="center"/>
          </w:tcPr>
          <w:p>
            <w:pPr>
              <w:pStyle w:val="11"/>
            </w:pPr>
            <w:r>
              <w:t>1.67</w:t>
            </w:r>
          </w:p>
        </w:tc>
        <w:tc>
          <w:tcPr>
            <w:tcW w:w="758" w:type="dxa"/>
            <w:vAlign w:val="center"/>
          </w:tcPr>
          <w:p>
            <w:pPr>
              <w:pStyle w:val="11"/>
            </w:pPr>
            <w:r>
              <w:t>1.67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2101103</w:t>
            </w:r>
          </w:p>
        </w:tc>
        <w:tc>
          <w:tcPr>
            <w:tcW w:w="758" w:type="dxa"/>
            <w:vAlign w:val="center"/>
          </w:tcPr>
          <w:p>
            <w:pPr>
              <w:pStyle w:val="10"/>
            </w:pPr>
            <w:r>
              <w:t>公务员医疗补助</w:t>
            </w:r>
          </w:p>
        </w:tc>
        <w:tc>
          <w:tcPr>
            <w:tcW w:w="758" w:type="dxa"/>
            <w:vAlign w:val="center"/>
          </w:tcPr>
          <w:p>
            <w:pPr>
              <w:pStyle w:val="11"/>
            </w:pPr>
            <w:r>
              <w:t>1.85</w:t>
            </w:r>
          </w:p>
        </w:tc>
        <w:tc>
          <w:tcPr>
            <w:tcW w:w="758" w:type="dxa"/>
            <w:vAlign w:val="center"/>
          </w:tcPr>
          <w:p>
            <w:pPr>
              <w:pStyle w:val="11"/>
            </w:pPr>
            <w:r>
              <w:t>1.85</w:t>
            </w:r>
          </w:p>
        </w:tc>
        <w:tc>
          <w:tcPr>
            <w:tcW w:w="758" w:type="dxa"/>
            <w:vAlign w:val="center"/>
          </w:tcPr>
          <w:p>
            <w:pPr>
              <w:pStyle w:val="11"/>
            </w:pPr>
            <w:r>
              <w:t>1.85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3.61</w:t>
            </w:r>
          </w:p>
        </w:tc>
        <w:tc>
          <w:tcPr>
            <w:tcW w:w="758" w:type="dxa"/>
            <w:vAlign w:val="center"/>
          </w:tcPr>
          <w:p>
            <w:pPr>
              <w:pStyle w:val="11"/>
            </w:pPr>
            <w:r>
              <w:t>3.61</w:t>
            </w:r>
          </w:p>
        </w:tc>
        <w:tc>
          <w:tcPr>
            <w:tcW w:w="758" w:type="dxa"/>
            <w:vAlign w:val="center"/>
          </w:tcPr>
          <w:p>
            <w:pPr>
              <w:pStyle w:val="11"/>
            </w:pPr>
            <w:r>
              <w:t>3.61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3.61</w:t>
            </w:r>
          </w:p>
        </w:tc>
        <w:tc>
          <w:tcPr>
            <w:tcW w:w="758" w:type="dxa"/>
            <w:vAlign w:val="center"/>
          </w:tcPr>
          <w:p>
            <w:pPr>
              <w:pStyle w:val="11"/>
            </w:pPr>
            <w:r>
              <w:t>3.61</w:t>
            </w:r>
          </w:p>
        </w:tc>
        <w:tc>
          <w:tcPr>
            <w:tcW w:w="758" w:type="dxa"/>
            <w:vAlign w:val="center"/>
          </w:tcPr>
          <w:p>
            <w:pPr>
              <w:pStyle w:val="11"/>
            </w:pPr>
            <w:r>
              <w:t>3.61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3.61</w:t>
            </w:r>
          </w:p>
        </w:tc>
        <w:tc>
          <w:tcPr>
            <w:tcW w:w="758" w:type="dxa"/>
            <w:vAlign w:val="center"/>
          </w:tcPr>
          <w:p>
            <w:pPr>
              <w:pStyle w:val="11"/>
            </w:pPr>
            <w:r>
              <w:t>3.61</w:t>
            </w:r>
          </w:p>
        </w:tc>
        <w:tc>
          <w:tcPr>
            <w:tcW w:w="758" w:type="dxa"/>
            <w:vAlign w:val="center"/>
          </w:tcPr>
          <w:p>
            <w:pPr>
              <w:pStyle w:val="11"/>
            </w:pPr>
            <w:r>
              <w:t>3.61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146.39</w:t>
            </w:r>
          </w:p>
        </w:tc>
        <w:tc>
          <w:tcPr>
            <w:tcW w:w="1095" w:type="dxa"/>
            <w:vAlign w:val="center"/>
          </w:tcPr>
          <w:p>
            <w:pPr>
              <w:pStyle w:val="13"/>
            </w:pPr>
            <w:r>
              <w:t>76.32</w:t>
            </w:r>
          </w:p>
        </w:tc>
        <w:tc>
          <w:tcPr>
            <w:tcW w:w="1095" w:type="dxa"/>
            <w:vAlign w:val="center"/>
          </w:tcPr>
          <w:p>
            <w:pPr>
              <w:pStyle w:val="13"/>
            </w:pPr>
            <w:r>
              <w:t>70.07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133.51</w:t>
            </w:r>
          </w:p>
        </w:tc>
        <w:tc>
          <w:tcPr>
            <w:tcW w:w="1095" w:type="dxa"/>
            <w:vAlign w:val="center"/>
          </w:tcPr>
          <w:p>
            <w:pPr>
              <w:pStyle w:val="11"/>
            </w:pPr>
            <w:r>
              <w:t>64.77</w:t>
            </w:r>
          </w:p>
        </w:tc>
        <w:tc>
          <w:tcPr>
            <w:tcW w:w="1095" w:type="dxa"/>
            <w:vAlign w:val="center"/>
          </w:tcPr>
          <w:p>
            <w:pPr>
              <w:pStyle w:val="11"/>
            </w:pPr>
            <w:r>
              <w:t>68.74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20129</w:t>
            </w:r>
          </w:p>
        </w:tc>
        <w:tc>
          <w:tcPr>
            <w:tcW w:w="1095" w:type="dxa"/>
            <w:vAlign w:val="center"/>
          </w:tcPr>
          <w:p>
            <w:pPr>
              <w:pStyle w:val="10"/>
            </w:pPr>
            <w:r>
              <w:t>群众团体事务</w:t>
            </w:r>
          </w:p>
        </w:tc>
        <w:tc>
          <w:tcPr>
            <w:tcW w:w="1095" w:type="dxa"/>
            <w:vAlign w:val="center"/>
          </w:tcPr>
          <w:p>
            <w:pPr>
              <w:pStyle w:val="11"/>
            </w:pPr>
            <w:r>
              <w:t>133.51</w:t>
            </w:r>
          </w:p>
        </w:tc>
        <w:tc>
          <w:tcPr>
            <w:tcW w:w="1095" w:type="dxa"/>
            <w:vAlign w:val="center"/>
          </w:tcPr>
          <w:p>
            <w:pPr>
              <w:pStyle w:val="11"/>
            </w:pPr>
            <w:r>
              <w:t>64.77</w:t>
            </w:r>
          </w:p>
        </w:tc>
        <w:tc>
          <w:tcPr>
            <w:tcW w:w="1095" w:type="dxa"/>
            <w:vAlign w:val="center"/>
          </w:tcPr>
          <w:p>
            <w:pPr>
              <w:pStyle w:val="11"/>
            </w:pPr>
            <w:r>
              <w:t>68.74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2012901</w:t>
            </w:r>
          </w:p>
        </w:tc>
        <w:tc>
          <w:tcPr>
            <w:tcW w:w="1095" w:type="dxa"/>
            <w:vAlign w:val="center"/>
          </w:tcPr>
          <w:p>
            <w:pPr>
              <w:pStyle w:val="10"/>
            </w:pPr>
            <w:r>
              <w:t>行政运行</w:t>
            </w:r>
          </w:p>
        </w:tc>
        <w:tc>
          <w:tcPr>
            <w:tcW w:w="1095" w:type="dxa"/>
            <w:vAlign w:val="center"/>
          </w:tcPr>
          <w:p>
            <w:pPr>
              <w:pStyle w:val="11"/>
            </w:pPr>
            <w:r>
              <w:t>64.77</w:t>
            </w:r>
          </w:p>
        </w:tc>
        <w:tc>
          <w:tcPr>
            <w:tcW w:w="1095" w:type="dxa"/>
            <w:vAlign w:val="center"/>
          </w:tcPr>
          <w:p>
            <w:pPr>
              <w:pStyle w:val="11"/>
            </w:pPr>
            <w:r>
              <w:t>64.77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2012902</w:t>
            </w:r>
          </w:p>
        </w:tc>
        <w:tc>
          <w:tcPr>
            <w:tcW w:w="1095" w:type="dxa"/>
            <w:vAlign w:val="center"/>
          </w:tcPr>
          <w:p>
            <w:pPr>
              <w:pStyle w:val="10"/>
            </w:pPr>
            <w:r>
              <w:t>一般行政管理事务</w:t>
            </w:r>
          </w:p>
        </w:tc>
        <w:tc>
          <w:tcPr>
            <w:tcW w:w="1095" w:type="dxa"/>
            <w:vAlign w:val="center"/>
          </w:tcPr>
          <w:p>
            <w:pPr>
              <w:pStyle w:val="11"/>
            </w:pPr>
            <w:r>
              <w:t>68.74</w:t>
            </w:r>
          </w:p>
        </w:tc>
        <w:tc>
          <w:tcPr>
            <w:tcW w:w="1095" w:type="dxa"/>
            <w:vAlign w:val="center"/>
          </w:tcPr>
          <w:p>
            <w:pPr>
              <w:pStyle w:val="11"/>
            </w:pPr>
          </w:p>
        </w:tc>
        <w:tc>
          <w:tcPr>
            <w:tcW w:w="1095" w:type="dxa"/>
            <w:vAlign w:val="center"/>
          </w:tcPr>
          <w:p>
            <w:pPr>
              <w:pStyle w:val="11"/>
            </w:pPr>
            <w:r>
              <w:t>68.74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5.75</w:t>
            </w:r>
          </w:p>
        </w:tc>
        <w:tc>
          <w:tcPr>
            <w:tcW w:w="1095" w:type="dxa"/>
            <w:vAlign w:val="center"/>
          </w:tcPr>
          <w:p>
            <w:pPr>
              <w:pStyle w:val="11"/>
            </w:pPr>
            <w:r>
              <w:t>4.42</w:t>
            </w:r>
          </w:p>
        </w:tc>
        <w:tc>
          <w:tcPr>
            <w:tcW w:w="1095" w:type="dxa"/>
            <w:vAlign w:val="center"/>
          </w:tcPr>
          <w:p>
            <w:pPr>
              <w:pStyle w:val="11"/>
            </w:pPr>
            <w:r>
              <w:t>1.33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4.42</w:t>
            </w:r>
          </w:p>
        </w:tc>
        <w:tc>
          <w:tcPr>
            <w:tcW w:w="1095" w:type="dxa"/>
            <w:vAlign w:val="center"/>
          </w:tcPr>
          <w:p>
            <w:pPr>
              <w:pStyle w:val="11"/>
            </w:pPr>
            <w:r>
              <w:t>4.42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4.42</w:t>
            </w:r>
          </w:p>
        </w:tc>
        <w:tc>
          <w:tcPr>
            <w:tcW w:w="1095" w:type="dxa"/>
            <w:vAlign w:val="center"/>
          </w:tcPr>
          <w:p>
            <w:pPr>
              <w:pStyle w:val="11"/>
            </w:pPr>
            <w:r>
              <w:t>4.42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20807</w:t>
            </w:r>
          </w:p>
        </w:tc>
        <w:tc>
          <w:tcPr>
            <w:tcW w:w="1095" w:type="dxa"/>
            <w:vAlign w:val="center"/>
          </w:tcPr>
          <w:p>
            <w:pPr>
              <w:pStyle w:val="10"/>
            </w:pPr>
            <w:r>
              <w:t>就业补助</w:t>
            </w:r>
          </w:p>
        </w:tc>
        <w:tc>
          <w:tcPr>
            <w:tcW w:w="1095" w:type="dxa"/>
            <w:vAlign w:val="center"/>
          </w:tcPr>
          <w:p>
            <w:pPr>
              <w:pStyle w:val="11"/>
            </w:pPr>
            <w:r>
              <w:t>1.33</w:t>
            </w:r>
          </w:p>
        </w:tc>
        <w:tc>
          <w:tcPr>
            <w:tcW w:w="1095" w:type="dxa"/>
            <w:vAlign w:val="center"/>
          </w:tcPr>
          <w:p>
            <w:pPr>
              <w:pStyle w:val="11"/>
            </w:pPr>
          </w:p>
        </w:tc>
        <w:tc>
          <w:tcPr>
            <w:tcW w:w="1095" w:type="dxa"/>
            <w:vAlign w:val="center"/>
          </w:tcPr>
          <w:p>
            <w:pPr>
              <w:pStyle w:val="11"/>
            </w:pPr>
            <w:r>
              <w:t>1.33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2080711</w:t>
            </w:r>
          </w:p>
        </w:tc>
        <w:tc>
          <w:tcPr>
            <w:tcW w:w="1095" w:type="dxa"/>
            <w:vAlign w:val="center"/>
          </w:tcPr>
          <w:p>
            <w:pPr>
              <w:pStyle w:val="10"/>
            </w:pPr>
            <w:r>
              <w:t>就业见习补贴</w:t>
            </w:r>
          </w:p>
        </w:tc>
        <w:tc>
          <w:tcPr>
            <w:tcW w:w="1095" w:type="dxa"/>
            <w:vAlign w:val="center"/>
          </w:tcPr>
          <w:p>
            <w:pPr>
              <w:pStyle w:val="11"/>
            </w:pPr>
            <w:r>
              <w:t>1.33</w:t>
            </w:r>
          </w:p>
        </w:tc>
        <w:tc>
          <w:tcPr>
            <w:tcW w:w="1095" w:type="dxa"/>
            <w:vAlign w:val="center"/>
          </w:tcPr>
          <w:p>
            <w:pPr>
              <w:pStyle w:val="11"/>
            </w:pPr>
          </w:p>
        </w:tc>
        <w:tc>
          <w:tcPr>
            <w:tcW w:w="1095" w:type="dxa"/>
            <w:vAlign w:val="center"/>
          </w:tcPr>
          <w:p>
            <w:pPr>
              <w:pStyle w:val="11"/>
            </w:pPr>
            <w:r>
              <w:t>1.33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3.52</w:t>
            </w:r>
          </w:p>
        </w:tc>
        <w:tc>
          <w:tcPr>
            <w:tcW w:w="1095" w:type="dxa"/>
            <w:vAlign w:val="center"/>
          </w:tcPr>
          <w:p>
            <w:pPr>
              <w:pStyle w:val="11"/>
            </w:pPr>
            <w:r>
              <w:t>3.52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3.52</w:t>
            </w:r>
          </w:p>
        </w:tc>
        <w:tc>
          <w:tcPr>
            <w:tcW w:w="1095" w:type="dxa"/>
            <w:vAlign w:val="center"/>
          </w:tcPr>
          <w:p>
            <w:pPr>
              <w:pStyle w:val="11"/>
            </w:pPr>
            <w:r>
              <w:t>3.52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1.67</w:t>
            </w:r>
          </w:p>
        </w:tc>
        <w:tc>
          <w:tcPr>
            <w:tcW w:w="1095" w:type="dxa"/>
            <w:vAlign w:val="center"/>
          </w:tcPr>
          <w:p>
            <w:pPr>
              <w:pStyle w:val="11"/>
            </w:pPr>
            <w:r>
              <w:t>1.67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2101103</w:t>
            </w:r>
          </w:p>
        </w:tc>
        <w:tc>
          <w:tcPr>
            <w:tcW w:w="1095" w:type="dxa"/>
            <w:vAlign w:val="center"/>
          </w:tcPr>
          <w:p>
            <w:pPr>
              <w:pStyle w:val="10"/>
            </w:pPr>
            <w:r>
              <w:t>公务员医疗补助</w:t>
            </w:r>
          </w:p>
        </w:tc>
        <w:tc>
          <w:tcPr>
            <w:tcW w:w="1095" w:type="dxa"/>
            <w:vAlign w:val="center"/>
          </w:tcPr>
          <w:p>
            <w:pPr>
              <w:pStyle w:val="11"/>
            </w:pPr>
            <w:r>
              <w:t>1.85</w:t>
            </w:r>
          </w:p>
        </w:tc>
        <w:tc>
          <w:tcPr>
            <w:tcW w:w="1095" w:type="dxa"/>
            <w:vAlign w:val="center"/>
          </w:tcPr>
          <w:p>
            <w:pPr>
              <w:pStyle w:val="11"/>
            </w:pPr>
            <w:r>
              <w:t>1.85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3.61</w:t>
            </w:r>
          </w:p>
        </w:tc>
        <w:tc>
          <w:tcPr>
            <w:tcW w:w="1095" w:type="dxa"/>
            <w:vAlign w:val="center"/>
          </w:tcPr>
          <w:p>
            <w:pPr>
              <w:pStyle w:val="11"/>
            </w:pPr>
            <w:r>
              <w:t>3.61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3.61</w:t>
            </w:r>
          </w:p>
        </w:tc>
        <w:tc>
          <w:tcPr>
            <w:tcW w:w="1095" w:type="dxa"/>
            <w:vAlign w:val="center"/>
          </w:tcPr>
          <w:p>
            <w:pPr>
              <w:pStyle w:val="11"/>
            </w:pPr>
            <w:r>
              <w:t>3.61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3.61</w:t>
            </w:r>
          </w:p>
        </w:tc>
        <w:tc>
          <w:tcPr>
            <w:tcW w:w="1095" w:type="dxa"/>
            <w:vAlign w:val="center"/>
          </w:tcPr>
          <w:p>
            <w:pPr>
              <w:pStyle w:val="11"/>
            </w:pPr>
            <w:r>
              <w:t>3.61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146.39</w:t>
            </w:r>
          </w:p>
        </w:tc>
        <w:tc>
          <w:tcPr>
            <w:tcW w:w="1232" w:type="dxa"/>
            <w:vAlign w:val="center"/>
          </w:tcPr>
          <w:p>
            <w:pPr>
              <w:pStyle w:val="10"/>
            </w:pPr>
            <w:r>
              <w:t>一、一般公共服务支出</w:t>
            </w:r>
          </w:p>
        </w:tc>
        <w:tc>
          <w:tcPr>
            <w:tcW w:w="1232" w:type="dxa"/>
            <w:vAlign w:val="center"/>
          </w:tcPr>
          <w:p>
            <w:pPr>
              <w:pStyle w:val="11"/>
            </w:pPr>
            <w:r>
              <w:t>133.51</w:t>
            </w:r>
          </w:p>
        </w:tc>
        <w:tc>
          <w:tcPr>
            <w:tcW w:w="1232" w:type="dxa"/>
            <w:vAlign w:val="center"/>
          </w:tcPr>
          <w:p>
            <w:pPr>
              <w:pStyle w:val="11"/>
            </w:pPr>
            <w:r>
              <w:t>133.51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5.75</w:t>
            </w:r>
          </w:p>
        </w:tc>
        <w:tc>
          <w:tcPr>
            <w:tcW w:w="1232" w:type="dxa"/>
            <w:vAlign w:val="center"/>
          </w:tcPr>
          <w:p>
            <w:pPr>
              <w:pStyle w:val="11"/>
            </w:pPr>
            <w:r>
              <w:t>5.75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3.52</w:t>
            </w:r>
          </w:p>
        </w:tc>
        <w:tc>
          <w:tcPr>
            <w:tcW w:w="1232" w:type="dxa"/>
            <w:vAlign w:val="center"/>
          </w:tcPr>
          <w:p>
            <w:pPr>
              <w:pStyle w:val="11"/>
            </w:pPr>
            <w:r>
              <w:t>3.52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3.61</w:t>
            </w:r>
          </w:p>
        </w:tc>
        <w:tc>
          <w:tcPr>
            <w:tcW w:w="1232" w:type="dxa"/>
            <w:vAlign w:val="center"/>
          </w:tcPr>
          <w:p>
            <w:pPr>
              <w:pStyle w:val="11"/>
            </w:pPr>
            <w:r>
              <w:t>3.61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146.39</w:t>
            </w:r>
          </w:p>
        </w:tc>
        <w:tc>
          <w:tcPr>
            <w:tcW w:w="1232" w:type="dxa"/>
            <w:vAlign w:val="center"/>
          </w:tcPr>
          <w:p>
            <w:pPr>
              <w:pStyle w:val="12"/>
            </w:pPr>
            <w:r>
              <w:t>本年支出合计</w:t>
            </w:r>
          </w:p>
        </w:tc>
        <w:tc>
          <w:tcPr>
            <w:tcW w:w="1232" w:type="dxa"/>
            <w:vAlign w:val="center"/>
          </w:tcPr>
          <w:p>
            <w:pPr>
              <w:pStyle w:val="13"/>
            </w:pPr>
            <w:r>
              <w:t>146.39</w:t>
            </w:r>
          </w:p>
        </w:tc>
        <w:tc>
          <w:tcPr>
            <w:tcW w:w="1232" w:type="dxa"/>
            <w:vAlign w:val="center"/>
          </w:tcPr>
          <w:p>
            <w:pPr>
              <w:pStyle w:val="13"/>
            </w:pPr>
            <w:r>
              <w:t>146.39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146.39</w:t>
            </w:r>
          </w:p>
        </w:tc>
        <w:tc>
          <w:tcPr>
            <w:tcW w:w="1232" w:type="dxa"/>
            <w:vAlign w:val="center"/>
          </w:tcPr>
          <w:p>
            <w:pPr>
              <w:pStyle w:val="12"/>
            </w:pPr>
            <w:r>
              <w:t>支出总计</w:t>
            </w:r>
          </w:p>
        </w:tc>
        <w:tc>
          <w:tcPr>
            <w:tcW w:w="1232" w:type="dxa"/>
            <w:vAlign w:val="center"/>
          </w:tcPr>
          <w:p>
            <w:pPr>
              <w:pStyle w:val="13"/>
            </w:pPr>
            <w:r>
              <w:t>146.39</w:t>
            </w:r>
          </w:p>
        </w:tc>
        <w:tc>
          <w:tcPr>
            <w:tcW w:w="1232" w:type="dxa"/>
            <w:vAlign w:val="center"/>
          </w:tcPr>
          <w:p>
            <w:pPr>
              <w:pStyle w:val="13"/>
            </w:pPr>
            <w:r>
              <w:t>146.39</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146.39</w:t>
            </w:r>
          </w:p>
        </w:tc>
        <w:tc>
          <w:tcPr>
            <w:tcW w:w="1643" w:type="dxa"/>
            <w:vAlign w:val="center"/>
          </w:tcPr>
          <w:p>
            <w:pPr>
              <w:pStyle w:val="13"/>
            </w:pPr>
            <w:r>
              <w:t>76.32</w:t>
            </w:r>
          </w:p>
        </w:tc>
        <w:tc>
          <w:tcPr>
            <w:tcW w:w="1643" w:type="dxa"/>
            <w:vAlign w:val="center"/>
          </w:tcPr>
          <w:p>
            <w:pPr>
              <w:pStyle w:val="13"/>
            </w:pPr>
            <w:r>
              <w:t>70.07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133.51</w:t>
            </w:r>
          </w:p>
        </w:tc>
        <w:tc>
          <w:tcPr>
            <w:tcW w:w="1643" w:type="dxa"/>
            <w:vAlign w:val="center"/>
          </w:tcPr>
          <w:p>
            <w:pPr>
              <w:pStyle w:val="11"/>
            </w:pPr>
            <w:r>
              <w:t>64.77</w:t>
            </w:r>
          </w:p>
        </w:tc>
        <w:tc>
          <w:tcPr>
            <w:tcW w:w="1643" w:type="dxa"/>
            <w:vAlign w:val="center"/>
          </w:tcPr>
          <w:p>
            <w:pPr>
              <w:pStyle w:val="11"/>
            </w:pPr>
            <w:r>
              <w:t>68.74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20129</w:t>
            </w:r>
          </w:p>
        </w:tc>
        <w:tc>
          <w:tcPr>
            <w:tcW w:w="1643" w:type="dxa"/>
            <w:vAlign w:val="center"/>
          </w:tcPr>
          <w:p>
            <w:pPr>
              <w:pStyle w:val="10"/>
            </w:pPr>
            <w:r>
              <w:t>群众团体事务</w:t>
            </w:r>
          </w:p>
        </w:tc>
        <w:tc>
          <w:tcPr>
            <w:tcW w:w="1643" w:type="dxa"/>
            <w:vAlign w:val="center"/>
          </w:tcPr>
          <w:p>
            <w:pPr>
              <w:pStyle w:val="11"/>
            </w:pPr>
            <w:r>
              <w:t>133.51</w:t>
            </w:r>
          </w:p>
        </w:tc>
        <w:tc>
          <w:tcPr>
            <w:tcW w:w="1643" w:type="dxa"/>
            <w:vAlign w:val="center"/>
          </w:tcPr>
          <w:p>
            <w:pPr>
              <w:pStyle w:val="11"/>
            </w:pPr>
            <w:r>
              <w:t>64.77</w:t>
            </w:r>
          </w:p>
        </w:tc>
        <w:tc>
          <w:tcPr>
            <w:tcW w:w="1643" w:type="dxa"/>
            <w:vAlign w:val="center"/>
          </w:tcPr>
          <w:p>
            <w:pPr>
              <w:pStyle w:val="11"/>
            </w:pPr>
            <w:r>
              <w:t>68.74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2012901</w:t>
            </w:r>
          </w:p>
        </w:tc>
        <w:tc>
          <w:tcPr>
            <w:tcW w:w="1643" w:type="dxa"/>
            <w:vAlign w:val="center"/>
          </w:tcPr>
          <w:p>
            <w:pPr>
              <w:pStyle w:val="10"/>
            </w:pPr>
            <w:r>
              <w:t>行政运行</w:t>
            </w:r>
          </w:p>
        </w:tc>
        <w:tc>
          <w:tcPr>
            <w:tcW w:w="1643" w:type="dxa"/>
            <w:vAlign w:val="center"/>
          </w:tcPr>
          <w:p>
            <w:pPr>
              <w:pStyle w:val="11"/>
            </w:pPr>
            <w:r>
              <w:t>64.77</w:t>
            </w:r>
          </w:p>
        </w:tc>
        <w:tc>
          <w:tcPr>
            <w:tcW w:w="1643" w:type="dxa"/>
            <w:vAlign w:val="center"/>
          </w:tcPr>
          <w:p>
            <w:pPr>
              <w:pStyle w:val="11"/>
            </w:pPr>
            <w:r>
              <w:t>64.77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2012902</w:t>
            </w:r>
          </w:p>
        </w:tc>
        <w:tc>
          <w:tcPr>
            <w:tcW w:w="1643" w:type="dxa"/>
            <w:vAlign w:val="center"/>
          </w:tcPr>
          <w:p>
            <w:pPr>
              <w:pStyle w:val="10"/>
            </w:pPr>
            <w:r>
              <w:t>一般行政管理事务</w:t>
            </w:r>
          </w:p>
        </w:tc>
        <w:tc>
          <w:tcPr>
            <w:tcW w:w="1643" w:type="dxa"/>
            <w:vAlign w:val="center"/>
          </w:tcPr>
          <w:p>
            <w:pPr>
              <w:pStyle w:val="11"/>
            </w:pPr>
            <w:r>
              <w:t>68.74</w:t>
            </w:r>
          </w:p>
        </w:tc>
        <w:tc>
          <w:tcPr>
            <w:tcW w:w="1643" w:type="dxa"/>
            <w:vAlign w:val="center"/>
          </w:tcPr>
          <w:p>
            <w:pPr>
              <w:pStyle w:val="11"/>
            </w:pPr>
          </w:p>
        </w:tc>
        <w:tc>
          <w:tcPr>
            <w:tcW w:w="1643" w:type="dxa"/>
            <w:vAlign w:val="center"/>
          </w:tcPr>
          <w:p>
            <w:pPr>
              <w:pStyle w:val="11"/>
            </w:pPr>
            <w:r>
              <w:t>68.74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5.75</w:t>
            </w:r>
          </w:p>
        </w:tc>
        <w:tc>
          <w:tcPr>
            <w:tcW w:w="1643" w:type="dxa"/>
            <w:vAlign w:val="center"/>
          </w:tcPr>
          <w:p>
            <w:pPr>
              <w:pStyle w:val="11"/>
            </w:pPr>
            <w:r>
              <w:t>4.42</w:t>
            </w:r>
          </w:p>
        </w:tc>
        <w:tc>
          <w:tcPr>
            <w:tcW w:w="164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4.42</w:t>
            </w:r>
          </w:p>
        </w:tc>
        <w:tc>
          <w:tcPr>
            <w:tcW w:w="1643" w:type="dxa"/>
            <w:vAlign w:val="center"/>
          </w:tcPr>
          <w:p>
            <w:pPr>
              <w:pStyle w:val="11"/>
            </w:pPr>
            <w:r>
              <w:t>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4.42</w:t>
            </w:r>
          </w:p>
        </w:tc>
        <w:tc>
          <w:tcPr>
            <w:tcW w:w="1643" w:type="dxa"/>
            <w:vAlign w:val="center"/>
          </w:tcPr>
          <w:p>
            <w:pPr>
              <w:pStyle w:val="11"/>
            </w:pPr>
            <w:r>
              <w:t>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20807</w:t>
            </w:r>
          </w:p>
        </w:tc>
        <w:tc>
          <w:tcPr>
            <w:tcW w:w="1643" w:type="dxa"/>
            <w:vAlign w:val="center"/>
          </w:tcPr>
          <w:p>
            <w:pPr>
              <w:pStyle w:val="10"/>
            </w:pPr>
            <w:r>
              <w:t>就业补助</w:t>
            </w:r>
          </w:p>
        </w:tc>
        <w:tc>
          <w:tcPr>
            <w:tcW w:w="1643" w:type="dxa"/>
            <w:vAlign w:val="center"/>
          </w:tcPr>
          <w:p>
            <w:pPr>
              <w:pStyle w:val="11"/>
            </w:pPr>
            <w:r>
              <w:t>1.33</w:t>
            </w:r>
          </w:p>
        </w:tc>
        <w:tc>
          <w:tcPr>
            <w:tcW w:w="1643" w:type="dxa"/>
            <w:vAlign w:val="center"/>
          </w:tcPr>
          <w:p>
            <w:pPr>
              <w:pStyle w:val="11"/>
            </w:pPr>
          </w:p>
        </w:tc>
        <w:tc>
          <w:tcPr>
            <w:tcW w:w="164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2080711</w:t>
            </w:r>
          </w:p>
        </w:tc>
        <w:tc>
          <w:tcPr>
            <w:tcW w:w="1643" w:type="dxa"/>
            <w:vAlign w:val="center"/>
          </w:tcPr>
          <w:p>
            <w:pPr>
              <w:pStyle w:val="10"/>
            </w:pPr>
            <w:r>
              <w:t>就业见习补贴</w:t>
            </w:r>
          </w:p>
        </w:tc>
        <w:tc>
          <w:tcPr>
            <w:tcW w:w="1643" w:type="dxa"/>
            <w:vAlign w:val="center"/>
          </w:tcPr>
          <w:p>
            <w:pPr>
              <w:pStyle w:val="11"/>
            </w:pPr>
            <w:r>
              <w:t>1.33</w:t>
            </w:r>
          </w:p>
        </w:tc>
        <w:tc>
          <w:tcPr>
            <w:tcW w:w="1643" w:type="dxa"/>
            <w:vAlign w:val="center"/>
          </w:tcPr>
          <w:p>
            <w:pPr>
              <w:pStyle w:val="11"/>
            </w:pPr>
          </w:p>
        </w:tc>
        <w:tc>
          <w:tcPr>
            <w:tcW w:w="164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3.52</w:t>
            </w:r>
          </w:p>
        </w:tc>
        <w:tc>
          <w:tcPr>
            <w:tcW w:w="1643" w:type="dxa"/>
            <w:vAlign w:val="center"/>
          </w:tcPr>
          <w:p>
            <w:pPr>
              <w:pStyle w:val="11"/>
            </w:pPr>
            <w:r>
              <w:t>3.52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3.52</w:t>
            </w:r>
          </w:p>
        </w:tc>
        <w:tc>
          <w:tcPr>
            <w:tcW w:w="1643" w:type="dxa"/>
            <w:vAlign w:val="center"/>
          </w:tcPr>
          <w:p>
            <w:pPr>
              <w:pStyle w:val="11"/>
            </w:pPr>
            <w:r>
              <w:t>3.52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1.67</w:t>
            </w:r>
          </w:p>
        </w:tc>
        <w:tc>
          <w:tcPr>
            <w:tcW w:w="1643" w:type="dxa"/>
            <w:vAlign w:val="center"/>
          </w:tcPr>
          <w:p>
            <w:pPr>
              <w:pStyle w:val="11"/>
            </w:pPr>
            <w:r>
              <w:t>1.67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2101103</w:t>
            </w:r>
          </w:p>
        </w:tc>
        <w:tc>
          <w:tcPr>
            <w:tcW w:w="1643" w:type="dxa"/>
            <w:vAlign w:val="center"/>
          </w:tcPr>
          <w:p>
            <w:pPr>
              <w:pStyle w:val="10"/>
            </w:pPr>
            <w:r>
              <w:t>公务员医疗补助</w:t>
            </w:r>
          </w:p>
        </w:tc>
        <w:tc>
          <w:tcPr>
            <w:tcW w:w="1643" w:type="dxa"/>
            <w:vAlign w:val="center"/>
          </w:tcPr>
          <w:p>
            <w:pPr>
              <w:pStyle w:val="11"/>
            </w:pPr>
            <w:r>
              <w:t>1.85</w:t>
            </w:r>
          </w:p>
        </w:tc>
        <w:tc>
          <w:tcPr>
            <w:tcW w:w="1643" w:type="dxa"/>
            <w:vAlign w:val="center"/>
          </w:tcPr>
          <w:p>
            <w:pPr>
              <w:pStyle w:val="11"/>
            </w:pPr>
            <w:r>
              <w:t>1.85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3.61</w:t>
            </w:r>
          </w:p>
        </w:tc>
        <w:tc>
          <w:tcPr>
            <w:tcW w:w="1643" w:type="dxa"/>
            <w:vAlign w:val="center"/>
          </w:tcPr>
          <w:p>
            <w:pPr>
              <w:pStyle w:val="11"/>
            </w:pPr>
            <w:r>
              <w:t>3.61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3.61</w:t>
            </w:r>
          </w:p>
        </w:tc>
        <w:tc>
          <w:tcPr>
            <w:tcW w:w="1643" w:type="dxa"/>
            <w:vAlign w:val="center"/>
          </w:tcPr>
          <w:p>
            <w:pPr>
              <w:pStyle w:val="11"/>
            </w:pPr>
            <w:r>
              <w:t>3.61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3.61</w:t>
            </w:r>
          </w:p>
        </w:tc>
        <w:tc>
          <w:tcPr>
            <w:tcW w:w="1643" w:type="dxa"/>
            <w:vAlign w:val="center"/>
          </w:tcPr>
          <w:p>
            <w:pPr>
              <w:pStyle w:val="11"/>
            </w:pPr>
            <w:r>
              <w:t>3.61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w:t>
            </w:r>
            <w:r>
              <w:rPr>
                <w:rFonts w:hint="eastAsia"/>
                <w:lang w:eastAsia="zh-CN"/>
              </w:rPr>
              <w:t>单位</w:t>
            </w:r>
            <w:r>
              <w:t>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76.32</w:t>
            </w:r>
          </w:p>
        </w:tc>
        <w:tc>
          <w:tcPr>
            <w:tcW w:w="1643" w:type="dxa"/>
            <w:vAlign w:val="center"/>
          </w:tcPr>
          <w:p>
            <w:pPr>
              <w:pStyle w:val="13"/>
            </w:pPr>
            <w:r>
              <w:t>67.08</w:t>
            </w:r>
          </w:p>
        </w:tc>
        <w:tc>
          <w:tcPr>
            <w:tcW w:w="1643"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67.08</w:t>
            </w:r>
          </w:p>
        </w:tc>
        <w:tc>
          <w:tcPr>
            <w:tcW w:w="1643" w:type="dxa"/>
            <w:vAlign w:val="center"/>
          </w:tcPr>
          <w:p>
            <w:pPr>
              <w:pStyle w:val="11"/>
            </w:pPr>
            <w:r>
              <w:t>67.08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11.60</w:t>
            </w:r>
          </w:p>
        </w:tc>
        <w:tc>
          <w:tcPr>
            <w:tcW w:w="1643" w:type="dxa"/>
            <w:vAlign w:val="center"/>
          </w:tcPr>
          <w:p>
            <w:pPr>
              <w:pStyle w:val="11"/>
            </w:pPr>
            <w:r>
              <w:t>11.60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12.46</w:t>
            </w:r>
          </w:p>
        </w:tc>
        <w:tc>
          <w:tcPr>
            <w:tcW w:w="1643" w:type="dxa"/>
            <w:vAlign w:val="center"/>
          </w:tcPr>
          <w:p>
            <w:pPr>
              <w:pStyle w:val="11"/>
            </w:pPr>
            <w:r>
              <w:t>12.46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5.99</w:t>
            </w:r>
          </w:p>
        </w:tc>
        <w:tc>
          <w:tcPr>
            <w:tcW w:w="1643" w:type="dxa"/>
            <w:vAlign w:val="center"/>
          </w:tcPr>
          <w:p>
            <w:pPr>
              <w:pStyle w:val="11"/>
            </w:pPr>
            <w:r>
              <w:t>5.99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4.42</w:t>
            </w:r>
          </w:p>
        </w:tc>
        <w:tc>
          <w:tcPr>
            <w:tcW w:w="1643" w:type="dxa"/>
            <w:vAlign w:val="center"/>
          </w:tcPr>
          <w:p>
            <w:pPr>
              <w:pStyle w:val="11"/>
            </w:pPr>
            <w:r>
              <w:t>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1.67</w:t>
            </w:r>
          </w:p>
        </w:tc>
        <w:tc>
          <w:tcPr>
            <w:tcW w:w="1643" w:type="dxa"/>
            <w:vAlign w:val="center"/>
          </w:tcPr>
          <w:p>
            <w:pPr>
              <w:pStyle w:val="11"/>
            </w:pPr>
            <w:r>
              <w:t>1.67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1.85</w:t>
            </w:r>
          </w:p>
        </w:tc>
        <w:tc>
          <w:tcPr>
            <w:tcW w:w="1643" w:type="dxa"/>
            <w:vAlign w:val="center"/>
          </w:tcPr>
          <w:p>
            <w:pPr>
              <w:pStyle w:val="11"/>
            </w:pPr>
            <w:r>
              <w:t>1.85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0.28</w:t>
            </w:r>
          </w:p>
        </w:tc>
        <w:tc>
          <w:tcPr>
            <w:tcW w:w="1643" w:type="dxa"/>
            <w:vAlign w:val="center"/>
          </w:tcPr>
          <w:p>
            <w:pPr>
              <w:pStyle w:val="11"/>
            </w:pPr>
            <w:r>
              <w:t>0.28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3.61</w:t>
            </w:r>
          </w:p>
        </w:tc>
        <w:tc>
          <w:tcPr>
            <w:tcW w:w="1643" w:type="dxa"/>
            <w:vAlign w:val="center"/>
          </w:tcPr>
          <w:p>
            <w:pPr>
              <w:pStyle w:val="11"/>
            </w:pPr>
            <w:r>
              <w:t>3.61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25.20</w:t>
            </w:r>
          </w:p>
        </w:tc>
        <w:tc>
          <w:tcPr>
            <w:tcW w:w="1643" w:type="dxa"/>
            <w:vAlign w:val="center"/>
          </w:tcPr>
          <w:p>
            <w:pPr>
              <w:pStyle w:val="11"/>
            </w:pPr>
            <w:r>
              <w:t>25.20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9.24</w:t>
            </w:r>
          </w:p>
        </w:tc>
        <w:tc>
          <w:tcPr>
            <w:tcW w:w="1643" w:type="dxa"/>
            <w:vAlign w:val="center"/>
          </w:tcPr>
          <w:p>
            <w:pPr>
              <w:pStyle w:val="11"/>
            </w:pPr>
          </w:p>
        </w:tc>
        <w:tc>
          <w:tcPr>
            <w:tcW w:w="1643" w:type="dxa"/>
            <w:vAlign w:val="center"/>
          </w:tcPr>
          <w:p>
            <w:pPr>
              <w:pStyle w:val="11"/>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1.40</w:t>
            </w:r>
          </w:p>
        </w:tc>
        <w:tc>
          <w:tcPr>
            <w:tcW w:w="1643" w:type="dxa"/>
            <w:vAlign w:val="center"/>
          </w:tcPr>
          <w:p>
            <w:pPr>
              <w:pStyle w:val="11"/>
            </w:pPr>
          </w:p>
        </w:tc>
        <w:tc>
          <w:tcPr>
            <w:tcW w:w="1643"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0.92</w:t>
            </w:r>
          </w:p>
        </w:tc>
        <w:tc>
          <w:tcPr>
            <w:tcW w:w="1643" w:type="dxa"/>
            <w:vAlign w:val="center"/>
          </w:tcPr>
          <w:p>
            <w:pPr>
              <w:pStyle w:val="11"/>
            </w:pPr>
          </w:p>
        </w:tc>
        <w:tc>
          <w:tcPr>
            <w:tcW w:w="1643"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0.42</w:t>
            </w:r>
          </w:p>
        </w:tc>
        <w:tc>
          <w:tcPr>
            <w:tcW w:w="1643" w:type="dxa"/>
            <w:vAlign w:val="center"/>
          </w:tcPr>
          <w:p>
            <w:pPr>
              <w:pStyle w:val="11"/>
            </w:pPr>
          </w:p>
        </w:tc>
        <w:tc>
          <w:tcPr>
            <w:tcW w:w="1643"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2.50</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二、公务用车购置及维护费</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 xml:space="preserve">          公务用车运行维护费</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中国共产主义青年团唐山市丰南区委员会本级2023年单位预算信息公开情况说明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按照《预算法》、《地方预决算公开操作规程》和《关于进一步推进预算公开工作的实施意见》规定，现将中国共产主义青年团唐山市丰南区委员会本级2023年单位预算公开如下：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实现本年度团组织建设和宣传教育、丰南团区委服务、引导青少年工作、丰南团区委维护青少年法制宣传活动、纵深推进全国青年发展型县域试点工作，聚焦主责主业，不断加强青少年思想政治引领。围绕中心工作，积极发挥青年生力军作用。服务青年成长，纵深推进全国青年发展型县域试点工作，将全面从严治团，持续加强团的自身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中国共产主义青年团唐山市丰南区委员会本级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按照预算管理有关规定，目前我省单位预算的编制实行综合预算管理，即全部收入和支出都反映在预算中。丰南团区委机关及所属事业单位的收支包含在单位预算中。</w:t>
      </w:r>
    </w:p>
    <w:p>
      <w:pPr>
        <w:pStyle w:val="16"/>
      </w:pPr>
      <w: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预算的编制实行综合预算管理，即全部收入和支出都反映在预算中。</w:t>
      </w:r>
      <w:r>
        <w:rPr>
          <w:rFonts w:ascii="Times New Roman" w:hAnsi="Times New Roman" w:eastAsia="方正仿宋_GBK" w:cs="Times New Roman"/>
          <w:color w:val="000000"/>
          <w:sz w:val="28"/>
        </w:rPr>
        <w:t>中国共产主义青年团唐山市丰南区委员会</w:t>
      </w:r>
      <w:r>
        <w:rPr>
          <w:rFonts w:hint="eastAsia" w:ascii="Times New Roman" w:hAnsi="Times New Roman" w:eastAsia="方正仿宋_GBK" w:cs="Times New Roman"/>
          <w:color w:val="000000"/>
          <w:sz w:val="28"/>
        </w:rPr>
        <w:t>机关及所属事业单位的收支包含在部门预算中。</w:t>
      </w:r>
    </w:p>
    <w:p>
      <w:pPr>
        <w:pStyle w:val="16"/>
      </w:pPr>
      <w:r>
        <w:rPr>
          <w:rFonts w:hint="eastAsia"/>
          <w:lang w:val="en-US" w:eastAsia="zh-CN"/>
        </w:rPr>
        <w:t>1、</w:t>
      </w:r>
      <w:r>
        <w:t>收入说明</w:t>
      </w:r>
    </w:p>
    <w:p>
      <w:pPr>
        <w:pStyle w:val="16"/>
      </w:pPr>
      <w:r>
        <w:rPr>
          <w:rFonts w:hint="eastAsia"/>
        </w:rPr>
        <w:t>反映本</w:t>
      </w:r>
      <w:r>
        <w:rPr>
          <w:rFonts w:hint="eastAsia"/>
          <w:lang w:val="en-US" w:eastAsia="zh-CN"/>
        </w:rPr>
        <w:t>单位</w:t>
      </w:r>
      <w:r>
        <w:rPr>
          <w:rFonts w:hint="eastAsia"/>
        </w:rPr>
        <w:t>当年全部收入。</w:t>
      </w:r>
      <w:r>
        <w:t>2023年</w:t>
      </w:r>
      <w:r>
        <w:rPr>
          <w:rFonts w:hint="eastAsia"/>
          <w:lang w:val="en-US" w:eastAsia="zh-CN"/>
        </w:rPr>
        <w:t>部门</w:t>
      </w:r>
      <w:r>
        <w:t>预算收入146.39万元，</w:t>
      </w:r>
      <w:r>
        <w:rPr>
          <w:rFonts w:hint="eastAsia"/>
        </w:rPr>
        <w:t>其中：一般公共预算收入</w:t>
      </w:r>
      <w:r>
        <w:rPr>
          <w:rFonts w:hint="eastAsia"/>
          <w:lang w:val="en-US" w:eastAsia="zh-CN"/>
        </w:rPr>
        <w:t>146.39</w:t>
      </w:r>
      <w:r>
        <w:rPr>
          <w:rFonts w:hint="eastAsia"/>
        </w:rPr>
        <w:t>万元，基金预算收入0万元，国有资本经营预算收入0万元，财政专户核拨收入0万元，单位资金收入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p>
    <w:p>
      <w:pPr>
        <w:pStyle w:val="16"/>
      </w:pPr>
      <w:r>
        <w:rPr>
          <w:rFonts w:hint="eastAsia"/>
          <w:lang w:val="en-US" w:eastAsia="zh-CN"/>
        </w:rPr>
        <w:t>2、</w:t>
      </w:r>
      <w:r>
        <w:t>支出说明</w:t>
      </w:r>
    </w:p>
    <w:p>
      <w:pPr>
        <w:pStyle w:val="16"/>
        <w:rPr>
          <w:rFonts w:hint="default" w:eastAsia="方正仿宋_GBK"/>
          <w:lang w:val="en-US" w:eastAsia="zh-CN"/>
        </w:rPr>
      </w:pPr>
      <w:r>
        <w:rPr>
          <w:rFonts w:hint="eastAsia"/>
        </w:rPr>
        <w:t>收支预算总表支出栏、基本支出表、项目支出表按经济分类和支出功能分类科目编制，反映</w:t>
      </w:r>
      <w:r>
        <w:rPr>
          <w:rFonts w:hint="eastAsia"/>
          <w:lang w:val="en-US" w:eastAsia="zh-CN"/>
        </w:rPr>
        <w:t>2023</w:t>
      </w:r>
      <w:r>
        <w:rPr>
          <w:rFonts w:hint="eastAsia"/>
        </w:rPr>
        <w:t>年度</w:t>
      </w:r>
      <w:r>
        <w:rPr>
          <w:rFonts w:hint="eastAsia"/>
          <w:lang w:val="en-US" w:eastAsia="zh-CN"/>
        </w:rPr>
        <w:t>单位</w:t>
      </w:r>
      <w:bookmarkStart w:id="1" w:name="_GoBack"/>
      <w:bookmarkEnd w:id="1"/>
      <w:r>
        <w:rPr>
          <w:rFonts w:hint="eastAsia"/>
        </w:rPr>
        <w:t>预算中支出预算的总体情况。2023年支出预算</w:t>
      </w:r>
      <w:r>
        <w:rPr>
          <w:rFonts w:hint="eastAsia"/>
          <w:lang w:val="en-US" w:eastAsia="zh-CN"/>
        </w:rPr>
        <w:t>146.39</w:t>
      </w:r>
      <w:r>
        <w:rPr>
          <w:rFonts w:hint="eastAsia"/>
        </w:rPr>
        <w:t>万元，其中基本支出</w:t>
      </w:r>
      <w:r>
        <w:rPr>
          <w:rFonts w:hint="eastAsia"/>
          <w:lang w:val="en-US" w:eastAsia="zh-CN"/>
        </w:rPr>
        <w:t>76.32</w:t>
      </w:r>
      <w:r>
        <w:rPr>
          <w:rFonts w:hint="eastAsia"/>
        </w:rPr>
        <w:t>万元，包括人员经费</w:t>
      </w:r>
      <w:r>
        <w:rPr>
          <w:rFonts w:hint="eastAsia"/>
          <w:lang w:val="en-US" w:eastAsia="zh-CN"/>
        </w:rPr>
        <w:t>67.08</w:t>
      </w:r>
      <w:r>
        <w:rPr>
          <w:rFonts w:hint="eastAsia"/>
        </w:rPr>
        <w:t>万元和日常公用经费</w:t>
      </w:r>
      <w:r>
        <w:rPr>
          <w:rFonts w:hint="eastAsia"/>
          <w:lang w:val="en-US" w:eastAsia="zh-CN"/>
        </w:rPr>
        <w:t>9.24</w:t>
      </w:r>
      <w:r>
        <w:rPr>
          <w:rFonts w:hint="eastAsia"/>
        </w:rPr>
        <w:t>万元；项目支出</w:t>
      </w:r>
      <w:r>
        <w:rPr>
          <w:rFonts w:hint="eastAsia"/>
          <w:lang w:val="en-US" w:eastAsia="zh-CN"/>
        </w:rPr>
        <w:t>70.07</w:t>
      </w:r>
      <w:r>
        <w:rPr>
          <w:rFonts w:hint="eastAsia"/>
        </w:rPr>
        <w:t>万元，主要为</w:t>
      </w:r>
      <w:r>
        <w:rPr>
          <w:rFonts w:hint="eastAsia"/>
          <w:lang w:val="en-US" w:eastAsia="zh-CN"/>
        </w:rPr>
        <w:t>丰南区发展型县域试点工作宣传经费与团组织建设宣传经费支出。</w:t>
      </w:r>
    </w:p>
    <w:p>
      <w:pPr>
        <w:pStyle w:val="16"/>
      </w:pPr>
      <w:r>
        <w:rPr>
          <w:rFonts w:hint="eastAsia"/>
          <w:lang w:val="en-US" w:eastAsia="zh-CN"/>
        </w:rPr>
        <w:t>3、</w:t>
      </w:r>
      <w:r>
        <w:t>比上年增减情况</w:t>
      </w:r>
    </w:p>
    <w:p>
      <w:pPr>
        <w:pStyle w:val="16"/>
      </w:pPr>
      <w:r>
        <w:rPr>
          <w:rFonts w:hint="eastAsia"/>
        </w:rPr>
        <w:t>2023年预算收支安排</w:t>
      </w:r>
      <w:r>
        <w:rPr>
          <w:rFonts w:hint="eastAsia"/>
          <w:lang w:val="en-US" w:eastAsia="zh-CN"/>
        </w:rPr>
        <w:t>146.39</w:t>
      </w:r>
      <w:r>
        <w:rPr>
          <w:rFonts w:hint="eastAsia"/>
        </w:rPr>
        <w:t>万元，较2022年预算</w:t>
      </w:r>
      <w:r>
        <w:rPr>
          <w:rFonts w:hint="eastAsia"/>
          <w:lang w:val="en-US" w:eastAsia="zh-CN"/>
        </w:rPr>
        <w:t>增加68.47</w:t>
      </w:r>
      <w:r>
        <w:rPr>
          <w:rFonts w:hint="eastAsia"/>
        </w:rPr>
        <w:t>万元，其中：基本支出增加</w:t>
      </w:r>
      <w:r>
        <w:rPr>
          <w:rFonts w:hint="eastAsia"/>
          <w:lang w:val="en-US" w:eastAsia="zh-CN"/>
        </w:rPr>
        <w:t>25.86</w:t>
      </w:r>
      <w:r>
        <w:rPr>
          <w:rFonts w:hint="eastAsia"/>
        </w:rPr>
        <w:t>万元，主要为增加人员经费支出；项目支出</w:t>
      </w:r>
      <w:r>
        <w:rPr>
          <w:rFonts w:hint="eastAsia"/>
          <w:lang w:val="en-US" w:eastAsia="zh-CN"/>
        </w:rPr>
        <w:t>增加42.6</w:t>
      </w:r>
      <w:r>
        <w:rPr>
          <w:rFonts w:hint="eastAsia"/>
        </w:rPr>
        <w:t>万元，主要为</w:t>
      </w:r>
      <w:r>
        <w:rPr>
          <w:rFonts w:hint="eastAsia"/>
          <w:lang w:val="en-US" w:eastAsia="zh-CN"/>
        </w:rPr>
        <w:t>增加丰南区发展型县域试点工作宣传经费</w:t>
      </w:r>
      <w:r>
        <w:rPr>
          <w:rFonts w:hint="eastAsia"/>
        </w:rPr>
        <w:t>资金。</w:t>
      </w:r>
    </w:p>
    <w:p>
      <w:pPr>
        <w:spacing w:before="10" w:after="10" w:line="240" w:lineRule="auto"/>
        <w:ind w:firstLine="640"/>
        <w:jc w:val="left"/>
        <w:outlineLvl w:val="5"/>
        <w:rPr>
          <w:rFonts w:hint="eastAsia" w:ascii="Times New Roman" w:hAnsi="Times New Roman" w:eastAsia="方正仿宋_GBK" w:cs="Times New Roman"/>
          <w:kern w:val="2"/>
          <w:sz w:val="28"/>
          <w:szCs w:val="24"/>
          <w:lang w:val="en-US" w:eastAsia="zh-CN" w:bidi="ar-SA"/>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2023年机关运行经费共计安排9.24万元，主要包括用于保证机关正常运转的办公费、公务用车运行维护费、工会费、在职职工福利费、移动通讯补贴、交通补贴等支出。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2023年单位“三公”经费预算安排2.5万元，比2022年增加0万元。具体增减情况为：</w:t>
      </w:r>
    </w:p>
    <w:p>
      <w:pPr>
        <w:pStyle w:val="20"/>
        <w:numPr>
          <w:numId w:val="0"/>
        </w:numPr>
        <w:ind w:left="480" w:leftChars="0"/>
      </w:pPr>
      <w:r>
        <w:t>（一）公务用车购置</w:t>
      </w:r>
      <w:r>
        <w:rPr>
          <w:rFonts w:hint="eastAsia"/>
          <w:lang w:val="en-US" w:eastAsia="zh-CN"/>
        </w:rPr>
        <w:t>费</w:t>
      </w:r>
      <w:r>
        <w:t>及运行</w:t>
      </w:r>
      <w:r>
        <w:rPr>
          <w:rFonts w:hint="eastAsia"/>
          <w:lang w:val="en-US" w:eastAsia="zh-CN"/>
        </w:rPr>
        <w:t>维护</w:t>
      </w:r>
      <w:r>
        <w:t>费2.5万元，公务用车购置</w:t>
      </w:r>
      <w:r>
        <w:rPr>
          <w:rFonts w:hint="eastAsia"/>
          <w:lang w:val="en-US" w:eastAsia="zh-CN"/>
        </w:rPr>
        <w:t>费0万元、公务用车</w:t>
      </w:r>
      <w:r>
        <w:t>运行</w:t>
      </w:r>
      <w:r>
        <w:rPr>
          <w:rFonts w:hint="eastAsia"/>
          <w:lang w:val="en-US" w:eastAsia="zh-CN"/>
        </w:rPr>
        <w:t>维护</w:t>
      </w:r>
      <w:r>
        <w:t>费</w:t>
      </w:r>
      <w:r>
        <w:rPr>
          <w:rFonts w:hint="eastAsia"/>
          <w:lang w:val="en-US" w:eastAsia="zh-CN"/>
        </w:rPr>
        <w:t>2.5万元，</w:t>
      </w:r>
      <w:r>
        <w:t>无增减变化。</w:t>
      </w:r>
    </w:p>
    <w:p>
      <w:pPr>
        <w:pStyle w:val="20"/>
      </w:pPr>
      <w:r>
        <w:t>（二）公务接待费0万元，无增减变化。</w:t>
      </w:r>
    </w:p>
    <w:p>
      <w:pPr>
        <w:pStyle w:val="20"/>
      </w:pPr>
      <w:r>
        <w:t>（三）因公出国（境）费0万元，无增减变化。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1、丰南区建设青年发展型县域全国试点工作经费绩效目标表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1.1、加强青年优先发展2、扎实推进学习型学习型青年队伍建设 3.加强团的制度建设 4.合理安排预算项目指出</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完成项目数量</w:t>
            </w:r>
          </w:p>
        </w:tc>
        <w:tc>
          <w:tcPr>
            <w:tcW w:w="2466" w:type="dxa"/>
            <w:vAlign w:val="center"/>
          </w:tcPr>
          <w:p>
            <w:pPr>
              <w:pStyle w:val="10"/>
            </w:pPr>
            <w:r>
              <w:t>完成项目数量</w:t>
            </w:r>
          </w:p>
        </w:tc>
        <w:tc>
          <w:tcPr>
            <w:tcW w:w="2466" w:type="dxa"/>
            <w:vAlign w:val="center"/>
          </w:tcPr>
          <w:p>
            <w:pPr>
              <w:pStyle w:val="10"/>
            </w:pPr>
            <w:r>
              <w:t>≥95百分比</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综合业务管理工作完成率</w:t>
            </w:r>
          </w:p>
        </w:tc>
        <w:tc>
          <w:tcPr>
            <w:tcW w:w="2466" w:type="dxa"/>
            <w:vAlign w:val="center"/>
          </w:tcPr>
          <w:p>
            <w:pPr>
              <w:pStyle w:val="10"/>
            </w:pPr>
            <w:r>
              <w:t>综合业务管理工作完成率</w:t>
            </w:r>
          </w:p>
        </w:tc>
        <w:tc>
          <w:tcPr>
            <w:tcW w:w="2466" w:type="dxa"/>
            <w:vAlign w:val="center"/>
          </w:tcPr>
          <w:p>
            <w:pPr>
              <w:pStyle w:val="10"/>
            </w:pPr>
            <w:r>
              <w:t>≥95百分比</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资金发放准时率</w:t>
            </w:r>
          </w:p>
        </w:tc>
        <w:tc>
          <w:tcPr>
            <w:tcW w:w="2466" w:type="dxa"/>
            <w:vAlign w:val="center"/>
          </w:tcPr>
          <w:p>
            <w:pPr>
              <w:pStyle w:val="10"/>
            </w:pPr>
            <w:r>
              <w:t>资金发放准时率</w:t>
            </w:r>
          </w:p>
        </w:tc>
        <w:tc>
          <w:tcPr>
            <w:tcW w:w="2466" w:type="dxa"/>
            <w:vAlign w:val="center"/>
          </w:tcPr>
          <w:p>
            <w:pPr>
              <w:pStyle w:val="10"/>
            </w:pPr>
            <w:r>
              <w:t>≥95百分比</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成本控制率(%)</w:t>
            </w:r>
          </w:p>
        </w:tc>
        <w:tc>
          <w:tcPr>
            <w:tcW w:w="2466" w:type="dxa"/>
            <w:vAlign w:val="center"/>
          </w:tcPr>
          <w:p>
            <w:pPr>
              <w:pStyle w:val="10"/>
            </w:pPr>
            <w:r>
              <w:t>成本控制率</w:t>
            </w:r>
          </w:p>
        </w:tc>
        <w:tc>
          <w:tcPr>
            <w:tcW w:w="2466" w:type="dxa"/>
            <w:vAlign w:val="center"/>
          </w:tcPr>
          <w:p>
            <w:pPr>
              <w:pStyle w:val="10"/>
            </w:pPr>
            <w:r>
              <w:t>≥95百分比</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各项完成率</w:t>
            </w:r>
          </w:p>
        </w:tc>
        <w:tc>
          <w:tcPr>
            <w:tcW w:w="2466" w:type="dxa"/>
            <w:vAlign w:val="center"/>
          </w:tcPr>
          <w:p>
            <w:pPr>
              <w:pStyle w:val="10"/>
            </w:pPr>
            <w:r>
              <w:t>反映工作任务预期经济效益目标实现程度</w:t>
            </w:r>
          </w:p>
        </w:tc>
        <w:tc>
          <w:tcPr>
            <w:tcW w:w="2466" w:type="dxa"/>
            <w:vAlign w:val="center"/>
          </w:tcPr>
          <w:p>
            <w:pPr>
              <w:pStyle w:val="10"/>
            </w:pPr>
            <w:r>
              <w:t>≥95百分比</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落实人民群众的知情权、表达权、</w:t>
            </w:r>
          </w:p>
        </w:tc>
        <w:tc>
          <w:tcPr>
            <w:tcW w:w="2466" w:type="dxa"/>
            <w:vAlign w:val="center"/>
          </w:tcPr>
          <w:p>
            <w:pPr>
              <w:pStyle w:val="10"/>
            </w:pPr>
            <w:r>
              <w:t>落实人民群众的知情权、表达权、参与权和监督权</w:t>
            </w:r>
          </w:p>
        </w:tc>
        <w:tc>
          <w:tcPr>
            <w:tcW w:w="2466" w:type="dxa"/>
            <w:vAlign w:val="center"/>
          </w:tcPr>
          <w:p>
            <w:pPr>
              <w:pStyle w:val="10"/>
            </w:pPr>
            <w:r>
              <w:t>充分落实</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保证人才队伍可持续建设</w:t>
            </w:r>
          </w:p>
        </w:tc>
        <w:tc>
          <w:tcPr>
            <w:tcW w:w="2466" w:type="dxa"/>
            <w:vAlign w:val="center"/>
          </w:tcPr>
          <w:p>
            <w:pPr>
              <w:pStyle w:val="10"/>
            </w:pPr>
            <w:r>
              <w:t>保证人才队伍可持续建设</w:t>
            </w:r>
          </w:p>
        </w:tc>
        <w:tc>
          <w:tcPr>
            <w:tcW w:w="2466" w:type="dxa"/>
            <w:vAlign w:val="center"/>
          </w:tcPr>
          <w:p>
            <w:pPr>
              <w:pStyle w:val="10"/>
            </w:pPr>
            <w:r>
              <w:t>明显提高</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宣传资料重复利用率（%）</w:t>
            </w:r>
          </w:p>
        </w:tc>
        <w:tc>
          <w:tcPr>
            <w:tcW w:w="2466" w:type="dxa"/>
            <w:vAlign w:val="center"/>
          </w:tcPr>
          <w:p>
            <w:pPr>
              <w:pStyle w:val="10"/>
            </w:pPr>
            <w:r>
              <w:t>利用率</w:t>
            </w:r>
          </w:p>
        </w:tc>
        <w:tc>
          <w:tcPr>
            <w:tcW w:w="2466" w:type="dxa"/>
            <w:vAlign w:val="center"/>
          </w:tcPr>
          <w:p>
            <w:pPr>
              <w:pStyle w:val="10"/>
            </w:pPr>
            <w:r>
              <w:t>≥60百分比</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≥98百分比</w:t>
            </w:r>
          </w:p>
        </w:tc>
        <w:tc>
          <w:tcPr>
            <w:tcW w:w="2466" w:type="dxa"/>
            <w:vAlign w:val="center"/>
          </w:tcPr>
          <w:p>
            <w:pPr>
              <w:pStyle w:val="10"/>
            </w:pPr>
            <w:r>
              <w:t>单位内部自评与实际考核调研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1.1.按时间节点发放基本生活补贴费用、按时缴纳商业保险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工资发放人数</w:t>
            </w:r>
          </w:p>
        </w:tc>
        <w:tc>
          <w:tcPr>
            <w:tcW w:w="2466" w:type="dxa"/>
            <w:vAlign w:val="center"/>
          </w:tcPr>
          <w:p>
            <w:pPr>
              <w:pStyle w:val="10"/>
            </w:pPr>
            <w:r>
              <w:t>工资发放人数</w:t>
            </w:r>
          </w:p>
          <w:p>
            <w:pPr>
              <w:pStyle w:val="10"/>
            </w:pPr>
          </w:p>
        </w:tc>
        <w:tc>
          <w:tcPr>
            <w:tcW w:w="2466" w:type="dxa"/>
            <w:vAlign w:val="center"/>
          </w:tcPr>
          <w:p>
            <w:pPr>
              <w:pStyle w:val="10"/>
            </w:pPr>
            <w:r>
              <w:t>5人</w:t>
            </w:r>
          </w:p>
        </w:tc>
        <w:tc>
          <w:tcPr>
            <w:tcW w:w="2466" w:type="dxa"/>
            <w:vAlign w:val="center"/>
          </w:tcPr>
          <w:p>
            <w:pPr>
              <w:pStyle w:val="10"/>
            </w:pPr>
            <w:r>
              <w:t>见习协议书审核后的工资表</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工资发放覆盖率</w:t>
            </w:r>
          </w:p>
          <w:p>
            <w:pPr>
              <w:pStyle w:val="10"/>
            </w:pPr>
          </w:p>
        </w:tc>
        <w:tc>
          <w:tcPr>
            <w:tcW w:w="2466" w:type="dxa"/>
            <w:vAlign w:val="center"/>
          </w:tcPr>
          <w:p>
            <w:pPr>
              <w:pStyle w:val="10"/>
            </w:pPr>
            <w:r>
              <w:t>已发人数/应发人数*100%</w:t>
            </w:r>
          </w:p>
          <w:p>
            <w:pPr>
              <w:pStyle w:val="10"/>
            </w:pPr>
          </w:p>
        </w:tc>
        <w:tc>
          <w:tcPr>
            <w:tcW w:w="2466" w:type="dxa"/>
            <w:vAlign w:val="center"/>
          </w:tcPr>
          <w:p>
            <w:pPr>
              <w:pStyle w:val="10"/>
            </w:pPr>
            <w:r>
              <w:t>100%</w:t>
            </w:r>
          </w:p>
        </w:tc>
        <w:tc>
          <w:tcPr>
            <w:tcW w:w="2466" w:type="dxa"/>
            <w:vAlign w:val="center"/>
          </w:tcPr>
          <w:p>
            <w:pPr>
              <w:pStyle w:val="10"/>
            </w:pPr>
            <w:r>
              <w:t>见习协议书审核后的工资表</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p>
          <w:p>
            <w:pPr>
              <w:pStyle w:val="10"/>
            </w:pPr>
            <w:r>
              <w:t>工作按时完成率</w:t>
            </w:r>
            <w:r>
              <w:tab/>
            </w:r>
          </w:p>
          <w:p>
            <w:pPr>
              <w:pStyle w:val="10"/>
            </w:pPr>
          </w:p>
        </w:tc>
        <w:tc>
          <w:tcPr>
            <w:tcW w:w="2466" w:type="dxa"/>
            <w:vAlign w:val="center"/>
          </w:tcPr>
          <w:p>
            <w:pPr>
              <w:pStyle w:val="10"/>
            </w:pPr>
            <w:r>
              <w:t>工作按时完成情况</w:t>
            </w:r>
          </w:p>
          <w:p>
            <w:pPr>
              <w:pStyle w:val="10"/>
            </w:pPr>
          </w:p>
        </w:tc>
        <w:tc>
          <w:tcPr>
            <w:tcW w:w="2466" w:type="dxa"/>
            <w:vAlign w:val="center"/>
          </w:tcPr>
          <w:p>
            <w:pPr>
              <w:pStyle w:val="10"/>
            </w:pPr>
            <w:r>
              <w:t>≥98%</w:t>
            </w:r>
          </w:p>
        </w:tc>
        <w:tc>
          <w:tcPr>
            <w:tcW w:w="2466" w:type="dxa"/>
            <w:vAlign w:val="center"/>
          </w:tcPr>
          <w:p>
            <w:pPr>
              <w:pStyle w:val="10"/>
            </w:pPr>
          </w:p>
          <w:p>
            <w:pPr>
              <w:pStyle w:val="10"/>
            </w:pPr>
            <w:r>
              <w:t>内部自评与调研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p>
          <w:p>
            <w:pPr>
              <w:pStyle w:val="10"/>
            </w:pPr>
            <w:r>
              <w:t>成本控制率（%）</w:t>
            </w:r>
          </w:p>
        </w:tc>
        <w:tc>
          <w:tcPr>
            <w:tcW w:w="2466" w:type="dxa"/>
            <w:vAlign w:val="center"/>
          </w:tcPr>
          <w:p>
            <w:pPr>
              <w:pStyle w:val="10"/>
            </w:pPr>
            <w:r>
              <w:tab/>
            </w:r>
            <w:r>
              <w:t>成本控制率</w:t>
            </w:r>
          </w:p>
          <w:p>
            <w:pPr>
              <w:pStyle w:val="10"/>
            </w:pPr>
          </w:p>
        </w:tc>
        <w:tc>
          <w:tcPr>
            <w:tcW w:w="2466" w:type="dxa"/>
            <w:vAlign w:val="center"/>
          </w:tcPr>
          <w:p>
            <w:pPr>
              <w:pStyle w:val="10"/>
            </w:pPr>
            <w:r>
              <w:t>≥98%</w:t>
            </w:r>
          </w:p>
        </w:tc>
        <w:tc>
          <w:tcPr>
            <w:tcW w:w="2466" w:type="dxa"/>
            <w:vAlign w:val="center"/>
          </w:tcPr>
          <w:p>
            <w:pPr>
              <w:pStyle w:val="10"/>
            </w:pPr>
          </w:p>
          <w:p>
            <w:pPr>
              <w:pStyle w:val="10"/>
            </w:pPr>
            <w:r>
              <w:t>内部自评与调研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p>
          <w:p>
            <w:pPr>
              <w:pStyle w:val="10"/>
            </w:pPr>
            <w:r>
              <w:t>保障情况</w:t>
            </w:r>
          </w:p>
        </w:tc>
        <w:tc>
          <w:tcPr>
            <w:tcW w:w="2466" w:type="dxa"/>
            <w:vAlign w:val="center"/>
          </w:tcPr>
          <w:p>
            <w:pPr>
              <w:pStyle w:val="10"/>
            </w:pPr>
            <w:r>
              <w:t>保障率</w:t>
            </w:r>
          </w:p>
          <w:p>
            <w:pPr>
              <w:pStyle w:val="10"/>
            </w:pPr>
          </w:p>
        </w:tc>
        <w:tc>
          <w:tcPr>
            <w:tcW w:w="2466" w:type="dxa"/>
            <w:vAlign w:val="center"/>
          </w:tcPr>
          <w:p>
            <w:pPr>
              <w:pStyle w:val="10"/>
            </w:pPr>
            <w:r>
              <w:t>≥98%</w:t>
            </w:r>
          </w:p>
        </w:tc>
        <w:tc>
          <w:tcPr>
            <w:tcW w:w="2466" w:type="dxa"/>
            <w:vAlign w:val="center"/>
          </w:tcPr>
          <w:p>
            <w:pPr>
              <w:pStyle w:val="10"/>
            </w:pPr>
          </w:p>
          <w:p>
            <w:pPr>
              <w:pStyle w:val="10"/>
            </w:pPr>
            <w:r>
              <w:t>见习协议书台账</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ab/>
            </w:r>
            <w:r>
              <w:t>受益工作人数</w:t>
            </w:r>
          </w:p>
          <w:p>
            <w:pPr>
              <w:pStyle w:val="10"/>
            </w:pPr>
          </w:p>
        </w:tc>
        <w:tc>
          <w:tcPr>
            <w:tcW w:w="2466" w:type="dxa"/>
            <w:vAlign w:val="center"/>
          </w:tcPr>
          <w:p>
            <w:pPr>
              <w:pStyle w:val="10"/>
            </w:pPr>
            <w:r>
              <w:t>受益工作人数</w:t>
            </w:r>
          </w:p>
          <w:p>
            <w:pPr>
              <w:pStyle w:val="10"/>
            </w:pPr>
          </w:p>
        </w:tc>
        <w:tc>
          <w:tcPr>
            <w:tcW w:w="2466" w:type="dxa"/>
            <w:vAlign w:val="center"/>
          </w:tcPr>
          <w:p>
            <w:pPr>
              <w:pStyle w:val="10"/>
            </w:pPr>
            <w:r>
              <w:t>≥98充分认可</w:t>
            </w:r>
          </w:p>
        </w:tc>
        <w:tc>
          <w:tcPr>
            <w:tcW w:w="2466" w:type="dxa"/>
            <w:vAlign w:val="center"/>
          </w:tcPr>
          <w:p>
            <w:pPr>
              <w:pStyle w:val="10"/>
            </w:pPr>
          </w:p>
          <w:p>
            <w:pPr>
              <w:pStyle w:val="10"/>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p>
          <w:p>
            <w:pPr>
              <w:pStyle w:val="10"/>
            </w:pPr>
            <w:r>
              <w:t>宣传资料重复利用率（%）</w:t>
            </w:r>
            <w:r>
              <w:tab/>
            </w:r>
          </w:p>
        </w:tc>
        <w:tc>
          <w:tcPr>
            <w:tcW w:w="2466" w:type="dxa"/>
            <w:vAlign w:val="center"/>
          </w:tcPr>
          <w:p>
            <w:pPr>
              <w:pStyle w:val="10"/>
            </w:pPr>
            <w:r>
              <w:tab/>
            </w:r>
            <w:r>
              <w:t>利用率</w:t>
            </w:r>
          </w:p>
          <w:p>
            <w:pPr>
              <w:pStyle w:val="10"/>
            </w:pPr>
          </w:p>
        </w:tc>
        <w:tc>
          <w:tcPr>
            <w:tcW w:w="2466" w:type="dxa"/>
            <w:vAlign w:val="center"/>
          </w:tcPr>
          <w:p>
            <w:pPr>
              <w:pStyle w:val="10"/>
            </w:pPr>
            <w:r>
              <w:t>≥60%</w:t>
            </w:r>
          </w:p>
        </w:tc>
        <w:tc>
          <w:tcPr>
            <w:tcW w:w="2466" w:type="dxa"/>
            <w:vAlign w:val="center"/>
          </w:tcPr>
          <w:p>
            <w:pPr>
              <w:pStyle w:val="10"/>
            </w:pPr>
          </w:p>
          <w:p>
            <w:pPr>
              <w:pStyle w:val="10"/>
            </w:pPr>
            <w:r>
              <w:t>单位自评与实际调研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p>
          <w:p>
            <w:pPr>
              <w:pStyle w:val="10"/>
            </w:pPr>
            <w:r>
              <w:t>良性运行率</w:t>
            </w:r>
            <w:r>
              <w:tab/>
            </w:r>
          </w:p>
        </w:tc>
        <w:tc>
          <w:tcPr>
            <w:tcW w:w="2466" w:type="dxa"/>
            <w:vAlign w:val="center"/>
          </w:tcPr>
          <w:p>
            <w:pPr>
              <w:pStyle w:val="10"/>
            </w:pPr>
            <w:r>
              <w:tab/>
            </w:r>
            <w:r>
              <w:t>持续影响程度</w:t>
            </w:r>
          </w:p>
          <w:p>
            <w:pPr>
              <w:pStyle w:val="10"/>
            </w:pPr>
          </w:p>
        </w:tc>
        <w:tc>
          <w:tcPr>
            <w:tcW w:w="2466" w:type="dxa"/>
            <w:vAlign w:val="center"/>
          </w:tcPr>
          <w:p>
            <w:pPr>
              <w:pStyle w:val="10"/>
            </w:pPr>
            <w:r>
              <w:t>≥98较好全面的运行</w:t>
            </w:r>
          </w:p>
        </w:tc>
        <w:tc>
          <w:tcPr>
            <w:tcW w:w="2466" w:type="dxa"/>
            <w:vAlign w:val="center"/>
          </w:tcPr>
          <w:p>
            <w:pPr>
              <w:pStyle w:val="10"/>
            </w:pPr>
          </w:p>
          <w:p>
            <w:pPr>
              <w:pStyle w:val="10"/>
            </w:pPr>
            <w:r>
              <w:t>内部自评与调研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工作人员满意度</w:t>
            </w:r>
          </w:p>
        </w:tc>
        <w:tc>
          <w:tcPr>
            <w:tcW w:w="2466" w:type="dxa"/>
            <w:vAlign w:val="center"/>
          </w:tcPr>
          <w:p>
            <w:pPr>
              <w:pStyle w:val="10"/>
            </w:pPr>
            <w:r>
              <w:tab/>
            </w:r>
            <w:r>
              <w:t>工作人员满意度</w:t>
            </w:r>
          </w:p>
        </w:tc>
        <w:tc>
          <w:tcPr>
            <w:tcW w:w="2466" w:type="dxa"/>
            <w:vAlign w:val="center"/>
          </w:tcPr>
          <w:p>
            <w:pPr>
              <w:pStyle w:val="10"/>
            </w:pPr>
            <w:r>
              <w:t>≥98充分认可</w:t>
            </w:r>
          </w:p>
        </w:tc>
        <w:tc>
          <w:tcPr>
            <w:tcW w:w="2466" w:type="dxa"/>
            <w:vAlign w:val="center"/>
          </w:tcPr>
          <w:p>
            <w:pPr>
              <w:pStyle w:val="10"/>
            </w:pPr>
          </w:p>
          <w:p>
            <w:pPr>
              <w:pStyle w:val="10"/>
            </w:pPr>
            <w:r>
              <w:t>见习协议书台账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1.1.按时间节点发放基本生活补贴费用、按时缴纳商业保险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覆盖率</w:t>
            </w:r>
            <w:r>
              <w:tab/>
            </w:r>
          </w:p>
        </w:tc>
        <w:tc>
          <w:tcPr>
            <w:tcW w:w="2466" w:type="dxa"/>
            <w:vAlign w:val="center"/>
          </w:tcPr>
          <w:p>
            <w:pPr>
              <w:pStyle w:val="10"/>
            </w:pPr>
            <w:r>
              <w:t>工作完成覆盖率</w:t>
            </w:r>
          </w:p>
          <w:p>
            <w:pPr>
              <w:pStyle w:val="10"/>
            </w:pPr>
          </w:p>
        </w:tc>
        <w:tc>
          <w:tcPr>
            <w:tcW w:w="2466" w:type="dxa"/>
            <w:vAlign w:val="center"/>
          </w:tcPr>
          <w:p>
            <w:pPr>
              <w:pStyle w:val="10"/>
            </w:pPr>
            <w:r>
              <w:t>≥98%</w:t>
            </w:r>
          </w:p>
        </w:tc>
        <w:tc>
          <w:tcPr>
            <w:tcW w:w="2466" w:type="dxa"/>
            <w:vAlign w:val="center"/>
          </w:tcPr>
          <w:p>
            <w:pPr>
              <w:pStyle w:val="10"/>
            </w:pPr>
            <w:r>
              <w:t>见习协议书审核后的工资表</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p>
          <w:p>
            <w:pPr>
              <w:pStyle w:val="10"/>
            </w:pPr>
            <w:r>
              <w:t>发放率</w:t>
            </w:r>
          </w:p>
        </w:tc>
        <w:tc>
          <w:tcPr>
            <w:tcW w:w="2466" w:type="dxa"/>
            <w:vAlign w:val="center"/>
          </w:tcPr>
          <w:p>
            <w:pPr>
              <w:pStyle w:val="10"/>
            </w:pPr>
            <w:r>
              <w:tab/>
            </w:r>
            <w:r>
              <w:t>发放率</w:t>
            </w:r>
          </w:p>
          <w:p>
            <w:pPr>
              <w:pStyle w:val="10"/>
            </w:pPr>
          </w:p>
        </w:tc>
        <w:tc>
          <w:tcPr>
            <w:tcW w:w="2466" w:type="dxa"/>
            <w:vAlign w:val="center"/>
          </w:tcPr>
          <w:p>
            <w:pPr>
              <w:pStyle w:val="10"/>
            </w:pPr>
            <w:r>
              <w:t>100%</w:t>
            </w:r>
          </w:p>
        </w:tc>
        <w:tc>
          <w:tcPr>
            <w:tcW w:w="2466" w:type="dxa"/>
            <w:vAlign w:val="center"/>
          </w:tcPr>
          <w:p>
            <w:pPr>
              <w:pStyle w:val="10"/>
            </w:pPr>
            <w:r>
              <w:t>见习协议书审核后的工资表</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p>
          <w:p>
            <w:pPr>
              <w:pStyle w:val="10"/>
            </w:pPr>
            <w:r>
              <w:t>工作按时完成率</w:t>
            </w:r>
          </w:p>
        </w:tc>
        <w:tc>
          <w:tcPr>
            <w:tcW w:w="2466" w:type="dxa"/>
            <w:vAlign w:val="center"/>
          </w:tcPr>
          <w:p>
            <w:pPr>
              <w:pStyle w:val="10"/>
            </w:pPr>
            <w:r>
              <w:tab/>
            </w:r>
            <w:r>
              <w:t>工作按时完成情况</w:t>
            </w:r>
          </w:p>
          <w:p>
            <w:pPr>
              <w:pStyle w:val="10"/>
            </w:pPr>
          </w:p>
        </w:tc>
        <w:tc>
          <w:tcPr>
            <w:tcW w:w="2466" w:type="dxa"/>
            <w:vAlign w:val="center"/>
          </w:tcPr>
          <w:p>
            <w:pPr>
              <w:pStyle w:val="10"/>
            </w:pPr>
            <w:r>
              <w:t>≥98%</w:t>
            </w:r>
          </w:p>
        </w:tc>
        <w:tc>
          <w:tcPr>
            <w:tcW w:w="2466" w:type="dxa"/>
            <w:vAlign w:val="center"/>
          </w:tcPr>
          <w:p>
            <w:pPr>
              <w:pStyle w:val="10"/>
            </w:pPr>
          </w:p>
          <w:p>
            <w:pPr>
              <w:pStyle w:val="10"/>
            </w:pPr>
            <w:r>
              <w:t>内部自评与调研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p>
          <w:p>
            <w:pPr>
              <w:pStyle w:val="10"/>
            </w:pPr>
            <w:r>
              <w:t>成本控制率（%）</w:t>
            </w:r>
          </w:p>
        </w:tc>
        <w:tc>
          <w:tcPr>
            <w:tcW w:w="2466" w:type="dxa"/>
            <w:vAlign w:val="center"/>
          </w:tcPr>
          <w:p>
            <w:pPr>
              <w:pStyle w:val="10"/>
            </w:pPr>
            <w:r>
              <w:t>成本控制率</w:t>
            </w:r>
          </w:p>
          <w:p>
            <w:pPr>
              <w:pStyle w:val="10"/>
            </w:pPr>
          </w:p>
        </w:tc>
        <w:tc>
          <w:tcPr>
            <w:tcW w:w="2466" w:type="dxa"/>
            <w:vAlign w:val="center"/>
          </w:tcPr>
          <w:p>
            <w:pPr>
              <w:pStyle w:val="10"/>
            </w:pPr>
            <w:r>
              <w:t>≥98%</w:t>
            </w:r>
          </w:p>
        </w:tc>
        <w:tc>
          <w:tcPr>
            <w:tcW w:w="2466" w:type="dxa"/>
            <w:vAlign w:val="center"/>
          </w:tcPr>
          <w:p>
            <w:pPr>
              <w:pStyle w:val="10"/>
            </w:pPr>
          </w:p>
          <w:p>
            <w:pPr>
              <w:pStyle w:val="10"/>
            </w:pPr>
            <w:r>
              <w:t>内部自评与调研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保障情况</w:t>
            </w:r>
            <w:r>
              <w:tab/>
            </w:r>
          </w:p>
          <w:p>
            <w:pPr>
              <w:pStyle w:val="10"/>
            </w:pPr>
          </w:p>
        </w:tc>
        <w:tc>
          <w:tcPr>
            <w:tcW w:w="2466" w:type="dxa"/>
            <w:vAlign w:val="center"/>
          </w:tcPr>
          <w:p>
            <w:pPr>
              <w:pStyle w:val="10"/>
            </w:pPr>
            <w:r>
              <w:tab/>
            </w:r>
            <w:r>
              <w:t>保障率</w:t>
            </w:r>
          </w:p>
          <w:p>
            <w:pPr>
              <w:pStyle w:val="10"/>
            </w:pPr>
          </w:p>
        </w:tc>
        <w:tc>
          <w:tcPr>
            <w:tcW w:w="2466" w:type="dxa"/>
            <w:vAlign w:val="center"/>
          </w:tcPr>
          <w:p>
            <w:pPr>
              <w:pStyle w:val="10"/>
            </w:pPr>
            <w:r>
              <w:t>≥98%</w:t>
            </w:r>
          </w:p>
        </w:tc>
        <w:tc>
          <w:tcPr>
            <w:tcW w:w="2466" w:type="dxa"/>
            <w:vAlign w:val="center"/>
          </w:tcPr>
          <w:p>
            <w:pPr>
              <w:pStyle w:val="10"/>
            </w:pPr>
          </w:p>
          <w:p>
            <w:pPr>
              <w:pStyle w:val="10"/>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p>
          <w:p>
            <w:pPr>
              <w:pStyle w:val="10"/>
            </w:pPr>
            <w:r>
              <w:t>受益工作人数</w:t>
            </w:r>
            <w:r>
              <w:tab/>
            </w:r>
          </w:p>
          <w:p>
            <w:pPr>
              <w:pStyle w:val="10"/>
            </w:pPr>
          </w:p>
        </w:tc>
        <w:tc>
          <w:tcPr>
            <w:tcW w:w="2466" w:type="dxa"/>
            <w:vAlign w:val="center"/>
          </w:tcPr>
          <w:p>
            <w:pPr>
              <w:pStyle w:val="10"/>
            </w:pPr>
            <w:r>
              <w:tab/>
            </w:r>
            <w:r>
              <w:t>受益工作人数</w:t>
            </w:r>
          </w:p>
          <w:p>
            <w:pPr>
              <w:pStyle w:val="10"/>
            </w:pPr>
          </w:p>
        </w:tc>
        <w:tc>
          <w:tcPr>
            <w:tcW w:w="2466" w:type="dxa"/>
            <w:vAlign w:val="center"/>
          </w:tcPr>
          <w:p>
            <w:pPr>
              <w:pStyle w:val="10"/>
            </w:pPr>
            <w:r>
              <w:t>≥98充分认可</w:t>
            </w:r>
          </w:p>
        </w:tc>
        <w:tc>
          <w:tcPr>
            <w:tcW w:w="2466" w:type="dxa"/>
            <w:vAlign w:val="center"/>
          </w:tcPr>
          <w:p>
            <w:pPr>
              <w:pStyle w:val="10"/>
            </w:pPr>
          </w:p>
          <w:p>
            <w:pPr>
              <w:pStyle w:val="10"/>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p>
          <w:p>
            <w:pPr>
              <w:pStyle w:val="10"/>
            </w:pPr>
            <w:r>
              <w:t>宣传资料重复利用率（%）</w:t>
            </w:r>
          </w:p>
          <w:p>
            <w:pPr>
              <w:pStyle w:val="10"/>
            </w:pPr>
          </w:p>
        </w:tc>
        <w:tc>
          <w:tcPr>
            <w:tcW w:w="2466" w:type="dxa"/>
            <w:vAlign w:val="center"/>
          </w:tcPr>
          <w:p>
            <w:pPr>
              <w:pStyle w:val="10"/>
            </w:pPr>
            <w:r>
              <w:t>利用率</w:t>
            </w:r>
          </w:p>
          <w:p>
            <w:pPr>
              <w:pStyle w:val="10"/>
            </w:pPr>
          </w:p>
        </w:tc>
        <w:tc>
          <w:tcPr>
            <w:tcW w:w="2466" w:type="dxa"/>
            <w:vAlign w:val="center"/>
          </w:tcPr>
          <w:p>
            <w:pPr>
              <w:pStyle w:val="10"/>
            </w:pPr>
            <w:r>
              <w:t>≥60%</w:t>
            </w:r>
          </w:p>
        </w:tc>
        <w:tc>
          <w:tcPr>
            <w:tcW w:w="2466" w:type="dxa"/>
            <w:vAlign w:val="center"/>
          </w:tcPr>
          <w:p>
            <w:pPr>
              <w:pStyle w:val="10"/>
            </w:pPr>
          </w:p>
          <w:p>
            <w:pPr>
              <w:pStyle w:val="10"/>
            </w:pPr>
            <w:r>
              <w:t>单位自评与实际调研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p>
          <w:p>
            <w:pPr>
              <w:pStyle w:val="10"/>
            </w:pPr>
            <w:r>
              <w:t>良性运行率</w:t>
            </w:r>
            <w:r>
              <w:tab/>
            </w:r>
          </w:p>
        </w:tc>
        <w:tc>
          <w:tcPr>
            <w:tcW w:w="2466" w:type="dxa"/>
            <w:vAlign w:val="center"/>
          </w:tcPr>
          <w:p>
            <w:pPr>
              <w:pStyle w:val="10"/>
            </w:pPr>
            <w:r>
              <w:t>持续影响程度</w:t>
            </w:r>
          </w:p>
          <w:p>
            <w:pPr>
              <w:pStyle w:val="10"/>
            </w:pPr>
          </w:p>
        </w:tc>
        <w:tc>
          <w:tcPr>
            <w:tcW w:w="2466" w:type="dxa"/>
            <w:vAlign w:val="center"/>
          </w:tcPr>
          <w:p>
            <w:pPr>
              <w:pStyle w:val="10"/>
            </w:pPr>
            <w:r>
              <w:t>≥98较好全面的运行</w:t>
            </w:r>
          </w:p>
        </w:tc>
        <w:tc>
          <w:tcPr>
            <w:tcW w:w="2466" w:type="dxa"/>
            <w:vAlign w:val="center"/>
          </w:tcPr>
          <w:p>
            <w:pPr>
              <w:pStyle w:val="10"/>
            </w:pPr>
          </w:p>
          <w:p>
            <w:pPr>
              <w:pStyle w:val="10"/>
            </w:pPr>
            <w:r>
              <w:t>内部自评与调研</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ab/>
            </w:r>
            <w:r>
              <w:t>工作人员满意度</w:t>
            </w:r>
          </w:p>
        </w:tc>
        <w:tc>
          <w:tcPr>
            <w:tcW w:w="2466" w:type="dxa"/>
            <w:vAlign w:val="center"/>
          </w:tcPr>
          <w:p>
            <w:pPr>
              <w:pStyle w:val="10"/>
            </w:pPr>
            <w:r>
              <w:t>工作人员满意度</w:t>
            </w:r>
          </w:p>
        </w:tc>
        <w:tc>
          <w:tcPr>
            <w:tcW w:w="2466" w:type="dxa"/>
            <w:vAlign w:val="center"/>
          </w:tcPr>
          <w:p>
            <w:pPr>
              <w:pStyle w:val="10"/>
            </w:pPr>
            <w:r>
              <w:t>≥98充分认可</w:t>
            </w:r>
          </w:p>
        </w:tc>
        <w:tc>
          <w:tcPr>
            <w:tcW w:w="2466" w:type="dxa"/>
            <w:vAlign w:val="center"/>
          </w:tcPr>
          <w:p>
            <w:pPr>
              <w:pStyle w:val="10"/>
            </w:pPr>
          </w:p>
          <w:p>
            <w:pPr>
              <w:pStyle w:val="10"/>
            </w:pPr>
            <w:r>
              <w:t>见习协议书台账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1.1.及时发放人员待遇，维护社会稳定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劳务派遣人员数量</w:t>
            </w:r>
            <w:r>
              <w:tab/>
            </w:r>
          </w:p>
        </w:tc>
        <w:tc>
          <w:tcPr>
            <w:tcW w:w="2466" w:type="dxa"/>
            <w:vAlign w:val="center"/>
          </w:tcPr>
          <w:p>
            <w:pPr>
              <w:pStyle w:val="10"/>
            </w:pPr>
            <w:r>
              <w:t>聘用的劳务派遣人数</w:t>
            </w:r>
          </w:p>
          <w:p>
            <w:pPr>
              <w:pStyle w:val="10"/>
            </w:pPr>
          </w:p>
        </w:tc>
        <w:tc>
          <w:tcPr>
            <w:tcW w:w="2466" w:type="dxa"/>
            <w:vAlign w:val="center"/>
          </w:tcPr>
          <w:p>
            <w:pPr>
              <w:pStyle w:val="10"/>
            </w:pPr>
            <w:r>
              <w:t>1人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p>
          <w:p>
            <w:pPr>
              <w:pStyle w:val="10"/>
            </w:pPr>
            <w:r>
              <w:t>工资发放准确率</w:t>
            </w:r>
            <w:r>
              <w:tab/>
            </w:r>
          </w:p>
        </w:tc>
        <w:tc>
          <w:tcPr>
            <w:tcW w:w="2466" w:type="dxa"/>
            <w:vAlign w:val="center"/>
          </w:tcPr>
          <w:p>
            <w:pPr>
              <w:pStyle w:val="10"/>
            </w:pPr>
            <w:r>
              <w:t>工资发放准确程度</w:t>
            </w:r>
          </w:p>
          <w:p>
            <w:pPr>
              <w:pStyle w:val="10"/>
            </w:pPr>
          </w:p>
        </w:tc>
        <w:tc>
          <w:tcPr>
            <w:tcW w:w="2466" w:type="dxa"/>
            <w:vAlign w:val="center"/>
          </w:tcPr>
          <w:p>
            <w:pPr>
              <w:pStyle w:val="10"/>
            </w:pPr>
            <w:r>
              <w:t>100%</w:t>
            </w:r>
          </w:p>
        </w:tc>
        <w:tc>
          <w:tcPr>
            <w:tcW w:w="246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p>
          <w:p>
            <w:pPr>
              <w:pStyle w:val="10"/>
            </w:pPr>
            <w:r>
              <w:t>工资发放及时率</w:t>
            </w:r>
            <w:r>
              <w:tab/>
            </w:r>
          </w:p>
        </w:tc>
        <w:tc>
          <w:tcPr>
            <w:tcW w:w="2466" w:type="dxa"/>
            <w:vAlign w:val="center"/>
          </w:tcPr>
          <w:p>
            <w:pPr>
              <w:pStyle w:val="10"/>
            </w:pPr>
          </w:p>
          <w:p>
            <w:pPr>
              <w:pStyle w:val="10"/>
            </w:pPr>
            <w:r>
              <w:t>工资发放及时率</w:t>
            </w:r>
            <w:r>
              <w:tab/>
            </w:r>
          </w:p>
        </w:tc>
        <w:tc>
          <w:tcPr>
            <w:tcW w:w="2466" w:type="dxa"/>
            <w:vAlign w:val="center"/>
          </w:tcPr>
          <w:p>
            <w:pPr>
              <w:pStyle w:val="10"/>
            </w:pPr>
            <w:r>
              <w:t>100%</w:t>
            </w:r>
          </w:p>
        </w:tc>
        <w:tc>
          <w:tcPr>
            <w:tcW w:w="246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p>
          <w:p>
            <w:pPr>
              <w:pStyle w:val="10"/>
            </w:pPr>
            <w:r>
              <w:t>劳务派遣人员月最低工资标准</w:t>
            </w:r>
            <w:r>
              <w:tab/>
            </w:r>
          </w:p>
        </w:tc>
        <w:tc>
          <w:tcPr>
            <w:tcW w:w="2466" w:type="dxa"/>
            <w:vAlign w:val="center"/>
          </w:tcPr>
          <w:p>
            <w:pPr>
              <w:pStyle w:val="10"/>
            </w:pPr>
            <w:r>
              <w:t>执行的劳务派遣人员月工资标准</w:t>
            </w:r>
          </w:p>
          <w:p>
            <w:pPr>
              <w:pStyle w:val="10"/>
            </w:pPr>
          </w:p>
        </w:tc>
        <w:tc>
          <w:tcPr>
            <w:tcW w:w="2466" w:type="dxa"/>
            <w:vAlign w:val="center"/>
          </w:tcPr>
          <w:p>
            <w:pPr>
              <w:pStyle w:val="10"/>
            </w:pPr>
            <w:r>
              <w:t>≥1900元/月，人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p>
          <w:p>
            <w:pPr>
              <w:pStyle w:val="10"/>
            </w:pPr>
            <w:r>
              <w:t>保障事业发展</w:t>
            </w:r>
            <w:r>
              <w:tab/>
            </w:r>
          </w:p>
        </w:tc>
        <w:tc>
          <w:tcPr>
            <w:tcW w:w="2466" w:type="dxa"/>
            <w:vAlign w:val="center"/>
          </w:tcPr>
          <w:p>
            <w:pPr>
              <w:pStyle w:val="10"/>
            </w:pPr>
            <w:r>
              <w:tab/>
            </w:r>
            <w:r>
              <w:t>保障各项工作正常运行</w:t>
            </w:r>
          </w:p>
          <w:p>
            <w:pPr>
              <w:pStyle w:val="10"/>
            </w:pPr>
          </w:p>
        </w:tc>
        <w:tc>
          <w:tcPr>
            <w:tcW w:w="2466" w:type="dxa"/>
            <w:vAlign w:val="center"/>
          </w:tcPr>
          <w:p>
            <w:pPr>
              <w:pStyle w:val="10"/>
            </w:pPr>
            <w:r>
              <w:t>≥95维护机构正常运转，促进共青团事业发展</w:t>
            </w:r>
          </w:p>
        </w:tc>
        <w:tc>
          <w:tcPr>
            <w:tcW w:w="2466" w:type="dxa"/>
            <w:vAlign w:val="center"/>
          </w:tcPr>
          <w:p>
            <w:pPr>
              <w:pStyle w:val="1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p>
          <w:p>
            <w:pPr>
              <w:pStyle w:val="10"/>
            </w:pPr>
            <w:r>
              <w:t>劳务派遣人员满意度</w:t>
            </w:r>
          </w:p>
        </w:tc>
        <w:tc>
          <w:tcPr>
            <w:tcW w:w="2466" w:type="dxa"/>
            <w:vAlign w:val="center"/>
          </w:tcPr>
          <w:p>
            <w:pPr>
              <w:pStyle w:val="10"/>
            </w:pPr>
            <w:r>
              <w:t>劳务派遣人员对工资待遇的满意度</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5、团区委服务、引导青少年工作经费绩效目标表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1.1.发展青少年文化事业和产业，坚决抵制庸俗、低俗、媚俗等不良文化对青少年的影响。</w:t>
            </w:r>
          </w:p>
          <w:p>
            <w:pPr>
              <w:pStyle w:val="10"/>
            </w:pPr>
            <w:r>
              <w:t>2.发挥典型的带动示范作用解决青年就业难问题</w:t>
            </w:r>
          </w:p>
          <w:p>
            <w:pPr>
              <w:pStyle w:val="10"/>
            </w:pPr>
            <w:r>
              <w:t>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资金使用率</w:t>
            </w:r>
            <w:r>
              <w:tab/>
            </w:r>
          </w:p>
          <w:p>
            <w:pPr>
              <w:pStyle w:val="10"/>
            </w:pPr>
          </w:p>
        </w:tc>
        <w:tc>
          <w:tcPr>
            <w:tcW w:w="2466" w:type="dxa"/>
            <w:vAlign w:val="center"/>
          </w:tcPr>
          <w:p>
            <w:pPr>
              <w:pStyle w:val="10"/>
            </w:pPr>
            <w:r>
              <w:t>实际支付资金与应付资金比例</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完成率</w:t>
            </w:r>
            <w:r>
              <w:tab/>
            </w:r>
          </w:p>
          <w:p>
            <w:pPr>
              <w:pStyle w:val="10"/>
            </w:pPr>
          </w:p>
        </w:tc>
        <w:tc>
          <w:tcPr>
            <w:tcW w:w="2466" w:type="dxa"/>
            <w:vAlign w:val="center"/>
          </w:tcPr>
          <w:p>
            <w:pPr>
              <w:pStyle w:val="10"/>
            </w:pPr>
            <w:r>
              <w:t>按时按量完成交办的工作任务</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r>
              <w:tab/>
            </w:r>
          </w:p>
        </w:tc>
        <w:tc>
          <w:tcPr>
            <w:tcW w:w="2466" w:type="dxa"/>
            <w:vAlign w:val="center"/>
          </w:tcPr>
          <w:p>
            <w:pPr>
              <w:pStyle w:val="10"/>
            </w:pPr>
            <w:r>
              <w:t>任务完成及时率</w:t>
            </w:r>
            <w:r>
              <w:tab/>
            </w: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成本控制率（%）</w:t>
            </w:r>
            <w:r>
              <w:tab/>
            </w:r>
          </w:p>
        </w:tc>
        <w:tc>
          <w:tcPr>
            <w:tcW w:w="2466" w:type="dxa"/>
            <w:vAlign w:val="center"/>
          </w:tcPr>
          <w:p>
            <w:pPr>
              <w:pStyle w:val="10"/>
            </w:pPr>
            <w:r>
              <w:t>成本控制率</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资金使用效益</w:t>
            </w:r>
            <w:r>
              <w:tab/>
            </w:r>
          </w:p>
        </w:tc>
        <w:tc>
          <w:tcPr>
            <w:tcW w:w="2466" w:type="dxa"/>
            <w:vAlign w:val="center"/>
          </w:tcPr>
          <w:p>
            <w:pPr>
              <w:pStyle w:val="10"/>
            </w:pPr>
            <w:r>
              <w:t>资金使用效益</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成果对社会影响力</w:t>
            </w:r>
          </w:p>
        </w:tc>
        <w:tc>
          <w:tcPr>
            <w:tcW w:w="2466" w:type="dxa"/>
            <w:vAlign w:val="center"/>
          </w:tcPr>
          <w:p>
            <w:pPr>
              <w:pStyle w:val="10"/>
            </w:pPr>
            <w:r>
              <w:t>对工作的认可程度</w:t>
            </w:r>
          </w:p>
          <w:p>
            <w:pPr>
              <w:pStyle w:val="10"/>
            </w:pPr>
          </w:p>
        </w:tc>
        <w:tc>
          <w:tcPr>
            <w:tcW w:w="2466" w:type="dxa"/>
            <w:vAlign w:val="center"/>
          </w:tcPr>
          <w:p>
            <w:pPr>
              <w:pStyle w:val="10"/>
            </w:pPr>
            <w:r>
              <w:t>≥95充分认可</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宣传资料重复利用率（%）</w:t>
            </w:r>
            <w:r>
              <w:tab/>
            </w:r>
          </w:p>
        </w:tc>
        <w:tc>
          <w:tcPr>
            <w:tcW w:w="2466" w:type="dxa"/>
            <w:vAlign w:val="center"/>
          </w:tcPr>
          <w:p>
            <w:pPr>
              <w:pStyle w:val="10"/>
            </w:pPr>
            <w:r>
              <w:t>利用率</w:t>
            </w:r>
          </w:p>
          <w:p>
            <w:pPr>
              <w:pStyle w:val="10"/>
            </w:pPr>
          </w:p>
        </w:tc>
        <w:tc>
          <w:tcPr>
            <w:tcW w:w="2466" w:type="dxa"/>
            <w:vAlign w:val="center"/>
          </w:tcPr>
          <w:p>
            <w:pPr>
              <w:pStyle w:val="10"/>
            </w:pPr>
            <w:r>
              <w:t>≥60%</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r>
              <w:tab/>
            </w:r>
          </w:p>
        </w:tc>
        <w:tc>
          <w:tcPr>
            <w:tcW w:w="2466" w:type="dxa"/>
            <w:vAlign w:val="center"/>
          </w:tcPr>
          <w:p>
            <w:pPr>
              <w:pStyle w:val="10"/>
            </w:pPr>
            <w:r>
              <w:t>发展的青少年文化事业和产业的作用年限</w:t>
            </w:r>
          </w:p>
        </w:tc>
        <w:tc>
          <w:tcPr>
            <w:tcW w:w="2466" w:type="dxa"/>
            <w:vAlign w:val="center"/>
          </w:tcPr>
          <w:p>
            <w:pPr>
              <w:pStyle w:val="10"/>
            </w:pPr>
            <w:r>
              <w:t>≥95长期有效</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≥98%</w:t>
            </w:r>
          </w:p>
        </w:tc>
        <w:tc>
          <w:tcPr>
            <w:tcW w:w="2466" w:type="dxa"/>
            <w:vAlign w:val="center"/>
          </w:tcPr>
          <w:p>
            <w:pPr>
              <w:pStyle w:val="10"/>
            </w:pPr>
            <w:r>
              <w:t>单位自评与实际调研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6、团区委维护青少年权益工作经费绩效目标表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1.1.有针对性地开展青少年法制宣传教育</w:t>
            </w:r>
          </w:p>
          <w:p>
            <w:pPr>
              <w:pStyle w:val="10"/>
            </w:pPr>
            <w:r>
              <w:t>2.提高青少年法律意识</w:t>
            </w:r>
          </w:p>
          <w:p>
            <w:pPr>
              <w:pStyle w:val="10"/>
            </w:pPr>
            <w:r>
              <w:t>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覆盖率</w:t>
            </w:r>
            <w:r>
              <w:tab/>
            </w:r>
          </w:p>
          <w:p>
            <w:pPr>
              <w:pStyle w:val="10"/>
            </w:pPr>
          </w:p>
        </w:tc>
        <w:tc>
          <w:tcPr>
            <w:tcW w:w="2466" w:type="dxa"/>
            <w:vAlign w:val="center"/>
          </w:tcPr>
          <w:p>
            <w:pPr>
              <w:pStyle w:val="10"/>
            </w:pPr>
            <w:r>
              <w:t>工作完成覆盖率</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活动效果</w:t>
            </w:r>
            <w:r>
              <w:tab/>
            </w:r>
          </w:p>
          <w:p>
            <w:pPr>
              <w:pStyle w:val="10"/>
            </w:pPr>
          </w:p>
        </w:tc>
        <w:tc>
          <w:tcPr>
            <w:tcW w:w="2466" w:type="dxa"/>
            <w:vAlign w:val="center"/>
          </w:tcPr>
          <w:p>
            <w:pPr>
              <w:pStyle w:val="10"/>
            </w:pPr>
            <w:r>
              <w:t>活动效果</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按时完成率</w:t>
            </w:r>
          </w:p>
        </w:tc>
        <w:tc>
          <w:tcPr>
            <w:tcW w:w="2466" w:type="dxa"/>
            <w:vAlign w:val="center"/>
          </w:tcPr>
          <w:p>
            <w:pPr>
              <w:pStyle w:val="10"/>
            </w:pPr>
            <w:r>
              <w:t>工作完成情况</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成本控制率（%）</w:t>
            </w:r>
          </w:p>
        </w:tc>
        <w:tc>
          <w:tcPr>
            <w:tcW w:w="2466" w:type="dxa"/>
            <w:vAlign w:val="center"/>
          </w:tcPr>
          <w:p>
            <w:pPr>
              <w:pStyle w:val="10"/>
            </w:pPr>
            <w:r>
              <w:t>成本控制率</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p>
          <w:p>
            <w:pPr>
              <w:pStyle w:val="10"/>
            </w:pPr>
            <w:r>
              <w:t>各项完成率</w:t>
            </w:r>
            <w:r>
              <w:tab/>
            </w:r>
          </w:p>
        </w:tc>
        <w:tc>
          <w:tcPr>
            <w:tcW w:w="2466" w:type="dxa"/>
            <w:vAlign w:val="center"/>
          </w:tcPr>
          <w:p>
            <w:pPr>
              <w:pStyle w:val="10"/>
            </w:pPr>
            <w:r>
              <w:t>反映任务预期经济效益目标及内容计划</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p>
          <w:p>
            <w:pPr>
              <w:pStyle w:val="10"/>
            </w:pPr>
            <w:r>
              <w:t>群众的认可</w:t>
            </w:r>
            <w:r>
              <w:tab/>
            </w:r>
          </w:p>
        </w:tc>
        <w:tc>
          <w:tcPr>
            <w:tcW w:w="2466" w:type="dxa"/>
            <w:vAlign w:val="center"/>
          </w:tcPr>
          <w:p>
            <w:pPr>
              <w:pStyle w:val="10"/>
            </w:pPr>
            <w:r>
              <w:tab/>
            </w:r>
            <w:r>
              <w:t>群众的认可</w:t>
            </w:r>
          </w:p>
          <w:p>
            <w:pPr>
              <w:pStyle w:val="10"/>
            </w:pPr>
          </w:p>
        </w:tc>
        <w:tc>
          <w:tcPr>
            <w:tcW w:w="2466" w:type="dxa"/>
            <w:vAlign w:val="center"/>
          </w:tcPr>
          <w:p>
            <w:pPr>
              <w:pStyle w:val="10"/>
            </w:pPr>
            <w:r>
              <w:t>≥95充分认可</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p>
          <w:p>
            <w:pPr>
              <w:pStyle w:val="10"/>
            </w:pPr>
            <w:r>
              <w:t>宣传资料重复利用率（%）</w:t>
            </w:r>
            <w:r>
              <w:tab/>
            </w:r>
          </w:p>
        </w:tc>
        <w:tc>
          <w:tcPr>
            <w:tcW w:w="2466" w:type="dxa"/>
            <w:vAlign w:val="center"/>
          </w:tcPr>
          <w:p>
            <w:pPr>
              <w:pStyle w:val="10"/>
            </w:pPr>
            <w:r>
              <w:t>利用率</w:t>
            </w:r>
          </w:p>
          <w:p>
            <w:pPr>
              <w:pStyle w:val="10"/>
            </w:pPr>
          </w:p>
        </w:tc>
        <w:tc>
          <w:tcPr>
            <w:tcW w:w="2466" w:type="dxa"/>
            <w:vAlign w:val="center"/>
          </w:tcPr>
          <w:p>
            <w:pPr>
              <w:pStyle w:val="10"/>
            </w:pPr>
            <w:r>
              <w:t>≥60%</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p>
          <w:p>
            <w:pPr>
              <w:pStyle w:val="10"/>
            </w:pPr>
            <w:r>
              <w:t>能长期较好的使用</w:t>
            </w:r>
            <w:r>
              <w:tab/>
            </w:r>
          </w:p>
        </w:tc>
        <w:tc>
          <w:tcPr>
            <w:tcW w:w="2466" w:type="dxa"/>
            <w:vAlign w:val="center"/>
          </w:tcPr>
          <w:p>
            <w:pPr>
              <w:pStyle w:val="10"/>
            </w:pPr>
            <w:r>
              <w:t>合理使用经费</w:t>
            </w:r>
          </w:p>
          <w:p>
            <w:pPr>
              <w:pStyle w:val="10"/>
            </w:pPr>
          </w:p>
        </w:tc>
        <w:tc>
          <w:tcPr>
            <w:tcW w:w="2466" w:type="dxa"/>
            <w:vAlign w:val="center"/>
          </w:tcPr>
          <w:p>
            <w:pPr>
              <w:pStyle w:val="10"/>
            </w:pPr>
            <w:r>
              <w:t>≥95%</w:t>
            </w:r>
          </w:p>
        </w:tc>
        <w:tc>
          <w:tcPr>
            <w:tcW w:w="2466" w:type="dxa"/>
            <w:vAlign w:val="center"/>
          </w:tcPr>
          <w:p>
            <w:pPr>
              <w:pStyle w:val="10"/>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≥98%</w:t>
            </w:r>
          </w:p>
        </w:tc>
        <w:tc>
          <w:tcPr>
            <w:tcW w:w="2466" w:type="dxa"/>
            <w:vAlign w:val="center"/>
          </w:tcPr>
          <w:p>
            <w:pPr>
              <w:pStyle w:val="10"/>
            </w:pPr>
            <w:r>
              <w:t>单位自评与实际调研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7、团区委组织建设和宣传教育工作经费绩效目标表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1.1.扎实推进学习型团组织和学习型团干部队伍建设</w:t>
            </w:r>
          </w:p>
          <w:p>
            <w:pPr>
              <w:pStyle w:val="10"/>
            </w:pPr>
            <w:r>
              <w:t>2.加强团的制度建设</w:t>
            </w:r>
          </w:p>
          <w:p>
            <w:pPr>
              <w:pStyle w:val="10"/>
            </w:pPr>
            <w:r>
              <w:t>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完成项目数量</w:t>
            </w:r>
          </w:p>
        </w:tc>
        <w:tc>
          <w:tcPr>
            <w:tcW w:w="2466" w:type="dxa"/>
            <w:vAlign w:val="center"/>
          </w:tcPr>
          <w:p>
            <w:pPr>
              <w:pStyle w:val="10"/>
            </w:pPr>
            <w:r>
              <w:t>完成项目数量</w:t>
            </w:r>
          </w:p>
          <w:p>
            <w:pPr>
              <w:pStyle w:val="10"/>
            </w:pPr>
          </w:p>
        </w:tc>
        <w:tc>
          <w:tcPr>
            <w:tcW w:w="2466" w:type="dxa"/>
            <w:vAlign w:val="center"/>
          </w:tcPr>
          <w:p>
            <w:pPr>
              <w:pStyle w:val="10"/>
            </w:pPr>
            <w:r>
              <w:t>≥5个</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综合业务管理工作完成率</w:t>
            </w:r>
            <w:r>
              <w:tab/>
            </w:r>
          </w:p>
        </w:tc>
        <w:tc>
          <w:tcPr>
            <w:tcW w:w="2466" w:type="dxa"/>
            <w:vAlign w:val="center"/>
          </w:tcPr>
          <w:p>
            <w:pPr>
              <w:pStyle w:val="10"/>
            </w:pPr>
            <w:r>
              <w:t>综合业务管理工作完成率</w:t>
            </w:r>
          </w:p>
        </w:tc>
        <w:tc>
          <w:tcPr>
            <w:tcW w:w="2466" w:type="dxa"/>
            <w:vAlign w:val="center"/>
          </w:tcPr>
          <w:p>
            <w:pPr>
              <w:pStyle w:val="10"/>
            </w:pPr>
            <w:r>
              <w:t>≥95%</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资金发放准时率</w:t>
            </w:r>
          </w:p>
        </w:tc>
        <w:tc>
          <w:tcPr>
            <w:tcW w:w="2466" w:type="dxa"/>
            <w:vAlign w:val="center"/>
          </w:tcPr>
          <w:p>
            <w:pPr>
              <w:pStyle w:val="10"/>
            </w:pPr>
            <w:r>
              <w:t>资金发放准时率</w:t>
            </w:r>
          </w:p>
          <w:p>
            <w:pPr>
              <w:pStyle w:val="10"/>
            </w:pPr>
          </w:p>
        </w:tc>
        <w:tc>
          <w:tcPr>
            <w:tcW w:w="2466" w:type="dxa"/>
            <w:vAlign w:val="center"/>
          </w:tcPr>
          <w:p>
            <w:pPr>
              <w:pStyle w:val="10"/>
            </w:pPr>
            <w:r>
              <w:t>≥95%</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成本控制率（%）</w:t>
            </w:r>
            <w:r>
              <w:tab/>
            </w:r>
          </w:p>
        </w:tc>
        <w:tc>
          <w:tcPr>
            <w:tcW w:w="2466" w:type="dxa"/>
            <w:vAlign w:val="center"/>
          </w:tcPr>
          <w:p>
            <w:pPr>
              <w:pStyle w:val="10"/>
            </w:pPr>
            <w:r>
              <w:t>成本控制率</w:t>
            </w:r>
          </w:p>
          <w:p>
            <w:pPr>
              <w:pStyle w:val="10"/>
            </w:pPr>
          </w:p>
        </w:tc>
        <w:tc>
          <w:tcPr>
            <w:tcW w:w="2466" w:type="dxa"/>
            <w:vAlign w:val="center"/>
          </w:tcPr>
          <w:p>
            <w:pPr>
              <w:pStyle w:val="10"/>
            </w:pPr>
            <w:r>
              <w:t>≥95%</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各项完成率</w:t>
            </w:r>
            <w:r>
              <w:tab/>
            </w:r>
          </w:p>
        </w:tc>
        <w:tc>
          <w:tcPr>
            <w:tcW w:w="2466" w:type="dxa"/>
            <w:vAlign w:val="center"/>
          </w:tcPr>
          <w:p>
            <w:pPr>
              <w:pStyle w:val="10"/>
            </w:pPr>
            <w:r>
              <w:t>反应工作任务预期经济效益目标实现程度</w:t>
            </w:r>
          </w:p>
          <w:p>
            <w:pPr>
              <w:pStyle w:val="10"/>
            </w:pPr>
          </w:p>
        </w:tc>
        <w:tc>
          <w:tcPr>
            <w:tcW w:w="2466" w:type="dxa"/>
            <w:vAlign w:val="center"/>
          </w:tcPr>
          <w:p>
            <w:pPr>
              <w:pStyle w:val="10"/>
            </w:pPr>
            <w:r>
              <w:t>≥95%</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落实人</w:t>
            </w:r>
            <w:r>
              <w:rPr>
                <w:rFonts w:hint="eastAsia"/>
                <w:lang w:val="en-US" w:eastAsia="zh-CN"/>
              </w:rPr>
              <w:t>民</w:t>
            </w:r>
            <w:r>
              <w:t>群众的知情权、表达权、参与权和监督权</w:t>
            </w:r>
            <w:r>
              <w:tab/>
            </w:r>
          </w:p>
        </w:tc>
        <w:tc>
          <w:tcPr>
            <w:tcW w:w="2466" w:type="dxa"/>
            <w:vAlign w:val="center"/>
          </w:tcPr>
          <w:p>
            <w:pPr>
              <w:pStyle w:val="10"/>
            </w:pPr>
            <w:r>
              <w:t>落实人</w:t>
            </w:r>
            <w:r>
              <w:rPr>
                <w:rFonts w:hint="eastAsia"/>
                <w:lang w:val="en-US" w:eastAsia="zh-CN"/>
              </w:rPr>
              <w:t>民</w:t>
            </w:r>
            <w:r>
              <w:t>群众的知情权、表达权、参与权和监督权</w:t>
            </w:r>
          </w:p>
          <w:p>
            <w:pPr>
              <w:pStyle w:val="10"/>
            </w:pPr>
          </w:p>
        </w:tc>
        <w:tc>
          <w:tcPr>
            <w:tcW w:w="2466" w:type="dxa"/>
            <w:vAlign w:val="center"/>
          </w:tcPr>
          <w:p>
            <w:pPr>
              <w:pStyle w:val="10"/>
            </w:pPr>
            <w:r>
              <w:t>≥95充分落实</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宣传资料重复利用率（%）</w:t>
            </w:r>
          </w:p>
        </w:tc>
        <w:tc>
          <w:tcPr>
            <w:tcW w:w="2466" w:type="dxa"/>
            <w:vAlign w:val="center"/>
          </w:tcPr>
          <w:p>
            <w:pPr>
              <w:pStyle w:val="10"/>
            </w:pPr>
            <w:r>
              <w:t>利用率</w:t>
            </w:r>
          </w:p>
        </w:tc>
        <w:tc>
          <w:tcPr>
            <w:tcW w:w="2466" w:type="dxa"/>
            <w:vAlign w:val="center"/>
          </w:tcPr>
          <w:p>
            <w:pPr>
              <w:pStyle w:val="10"/>
            </w:pPr>
            <w:r>
              <w:t>≥60%</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保证人才队伍可持续建设</w:t>
            </w:r>
          </w:p>
          <w:p>
            <w:pPr>
              <w:pStyle w:val="10"/>
            </w:pPr>
          </w:p>
        </w:tc>
        <w:tc>
          <w:tcPr>
            <w:tcW w:w="2466" w:type="dxa"/>
            <w:vAlign w:val="center"/>
          </w:tcPr>
          <w:p>
            <w:pPr>
              <w:pStyle w:val="10"/>
            </w:pPr>
            <w:r>
              <w:t>保证人才队伍可持续建设</w:t>
            </w:r>
          </w:p>
          <w:p>
            <w:pPr>
              <w:pStyle w:val="10"/>
            </w:pPr>
          </w:p>
        </w:tc>
        <w:tc>
          <w:tcPr>
            <w:tcW w:w="2466" w:type="dxa"/>
            <w:vAlign w:val="center"/>
          </w:tcPr>
          <w:p>
            <w:pPr>
              <w:pStyle w:val="10"/>
            </w:pPr>
            <w:r>
              <w:t>≥95明显提高</w:t>
            </w:r>
          </w:p>
        </w:tc>
        <w:tc>
          <w:tcPr>
            <w:tcW w:w="2466" w:type="dxa"/>
            <w:vAlign w:val="center"/>
          </w:tcPr>
          <w:p>
            <w:pPr>
              <w:pStyle w:val="10"/>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p>
          <w:p>
            <w:pPr>
              <w:pStyle w:val="10"/>
            </w:pPr>
            <w:r>
              <w:t>群众满意度</w:t>
            </w:r>
          </w:p>
        </w:tc>
        <w:tc>
          <w:tcPr>
            <w:tcW w:w="2466" w:type="dxa"/>
            <w:vAlign w:val="center"/>
          </w:tcPr>
          <w:p>
            <w:pPr>
              <w:pStyle w:val="10"/>
            </w:pPr>
            <w:r>
              <w:t>≥98%</w:t>
            </w:r>
          </w:p>
        </w:tc>
        <w:tc>
          <w:tcPr>
            <w:tcW w:w="2466" w:type="dxa"/>
            <w:vAlign w:val="center"/>
          </w:tcPr>
          <w:p>
            <w:pPr>
              <w:pStyle w:val="10"/>
            </w:pPr>
            <w:r>
              <w:t>单位内部自评与实际考核调研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2023年，中国共产主义青年团唐山市丰南区委员会本级安排政府采购预算0.00万元。具体内容见下表。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w:t>
            </w:r>
            <w:r>
              <w:rPr>
                <w:rFonts w:hint="eastAsia"/>
                <w:lang w:eastAsia="zh-CN"/>
              </w:rPr>
              <w:t>单位</w:t>
            </w:r>
            <w:r>
              <w:t>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中国共产主义青年团唐山市丰南区委员会本级上年末固定资产金额为18.99万元（详见下表）。本年度拟购置固定资产总额为0.00万元，已按要求列入政府采购预算，详见政府采购预算表。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324001中国共产主义青年团唐山市丰南区委员会本级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r>
              <w:t>1</w:t>
            </w:r>
          </w:p>
        </w:tc>
        <w:tc>
          <w:tcPr>
            <w:tcW w:w="4933" w:type="dxa"/>
            <w:vAlign w:val="center"/>
          </w:tcPr>
          <w:p>
            <w:pPr>
              <w:pStyle w:val="11"/>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pPr>
            <w:r>
              <w:t>6</w:t>
            </w:r>
          </w:p>
        </w:tc>
        <w:tc>
          <w:tcPr>
            <w:tcW w:w="4933" w:type="dxa"/>
            <w:vAlign w:val="center"/>
          </w:tcPr>
          <w:p>
            <w:pPr>
              <w:pStyle w:val="11"/>
            </w:pPr>
            <w:r>
              <w:t>6.24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zNmZDUyNTdiYjExNzU0YWY5Nzc3ZjExNjYzZjgifQ=="/>
    <w:docVar w:name="KSO_WPS_MARK_KEY" w:val="190571f3-4561-4136-9bb2-8177cc6959fd"/>
  </w:docVars>
  <w:rsids>
    <w:rsidRoot w:val="307F5FD1"/>
    <w:rsid w:val="2356251B"/>
    <w:rsid w:val="26067385"/>
    <w:rsid w:val="307F5FD1"/>
    <w:rsid w:val="3AE46B30"/>
    <w:rsid w:val="57EF0011"/>
    <w:rsid w:val="7B8C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7718</Words>
  <Characters>9113</Characters>
  <Lines>0</Lines>
  <Paragraphs>0</Paragraphs>
  <TotalTime>1</TotalTime>
  <ScaleCrop>false</ScaleCrop>
  <LinksUpToDate>false</LinksUpToDate>
  <CharactersWithSpaces>9315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2023-02-07T01:25:00Z</dcterms:created>
  <dc:creator>Administrator</dc:creator>
  <cp:lastModifiedBy>少见不怪</cp:lastModifiedBy>
  <dcterms:modified xsi:type="dcterms:W3CDTF">2024-10-18T09:23:26Z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954B46414C354E0598CBDE679DA57865_13</vt:lpwstr>
  </property>
</Properties>
</file>