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一、河北省农业广播电视学校丰南分校本级收支预算</w:t>
      </w:r>
      <w:r>
        <w:tab/>
        <w:t>2</w:t>
      </w:r>
      <w:r>
        <w:fldChar w:fldCharType="end"/>
      </w:r>
    </w:p>
    <w:p>
      <w:pPr>
        <w:ind w:firstLine="0"/>
        <w:jc w:val="center"/>
      </w:pPr>
      <w:r>
        <w:fldChar w:fldCharType="end"/>
      </w: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第一部分  单位所属单位预算</w:t>
      </w:r>
    </w:p>
    <w:p>
      <w:pPr>
        <w:spacing w:before="0" w:after="0"/>
        <w:ind w:firstLine="0"/>
        <w:jc w:val="center"/>
        <w:outlineLvl w:val="3"/>
      </w:pPr>
      <w:bookmarkStart w:id="0" w:name="_Toc_4_4_0000000019"/>
      <w:r>
        <w:rPr>
          <w:rFonts w:ascii="方正小标宋_GBK" w:eastAsia="方正小标宋_GBK" w:cs="方正小标宋_GBK" w:hAnsi="方正小标宋_GBK"/>
          <w:b w:val="0"/>
          <w:color w:val="000000"/>
          <w:sz w:val="44"/>
        </w:rPr>
        <w:t>一、河北省农业广播电视学校丰南分校本级收支预算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663.82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525.66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77.23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34.26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26.67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663.82</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663.82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663.82</w:t>
            </w:r>
          </w:p>
        </w:tc>
        <w:tc>
          <w:tcPr>
            <w:tcW w:w="4535" w:type="dxa"/>
            <w:tcBorders>
              <w:left w:val="single" w:sz="6" w:space="0" w:color="000000"/>
              <w:right w:val="single" w:sz="6" w:space="0" w:color="000000"/>
            </w:tcBorders>
            <w:vAlign w:val="center"/>
          </w:tcPr>
          <w:p>
            <w:pPr>
              <w:pStyle w:val="22"/>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663.82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8"/>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1559" w:type="dxa"/>
            <w:tcBorders>
              <w:left w:val="single" w:sz="6" w:space="0" w:color="000000"/>
              <w:right w:val="single" w:sz="6" w:space="0" w:color="000000"/>
            </w:tcBorders>
            <w:vAlign w:val="center"/>
          </w:tcPr>
          <w:p>
            <w:pPr>
              <w:pStyle w:val="20"/>
            </w:pPr>
            <w:r>
              <w:t>教育支出</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20505</w:t>
            </w:r>
          </w:p>
        </w:tc>
        <w:tc>
          <w:tcPr>
            <w:tcW w:w="1559" w:type="dxa"/>
            <w:tcBorders>
              <w:left w:val="single" w:sz="6" w:space="0" w:color="000000"/>
              <w:right w:val="single" w:sz="6" w:space="0" w:color="000000"/>
            </w:tcBorders>
            <w:vAlign w:val="center"/>
          </w:tcPr>
          <w:p>
            <w:pPr>
              <w:pStyle w:val="20"/>
            </w:pPr>
            <w:r>
              <w:t>广播电视教育</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2050599</w:t>
            </w:r>
          </w:p>
        </w:tc>
        <w:tc>
          <w:tcPr>
            <w:tcW w:w="1559" w:type="dxa"/>
            <w:tcBorders>
              <w:left w:val="single" w:sz="6" w:space="0" w:color="000000"/>
              <w:right w:val="single" w:sz="6" w:space="0" w:color="000000"/>
            </w:tcBorders>
            <w:vAlign w:val="center"/>
          </w:tcPr>
          <w:p>
            <w:pPr>
              <w:pStyle w:val="20"/>
            </w:pPr>
            <w:r>
              <w:t>其他广播电视教育支出</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8"/>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663.82</w:t>
            </w:r>
          </w:p>
        </w:tc>
        <w:tc>
          <w:tcPr>
            <w:tcW w:w="1361" w:type="dxa"/>
            <w:tcBorders>
              <w:left w:val="single" w:sz="6" w:space="0" w:color="000000"/>
              <w:right w:val="single" w:sz="6" w:space="0" w:color="000000"/>
            </w:tcBorders>
            <w:vAlign w:val="center"/>
          </w:tcPr>
          <w:p>
            <w:pPr>
              <w:pStyle w:val="23"/>
            </w:pPr>
            <w:r>
              <w:t>429.32</w:t>
            </w:r>
          </w:p>
        </w:tc>
        <w:tc>
          <w:tcPr>
            <w:tcW w:w="1361" w:type="dxa"/>
            <w:tcBorders>
              <w:left w:val="single" w:sz="6" w:space="0" w:color="000000"/>
              <w:right w:val="single" w:sz="6" w:space="0" w:color="000000"/>
            </w:tcBorders>
            <w:vAlign w:val="center"/>
          </w:tcPr>
          <w:p>
            <w:pPr>
              <w:pStyle w:val="23"/>
            </w:pPr>
            <w:r>
              <w:t>234.50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20505</w:t>
            </w:r>
          </w:p>
        </w:tc>
        <w:tc>
          <w:tcPr>
            <w:tcW w:w="4535" w:type="dxa"/>
            <w:tcBorders>
              <w:left w:val="single" w:sz="6" w:space="0" w:color="000000"/>
              <w:right w:val="single" w:sz="6" w:space="0" w:color="000000"/>
            </w:tcBorders>
            <w:vAlign w:val="center"/>
          </w:tcPr>
          <w:p>
            <w:pPr>
              <w:pStyle w:val="20"/>
            </w:pPr>
            <w:r>
              <w:t>广播电视教育</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2050599</w:t>
            </w:r>
          </w:p>
        </w:tc>
        <w:tc>
          <w:tcPr>
            <w:tcW w:w="4535" w:type="dxa"/>
            <w:tcBorders>
              <w:left w:val="single" w:sz="6" w:space="0" w:color="000000"/>
              <w:right w:val="single" w:sz="6" w:space="0" w:color="000000"/>
            </w:tcBorders>
            <w:vAlign w:val="center"/>
          </w:tcPr>
          <w:p>
            <w:pPr>
              <w:pStyle w:val="20"/>
            </w:pPr>
            <w:r>
              <w:t>其他广播电视教育支出</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45.51</w:t>
            </w:r>
          </w:p>
        </w:tc>
        <w:tc>
          <w:tcPr>
            <w:tcW w:w="1361" w:type="dxa"/>
            <w:tcBorders>
              <w:left w:val="single" w:sz="6" w:space="0" w:color="000000"/>
              <w:right w:val="single" w:sz="6" w:space="0" w:color="000000"/>
            </w:tcBorders>
            <w:vAlign w:val="center"/>
          </w:tcPr>
          <w:p>
            <w:pPr>
              <w:pStyle w:val="19"/>
            </w:pPr>
            <w:r>
              <w:t>45.51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31.72</w:t>
            </w:r>
          </w:p>
        </w:tc>
        <w:tc>
          <w:tcPr>
            <w:tcW w:w="1361" w:type="dxa"/>
            <w:tcBorders>
              <w:left w:val="single" w:sz="6" w:space="0" w:color="000000"/>
              <w:right w:val="single" w:sz="6" w:space="0" w:color="000000"/>
            </w:tcBorders>
            <w:vAlign w:val="center"/>
          </w:tcPr>
          <w:p>
            <w:pPr>
              <w:pStyle w:val="19"/>
            </w:pPr>
            <w:r>
              <w:t>31.72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12.20</w:t>
            </w:r>
          </w:p>
        </w:tc>
        <w:tc>
          <w:tcPr>
            <w:tcW w:w="1361" w:type="dxa"/>
            <w:tcBorders>
              <w:left w:val="single" w:sz="6" w:space="0" w:color="000000"/>
              <w:right w:val="single" w:sz="6" w:space="0" w:color="000000"/>
            </w:tcBorders>
            <w:vAlign w:val="center"/>
          </w:tcPr>
          <w:p>
            <w:pPr>
              <w:pStyle w:val="19"/>
            </w:pPr>
            <w:r>
              <w:t>12.20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22.06</w:t>
            </w:r>
          </w:p>
        </w:tc>
        <w:tc>
          <w:tcPr>
            <w:tcW w:w="1361" w:type="dxa"/>
            <w:tcBorders>
              <w:left w:val="single" w:sz="6" w:space="0" w:color="000000"/>
              <w:right w:val="single" w:sz="6" w:space="0" w:color="000000"/>
            </w:tcBorders>
            <w:vAlign w:val="center"/>
          </w:tcPr>
          <w:p>
            <w:pPr>
              <w:pStyle w:val="19"/>
            </w:pPr>
            <w:r>
              <w:t>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8"/>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663.82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r>
              <w:t>525.66</w:t>
            </w:r>
          </w:p>
        </w:tc>
        <w:tc>
          <w:tcPr>
            <w:tcW w:w="1474" w:type="dxa"/>
            <w:tcBorders>
              <w:left w:val="single" w:sz="6" w:space="0" w:color="000000"/>
              <w:right w:val="single" w:sz="6" w:space="0" w:color="000000"/>
            </w:tcBorders>
            <w:vAlign w:val="center"/>
          </w:tcPr>
          <w:p>
            <w:pPr>
              <w:pStyle w:val="19"/>
            </w:pPr>
            <w:r>
              <w:t>525.66</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77.23</w:t>
            </w:r>
          </w:p>
        </w:tc>
        <w:tc>
          <w:tcPr>
            <w:tcW w:w="1474" w:type="dxa"/>
            <w:tcBorders>
              <w:left w:val="single" w:sz="6" w:space="0" w:color="000000"/>
              <w:right w:val="single" w:sz="6" w:space="0" w:color="000000"/>
            </w:tcBorders>
            <w:vAlign w:val="center"/>
          </w:tcPr>
          <w:p>
            <w:pPr>
              <w:pStyle w:val="19"/>
            </w:pPr>
            <w:r>
              <w:t>77.23</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34.26</w:t>
            </w:r>
          </w:p>
        </w:tc>
        <w:tc>
          <w:tcPr>
            <w:tcW w:w="1474" w:type="dxa"/>
            <w:tcBorders>
              <w:left w:val="single" w:sz="6" w:space="0" w:color="000000"/>
              <w:right w:val="single" w:sz="6" w:space="0" w:color="000000"/>
            </w:tcBorders>
            <w:vAlign w:val="center"/>
          </w:tcPr>
          <w:p>
            <w:pPr>
              <w:pStyle w:val="19"/>
            </w:pPr>
            <w:r>
              <w:t>34.26</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26.67</w:t>
            </w:r>
          </w:p>
        </w:tc>
        <w:tc>
          <w:tcPr>
            <w:tcW w:w="1474" w:type="dxa"/>
            <w:tcBorders>
              <w:left w:val="single" w:sz="6" w:space="0" w:color="000000"/>
              <w:right w:val="single" w:sz="6" w:space="0" w:color="000000"/>
            </w:tcBorders>
            <w:vAlign w:val="center"/>
          </w:tcPr>
          <w:p>
            <w:pPr>
              <w:pStyle w:val="19"/>
            </w:pPr>
            <w:r>
              <w:t>26.67</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663.82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663.82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663.82</w:t>
            </w:r>
          </w:p>
        </w:tc>
        <w:tc>
          <w:tcPr>
            <w:tcW w:w="2551" w:type="dxa"/>
            <w:tcBorders>
              <w:left w:val="single" w:sz="6" w:space="0" w:color="000000"/>
              <w:right w:val="single" w:sz="6" w:space="0" w:color="000000"/>
            </w:tcBorders>
            <w:vAlign w:val="center"/>
          </w:tcPr>
          <w:p>
            <w:pPr>
              <w:pStyle w:val="23"/>
            </w:pPr>
            <w:r>
              <w:t>429.32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20505</w:t>
            </w:r>
          </w:p>
        </w:tc>
        <w:tc>
          <w:tcPr>
            <w:tcW w:w="4535" w:type="dxa"/>
            <w:tcBorders>
              <w:left w:val="single" w:sz="6" w:space="0" w:color="000000"/>
              <w:right w:val="single" w:sz="6" w:space="0" w:color="000000"/>
            </w:tcBorders>
            <w:vAlign w:val="center"/>
          </w:tcPr>
          <w:p>
            <w:pPr>
              <w:pStyle w:val="20"/>
            </w:pPr>
            <w:r>
              <w:t>广播电视教育</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2050599</w:t>
            </w:r>
          </w:p>
        </w:tc>
        <w:tc>
          <w:tcPr>
            <w:tcW w:w="4535" w:type="dxa"/>
            <w:tcBorders>
              <w:left w:val="single" w:sz="6" w:space="0" w:color="000000"/>
              <w:right w:val="single" w:sz="6" w:space="0" w:color="000000"/>
            </w:tcBorders>
            <w:vAlign w:val="center"/>
          </w:tcPr>
          <w:p>
            <w:pPr>
              <w:pStyle w:val="20"/>
            </w:pPr>
            <w:r>
              <w:t>其他广播电视教育支出</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77.23</w:t>
            </w:r>
          </w:p>
        </w:tc>
        <w:tc>
          <w:tcPr>
            <w:tcW w:w="2551" w:type="dxa"/>
            <w:tcBorders>
              <w:left w:val="single" w:sz="6" w:space="0" w:color="000000"/>
              <w:right w:val="single" w:sz="6" w:space="0" w:color="000000"/>
            </w:tcBorders>
            <w:vAlign w:val="center"/>
          </w:tcPr>
          <w:p>
            <w:pPr>
              <w:pStyle w:val="19"/>
            </w:pPr>
            <w:r>
              <w:t>77.23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77.23</w:t>
            </w:r>
          </w:p>
        </w:tc>
        <w:tc>
          <w:tcPr>
            <w:tcW w:w="2551" w:type="dxa"/>
            <w:tcBorders>
              <w:left w:val="single" w:sz="6" w:space="0" w:color="000000"/>
              <w:right w:val="single" w:sz="6" w:space="0" w:color="000000"/>
            </w:tcBorders>
            <w:vAlign w:val="center"/>
          </w:tcPr>
          <w:p>
            <w:pPr>
              <w:pStyle w:val="19"/>
            </w:pPr>
            <w:r>
              <w:t>77.23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45.51</w:t>
            </w:r>
          </w:p>
        </w:tc>
        <w:tc>
          <w:tcPr>
            <w:tcW w:w="2551" w:type="dxa"/>
            <w:tcBorders>
              <w:left w:val="single" w:sz="6" w:space="0" w:color="000000"/>
              <w:right w:val="single" w:sz="6" w:space="0" w:color="000000"/>
            </w:tcBorders>
            <w:vAlign w:val="center"/>
          </w:tcPr>
          <w:p>
            <w:pPr>
              <w:pStyle w:val="19"/>
            </w:pPr>
            <w:r>
              <w:t>45.51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r>
              <w:t>31.72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34.26</w:t>
            </w:r>
          </w:p>
        </w:tc>
        <w:tc>
          <w:tcPr>
            <w:tcW w:w="2551" w:type="dxa"/>
            <w:tcBorders>
              <w:left w:val="single" w:sz="6" w:space="0" w:color="000000"/>
              <w:right w:val="single" w:sz="6" w:space="0" w:color="000000"/>
            </w:tcBorders>
            <w:vAlign w:val="center"/>
          </w:tcPr>
          <w:p>
            <w:pPr>
              <w:pStyle w:val="19"/>
            </w:pPr>
            <w:r>
              <w:t>34.26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34.26</w:t>
            </w:r>
          </w:p>
        </w:tc>
        <w:tc>
          <w:tcPr>
            <w:tcW w:w="2551" w:type="dxa"/>
            <w:tcBorders>
              <w:left w:val="single" w:sz="6" w:space="0" w:color="000000"/>
              <w:right w:val="single" w:sz="6" w:space="0" w:color="000000"/>
            </w:tcBorders>
            <w:vAlign w:val="center"/>
          </w:tcPr>
          <w:p>
            <w:pPr>
              <w:pStyle w:val="19"/>
            </w:pPr>
            <w:r>
              <w:t>34.26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12.20</w:t>
            </w:r>
          </w:p>
        </w:tc>
        <w:tc>
          <w:tcPr>
            <w:tcW w:w="2551" w:type="dxa"/>
            <w:tcBorders>
              <w:left w:val="single" w:sz="6" w:space="0" w:color="000000"/>
              <w:right w:val="single" w:sz="6" w:space="0" w:color="000000"/>
            </w:tcBorders>
            <w:vAlign w:val="center"/>
          </w:tcPr>
          <w:p>
            <w:pPr>
              <w:pStyle w:val="19"/>
            </w:pPr>
            <w:r>
              <w:t>12.20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22.06</w:t>
            </w:r>
          </w:p>
        </w:tc>
        <w:tc>
          <w:tcPr>
            <w:tcW w:w="2551" w:type="dxa"/>
            <w:tcBorders>
              <w:left w:val="single" w:sz="6" w:space="0" w:color="000000"/>
              <w:right w:val="single" w:sz="6" w:space="0" w:color="000000"/>
            </w:tcBorders>
            <w:vAlign w:val="center"/>
          </w:tcPr>
          <w:p>
            <w:pPr>
              <w:pStyle w:val="19"/>
            </w:pPr>
            <w:r>
              <w:t>22.06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支出单位经济分类科目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429.32</w:t>
            </w:r>
          </w:p>
        </w:tc>
        <w:tc>
          <w:tcPr>
            <w:tcW w:w="2551" w:type="dxa"/>
            <w:tcBorders>
              <w:left w:val="single" w:sz="6" w:space="0" w:color="000000"/>
              <w:right w:val="single" w:sz="6" w:space="0" w:color="000000"/>
            </w:tcBorders>
            <w:vAlign w:val="center"/>
          </w:tcPr>
          <w:p>
            <w:pPr>
              <w:pStyle w:val="23"/>
            </w:pPr>
            <w:r>
              <w:t>390.37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38.95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346.16</w:t>
            </w:r>
          </w:p>
        </w:tc>
        <w:tc>
          <w:tcPr>
            <w:tcW w:w="2551" w:type="dxa"/>
            <w:tcBorders>
              <w:left w:val="single" w:sz="6" w:space="0" w:color="000000"/>
              <w:right w:val="single" w:sz="6" w:space="0" w:color="000000"/>
            </w:tcBorders>
            <w:vAlign w:val="center"/>
          </w:tcPr>
          <w:p>
            <w:pPr>
              <w:pStyle w:val="19"/>
            </w:pPr>
            <w:r>
              <w:t>346.16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101.83</w:t>
            </w:r>
          </w:p>
        </w:tc>
        <w:tc>
          <w:tcPr>
            <w:tcW w:w="2551" w:type="dxa"/>
            <w:tcBorders>
              <w:left w:val="single" w:sz="6" w:space="0" w:color="000000"/>
              <w:right w:val="single" w:sz="6" w:space="0" w:color="000000"/>
            </w:tcBorders>
            <w:vAlign w:val="center"/>
          </w:tcPr>
          <w:p>
            <w:pPr>
              <w:pStyle w:val="19"/>
            </w:pPr>
            <w:r>
              <w:t>101.83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17.00</w:t>
            </w:r>
          </w:p>
        </w:tc>
        <w:tc>
          <w:tcPr>
            <w:tcW w:w="2551" w:type="dxa"/>
            <w:tcBorders>
              <w:left w:val="single" w:sz="6" w:space="0" w:color="000000"/>
              <w:right w:val="single" w:sz="6" w:space="0" w:color="000000"/>
            </w:tcBorders>
            <w:vAlign w:val="center"/>
          </w:tcPr>
          <w:p>
            <w:pPr>
              <w:pStyle w:val="19"/>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96.43</w:t>
            </w:r>
          </w:p>
        </w:tc>
        <w:tc>
          <w:tcPr>
            <w:tcW w:w="2551" w:type="dxa"/>
            <w:tcBorders>
              <w:left w:val="single" w:sz="6" w:space="0" w:color="000000"/>
              <w:right w:val="single" w:sz="6" w:space="0" w:color="000000"/>
            </w:tcBorders>
            <w:vAlign w:val="center"/>
          </w:tcPr>
          <w:p>
            <w:pPr>
              <w:pStyle w:val="19"/>
            </w:pPr>
            <w:r>
              <w:t>96.43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r>
              <w:t>31.72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12.20</w:t>
            </w:r>
          </w:p>
        </w:tc>
        <w:tc>
          <w:tcPr>
            <w:tcW w:w="2551" w:type="dxa"/>
            <w:tcBorders>
              <w:left w:val="single" w:sz="6" w:space="0" w:color="000000"/>
              <w:right w:val="single" w:sz="6" w:space="0" w:color="000000"/>
            </w:tcBorders>
            <w:vAlign w:val="center"/>
          </w:tcPr>
          <w:p>
            <w:pPr>
              <w:pStyle w:val="19"/>
            </w:pPr>
            <w:r>
              <w:t>12.20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22.06</w:t>
            </w:r>
          </w:p>
        </w:tc>
        <w:tc>
          <w:tcPr>
            <w:tcW w:w="2551" w:type="dxa"/>
            <w:tcBorders>
              <w:left w:val="single" w:sz="6" w:space="0" w:color="000000"/>
              <w:right w:val="single" w:sz="6" w:space="0" w:color="000000"/>
            </w:tcBorders>
            <w:vAlign w:val="center"/>
          </w:tcPr>
          <w:p>
            <w:pPr>
              <w:pStyle w:val="19"/>
            </w:pPr>
            <w:r>
              <w:t>22.06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2.02</w:t>
            </w:r>
          </w:p>
        </w:tc>
        <w:tc>
          <w:tcPr>
            <w:tcW w:w="2551" w:type="dxa"/>
            <w:tcBorders>
              <w:left w:val="single" w:sz="6" w:space="0" w:color="000000"/>
              <w:right w:val="single" w:sz="6" w:space="0" w:color="000000"/>
            </w:tcBorders>
            <w:vAlign w:val="center"/>
          </w:tcPr>
          <w:p>
            <w:pPr>
              <w:pStyle w:val="19"/>
            </w:pPr>
            <w:r>
              <w:t>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36.23</w:t>
            </w:r>
          </w:p>
        </w:tc>
        <w:tc>
          <w:tcPr>
            <w:tcW w:w="2551" w:type="dxa"/>
            <w:tcBorders>
              <w:left w:val="single" w:sz="6" w:space="0" w:color="000000"/>
              <w:right w:val="single" w:sz="6" w:space="0" w:color="000000"/>
            </w:tcBorders>
            <w:vAlign w:val="center"/>
          </w:tcPr>
          <w:p>
            <w:pPr>
              <w:pStyle w:val="19"/>
            </w:pPr>
            <w:r>
              <w:t>36.23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38.95</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38.95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5.02</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5.02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13.00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1.64</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1.64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0.63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3.99</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3.99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2.55</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2.55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1.62</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44.21</w:t>
            </w:r>
          </w:p>
        </w:tc>
        <w:tc>
          <w:tcPr>
            <w:tcW w:w="2551" w:type="dxa"/>
            <w:tcBorders>
              <w:left w:val="single" w:sz="6" w:space="0" w:color="000000"/>
              <w:right w:val="single" w:sz="6" w:space="0" w:color="000000"/>
            </w:tcBorders>
            <w:vAlign w:val="center"/>
          </w:tcPr>
          <w:p>
            <w:pPr>
              <w:pStyle w:val="19"/>
            </w:pPr>
            <w:r>
              <w:t>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43.89</w:t>
            </w:r>
          </w:p>
        </w:tc>
        <w:tc>
          <w:tcPr>
            <w:tcW w:w="2551" w:type="dxa"/>
            <w:tcBorders>
              <w:left w:val="single" w:sz="6" w:space="0" w:color="000000"/>
              <w:right w:val="single" w:sz="6" w:space="0" w:color="000000"/>
            </w:tcBorders>
            <w:vAlign w:val="center"/>
          </w:tcPr>
          <w:p>
            <w:pPr>
              <w:pStyle w:val="19"/>
            </w:pPr>
            <w:r>
              <w:t>43.89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0.32</w:t>
            </w:r>
          </w:p>
        </w:tc>
        <w:tc>
          <w:tcPr>
            <w:tcW w:w="2551" w:type="dxa"/>
            <w:tcBorders>
              <w:left w:val="single" w:sz="6" w:space="0" w:color="000000"/>
              <w:right w:val="single" w:sz="6" w:space="0" w:color="000000"/>
            </w:tcBorders>
            <w:vAlign w:val="center"/>
          </w:tcPr>
          <w:p>
            <w:pPr>
              <w:pStyle w:val="19"/>
            </w:pPr>
            <w:r>
              <w:t>0.32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3.13</w:t>
            </w:r>
          </w:p>
        </w:tc>
        <w:tc>
          <w:tcPr>
            <w:tcW w:w="2381" w:type="dxa"/>
            <w:tcBorders>
              <w:left w:val="single" w:sz="6" w:space="0" w:color="000000"/>
              <w:right w:val="single" w:sz="6" w:space="0" w:color="000000"/>
            </w:tcBorders>
            <w:vAlign w:val="center"/>
          </w:tcPr>
          <w:p>
            <w:pPr>
              <w:pStyle w:val="23"/>
            </w:pPr>
            <w:r>
              <w:t>3.13</w:t>
            </w:r>
          </w:p>
        </w:tc>
        <w:tc>
          <w:tcPr>
            <w:tcW w:w="2381" w:type="dxa"/>
            <w:tcBorders>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3.13</w:t>
            </w:r>
          </w:p>
        </w:tc>
        <w:tc>
          <w:tcPr>
            <w:tcW w:w="2381" w:type="dxa"/>
            <w:tcBorders>
              <w:left w:val="single" w:sz="6" w:space="0" w:color="000000"/>
              <w:right w:val="single" w:sz="6" w:space="0" w:color="000000"/>
            </w:tcBorders>
            <w:vAlign w:val="center"/>
          </w:tcPr>
          <w:p>
            <w:pPr>
              <w:pStyle w:val="19"/>
            </w:pPr>
            <w:r>
              <w:t>3.13</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0.63</w:t>
            </w:r>
          </w:p>
        </w:tc>
        <w:tc>
          <w:tcPr>
            <w:tcW w:w="2381" w:type="dxa"/>
            <w:tcBorders>
              <w:left w:val="single" w:sz="6" w:space="0" w:color="000000"/>
              <w:right w:val="single" w:sz="6" w:space="0" w:color="000000"/>
            </w:tcBorders>
            <w:vAlign w:val="center"/>
          </w:tcPr>
          <w:p>
            <w:pPr>
              <w:pStyle w:val="19"/>
            </w:pPr>
            <w:r>
              <w:t>0.63</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河北省农业广播电视学校丰南分校本级2023年单位预算信息公开情况说明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按照《预算法》、《地方预决算公开操作规程》和《关于进一步推进预算公开工作的实施意见》规定，现将河北省农业广播电视学校丰南分校本级2023年单位预算公开如下：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3"/>
      </w:pPr>
      <w:r>
        <w:t>（一）开展农民科技教育培训、加强科教兴农基地建设与新技术、新品种的示范推广</w:t>
      </w:r>
    </w:p>
    <w:p>
      <w:pPr>
        <w:pStyle w:val="33"/>
      </w:pPr>
      <w:r>
        <w:t>（二）负责农村干部及农民的成人中等职业教育的组织与实施。</w:t>
      </w:r>
    </w:p>
    <w:p>
      <w:pPr>
        <w:pStyle w:val="33"/>
      </w:pPr>
      <w:r>
        <w:t>（三）拓宽办学渠道，通过联合办学，与农业高等院校合作推进项目与技术。</w:t>
      </w:r>
    </w:p>
    <w:p>
      <w:pPr>
        <w:pStyle w:val="33"/>
      </w:pPr>
      <w:r>
        <w:t>（四）负责农村党员干部和农村后备干部素质教育与技术培训。</w:t>
      </w:r>
    </w:p>
    <w:p>
      <w:pPr>
        <w:pStyle w:val="33"/>
      </w:pPr>
      <w:r>
        <w:t>（五）承担农村富余劳动力转移培训“阳光工程”引导性和技能性培训及下岗职工再就业培训工作。</w:t>
      </w:r>
    </w:p>
    <w:p>
      <w:pPr>
        <w:pStyle w:val="33"/>
      </w:pPr>
      <w:r>
        <w:t>（六）面向社会开展职业技能鉴定。</w:t>
      </w:r>
    </w:p>
    <w:p>
      <w:pPr>
        <w:pStyle w:val="33"/>
      </w:pPr>
      <w:r>
        <w:t>（七）组织学员开展科教兴农活动，做好科技信息的收集、整理与发布。</w:t>
      </w:r>
    </w:p>
    <w:p>
      <w:pPr>
        <w:pStyle w:val="33"/>
      </w:pPr>
      <w:r>
        <w:t>（八）承办区委、区政府和上级学校交办的其他事项。</w:t>
      </w:r>
    </w:p>
    <w:p>
      <w:pPr>
        <w:pStyle w:val="33"/>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18"/>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18"/>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18"/>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0"/>
            </w:pPr>
            <w:r>
              <w:t>河北省农业广播电视学校丰南分校本级</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4"/>
      </w:pPr>
      <w:r>
        <w:t>（一）收入说明</w:t>
      </w:r>
    </w:p>
    <w:p>
      <w:pPr>
        <w:pStyle w:val="34"/>
      </w:pPr>
      <w:r>
        <w:t>反映本部门当年全部收入。2023年单位预算收入663.82万元，其中：一般公共预算收入663.82万元，基金预算收入0万元，国有资本经营预算收入0万元，财政专户核拨收入0万元，单位资金收入0万元。</w:t>
      </w:r>
    </w:p>
    <w:p>
      <w:pPr>
        <w:pStyle w:val="34"/>
      </w:pPr>
      <w:r>
        <w:t>（二）支出说明</w:t>
      </w:r>
    </w:p>
    <w:p>
      <w:pPr>
        <w:pStyle w:val="34"/>
      </w:pPr>
      <w:r>
        <w:t>收支预算总表支出栏、基本支出表、项目支出表按经济 分类和支出功能分类科目编制，反映2023年度单位预算中支出预算的总体情况。2023年单位支出预算663.82万元，其中：基本支出429.32万元，包括人员经费390.37万元和日常公用经费38.95万元，项目支出234.5万元，主要为学历教育管理资金、组织农民培训资金、劳务派遣人员费用等。</w:t>
      </w:r>
    </w:p>
    <w:p>
      <w:pPr>
        <w:pStyle w:val="34"/>
      </w:pPr>
      <w:r>
        <w:t>（三）比上年增减情况</w:t>
      </w:r>
    </w:p>
    <w:p>
      <w:pPr>
        <w:pStyle w:val="34"/>
      </w:pPr>
      <w:r>
        <w:t>2023年预算收支安排663.82万元，较2022年预算减少2.53万元，其中：基本支出增加28.97万元，主要为增加人员经费支出；项目支出减少31.5万元，主要为减少村干部学费补贴资金。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35"/>
      </w:pPr>
      <w:r>
        <w:t>2023年机关运行经费共计安排38.95万元，主要包括用于保证机关正常运转的办公费、公务接待费、职教费、办公用房水电费、办公用房取暖费、公务用车运行维护费、工会费、福利费、公务交通补贴等支出。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6"/>
      </w:pPr>
      <w:r>
        <w:t>2023年单位“三公”经费预算安排3.13万元，比2022年无增减变化。具体增减情况为：</w:t>
      </w:r>
    </w:p>
    <w:p>
      <w:pPr>
        <w:pStyle w:val="36"/>
      </w:pPr>
      <w:r>
        <w:t>（一）公务用车购置及运行费2.5万元，其中：公务用车购置0万元，公务用车运行费2.5万元，均与2022年比较无增减变化</w:t>
      </w:r>
    </w:p>
    <w:p>
      <w:pPr>
        <w:pStyle w:val="36"/>
      </w:pPr>
      <w:r>
        <w:t>（二）公务接待费0.63万元，比2022年无增减变化</w:t>
      </w:r>
    </w:p>
    <w:p>
      <w:pPr>
        <w:pStyle w:val="36"/>
      </w:pPr>
      <w:r>
        <w:t>（三）因公出国（境）费0万元，比2022年无增减变化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1、村干部学费补贴绩效目标表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1.开展村干部学历提升教育，提高村干部管理水平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招生人数</w:t>
            </w:r>
          </w:p>
        </w:tc>
        <w:tc>
          <w:tcPr>
            <w:tcW w:w="2835" w:type="dxa"/>
            <w:tcBorders>
              <w:left w:val="single" w:sz="6" w:space="0" w:color="000000"/>
              <w:right w:val="single" w:sz="6" w:space="0" w:color="000000"/>
            </w:tcBorders>
            <w:vAlign w:val="center"/>
          </w:tcPr>
          <w:p>
            <w:pPr>
              <w:pStyle w:val="20"/>
            </w:pPr>
            <w:r>
              <w:t>招生人数</w:t>
            </w:r>
          </w:p>
        </w:tc>
        <w:tc>
          <w:tcPr>
            <w:tcW w:w="2551" w:type="dxa"/>
            <w:tcBorders>
              <w:left w:val="single" w:sz="6" w:space="0" w:color="000000"/>
              <w:right w:val="single" w:sz="6" w:space="0" w:color="000000"/>
            </w:tcBorders>
            <w:vAlign w:val="center"/>
          </w:tcPr>
          <w:p>
            <w:pPr>
              <w:pStyle w:val="20"/>
            </w:pPr>
            <w:r>
              <w:t>≥100人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区政府计划招生人数</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入学考试合格率</w:t>
            </w:r>
          </w:p>
        </w:tc>
        <w:tc>
          <w:tcPr>
            <w:tcW w:w="2835" w:type="dxa"/>
            <w:tcBorders>
              <w:left w:val="single" w:sz="6" w:space="0" w:color="000000"/>
              <w:right w:val="single" w:sz="6" w:space="0" w:color="000000"/>
            </w:tcBorders>
            <w:vAlign w:val="center"/>
          </w:tcPr>
          <w:p>
            <w:pPr>
              <w:pStyle w:val="20"/>
            </w:pPr>
            <w:r>
              <w:t>入学考试合格率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录取结果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学员到课率</w:t>
            </w:r>
          </w:p>
        </w:tc>
        <w:tc>
          <w:tcPr>
            <w:tcW w:w="2835" w:type="dxa"/>
            <w:tcBorders>
              <w:left w:val="single" w:sz="6" w:space="0" w:color="000000"/>
              <w:right w:val="single" w:sz="6" w:space="0" w:color="000000"/>
            </w:tcBorders>
            <w:vAlign w:val="center"/>
          </w:tcPr>
          <w:p>
            <w:pPr>
              <w:pStyle w:val="20"/>
            </w:pPr>
            <w:r>
              <w:t>学员到课率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学习成果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学费缴纳</w:t>
            </w:r>
          </w:p>
        </w:tc>
        <w:tc>
          <w:tcPr>
            <w:tcW w:w="2835" w:type="dxa"/>
            <w:tcBorders>
              <w:left w:val="single" w:sz="6" w:space="0" w:color="000000"/>
              <w:right w:val="single" w:sz="6" w:space="0" w:color="000000"/>
            </w:tcBorders>
            <w:vAlign w:val="center"/>
          </w:tcPr>
          <w:p>
            <w:pPr>
              <w:pStyle w:val="20"/>
            </w:pPr>
            <w:r>
              <w:t>学费缴纳率</w:t>
            </w:r>
          </w:p>
        </w:tc>
        <w:tc>
          <w:tcPr>
            <w:tcW w:w="2551" w:type="dxa"/>
            <w:tcBorders>
              <w:left w:val="single" w:sz="6" w:space="0" w:color="000000"/>
              <w:right w:val="single" w:sz="6" w:space="0" w:color="000000"/>
            </w:tcBorders>
            <w:vAlign w:val="center"/>
          </w:tcPr>
          <w:p>
            <w:pPr>
              <w:pStyle w:val="20"/>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联合办学协议</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学员毕业率</w:t>
            </w:r>
          </w:p>
        </w:tc>
        <w:tc>
          <w:tcPr>
            <w:tcW w:w="2835" w:type="dxa"/>
            <w:tcBorders>
              <w:left w:val="single" w:sz="6" w:space="0" w:color="000000"/>
              <w:right w:val="single" w:sz="6" w:space="0" w:color="000000"/>
            </w:tcBorders>
            <w:vAlign w:val="center"/>
          </w:tcPr>
          <w:p>
            <w:pPr>
              <w:pStyle w:val="20"/>
            </w:pPr>
            <w:r>
              <w:t>学员毕业率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学习成果</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1.按聘用合同支付劳务派遣人员相应的工资福利待遇，保障各项工作的正常开展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聘用劳务派遣人数</w:t>
            </w:r>
          </w:p>
        </w:tc>
        <w:tc>
          <w:tcPr>
            <w:tcW w:w="2551" w:type="dxa"/>
            <w:tcBorders>
              <w:left w:val="single" w:sz="6" w:space="0" w:color="000000"/>
              <w:right w:val="single" w:sz="6" w:space="0" w:color="000000"/>
            </w:tcBorders>
            <w:vAlign w:val="center"/>
          </w:tcPr>
          <w:p>
            <w:pPr>
              <w:pStyle w:val="20"/>
            </w:pPr>
            <w:r>
              <w:t>≥5人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2835" w:type="dxa"/>
            <w:tcBorders>
              <w:left w:val="single" w:sz="6" w:space="0" w:color="000000"/>
              <w:right w:val="single" w:sz="6" w:space="0" w:color="000000"/>
            </w:tcBorders>
            <w:vAlign w:val="center"/>
          </w:tcPr>
          <w:p>
            <w:pPr>
              <w:pStyle w:val="20"/>
            </w:pPr>
            <w:r>
              <w:t>执行的劳务派遣人员月工资标准</w:t>
            </w:r>
          </w:p>
        </w:tc>
        <w:tc>
          <w:tcPr>
            <w:tcW w:w="2551" w:type="dxa"/>
            <w:tcBorders>
              <w:left w:val="single" w:sz="6" w:space="0" w:color="000000"/>
              <w:right w:val="single" w:sz="6" w:space="0" w:color="000000"/>
            </w:tcBorders>
            <w:vAlign w:val="center"/>
          </w:tcPr>
          <w:p>
            <w:pPr>
              <w:pStyle w:val="20"/>
            </w:pPr>
            <w:r>
              <w:t>≥2100元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国家规定标准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保障工作正常开展</w:t>
            </w:r>
          </w:p>
        </w:tc>
        <w:tc>
          <w:tcPr>
            <w:tcW w:w="2835" w:type="dxa"/>
            <w:tcBorders>
              <w:left w:val="single" w:sz="6" w:space="0" w:color="000000"/>
              <w:right w:val="single" w:sz="6" w:space="0" w:color="000000"/>
            </w:tcBorders>
            <w:vAlign w:val="center"/>
          </w:tcPr>
          <w:p>
            <w:pPr>
              <w:pStyle w:val="20"/>
            </w:pPr>
            <w:r>
              <w:t>保障各项工作正常运转</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实际消费水平</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3、上缴联合办学高校学费绩效目标表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1.保障及时上缴联合办学高校学费，保障学员顺利毕业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招生宣传覆盖率</w:t>
            </w:r>
          </w:p>
        </w:tc>
        <w:tc>
          <w:tcPr>
            <w:tcW w:w="2835" w:type="dxa"/>
            <w:tcBorders>
              <w:left w:val="single" w:sz="6" w:space="0" w:color="000000"/>
              <w:right w:val="single" w:sz="6" w:space="0" w:color="000000"/>
            </w:tcBorders>
            <w:vAlign w:val="center"/>
          </w:tcPr>
          <w:p>
            <w:pPr>
              <w:pStyle w:val="20"/>
            </w:pPr>
            <w:r>
              <w:t>招生宣传发动情况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招生指标完成率</w:t>
            </w:r>
          </w:p>
        </w:tc>
        <w:tc>
          <w:tcPr>
            <w:tcW w:w="2835" w:type="dxa"/>
            <w:tcBorders>
              <w:left w:val="single" w:sz="6" w:space="0" w:color="000000"/>
              <w:right w:val="single" w:sz="6" w:space="0" w:color="000000"/>
            </w:tcBorders>
            <w:vAlign w:val="center"/>
          </w:tcPr>
          <w:p>
            <w:pPr>
              <w:pStyle w:val="20"/>
            </w:pPr>
            <w:r>
              <w:t>完成年度招生情况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年初预算</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上缴学费率</w:t>
            </w:r>
          </w:p>
        </w:tc>
        <w:tc>
          <w:tcPr>
            <w:tcW w:w="2835" w:type="dxa"/>
            <w:tcBorders>
              <w:left w:val="single" w:sz="6" w:space="0" w:color="000000"/>
              <w:right w:val="single" w:sz="6" w:space="0" w:color="000000"/>
            </w:tcBorders>
            <w:vAlign w:val="center"/>
          </w:tcPr>
          <w:p>
            <w:pPr>
              <w:pStyle w:val="20"/>
            </w:pPr>
            <w:r>
              <w:t>上缴联合办学学费情况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联合办学协议</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考试及格率</w:t>
            </w:r>
          </w:p>
        </w:tc>
        <w:tc>
          <w:tcPr>
            <w:tcW w:w="2835" w:type="dxa"/>
            <w:tcBorders>
              <w:left w:val="single" w:sz="6" w:space="0" w:color="000000"/>
              <w:right w:val="single" w:sz="6" w:space="0" w:color="000000"/>
            </w:tcBorders>
            <w:vAlign w:val="center"/>
          </w:tcPr>
          <w:p>
            <w:pPr>
              <w:pStyle w:val="20"/>
            </w:pPr>
            <w:r>
              <w:t>学员各科考试通过情况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考试成绩</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4、学历教育管理资金绩效目标表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1.根据上级学校和联合办学高校安排，面向社会开展中专、大专、本科等多层次教育，加强学校师资队伍建设，做好设备的维护与网络支撑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招生指标完成率</w:t>
            </w:r>
          </w:p>
        </w:tc>
        <w:tc>
          <w:tcPr>
            <w:tcW w:w="2835" w:type="dxa"/>
            <w:tcBorders>
              <w:left w:val="single" w:sz="6" w:space="0" w:color="000000"/>
              <w:right w:val="single" w:sz="6" w:space="0" w:color="000000"/>
            </w:tcBorders>
            <w:vAlign w:val="center"/>
          </w:tcPr>
          <w:p>
            <w:pPr>
              <w:pStyle w:val="20"/>
            </w:pPr>
            <w:r>
              <w:t>完成招生情况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招生宣传覆盖率</w:t>
            </w:r>
          </w:p>
        </w:tc>
        <w:tc>
          <w:tcPr>
            <w:tcW w:w="2835" w:type="dxa"/>
            <w:tcBorders>
              <w:left w:val="single" w:sz="6" w:space="0" w:color="000000"/>
              <w:right w:val="single" w:sz="6" w:space="0" w:color="000000"/>
            </w:tcBorders>
            <w:vAlign w:val="center"/>
          </w:tcPr>
          <w:p>
            <w:pPr>
              <w:pStyle w:val="20"/>
            </w:pPr>
            <w:r>
              <w:t>招生宣传覆盖率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学员入学考试 通过率</w:t>
            </w:r>
          </w:p>
        </w:tc>
        <w:tc>
          <w:tcPr>
            <w:tcW w:w="2835" w:type="dxa"/>
            <w:tcBorders>
              <w:left w:val="single" w:sz="6" w:space="0" w:color="000000"/>
              <w:right w:val="single" w:sz="6" w:space="0" w:color="000000"/>
            </w:tcBorders>
            <w:vAlign w:val="center"/>
          </w:tcPr>
          <w:p>
            <w:pPr>
              <w:pStyle w:val="20"/>
            </w:pPr>
            <w:r>
              <w:t>学员入学考试通过情况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录取结果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年初预算</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学员毕业率</w:t>
            </w:r>
          </w:p>
        </w:tc>
        <w:tc>
          <w:tcPr>
            <w:tcW w:w="2835" w:type="dxa"/>
            <w:tcBorders>
              <w:left w:val="single" w:sz="6" w:space="0" w:color="000000"/>
              <w:right w:val="single" w:sz="6" w:space="0" w:color="000000"/>
            </w:tcBorders>
            <w:vAlign w:val="center"/>
          </w:tcPr>
          <w:p>
            <w:pPr>
              <w:pStyle w:val="20"/>
            </w:pPr>
            <w:r>
              <w:t>学员毕业率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考试成绩</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5、组织农民培训资金绩效目标表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1.开展农民科技教育培训，培养农村实用人才；加强培训阵地建设和析技术推广普及以及培训教材编印；推进职业技能鉴定工作；农村基层干部，培养新型职业农民；加强为农信息服务与支撑。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信息服务数量</w:t>
            </w:r>
          </w:p>
        </w:tc>
        <w:tc>
          <w:tcPr>
            <w:tcW w:w="2835" w:type="dxa"/>
            <w:tcBorders>
              <w:left w:val="single" w:sz="6" w:space="0" w:color="000000"/>
              <w:right w:val="single" w:sz="6" w:space="0" w:color="000000"/>
            </w:tcBorders>
            <w:vAlign w:val="center"/>
          </w:tcPr>
          <w:p>
            <w:pPr>
              <w:pStyle w:val="20"/>
            </w:pPr>
            <w:r>
              <w:t>利用各种平台完成为农发送信息条数</w:t>
            </w:r>
          </w:p>
        </w:tc>
        <w:tc>
          <w:tcPr>
            <w:tcW w:w="2551" w:type="dxa"/>
            <w:tcBorders>
              <w:left w:val="single" w:sz="6" w:space="0" w:color="000000"/>
              <w:right w:val="single" w:sz="6" w:space="0" w:color="000000"/>
            </w:tcBorders>
            <w:vAlign w:val="center"/>
          </w:tcPr>
          <w:p>
            <w:pPr>
              <w:pStyle w:val="20"/>
            </w:pPr>
            <w:r>
              <w:t>≥300条</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现场教学占比</w:t>
            </w:r>
          </w:p>
        </w:tc>
        <w:tc>
          <w:tcPr>
            <w:tcW w:w="2835" w:type="dxa"/>
            <w:tcBorders>
              <w:left w:val="single" w:sz="6" w:space="0" w:color="000000"/>
              <w:right w:val="single" w:sz="6" w:space="0" w:color="000000"/>
            </w:tcBorders>
            <w:vAlign w:val="center"/>
          </w:tcPr>
          <w:p>
            <w:pPr>
              <w:pStyle w:val="20"/>
            </w:pPr>
            <w:r>
              <w:t>现场教学在整个培训安排中所占比重</w:t>
            </w:r>
          </w:p>
        </w:tc>
        <w:tc>
          <w:tcPr>
            <w:tcW w:w="2551" w:type="dxa"/>
            <w:tcBorders>
              <w:left w:val="single" w:sz="6" w:space="0" w:color="000000"/>
              <w:right w:val="single" w:sz="6" w:space="0" w:color="000000"/>
            </w:tcBorders>
            <w:vAlign w:val="center"/>
          </w:tcPr>
          <w:p>
            <w:pPr>
              <w:pStyle w:val="20"/>
            </w:pPr>
            <w:r>
              <w:t>≥20%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培训任务完成率</w:t>
            </w:r>
          </w:p>
        </w:tc>
        <w:tc>
          <w:tcPr>
            <w:tcW w:w="2835" w:type="dxa"/>
            <w:tcBorders>
              <w:left w:val="single" w:sz="6" w:space="0" w:color="000000"/>
              <w:right w:val="single" w:sz="6" w:space="0" w:color="000000"/>
            </w:tcBorders>
            <w:vAlign w:val="center"/>
          </w:tcPr>
          <w:p>
            <w:pPr>
              <w:pStyle w:val="20"/>
            </w:pPr>
            <w:r>
              <w:t>对区委区政府下达培训任务完成比率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编写培训教材</w:t>
            </w:r>
          </w:p>
        </w:tc>
        <w:tc>
          <w:tcPr>
            <w:tcW w:w="2835" w:type="dxa"/>
            <w:tcBorders>
              <w:left w:val="single" w:sz="6" w:space="0" w:color="000000"/>
              <w:right w:val="single" w:sz="6" w:space="0" w:color="000000"/>
            </w:tcBorders>
            <w:vAlign w:val="center"/>
          </w:tcPr>
          <w:p>
            <w:pPr>
              <w:pStyle w:val="20"/>
            </w:pPr>
            <w:r>
              <w:t>围绕国家政策和当地主导产业完成培训教材编写</w:t>
            </w:r>
          </w:p>
        </w:tc>
        <w:tc>
          <w:tcPr>
            <w:tcW w:w="2551" w:type="dxa"/>
            <w:tcBorders>
              <w:left w:val="single" w:sz="6" w:space="0" w:color="000000"/>
              <w:right w:val="single" w:sz="6" w:space="0" w:color="000000"/>
            </w:tcBorders>
            <w:vAlign w:val="center"/>
          </w:tcPr>
          <w:p>
            <w:pPr>
              <w:pStyle w:val="20"/>
            </w:pPr>
            <w:r>
              <w:t>≥3种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为农服务完成率</w:t>
            </w:r>
          </w:p>
        </w:tc>
        <w:tc>
          <w:tcPr>
            <w:tcW w:w="2835" w:type="dxa"/>
            <w:tcBorders>
              <w:left w:val="single" w:sz="6" w:space="0" w:color="000000"/>
              <w:right w:val="single" w:sz="6" w:space="0" w:color="000000"/>
            </w:tcBorders>
            <w:vAlign w:val="center"/>
          </w:tcPr>
          <w:p>
            <w:pPr>
              <w:pStyle w:val="20"/>
            </w:pPr>
            <w:r>
              <w:t>对年初工作计划的为农服务任务完成比率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学员培训满意度</w:t>
            </w:r>
          </w:p>
        </w:tc>
        <w:tc>
          <w:tcPr>
            <w:tcW w:w="2835" w:type="dxa"/>
            <w:tcBorders>
              <w:left w:val="single" w:sz="6" w:space="0" w:color="000000"/>
              <w:right w:val="single" w:sz="6" w:space="0" w:color="000000"/>
            </w:tcBorders>
            <w:vAlign w:val="center"/>
          </w:tcPr>
          <w:p>
            <w:pPr>
              <w:pStyle w:val="20"/>
            </w:pPr>
            <w:r>
              <w:t>学员对培训活动的培训管理满意度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2023年，河北省农业广播电视学校丰南分校本级安排政府采购预算0.00万元。具体内容见下表。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政府采购金额（当年单位预算安排资金）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河北省农业广播电视学校丰南分校本级上年末固定资产金额为215.86万元（详见下表）。本年度拟购置固定资产总额为0.00万元，已按要求列入政府采购预算，详见政府采购预算表。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215.86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807</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62.39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202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15.62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35.93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314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117.54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D912649-4F71-4101-8C35-AEEAE8F1DA2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35</TotalTime>
  <Application>Yozo_Office27021597764231179</Application>
  <Pages>25</Pages>
  <Words>0</Words>
  <Characters>7394</Characters>
  <Lines>0</Lines>
  <Paragraphs>135</Paragraphs>
  <CharactersWithSpaces>9859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fnngx</cp:lastModifiedBy>
  <cp:revision>1</cp:revision>
  <dcterms:created xsi:type="dcterms:W3CDTF">2023-02-04T09:56:20Z</dcterms:created>
  <dcterms:modified xsi:type="dcterms:W3CDTF">2024-10-21T06:07:26Z</dcterms:modified>
</cp:coreProperties>
</file>