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44</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44</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44</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45</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5"/>
            </w:pPr>
            <w:r>
              <w:t>330唐山市丰南区司法局</w:t>
            </w:r>
          </w:p>
        </w:tc>
        <w:tc>
          <w:tcPr>
            <w:tcW w:w="1971" w:type="dxa"/>
            <w:tcBorders>
              <w:top w:val="single" w:color="FFFFFF" w:sz="6" w:space="0"/>
              <w:left w:val="single" w:color="FFFFFF" w:sz="6" w:space="0"/>
              <w:right w:val="single" w:color="FFFFFF" w:sz="6" w:space="0"/>
            </w:tcBorders>
            <w:vAlign w:val="center"/>
          </w:tcPr>
          <w:p>
            <w:pPr>
              <w:pStyle w:val="6"/>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8"/>
            </w:pPr>
            <w:r>
              <w:t>序号</w:t>
            </w:r>
          </w:p>
        </w:tc>
        <w:tc>
          <w:tcPr>
            <w:tcW w:w="3942" w:type="dxa"/>
            <w:gridSpan w:val="2"/>
            <w:vAlign w:val="center"/>
          </w:tcPr>
          <w:p>
            <w:pPr>
              <w:pStyle w:val="8"/>
            </w:pPr>
            <w:r>
              <w:t>收入</w:t>
            </w:r>
          </w:p>
        </w:tc>
        <w:tc>
          <w:tcPr>
            <w:tcW w:w="3942"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8"/>
            </w:pPr>
            <w:r>
              <w:t>项  目</w:t>
            </w:r>
          </w:p>
        </w:tc>
        <w:tc>
          <w:tcPr>
            <w:tcW w:w="1971" w:type="dxa"/>
            <w:vAlign w:val="center"/>
          </w:tcPr>
          <w:p>
            <w:pPr>
              <w:pStyle w:val="8"/>
            </w:pPr>
            <w:r>
              <w:t>预算数</w:t>
            </w:r>
          </w:p>
        </w:tc>
        <w:tc>
          <w:tcPr>
            <w:tcW w:w="1971" w:type="dxa"/>
            <w:vAlign w:val="center"/>
          </w:tcPr>
          <w:p>
            <w:pPr>
              <w:pStyle w:val="8"/>
            </w:pPr>
            <w:r>
              <w:t>项  目</w:t>
            </w:r>
          </w:p>
        </w:tc>
        <w:tc>
          <w:tcPr>
            <w:tcW w:w="1971"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8"/>
            </w:pPr>
            <w:r>
              <w:t>栏次</w:t>
            </w:r>
          </w:p>
        </w:tc>
        <w:tc>
          <w:tcPr>
            <w:tcW w:w="1971" w:type="dxa"/>
            <w:vAlign w:val="center"/>
          </w:tcPr>
          <w:p>
            <w:pPr>
              <w:pStyle w:val="8"/>
            </w:pPr>
            <w:r>
              <w:t>1</w:t>
            </w:r>
          </w:p>
        </w:tc>
        <w:tc>
          <w:tcPr>
            <w:tcW w:w="1971" w:type="dxa"/>
            <w:vAlign w:val="center"/>
          </w:tcPr>
          <w:p>
            <w:pPr>
              <w:pStyle w:val="8"/>
            </w:pPr>
            <w:r>
              <w:t>2</w:t>
            </w:r>
          </w:p>
        </w:tc>
        <w:tc>
          <w:tcPr>
            <w:tcW w:w="1971" w:type="dxa"/>
            <w:vAlign w:val="center"/>
          </w:tcPr>
          <w:p>
            <w:pPr>
              <w:pStyle w:val="8"/>
            </w:pPr>
            <w:r>
              <w:t>3</w:t>
            </w:r>
          </w:p>
        </w:tc>
        <w:tc>
          <w:tcPr>
            <w:tcW w:w="1971"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w:t>
            </w:r>
          </w:p>
        </w:tc>
        <w:tc>
          <w:tcPr>
            <w:tcW w:w="1971" w:type="dxa"/>
            <w:vAlign w:val="center"/>
          </w:tcPr>
          <w:p>
            <w:pPr>
              <w:pStyle w:val="10"/>
            </w:pPr>
            <w:r>
              <w:t>一、一般公共预算拨款收入</w:t>
            </w:r>
          </w:p>
        </w:tc>
        <w:tc>
          <w:tcPr>
            <w:tcW w:w="1971" w:type="dxa"/>
            <w:vAlign w:val="center"/>
          </w:tcPr>
          <w:p>
            <w:pPr>
              <w:pStyle w:val="11"/>
            </w:pPr>
            <w:r>
              <w:t>1954.13</w:t>
            </w:r>
          </w:p>
        </w:tc>
        <w:tc>
          <w:tcPr>
            <w:tcW w:w="1971" w:type="dxa"/>
            <w:vAlign w:val="center"/>
          </w:tcPr>
          <w:p>
            <w:pPr>
              <w:pStyle w:val="10"/>
            </w:pPr>
            <w:r>
              <w:t>一、一般公共服务支出</w:t>
            </w:r>
          </w:p>
        </w:tc>
        <w:tc>
          <w:tcPr>
            <w:tcW w:w="1971" w:type="dxa"/>
            <w:vAlign w:val="center"/>
          </w:tcPr>
          <w:p>
            <w:pPr>
              <w:pStyle w:val="11"/>
            </w:pPr>
            <w:r>
              <w:t>141.04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w:t>
            </w:r>
          </w:p>
        </w:tc>
        <w:tc>
          <w:tcPr>
            <w:tcW w:w="1971" w:type="dxa"/>
            <w:vAlign w:val="center"/>
          </w:tcPr>
          <w:p>
            <w:pPr>
              <w:pStyle w:val="10"/>
            </w:pPr>
            <w:r>
              <w:t>二、政府性基金预算拨款收入</w:t>
            </w:r>
          </w:p>
        </w:tc>
        <w:tc>
          <w:tcPr>
            <w:tcW w:w="1971" w:type="dxa"/>
            <w:vAlign w:val="center"/>
          </w:tcPr>
          <w:p>
            <w:pPr>
              <w:pStyle w:val="11"/>
            </w:pPr>
          </w:p>
        </w:tc>
        <w:tc>
          <w:tcPr>
            <w:tcW w:w="1971" w:type="dxa"/>
            <w:vAlign w:val="center"/>
          </w:tcPr>
          <w:p>
            <w:pPr>
              <w:pStyle w:val="10"/>
            </w:pPr>
            <w:r>
              <w:t>二、外交支出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w:t>
            </w:r>
          </w:p>
        </w:tc>
        <w:tc>
          <w:tcPr>
            <w:tcW w:w="1971" w:type="dxa"/>
            <w:vAlign w:val="center"/>
          </w:tcPr>
          <w:p>
            <w:pPr>
              <w:pStyle w:val="10"/>
            </w:pPr>
            <w:r>
              <w:t>三、国有资本经营预算拨款收入</w:t>
            </w:r>
          </w:p>
        </w:tc>
        <w:tc>
          <w:tcPr>
            <w:tcW w:w="1971" w:type="dxa"/>
            <w:vAlign w:val="center"/>
          </w:tcPr>
          <w:p>
            <w:pPr>
              <w:pStyle w:val="11"/>
            </w:pPr>
          </w:p>
        </w:tc>
        <w:tc>
          <w:tcPr>
            <w:tcW w:w="1971" w:type="dxa"/>
            <w:vAlign w:val="center"/>
          </w:tcPr>
          <w:p>
            <w:pPr>
              <w:pStyle w:val="10"/>
            </w:pPr>
            <w:r>
              <w:t>三、国防支出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4</w:t>
            </w:r>
          </w:p>
        </w:tc>
        <w:tc>
          <w:tcPr>
            <w:tcW w:w="1971" w:type="dxa"/>
            <w:vAlign w:val="center"/>
          </w:tcPr>
          <w:p>
            <w:pPr>
              <w:pStyle w:val="10"/>
            </w:pPr>
            <w:r>
              <w:t>四、财政专户管理资金收入</w:t>
            </w:r>
          </w:p>
        </w:tc>
        <w:tc>
          <w:tcPr>
            <w:tcW w:w="1971" w:type="dxa"/>
            <w:vAlign w:val="center"/>
          </w:tcPr>
          <w:p>
            <w:pPr>
              <w:pStyle w:val="11"/>
            </w:pPr>
          </w:p>
        </w:tc>
        <w:tc>
          <w:tcPr>
            <w:tcW w:w="1971" w:type="dxa"/>
            <w:vAlign w:val="center"/>
          </w:tcPr>
          <w:p>
            <w:pPr>
              <w:pStyle w:val="10"/>
            </w:pPr>
            <w:r>
              <w:t>四、公共安全支出</w:t>
            </w:r>
          </w:p>
        </w:tc>
        <w:tc>
          <w:tcPr>
            <w:tcW w:w="1971" w:type="dxa"/>
            <w:vAlign w:val="center"/>
          </w:tcPr>
          <w:p>
            <w:pPr>
              <w:pStyle w:val="11"/>
            </w:pPr>
            <w:r>
              <w:t>1449.66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5</w:t>
            </w:r>
          </w:p>
        </w:tc>
        <w:tc>
          <w:tcPr>
            <w:tcW w:w="1971" w:type="dxa"/>
            <w:vAlign w:val="center"/>
          </w:tcPr>
          <w:p>
            <w:pPr>
              <w:pStyle w:val="10"/>
            </w:pPr>
            <w:r>
              <w:t>五、事业收入</w:t>
            </w:r>
          </w:p>
        </w:tc>
        <w:tc>
          <w:tcPr>
            <w:tcW w:w="1971" w:type="dxa"/>
            <w:vAlign w:val="center"/>
          </w:tcPr>
          <w:p>
            <w:pPr>
              <w:pStyle w:val="11"/>
            </w:pPr>
          </w:p>
        </w:tc>
        <w:tc>
          <w:tcPr>
            <w:tcW w:w="1971" w:type="dxa"/>
            <w:vAlign w:val="center"/>
          </w:tcPr>
          <w:p>
            <w:pPr>
              <w:pStyle w:val="10"/>
            </w:pPr>
            <w:r>
              <w:t>五、教育支出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6</w:t>
            </w:r>
          </w:p>
        </w:tc>
        <w:tc>
          <w:tcPr>
            <w:tcW w:w="1971" w:type="dxa"/>
            <w:vAlign w:val="center"/>
          </w:tcPr>
          <w:p>
            <w:pPr>
              <w:pStyle w:val="10"/>
            </w:pPr>
            <w:r>
              <w:t>六、事业单位经营收入</w:t>
            </w:r>
          </w:p>
        </w:tc>
        <w:tc>
          <w:tcPr>
            <w:tcW w:w="1971" w:type="dxa"/>
            <w:vAlign w:val="center"/>
          </w:tcPr>
          <w:p>
            <w:pPr>
              <w:pStyle w:val="11"/>
            </w:pPr>
          </w:p>
        </w:tc>
        <w:tc>
          <w:tcPr>
            <w:tcW w:w="1971" w:type="dxa"/>
            <w:vAlign w:val="center"/>
          </w:tcPr>
          <w:p>
            <w:pPr>
              <w:pStyle w:val="10"/>
            </w:pPr>
            <w:r>
              <w:t>六、科学技术支出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7</w:t>
            </w:r>
          </w:p>
        </w:tc>
        <w:tc>
          <w:tcPr>
            <w:tcW w:w="1971" w:type="dxa"/>
            <w:vAlign w:val="center"/>
          </w:tcPr>
          <w:p>
            <w:pPr>
              <w:pStyle w:val="10"/>
            </w:pPr>
            <w:r>
              <w:t>七、上级补助收入</w:t>
            </w:r>
          </w:p>
        </w:tc>
        <w:tc>
          <w:tcPr>
            <w:tcW w:w="1971" w:type="dxa"/>
            <w:vAlign w:val="center"/>
          </w:tcPr>
          <w:p>
            <w:pPr>
              <w:pStyle w:val="11"/>
            </w:pPr>
          </w:p>
        </w:tc>
        <w:tc>
          <w:tcPr>
            <w:tcW w:w="1971" w:type="dxa"/>
            <w:vAlign w:val="center"/>
          </w:tcPr>
          <w:p>
            <w:pPr>
              <w:pStyle w:val="10"/>
            </w:pPr>
            <w:r>
              <w:t>七、文化旅游体育与传媒支出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8</w:t>
            </w:r>
          </w:p>
        </w:tc>
        <w:tc>
          <w:tcPr>
            <w:tcW w:w="1971" w:type="dxa"/>
            <w:vAlign w:val="center"/>
          </w:tcPr>
          <w:p>
            <w:pPr>
              <w:pStyle w:val="10"/>
            </w:pPr>
            <w:r>
              <w:t>八、附属单位上缴收入</w:t>
            </w:r>
          </w:p>
        </w:tc>
        <w:tc>
          <w:tcPr>
            <w:tcW w:w="1971" w:type="dxa"/>
            <w:vAlign w:val="center"/>
          </w:tcPr>
          <w:p>
            <w:pPr>
              <w:pStyle w:val="11"/>
            </w:pPr>
          </w:p>
        </w:tc>
        <w:tc>
          <w:tcPr>
            <w:tcW w:w="1971" w:type="dxa"/>
            <w:vAlign w:val="center"/>
          </w:tcPr>
          <w:p>
            <w:pPr>
              <w:pStyle w:val="10"/>
            </w:pPr>
            <w:r>
              <w:t>八、社会保障和就业支出</w:t>
            </w:r>
          </w:p>
        </w:tc>
        <w:tc>
          <w:tcPr>
            <w:tcW w:w="1971" w:type="dxa"/>
            <w:vAlign w:val="center"/>
          </w:tcPr>
          <w:p>
            <w:pPr>
              <w:pStyle w:val="11"/>
            </w:pPr>
            <w:r>
              <w:t>175.33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9</w:t>
            </w:r>
          </w:p>
        </w:tc>
        <w:tc>
          <w:tcPr>
            <w:tcW w:w="1971" w:type="dxa"/>
            <w:vAlign w:val="center"/>
          </w:tcPr>
          <w:p>
            <w:pPr>
              <w:pStyle w:val="10"/>
            </w:pPr>
            <w:r>
              <w:t>九、其他收入</w:t>
            </w:r>
          </w:p>
        </w:tc>
        <w:tc>
          <w:tcPr>
            <w:tcW w:w="1971" w:type="dxa"/>
            <w:vAlign w:val="center"/>
          </w:tcPr>
          <w:p>
            <w:pPr>
              <w:pStyle w:val="11"/>
            </w:pPr>
          </w:p>
        </w:tc>
        <w:tc>
          <w:tcPr>
            <w:tcW w:w="1971" w:type="dxa"/>
            <w:vAlign w:val="center"/>
          </w:tcPr>
          <w:p>
            <w:pPr>
              <w:pStyle w:val="10"/>
            </w:pPr>
            <w:r>
              <w:t>九、社会保险基金支出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十、卫生健康支出</w:t>
            </w:r>
          </w:p>
        </w:tc>
        <w:tc>
          <w:tcPr>
            <w:tcW w:w="1971" w:type="dxa"/>
            <w:vAlign w:val="center"/>
          </w:tcPr>
          <w:p>
            <w:pPr>
              <w:pStyle w:val="11"/>
            </w:pPr>
            <w:r>
              <w:t>100.34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11</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十一、节能环保支出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12</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十二、城乡社区支出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13</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十三、农林水支出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14</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十四、交通运输支出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15</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十五、资源勘探工业信息等支出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16</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十六、商业服务业等支出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17</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十七、金融支出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18</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十八、援助其他地区支出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19</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十九、自然资源海洋气象等支出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二十、住房保障支出</w:t>
            </w:r>
          </w:p>
        </w:tc>
        <w:tc>
          <w:tcPr>
            <w:tcW w:w="1971" w:type="dxa"/>
            <w:vAlign w:val="center"/>
          </w:tcPr>
          <w:p>
            <w:pPr>
              <w:pStyle w:val="11"/>
            </w:pPr>
            <w:r>
              <w:t>87.76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21</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二十一、粮油物资储备支出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22</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二十二、国有资本经营预算支出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23</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二十三、灾害防治及应急管理支出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24</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二十四、预备费</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25</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二十五、其他支出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26</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二十六、转移性支出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27</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二十七、债务还本支出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28</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二十八、债务付息支出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29</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二十九、债务发行费用支出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三十、抗疫特别国债安排的支出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31</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三十一、人行科目</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32</w:t>
            </w:r>
          </w:p>
        </w:tc>
        <w:tc>
          <w:tcPr>
            <w:tcW w:w="1971" w:type="dxa"/>
            <w:vAlign w:val="center"/>
          </w:tcPr>
          <w:p>
            <w:pPr>
              <w:pStyle w:val="12"/>
            </w:pPr>
            <w:r>
              <w:t>本年收入合计</w:t>
            </w:r>
          </w:p>
        </w:tc>
        <w:tc>
          <w:tcPr>
            <w:tcW w:w="1971" w:type="dxa"/>
            <w:vAlign w:val="center"/>
          </w:tcPr>
          <w:p>
            <w:pPr>
              <w:pStyle w:val="13"/>
            </w:pPr>
            <w:r>
              <w:t>1954.13</w:t>
            </w:r>
          </w:p>
        </w:tc>
        <w:tc>
          <w:tcPr>
            <w:tcW w:w="1971" w:type="dxa"/>
            <w:vAlign w:val="center"/>
          </w:tcPr>
          <w:p>
            <w:pPr>
              <w:pStyle w:val="12"/>
            </w:pPr>
            <w:r>
              <w:t>本年支出合计</w:t>
            </w:r>
          </w:p>
        </w:tc>
        <w:tc>
          <w:tcPr>
            <w:tcW w:w="1971" w:type="dxa"/>
            <w:vAlign w:val="center"/>
          </w:tcPr>
          <w:p>
            <w:pPr>
              <w:pStyle w:val="13"/>
            </w:pPr>
            <w:r>
              <w:t>1954.13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33</w:t>
            </w:r>
          </w:p>
        </w:tc>
        <w:tc>
          <w:tcPr>
            <w:tcW w:w="1971" w:type="dxa"/>
            <w:vAlign w:val="center"/>
          </w:tcPr>
          <w:p>
            <w:pPr>
              <w:pStyle w:val="10"/>
            </w:pPr>
            <w:r>
              <w:t>上年结转结余</w:t>
            </w:r>
          </w:p>
        </w:tc>
        <w:tc>
          <w:tcPr>
            <w:tcW w:w="1971" w:type="dxa"/>
            <w:vAlign w:val="center"/>
          </w:tcPr>
          <w:p>
            <w:pPr>
              <w:pStyle w:val="11"/>
            </w:pPr>
          </w:p>
        </w:tc>
        <w:tc>
          <w:tcPr>
            <w:tcW w:w="1971" w:type="dxa"/>
            <w:vAlign w:val="center"/>
          </w:tcPr>
          <w:p>
            <w:pPr>
              <w:pStyle w:val="10"/>
            </w:pPr>
            <w:r>
              <w:t>年终结转结余</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34</w:t>
            </w:r>
          </w:p>
        </w:tc>
        <w:tc>
          <w:tcPr>
            <w:tcW w:w="1971" w:type="dxa"/>
            <w:vAlign w:val="center"/>
          </w:tcPr>
          <w:p>
            <w:pPr>
              <w:pStyle w:val="12"/>
            </w:pPr>
            <w:r>
              <w:t>收入总计</w:t>
            </w:r>
          </w:p>
        </w:tc>
        <w:tc>
          <w:tcPr>
            <w:tcW w:w="1971" w:type="dxa"/>
            <w:vAlign w:val="center"/>
          </w:tcPr>
          <w:p>
            <w:pPr>
              <w:pStyle w:val="13"/>
            </w:pPr>
            <w:r>
              <w:t>1954.13</w:t>
            </w:r>
          </w:p>
        </w:tc>
        <w:tc>
          <w:tcPr>
            <w:tcW w:w="1971" w:type="dxa"/>
            <w:vAlign w:val="center"/>
          </w:tcPr>
          <w:p>
            <w:pPr>
              <w:pStyle w:val="12"/>
            </w:pPr>
            <w:r>
              <w:t>支出总计</w:t>
            </w:r>
          </w:p>
        </w:tc>
        <w:tc>
          <w:tcPr>
            <w:tcW w:w="1971" w:type="dxa"/>
            <w:vAlign w:val="center"/>
          </w:tcPr>
          <w:p>
            <w:pPr>
              <w:pStyle w:val="13"/>
            </w:pPr>
            <w:r>
              <w:t>1954.13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5"/>
            </w:pPr>
            <w:r>
              <w:t>330唐山市丰南区司法局</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1954.13</w:t>
            </w:r>
          </w:p>
        </w:tc>
        <w:tc>
          <w:tcPr>
            <w:tcW w:w="758" w:type="dxa"/>
            <w:vAlign w:val="center"/>
          </w:tcPr>
          <w:p>
            <w:pPr>
              <w:pStyle w:val="13"/>
            </w:pPr>
            <w:r>
              <w:t>1954.13</w:t>
            </w:r>
          </w:p>
        </w:tc>
        <w:tc>
          <w:tcPr>
            <w:tcW w:w="758" w:type="dxa"/>
            <w:vAlign w:val="center"/>
          </w:tcPr>
          <w:p>
            <w:pPr>
              <w:pStyle w:val="13"/>
            </w:pPr>
            <w:r>
              <w:t>1954.13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201</w:t>
            </w:r>
          </w:p>
        </w:tc>
        <w:tc>
          <w:tcPr>
            <w:tcW w:w="758" w:type="dxa"/>
            <w:vAlign w:val="center"/>
          </w:tcPr>
          <w:p>
            <w:pPr>
              <w:pStyle w:val="10"/>
            </w:pPr>
            <w:r>
              <w:t>一般公共服务支出</w:t>
            </w:r>
          </w:p>
        </w:tc>
        <w:tc>
          <w:tcPr>
            <w:tcW w:w="758" w:type="dxa"/>
            <w:vAlign w:val="center"/>
          </w:tcPr>
          <w:p>
            <w:pPr>
              <w:pStyle w:val="11"/>
            </w:pPr>
            <w:r>
              <w:t>141.04</w:t>
            </w:r>
          </w:p>
        </w:tc>
        <w:tc>
          <w:tcPr>
            <w:tcW w:w="758" w:type="dxa"/>
            <w:vAlign w:val="center"/>
          </w:tcPr>
          <w:p>
            <w:pPr>
              <w:pStyle w:val="11"/>
            </w:pPr>
            <w:r>
              <w:t>141.04</w:t>
            </w:r>
          </w:p>
        </w:tc>
        <w:tc>
          <w:tcPr>
            <w:tcW w:w="758" w:type="dxa"/>
            <w:vAlign w:val="center"/>
          </w:tcPr>
          <w:p>
            <w:pPr>
              <w:pStyle w:val="11"/>
            </w:pPr>
            <w:r>
              <w:t>141.04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20103</w:t>
            </w:r>
          </w:p>
        </w:tc>
        <w:tc>
          <w:tcPr>
            <w:tcW w:w="758" w:type="dxa"/>
            <w:vAlign w:val="center"/>
          </w:tcPr>
          <w:p>
            <w:pPr>
              <w:pStyle w:val="10"/>
            </w:pPr>
            <w:r>
              <w:t>政府办公厅（室）及相关机构事务</w:t>
            </w:r>
          </w:p>
        </w:tc>
        <w:tc>
          <w:tcPr>
            <w:tcW w:w="758" w:type="dxa"/>
            <w:vAlign w:val="center"/>
          </w:tcPr>
          <w:p>
            <w:pPr>
              <w:pStyle w:val="11"/>
            </w:pPr>
            <w:r>
              <w:t>141.04</w:t>
            </w:r>
          </w:p>
        </w:tc>
        <w:tc>
          <w:tcPr>
            <w:tcW w:w="758" w:type="dxa"/>
            <w:vAlign w:val="center"/>
          </w:tcPr>
          <w:p>
            <w:pPr>
              <w:pStyle w:val="11"/>
            </w:pPr>
            <w:r>
              <w:t>141.04</w:t>
            </w:r>
          </w:p>
        </w:tc>
        <w:tc>
          <w:tcPr>
            <w:tcW w:w="758" w:type="dxa"/>
            <w:vAlign w:val="center"/>
          </w:tcPr>
          <w:p>
            <w:pPr>
              <w:pStyle w:val="11"/>
            </w:pPr>
            <w:r>
              <w:t>141.04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2010301</w:t>
            </w:r>
          </w:p>
        </w:tc>
        <w:tc>
          <w:tcPr>
            <w:tcW w:w="758" w:type="dxa"/>
            <w:vAlign w:val="center"/>
          </w:tcPr>
          <w:p>
            <w:pPr>
              <w:pStyle w:val="10"/>
            </w:pPr>
            <w:r>
              <w:t>行政运行</w:t>
            </w:r>
          </w:p>
        </w:tc>
        <w:tc>
          <w:tcPr>
            <w:tcW w:w="758" w:type="dxa"/>
            <w:vAlign w:val="center"/>
          </w:tcPr>
          <w:p>
            <w:pPr>
              <w:pStyle w:val="11"/>
            </w:pPr>
            <w:r>
              <w:t>141.04</w:t>
            </w:r>
          </w:p>
        </w:tc>
        <w:tc>
          <w:tcPr>
            <w:tcW w:w="758" w:type="dxa"/>
            <w:vAlign w:val="center"/>
          </w:tcPr>
          <w:p>
            <w:pPr>
              <w:pStyle w:val="11"/>
            </w:pPr>
            <w:r>
              <w:t>141.04</w:t>
            </w:r>
          </w:p>
        </w:tc>
        <w:tc>
          <w:tcPr>
            <w:tcW w:w="758" w:type="dxa"/>
            <w:vAlign w:val="center"/>
          </w:tcPr>
          <w:p>
            <w:pPr>
              <w:pStyle w:val="11"/>
            </w:pPr>
            <w:r>
              <w:t>141.04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204</w:t>
            </w:r>
          </w:p>
        </w:tc>
        <w:tc>
          <w:tcPr>
            <w:tcW w:w="758" w:type="dxa"/>
            <w:vAlign w:val="center"/>
          </w:tcPr>
          <w:p>
            <w:pPr>
              <w:pStyle w:val="10"/>
            </w:pPr>
            <w:r>
              <w:t>公共安全支出</w:t>
            </w:r>
          </w:p>
        </w:tc>
        <w:tc>
          <w:tcPr>
            <w:tcW w:w="758" w:type="dxa"/>
            <w:vAlign w:val="center"/>
          </w:tcPr>
          <w:p>
            <w:pPr>
              <w:pStyle w:val="11"/>
            </w:pPr>
            <w:r>
              <w:t>1449.66</w:t>
            </w:r>
          </w:p>
        </w:tc>
        <w:tc>
          <w:tcPr>
            <w:tcW w:w="758" w:type="dxa"/>
            <w:vAlign w:val="center"/>
          </w:tcPr>
          <w:p>
            <w:pPr>
              <w:pStyle w:val="11"/>
            </w:pPr>
            <w:r>
              <w:t>1449.66</w:t>
            </w:r>
          </w:p>
        </w:tc>
        <w:tc>
          <w:tcPr>
            <w:tcW w:w="758" w:type="dxa"/>
            <w:vAlign w:val="center"/>
          </w:tcPr>
          <w:p>
            <w:pPr>
              <w:pStyle w:val="11"/>
            </w:pPr>
            <w:r>
              <w:t>1449.66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20406</w:t>
            </w:r>
          </w:p>
        </w:tc>
        <w:tc>
          <w:tcPr>
            <w:tcW w:w="758" w:type="dxa"/>
            <w:vAlign w:val="center"/>
          </w:tcPr>
          <w:p>
            <w:pPr>
              <w:pStyle w:val="10"/>
            </w:pPr>
            <w:r>
              <w:t>司法</w:t>
            </w:r>
          </w:p>
        </w:tc>
        <w:tc>
          <w:tcPr>
            <w:tcW w:w="758" w:type="dxa"/>
            <w:vAlign w:val="center"/>
          </w:tcPr>
          <w:p>
            <w:pPr>
              <w:pStyle w:val="11"/>
            </w:pPr>
            <w:r>
              <w:t>1449.66</w:t>
            </w:r>
          </w:p>
        </w:tc>
        <w:tc>
          <w:tcPr>
            <w:tcW w:w="758" w:type="dxa"/>
            <w:vAlign w:val="center"/>
          </w:tcPr>
          <w:p>
            <w:pPr>
              <w:pStyle w:val="11"/>
            </w:pPr>
            <w:r>
              <w:t>1449.66</w:t>
            </w:r>
          </w:p>
        </w:tc>
        <w:tc>
          <w:tcPr>
            <w:tcW w:w="758" w:type="dxa"/>
            <w:vAlign w:val="center"/>
          </w:tcPr>
          <w:p>
            <w:pPr>
              <w:pStyle w:val="11"/>
            </w:pPr>
            <w:r>
              <w:t>1449.66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2040601</w:t>
            </w:r>
          </w:p>
        </w:tc>
        <w:tc>
          <w:tcPr>
            <w:tcW w:w="758" w:type="dxa"/>
            <w:vAlign w:val="center"/>
          </w:tcPr>
          <w:p>
            <w:pPr>
              <w:pStyle w:val="10"/>
            </w:pPr>
            <w:r>
              <w:t>行政运行</w:t>
            </w:r>
          </w:p>
        </w:tc>
        <w:tc>
          <w:tcPr>
            <w:tcW w:w="758" w:type="dxa"/>
            <w:vAlign w:val="center"/>
          </w:tcPr>
          <w:p>
            <w:pPr>
              <w:pStyle w:val="11"/>
            </w:pPr>
            <w:r>
              <w:t>882.90</w:t>
            </w:r>
          </w:p>
        </w:tc>
        <w:tc>
          <w:tcPr>
            <w:tcW w:w="758" w:type="dxa"/>
            <w:vAlign w:val="center"/>
          </w:tcPr>
          <w:p>
            <w:pPr>
              <w:pStyle w:val="11"/>
            </w:pPr>
            <w:r>
              <w:t>882.90</w:t>
            </w:r>
          </w:p>
        </w:tc>
        <w:tc>
          <w:tcPr>
            <w:tcW w:w="758" w:type="dxa"/>
            <w:vAlign w:val="center"/>
          </w:tcPr>
          <w:p>
            <w:pPr>
              <w:pStyle w:val="11"/>
            </w:pPr>
            <w:r>
              <w:t>882.90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2040602</w:t>
            </w:r>
          </w:p>
        </w:tc>
        <w:tc>
          <w:tcPr>
            <w:tcW w:w="758" w:type="dxa"/>
            <w:vAlign w:val="center"/>
          </w:tcPr>
          <w:p>
            <w:pPr>
              <w:pStyle w:val="10"/>
            </w:pPr>
            <w:r>
              <w:t>一般行政管理事务</w:t>
            </w:r>
          </w:p>
        </w:tc>
        <w:tc>
          <w:tcPr>
            <w:tcW w:w="758" w:type="dxa"/>
            <w:vAlign w:val="center"/>
          </w:tcPr>
          <w:p>
            <w:pPr>
              <w:pStyle w:val="11"/>
            </w:pPr>
            <w:r>
              <w:t>40.70</w:t>
            </w:r>
          </w:p>
        </w:tc>
        <w:tc>
          <w:tcPr>
            <w:tcW w:w="758" w:type="dxa"/>
            <w:vAlign w:val="center"/>
          </w:tcPr>
          <w:p>
            <w:pPr>
              <w:pStyle w:val="11"/>
            </w:pPr>
            <w:r>
              <w:t>40.70</w:t>
            </w:r>
          </w:p>
        </w:tc>
        <w:tc>
          <w:tcPr>
            <w:tcW w:w="758" w:type="dxa"/>
            <w:vAlign w:val="center"/>
          </w:tcPr>
          <w:p>
            <w:pPr>
              <w:pStyle w:val="11"/>
            </w:pPr>
            <w:r>
              <w:t>40.70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2040604</w:t>
            </w:r>
          </w:p>
        </w:tc>
        <w:tc>
          <w:tcPr>
            <w:tcW w:w="758" w:type="dxa"/>
            <w:vAlign w:val="center"/>
          </w:tcPr>
          <w:p>
            <w:pPr>
              <w:pStyle w:val="10"/>
            </w:pPr>
            <w:r>
              <w:t>基层司法业务</w:t>
            </w:r>
          </w:p>
        </w:tc>
        <w:tc>
          <w:tcPr>
            <w:tcW w:w="758" w:type="dxa"/>
            <w:vAlign w:val="center"/>
          </w:tcPr>
          <w:p>
            <w:pPr>
              <w:pStyle w:val="11"/>
            </w:pPr>
            <w:r>
              <w:t>436.06</w:t>
            </w:r>
          </w:p>
        </w:tc>
        <w:tc>
          <w:tcPr>
            <w:tcW w:w="758" w:type="dxa"/>
            <w:vAlign w:val="center"/>
          </w:tcPr>
          <w:p>
            <w:pPr>
              <w:pStyle w:val="11"/>
            </w:pPr>
            <w:r>
              <w:t>436.06</w:t>
            </w:r>
          </w:p>
        </w:tc>
        <w:tc>
          <w:tcPr>
            <w:tcW w:w="758" w:type="dxa"/>
            <w:vAlign w:val="center"/>
          </w:tcPr>
          <w:p>
            <w:pPr>
              <w:pStyle w:val="11"/>
            </w:pPr>
            <w:r>
              <w:t>436.06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2040605</w:t>
            </w:r>
          </w:p>
        </w:tc>
        <w:tc>
          <w:tcPr>
            <w:tcW w:w="758" w:type="dxa"/>
            <w:vAlign w:val="center"/>
          </w:tcPr>
          <w:p>
            <w:pPr>
              <w:pStyle w:val="10"/>
            </w:pPr>
            <w:r>
              <w:t>普法宣传</w:t>
            </w:r>
          </w:p>
        </w:tc>
        <w:tc>
          <w:tcPr>
            <w:tcW w:w="758" w:type="dxa"/>
            <w:vAlign w:val="center"/>
          </w:tcPr>
          <w:p>
            <w:pPr>
              <w:pStyle w:val="11"/>
            </w:pPr>
            <w:r>
              <w:t>40.00</w:t>
            </w:r>
          </w:p>
        </w:tc>
        <w:tc>
          <w:tcPr>
            <w:tcW w:w="758" w:type="dxa"/>
            <w:vAlign w:val="center"/>
          </w:tcPr>
          <w:p>
            <w:pPr>
              <w:pStyle w:val="11"/>
            </w:pPr>
            <w:r>
              <w:t>40.00</w:t>
            </w:r>
          </w:p>
        </w:tc>
        <w:tc>
          <w:tcPr>
            <w:tcW w:w="758" w:type="dxa"/>
            <w:vAlign w:val="center"/>
          </w:tcPr>
          <w:p>
            <w:pPr>
              <w:pStyle w:val="11"/>
            </w:pPr>
            <w:r>
              <w:t>40.00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10"/>
            </w:pPr>
            <w:r>
              <w:t>2040607</w:t>
            </w:r>
          </w:p>
        </w:tc>
        <w:tc>
          <w:tcPr>
            <w:tcW w:w="758" w:type="dxa"/>
            <w:vAlign w:val="center"/>
          </w:tcPr>
          <w:p>
            <w:pPr>
              <w:pStyle w:val="10"/>
            </w:pPr>
            <w:r>
              <w:t>公共法律服务</w:t>
            </w:r>
          </w:p>
        </w:tc>
        <w:tc>
          <w:tcPr>
            <w:tcW w:w="758" w:type="dxa"/>
            <w:vAlign w:val="center"/>
          </w:tcPr>
          <w:p>
            <w:pPr>
              <w:pStyle w:val="11"/>
            </w:pPr>
            <w:r>
              <w:t>30.00</w:t>
            </w:r>
          </w:p>
        </w:tc>
        <w:tc>
          <w:tcPr>
            <w:tcW w:w="758" w:type="dxa"/>
            <w:vAlign w:val="center"/>
          </w:tcPr>
          <w:p>
            <w:pPr>
              <w:pStyle w:val="11"/>
            </w:pPr>
            <w:r>
              <w:t>30.00</w:t>
            </w:r>
          </w:p>
        </w:tc>
        <w:tc>
          <w:tcPr>
            <w:tcW w:w="758" w:type="dxa"/>
            <w:vAlign w:val="center"/>
          </w:tcPr>
          <w:p>
            <w:pPr>
              <w:pStyle w:val="11"/>
            </w:pPr>
            <w:r>
              <w:t>30.00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2040612</w:t>
            </w:r>
          </w:p>
        </w:tc>
        <w:tc>
          <w:tcPr>
            <w:tcW w:w="758" w:type="dxa"/>
            <w:vAlign w:val="center"/>
          </w:tcPr>
          <w:p>
            <w:pPr>
              <w:pStyle w:val="10"/>
            </w:pPr>
            <w:r>
              <w:t>法治建设</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175.33</w:t>
            </w:r>
          </w:p>
        </w:tc>
        <w:tc>
          <w:tcPr>
            <w:tcW w:w="758" w:type="dxa"/>
            <w:vAlign w:val="center"/>
          </w:tcPr>
          <w:p>
            <w:pPr>
              <w:pStyle w:val="11"/>
            </w:pPr>
            <w:r>
              <w:t>175.33</w:t>
            </w:r>
          </w:p>
        </w:tc>
        <w:tc>
          <w:tcPr>
            <w:tcW w:w="758" w:type="dxa"/>
            <w:vAlign w:val="center"/>
          </w:tcPr>
          <w:p>
            <w:pPr>
              <w:pStyle w:val="11"/>
            </w:pPr>
            <w:r>
              <w:t>175.33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173.43</w:t>
            </w:r>
          </w:p>
        </w:tc>
        <w:tc>
          <w:tcPr>
            <w:tcW w:w="758" w:type="dxa"/>
            <w:vAlign w:val="center"/>
          </w:tcPr>
          <w:p>
            <w:pPr>
              <w:pStyle w:val="11"/>
            </w:pPr>
            <w:r>
              <w:t>173.43</w:t>
            </w:r>
          </w:p>
        </w:tc>
        <w:tc>
          <w:tcPr>
            <w:tcW w:w="758" w:type="dxa"/>
            <w:vAlign w:val="center"/>
          </w:tcPr>
          <w:p>
            <w:pPr>
              <w:pStyle w:val="11"/>
            </w:pPr>
            <w:r>
              <w:t>173.43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15</w:t>
            </w:r>
          </w:p>
        </w:tc>
        <w:tc>
          <w:tcPr>
            <w:tcW w:w="758" w:type="dxa"/>
            <w:vAlign w:val="center"/>
          </w:tcPr>
          <w:p>
            <w:pPr>
              <w:pStyle w:val="10"/>
            </w:pPr>
            <w:r>
              <w:t>2080501</w:t>
            </w:r>
          </w:p>
        </w:tc>
        <w:tc>
          <w:tcPr>
            <w:tcW w:w="758" w:type="dxa"/>
            <w:vAlign w:val="center"/>
          </w:tcPr>
          <w:p>
            <w:pPr>
              <w:pStyle w:val="10"/>
            </w:pPr>
            <w:r>
              <w:t>行政单位离退休</w:t>
            </w:r>
          </w:p>
        </w:tc>
        <w:tc>
          <w:tcPr>
            <w:tcW w:w="758" w:type="dxa"/>
            <w:vAlign w:val="center"/>
          </w:tcPr>
          <w:p>
            <w:pPr>
              <w:pStyle w:val="11"/>
            </w:pPr>
            <w:r>
              <w:t>65.14</w:t>
            </w:r>
          </w:p>
        </w:tc>
        <w:tc>
          <w:tcPr>
            <w:tcW w:w="758" w:type="dxa"/>
            <w:vAlign w:val="center"/>
          </w:tcPr>
          <w:p>
            <w:pPr>
              <w:pStyle w:val="11"/>
            </w:pPr>
            <w:r>
              <w:t>65.14</w:t>
            </w:r>
          </w:p>
        </w:tc>
        <w:tc>
          <w:tcPr>
            <w:tcW w:w="758" w:type="dxa"/>
            <w:vAlign w:val="center"/>
          </w:tcPr>
          <w:p>
            <w:pPr>
              <w:pStyle w:val="11"/>
            </w:pPr>
            <w:r>
              <w:t>65.14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16</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pPr>
            <w:r>
              <w:t>108.29</w:t>
            </w:r>
          </w:p>
        </w:tc>
        <w:tc>
          <w:tcPr>
            <w:tcW w:w="758" w:type="dxa"/>
            <w:vAlign w:val="center"/>
          </w:tcPr>
          <w:p>
            <w:pPr>
              <w:pStyle w:val="11"/>
            </w:pPr>
            <w:r>
              <w:t>108.29</w:t>
            </w:r>
          </w:p>
        </w:tc>
        <w:tc>
          <w:tcPr>
            <w:tcW w:w="758" w:type="dxa"/>
            <w:vAlign w:val="center"/>
          </w:tcPr>
          <w:p>
            <w:pPr>
              <w:pStyle w:val="11"/>
            </w:pPr>
            <w:r>
              <w:t>108.29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17</w:t>
            </w:r>
          </w:p>
        </w:tc>
        <w:tc>
          <w:tcPr>
            <w:tcW w:w="758" w:type="dxa"/>
            <w:vAlign w:val="center"/>
          </w:tcPr>
          <w:p>
            <w:pPr>
              <w:pStyle w:val="10"/>
            </w:pPr>
            <w:r>
              <w:t>20807</w:t>
            </w:r>
          </w:p>
        </w:tc>
        <w:tc>
          <w:tcPr>
            <w:tcW w:w="758" w:type="dxa"/>
            <w:vAlign w:val="center"/>
          </w:tcPr>
          <w:p>
            <w:pPr>
              <w:pStyle w:val="10"/>
            </w:pPr>
            <w:r>
              <w:t>就业补助</w:t>
            </w:r>
          </w:p>
        </w:tc>
        <w:tc>
          <w:tcPr>
            <w:tcW w:w="758" w:type="dxa"/>
            <w:vAlign w:val="center"/>
          </w:tcPr>
          <w:p>
            <w:pPr>
              <w:pStyle w:val="11"/>
            </w:pPr>
            <w:r>
              <w:t>1.90</w:t>
            </w:r>
          </w:p>
        </w:tc>
        <w:tc>
          <w:tcPr>
            <w:tcW w:w="758" w:type="dxa"/>
            <w:vAlign w:val="center"/>
          </w:tcPr>
          <w:p>
            <w:pPr>
              <w:pStyle w:val="11"/>
            </w:pPr>
            <w:r>
              <w:t>1.90</w:t>
            </w:r>
          </w:p>
        </w:tc>
        <w:tc>
          <w:tcPr>
            <w:tcW w:w="758" w:type="dxa"/>
            <w:vAlign w:val="center"/>
          </w:tcPr>
          <w:p>
            <w:pPr>
              <w:pStyle w:val="11"/>
            </w:pPr>
            <w:r>
              <w:t>1.90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18</w:t>
            </w:r>
          </w:p>
        </w:tc>
        <w:tc>
          <w:tcPr>
            <w:tcW w:w="758" w:type="dxa"/>
            <w:vAlign w:val="center"/>
          </w:tcPr>
          <w:p>
            <w:pPr>
              <w:pStyle w:val="10"/>
            </w:pPr>
            <w:r>
              <w:t>2080711</w:t>
            </w:r>
          </w:p>
        </w:tc>
        <w:tc>
          <w:tcPr>
            <w:tcW w:w="758" w:type="dxa"/>
            <w:vAlign w:val="center"/>
          </w:tcPr>
          <w:p>
            <w:pPr>
              <w:pStyle w:val="10"/>
            </w:pPr>
            <w:r>
              <w:t>就业见习补贴</w:t>
            </w:r>
          </w:p>
        </w:tc>
        <w:tc>
          <w:tcPr>
            <w:tcW w:w="758" w:type="dxa"/>
            <w:vAlign w:val="center"/>
          </w:tcPr>
          <w:p>
            <w:pPr>
              <w:pStyle w:val="11"/>
            </w:pPr>
            <w:r>
              <w:t>1.90</w:t>
            </w:r>
          </w:p>
        </w:tc>
        <w:tc>
          <w:tcPr>
            <w:tcW w:w="758" w:type="dxa"/>
            <w:vAlign w:val="center"/>
          </w:tcPr>
          <w:p>
            <w:pPr>
              <w:pStyle w:val="11"/>
            </w:pPr>
            <w:r>
              <w:t>1.90</w:t>
            </w:r>
          </w:p>
        </w:tc>
        <w:tc>
          <w:tcPr>
            <w:tcW w:w="758" w:type="dxa"/>
            <w:vAlign w:val="center"/>
          </w:tcPr>
          <w:p>
            <w:pPr>
              <w:pStyle w:val="11"/>
            </w:pPr>
            <w:r>
              <w:t>1.90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19</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pPr>
            <w:r>
              <w:t>100.34</w:t>
            </w:r>
          </w:p>
        </w:tc>
        <w:tc>
          <w:tcPr>
            <w:tcW w:w="758" w:type="dxa"/>
            <w:vAlign w:val="center"/>
          </w:tcPr>
          <w:p>
            <w:pPr>
              <w:pStyle w:val="11"/>
            </w:pPr>
            <w:r>
              <w:t>100.34</w:t>
            </w:r>
          </w:p>
        </w:tc>
        <w:tc>
          <w:tcPr>
            <w:tcW w:w="758" w:type="dxa"/>
            <w:vAlign w:val="center"/>
          </w:tcPr>
          <w:p>
            <w:pPr>
              <w:pStyle w:val="11"/>
            </w:pPr>
            <w:r>
              <w:t>100.34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20</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11"/>
            </w:pPr>
            <w:r>
              <w:t>100.34</w:t>
            </w:r>
          </w:p>
        </w:tc>
        <w:tc>
          <w:tcPr>
            <w:tcW w:w="758" w:type="dxa"/>
            <w:vAlign w:val="center"/>
          </w:tcPr>
          <w:p>
            <w:pPr>
              <w:pStyle w:val="11"/>
            </w:pPr>
            <w:r>
              <w:t>100.34</w:t>
            </w:r>
          </w:p>
        </w:tc>
        <w:tc>
          <w:tcPr>
            <w:tcW w:w="758" w:type="dxa"/>
            <w:vAlign w:val="center"/>
          </w:tcPr>
          <w:p>
            <w:pPr>
              <w:pStyle w:val="11"/>
            </w:pPr>
            <w:r>
              <w:t>100.34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21</w:t>
            </w:r>
          </w:p>
        </w:tc>
        <w:tc>
          <w:tcPr>
            <w:tcW w:w="758" w:type="dxa"/>
            <w:vAlign w:val="center"/>
          </w:tcPr>
          <w:p>
            <w:pPr>
              <w:pStyle w:val="10"/>
            </w:pPr>
            <w:r>
              <w:t>2101101</w:t>
            </w:r>
          </w:p>
        </w:tc>
        <w:tc>
          <w:tcPr>
            <w:tcW w:w="758" w:type="dxa"/>
            <w:vAlign w:val="center"/>
          </w:tcPr>
          <w:p>
            <w:pPr>
              <w:pStyle w:val="10"/>
            </w:pPr>
            <w:r>
              <w:t>行政单位医疗</w:t>
            </w:r>
          </w:p>
        </w:tc>
        <w:tc>
          <w:tcPr>
            <w:tcW w:w="758" w:type="dxa"/>
            <w:vAlign w:val="center"/>
          </w:tcPr>
          <w:p>
            <w:pPr>
              <w:pStyle w:val="11"/>
            </w:pPr>
            <w:r>
              <w:t>41.49</w:t>
            </w:r>
          </w:p>
        </w:tc>
        <w:tc>
          <w:tcPr>
            <w:tcW w:w="758" w:type="dxa"/>
            <w:vAlign w:val="center"/>
          </w:tcPr>
          <w:p>
            <w:pPr>
              <w:pStyle w:val="11"/>
            </w:pPr>
            <w:r>
              <w:t>41.49</w:t>
            </w:r>
          </w:p>
        </w:tc>
        <w:tc>
          <w:tcPr>
            <w:tcW w:w="758" w:type="dxa"/>
            <w:vAlign w:val="center"/>
          </w:tcPr>
          <w:p>
            <w:pPr>
              <w:pStyle w:val="11"/>
            </w:pPr>
            <w:r>
              <w:t>41.49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22</w:t>
            </w:r>
          </w:p>
        </w:tc>
        <w:tc>
          <w:tcPr>
            <w:tcW w:w="758" w:type="dxa"/>
            <w:vAlign w:val="center"/>
          </w:tcPr>
          <w:p>
            <w:pPr>
              <w:pStyle w:val="10"/>
            </w:pPr>
            <w:r>
              <w:t>2101103</w:t>
            </w:r>
          </w:p>
        </w:tc>
        <w:tc>
          <w:tcPr>
            <w:tcW w:w="758" w:type="dxa"/>
            <w:vAlign w:val="center"/>
          </w:tcPr>
          <w:p>
            <w:pPr>
              <w:pStyle w:val="10"/>
            </w:pPr>
            <w:r>
              <w:t>公务员医疗补助</w:t>
            </w:r>
          </w:p>
        </w:tc>
        <w:tc>
          <w:tcPr>
            <w:tcW w:w="758" w:type="dxa"/>
            <w:vAlign w:val="center"/>
          </w:tcPr>
          <w:p>
            <w:pPr>
              <w:pStyle w:val="11"/>
            </w:pPr>
            <w:r>
              <w:t>58.85</w:t>
            </w:r>
          </w:p>
        </w:tc>
        <w:tc>
          <w:tcPr>
            <w:tcW w:w="758" w:type="dxa"/>
            <w:vAlign w:val="center"/>
          </w:tcPr>
          <w:p>
            <w:pPr>
              <w:pStyle w:val="11"/>
            </w:pPr>
            <w:r>
              <w:t>58.85</w:t>
            </w:r>
          </w:p>
        </w:tc>
        <w:tc>
          <w:tcPr>
            <w:tcW w:w="758" w:type="dxa"/>
            <w:vAlign w:val="center"/>
          </w:tcPr>
          <w:p>
            <w:pPr>
              <w:pStyle w:val="11"/>
            </w:pPr>
            <w:r>
              <w:t>58.85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23</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pPr>
            <w:r>
              <w:t>87.76</w:t>
            </w:r>
          </w:p>
        </w:tc>
        <w:tc>
          <w:tcPr>
            <w:tcW w:w="758" w:type="dxa"/>
            <w:vAlign w:val="center"/>
          </w:tcPr>
          <w:p>
            <w:pPr>
              <w:pStyle w:val="11"/>
            </w:pPr>
            <w:r>
              <w:t>87.76</w:t>
            </w:r>
          </w:p>
        </w:tc>
        <w:tc>
          <w:tcPr>
            <w:tcW w:w="758" w:type="dxa"/>
            <w:vAlign w:val="center"/>
          </w:tcPr>
          <w:p>
            <w:pPr>
              <w:pStyle w:val="11"/>
            </w:pPr>
            <w:r>
              <w:t>87.76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24</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pPr>
            <w:r>
              <w:t>87.76</w:t>
            </w:r>
          </w:p>
        </w:tc>
        <w:tc>
          <w:tcPr>
            <w:tcW w:w="758" w:type="dxa"/>
            <w:vAlign w:val="center"/>
          </w:tcPr>
          <w:p>
            <w:pPr>
              <w:pStyle w:val="11"/>
            </w:pPr>
            <w:r>
              <w:t>87.76</w:t>
            </w:r>
          </w:p>
        </w:tc>
        <w:tc>
          <w:tcPr>
            <w:tcW w:w="758" w:type="dxa"/>
            <w:vAlign w:val="center"/>
          </w:tcPr>
          <w:p>
            <w:pPr>
              <w:pStyle w:val="11"/>
            </w:pPr>
            <w:r>
              <w:t>87.76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25</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pPr>
            <w:r>
              <w:t>87.76</w:t>
            </w:r>
          </w:p>
        </w:tc>
        <w:tc>
          <w:tcPr>
            <w:tcW w:w="758" w:type="dxa"/>
            <w:vAlign w:val="center"/>
          </w:tcPr>
          <w:p>
            <w:pPr>
              <w:pStyle w:val="11"/>
            </w:pPr>
            <w:r>
              <w:t>87.76</w:t>
            </w:r>
          </w:p>
        </w:tc>
        <w:tc>
          <w:tcPr>
            <w:tcW w:w="758" w:type="dxa"/>
            <w:vAlign w:val="center"/>
          </w:tcPr>
          <w:p>
            <w:pPr>
              <w:pStyle w:val="11"/>
            </w:pPr>
            <w:r>
              <w:t>87.76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5"/>
            </w:pPr>
            <w:r>
              <w:t>330唐山市丰南区司法局</w:t>
            </w:r>
          </w:p>
        </w:tc>
        <w:tc>
          <w:tcPr>
            <w:tcW w:w="2190"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2190"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1954.13</w:t>
            </w:r>
          </w:p>
        </w:tc>
        <w:tc>
          <w:tcPr>
            <w:tcW w:w="1095" w:type="dxa"/>
            <w:vAlign w:val="center"/>
          </w:tcPr>
          <w:p>
            <w:pPr>
              <w:pStyle w:val="13"/>
            </w:pPr>
            <w:r>
              <w:t>1365.47</w:t>
            </w:r>
          </w:p>
        </w:tc>
        <w:tc>
          <w:tcPr>
            <w:tcW w:w="1095" w:type="dxa"/>
            <w:vAlign w:val="center"/>
          </w:tcPr>
          <w:p>
            <w:pPr>
              <w:pStyle w:val="13"/>
            </w:pPr>
            <w:r>
              <w:t>588.66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201</w:t>
            </w:r>
          </w:p>
        </w:tc>
        <w:tc>
          <w:tcPr>
            <w:tcW w:w="1095" w:type="dxa"/>
            <w:vAlign w:val="center"/>
          </w:tcPr>
          <w:p>
            <w:pPr>
              <w:pStyle w:val="10"/>
            </w:pPr>
            <w:r>
              <w:t>一般公共服务支出</w:t>
            </w:r>
          </w:p>
        </w:tc>
        <w:tc>
          <w:tcPr>
            <w:tcW w:w="1095" w:type="dxa"/>
            <w:vAlign w:val="center"/>
          </w:tcPr>
          <w:p>
            <w:pPr>
              <w:pStyle w:val="11"/>
            </w:pPr>
            <w:r>
              <w:t>141.04</w:t>
            </w:r>
          </w:p>
        </w:tc>
        <w:tc>
          <w:tcPr>
            <w:tcW w:w="1095" w:type="dxa"/>
            <w:vAlign w:val="center"/>
          </w:tcPr>
          <w:p>
            <w:pPr>
              <w:pStyle w:val="11"/>
            </w:pPr>
            <w:r>
              <w:t>141.04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20103</w:t>
            </w:r>
          </w:p>
        </w:tc>
        <w:tc>
          <w:tcPr>
            <w:tcW w:w="1095" w:type="dxa"/>
            <w:vAlign w:val="center"/>
          </w:tcPr>
          <w:p>
            <w:pPr>
              <w:pStyle w:val="10"/>
            </w:pPr>
            <w:r>
              <w:t>政府办公厅（室）及相关机构事务</w:t>
            </w:r>
          </w:p>
        </w:tc>
        <w:tc>
          <w:tcPr>
            <w:tcW w:w="1095" w:type="dxa"/>
            <w:vAlign w:val="center"/>
          </w:tcPr>
          <w:p>
            <w:pPr>
              <w:pStyle w:val="11"/>
            </w:pPr>
            <w:r>
              <w:t>141.04</w:t>
            </w:r>
          </w:p>
        </w:tc>
        <w:tc>
          <w:tcPr>
            <w:tcW w:w="1095" w:type="dxa"/>
            <w:vAlign w:val="center"/>
          </w:tcPr>
          <w:p>
            <w:pPr>
              <w:pStyle w:val="11"/>
            </w:pPr>
            <w:r>
              <w:t>141.04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2010301</w:t>
            </w:r>
          </w:p>
        </w:tc>
        <w:tc>
          <w:tcPr>
            <w:tcW w:w="1095" w:type="dxa"/>
            <w:vAlign w:val="center"/>
          </w:tcPr>
          <w:p>
            <w:pPr>
              <w:pStyle w:val="10"/>
            </w:pPr>
            <w:r>
              <w:t>行政运行</w:t>
            </w:r>
          </w:p>
        </w:tc>
        <w:tc>
          <w:tcPr>
            <w:tcW w:w="1095" w:type="dxa"/>
            <w:vAlign w:val="center"/>
          </w:tcPr>
          <w:p>
            <w:pPr>
              <w:pStyle w:val="11"/>
            </w:pPr>
            <w:r>
              <w:t>141.04</w:t>
            </w:r>
          </w:p>
        </w:tc>
        <w:tc>
          <w:tcPr>
            <w:tcW w:w="1095" w:type="dxa"/>
            <w:vAlign w:val="center"/>
          </w:tcPr>
          <w:p>
            <w:pPr>
              <w:pStyle w:val="11"/>
            </w:pPr>
            <w:r>
              <w:t>141.04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10"/>
            </w:pPr>
            <w:r>
              <w:t>204</w:t>
            </w:r>
          </w:p>
        </w:tc>
        <w:tc>
          <w:tcPr>
            <w:tcW w:w="1095" w:type="dxa"/>
            <w:vAlign w:val="center"/>
          </w:tcPr>
          <w:p>
            <w:pPr>
              <w:pStyle w:val="10"/>
            </w:pPr>
            <w:r>
              <w:t>公共安全支出</w:t>
            </w:r>
          </w:p>
        </w:tc>
        <w:tc>
          <w:tcPr>
            <w:tcW w:w="1095" w:type="dxa"/>
            <w:vAlign w:val="center"/>
          </w:tcPr>
          <w:p>
            <w:pPr>
              <w:pStyle w:val="11"/>
            </w:pPr>
            <w:r>
              <w:t>1449.66</w:t>
            </w:r>
          </w:p>
        </w:tc>
        <w:tc>
          <w:tcPr>
            <w:tcW w:w="1095" w:type="dxa"/>
            <w:vAlign w:val="center"/>
          </w:tcPr>
          <w:p>
            <w:pPr>
              <w:pStyle w:val="11"/>
            </w:pPr>
            <w:r>
              <w:t>862.90</w:t>
            </w:r>
          </w:p>
        </w:tc>
        <w:tc>
          <w:tcPr>
            <w:tcW w:w="1095" w:type="dxa"/>
            <w:vAlign w:val="center"/>
          </w:tcPr>
          <w:p>
            <w:pPr>
              <w:pStyle w:val="11"/>
            </w:pPr>
            <w:r>
              <w:t>586.76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20406</w:t>
            </w:r>
          </w:p>
        </w:tc>
        <w:tc>
          <w:tcPr>
            <w:tcW w:w="1095" w:type="dxa"/>
            <w:vAlign w:val="center"/>
          </w:tcPr>
          <w:p>
            <w:pPr>
              <w:pStyle w:val="10"/>
            </w:pPr>
            <w:r>
              <w:t>司法</w:t>
            </w:r>
          </w:p>
        </w:tc>
        <w:tc>
          <w:tcPr>
            <w:tcW w:w="1095" w:type="dxa"/>
            <w:vAlign w:val="center"/>
          </w:tcPr>
          <w:p>
            <w:pPr>
              <w:pStyle w:val="11"/>
            </w:pPr>
            <w:r>
              <w:t>1449.66</w:t>
            </w:r>
          </w:p>
        </w:tc>
        <w:tc>
          <w:tcPr>
            <w:tcW w:w="1095" w:type="dxa"/>
            <w:vAlign w:val="center"/>
          </w:tcPr>
          <w:p>
            <w:pPr>
              <w:pStyle w:val="11"/>
            </w:pPr>
            <w:r>
              <w:t>862.90</w:t>
            </w:r>
          </w:p>
        </w:tc>
        <w:tc>
          <w:tcPr>
            <w:tcW w:w="1095" w:type="dxa"/>
            <w:vAlign w:val="center"/>
          </w:tcPr>
          <w:p>
            <w:pPr>
              <w:pStyle w:val="11"/>
            </w:pPr>
            <w:r>
              <w:t>586.76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2040601</w:t>
            </w:r>
          </w:p>
        </w:tc>
        <w:tc>
          <w:tcPr>
            <w:tcW w:w="1095" w:type="dxa"/>
            <w:vAlign w:val="center"/>
          </w:tcPr>
          <w:p>
            <w:pPr>
              <w:pStyle w:val="10"/>
            </w:pPr>
            <w:r>
              <w:t>行政运行</w:t>
            </w:r>
          </w:p>
        </w:tc>
        <w:tc>
          <w:tcPr>
            <w:tcW w:w="1095" w:type="dxa"/>
            <w:vAlign w:val="center"/>
          </w:tcPr>
          <w:p>
            <w:pPr>
              <w:pStyle w:val="11"/>
            </w:pPr>
            <w:r>
              <w:t>882.90</w:t>
            </w:r>
          </w:p>
        </w:tc>
        <w:tc>
          <w:tcPr>
            <w:tcW w:w="1095" w:type="dxa"/>
            <w:vAlign w:val="center"/>
          </w:tcPr>
          <w:p>
            <w:pPr>
              <w:pStyle w:val="11"/>
            </w:pPr>
            <w:r>
              <w:t>862.90</w:t>
            </w: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8</w:t>
            </w:r>
          </w:p>
        </w:tc>
        <w:tc>
          <w:tcPr>
            <w:tcW w:w="1095" w:type="dxa"/>
            <w:vAlign w:val="center"/>
          </w:tcPr>
          <w:p>
            <w:pPr>
              <w:pStyle w:val="10"/>
            </w:pPr>
            <w:r>
              <w:t>2040602</w:t>
            </w:r>
          </w:p>
        </w:tc>
        <w:tc>
          <w:tcPr>
            <w:tcW w:w="1095" w:type="dxa"/>
            <w:vAlign w:val="center"/>
          </w:tcPr>
          <w:p>
            <w:pPr>
              <w:pStyle w:val="10"/>
            </w:pPr>
            <w:r>
              <w:t>一般行政管理事务</w:t>
            </w:r>
          </w:p>
        </w:tc>
        <w:tc>
          <w:tcPr>
            <w:tcW w:w="1095" w:type="dxa"/>
            <w:vAlign w:val="center"/>
          </w:tcPr>
          <w:p>
            <w:pPr>
              <w:pStyle w:val="11"/>
            </w:pPr>
            <w:r>
              <w:t>40.70</w:t>
            </w:r>
          </w:p>
        </w:tc>
        <w:tc>
          <w:tcPr>
            <w:tcW w:w="1095" w:type="dxa"/>
            <w:vAlign w:val="center"/>
          </w:tcPr>
          <w:p>
            <w:pPr>
              <w:pStyle w:val="11"/>
            </w:pPr>
          </w:p>
        </w:tc>
        <w:tc>
          <w:tcPr>
            <w:tcW w:w="1095" w:type="dxa"/>
            <w:vAlign w:val="center"/>
          </w:tcPr>
          <w:p>
            <w:pPr>
              <w:pStyle w:val="11"/>
            </w:pPr>
            <w:r>
              <w:t>40.70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10"/>
            </w:pPr>
            <w:r>
              <w:t>2040604</w:t>
            </w:r>
          </w:p>
        </w:tc>
        <w:tc>
          <w:tcPr>
            <w:tcW w:w="1095" w:type="dxa"/>
            <w:vAlign w:val="center"/>
          </w:tcPr>
          <w:p>
            <w:pPr>
              <w:pStyle w:val="10"/>
            </w:pPr>
            <w:r>
              <w:t>基层司法业务</w:t>
            </w:r>
          </w:p>
        </w:tc>
        <w:tc>
          <w:tcPr>
            <w:tcW w:w="1095" w:type="dxa"/>
            <w:vAlign w:val="center"/>
          </w:tcPr>
          <w:p>
            <w:pPr>
              <w:pStyle w:val="11"/>
            </w:pPr>
            <w:r>
              <w:t>436.06</w:t>
            </w:r>
          </w:p>
        </w:tc>
        <w:tc>
          <w:tcPr>
            <w:tcW w:w="1095" w:type="dxa"/>
            <w:vAlign w:val="center"/>
          </w:tcPr>
          <w:p>
            <w:pPr>
              <w:pStyle w:val="11"/>
            </w:pPr>
          </w:p>
        </w:tc>
        <w:tc>
          <w:tcPr>
            <w:tcW w:w="1095" w:type="dxa"/>
            <w:vAlign w:val="center"/>
          </w:tcPr>
          <w:p>
            <w:pPr>
              <w:pStyle w:val="11"/>
            </w:pPr>
            <w:r>
              <w:t>436.06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10"/>
            </w:pPr>
            <w:r>
              <w:t>2040605</w:t>
            </w:r>
          </w:p>
        </w:tc>
        <w:tc>
          <w:tcPr>
            <w:tcW w:w="1095" w:type="dxa"/>
            <w:vAlign w:val="center"/>
          </w:tcPr>
          <w:p>
            <w:pPr>
              <w:pStyle w:val="10"/>
            </w:pPr>
            <w:r>
              <w:t>普法宣传</w:t>
            </w:r>
          </w:p>
        </w:tc>
        <w:tc>
          <w:tcPr>
            <w:tcW w:w="1095" w:type="dxa"/>
            <w:vAlign w:val="center"/>
          </w:tcPr>
          <w:p>
            <w:pPr>
              <w:pStyle w:val="11"/>
            </w:pPr>
            <w:r>
              <w:t>40.00</w:t>
            </w:r>
          </w:p>
        </w:tc>
        <w:tc>
          <w:tcPr>
            <w:tcW w:w="1095" w:type="dxa"/>
            <w:vAlign w:val="center"/>
          </w:tcPr>
          <w:p>
            <w:pPr>
              <w:pStyle w:val="11"/>
            </w:pPr>
          </w:p>
        </w:tc>
        <w:tc>
          <w:tcPr>
            <w:tcW w:w="1095" w:type="dxa"/>
            <w:vAlign w:val="center"/>
          </w:tcPr>
          <w:p>
            <w:pPr>
              <w:pStyle w:val="11"/>
            </w:pPr>
            <w:r>
              <w:t>40.00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10"/>
            </w:pPr>
            <w:r>
              <w:t>2040607</w:t>
            </w:r>
          </w:p>
        </w:tc>
        <w:tc>
          <w:tcPr>
            <w:tcW w:w="1095" w:type="dxa"/>
            <w:vAlign w:val="center"/>
          </w:tcPr>
          <w:p>
            <w:pPr>
              <w:pStyle w:val="10"/>
            </w:pPr>
            <w:r>
              <w:t>公共法律服务</w:t>
            </w:r>
          </w:p>
        </w:tc>
        <w:tc>
          <w:tcPr>
            <w:tcW w:w="1095" w:type="dxa"/>
            <w:vAlign w:val="center"/>
          </w:tcPr>
          <w:p>
            <w:pPr>
              <w:pStyle w:val="11"/>
            </w:pPr>
            <w:r>
              <w:t>30.00</w:t>
            </w:r>
          </w:p>
        </w:tc>
        <w:tc>
          <w:tcPr>
            <w:tcW w:w="1095" w:type="dxa"/>
            <w:vAlign w:val="center"/>
          </w:tcPr>
          <w:p>
            <w:pPr>
              <w:pStyle w:val="11"/>
            </w:pPr>
          </w:p>
        </w:tc>
        <w:tc>
          <w:tcPr>
            <w:tcW w:w="1095" w:type="dxa"/>
            <w:vAlign w:val="center"/>
          </w:tcPr>
          <w:p>
            <w:pPr>
              <w:pStyle w:val="11"/>
            </w:pPr>
            <w:r>
              <w:t>30.00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10"/>
            </w:pPr>
            <w:r>
              <w:t>2040612</w:t>
            </w:r>
          </w:p>
        </w:tc>
        <w:tc>
          <w:tcPr>
            <w:tcW w:w="1095" w:type="dxa"/>
            <w:vAlign w:val="center"/>
          </w:tcPr>
          <w:p>
            <w:pPr>
              <w:pStyle w:val="10"/>
            </w:pPr>
            <w:r>
              <w:t>法治建设</w:t>
            </w: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175.33</w:t>
            </w:r>
          </w:p>
        </w:tc>
        <w:tc>
          <w:tcPr>
            <w:tcW w:w="1095" w:type="dxa"/>
            <w:vAlign w:val="center"/>
          </w:tcPr>
          <w:p>
            <w:pPr>
              <w:pStyle w:val="11"/>
            </w:pPr>
            <w:r>
              <w:t>173.43</w:t>
            </w:r>
          </w:p>
        </w:tc>
        <w:tc>
          <w:tcPr>
            <w:tcW w:w="1095" w:type="dxa"/>
            <w:vAlign w:val="center"/>
          </w:tcPr>
          <w:p>
            <w:pPr>
              <w:pStyle w:val="11"/>
            </w:pPr>
            <w:r>
              <w:t>1.90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14</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173.43</w:t>
            </w:r>
          </w:p>
        </w:tc>
        <w:tc>
          <w:tcPr>
            <w:tcW w:w="1095" w:type="dxa"/>
            <w:vAlign w:val="center"/>
          </w:tcPr>
          <w:p>
            <w:pPr>
              <w:pStyle w:val="11"/>
            </w:pPr>
            <w:r>
              <w:t>173.43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15</w:t>
            </w:r>
          </w:p>
        </w:tc>
        <w:tc>
          <w:tcPr>
            <w:tcW w:w="1095" w:type="dxa"/>
            <w:vAlign w:val="center"/>
          </w:tcPr>
          <w:p>
            <w:pPr>
              <w:pStyle w:val="10"/>
            </w:pPr>
            <w:r>
              <w:t>2080501</w:t>
            </w:r>
          </w:p>
        </w:tc>
        <w:tc>
          <w:tcPr>
            <w:tcW w:w="1095" w:type="dxa"/>
            <w:vAlign w:val="center"/>
          </w:tcPr>
          <w:p>
            <w:pPr>
              <w:pStyle w:val="10"/>
            </w:pPr>
            <w:r>
              <w:t>行政单位离退休</w:t>
            </w:r>
          </w:p>
        </w:tc>
        <w:tc>
          <w:tcPr>
            <w:tcW w:w="1095" w:type="dxa"/>
            <w:vAlign w:val="center"/>
          </w:tcPr>
          <w:p>
            <w:pPr>
              <w:pStyle w:val="11"/>
            </w:pPr>
            <w:r>
              <w:t>65.14</w:t>
            </w:r>
          </w:p>
        </w:tc>
        <w:tc>
          <w:tcPr>
            <w:tcW w:w="1095" w:type="dxa"/>
            <w:vAlign w:val="center"/>
          </w:tcPr>
          <w:p>
            <w:pPr>
              <w:pStyle w:val="11"/>
            </w:pPr>
            <w:r>
              <w:t>65.14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16</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108.29</w:t>
            </w:r>
          </w:p>
        </w:tc>
        <w:tc>
          <w:tcPr>
            <w:tcW w:w="1095" w:type="dxa"/>
            <w:vAlign w:val="center"/>
          </w:tcPr>
          <w:p>
            <w:pPr>
              <w:pStyle w:val="11"/>
            </w:pPr>
            <w:r>
              <w:t>108.29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17</w:t>
            </w:r>
          </w:p>
        </w:tc>
        <w:tc>
          <w:tcPr>
            <w:tcW w:w="1095" w:type="dxa"/>
            <w:vAlign w:val="center"/>
          </w:tcPr>
          <w:p>
            <w:pPr>
              <w:pStyle w:val="10"/>
            </w:pPr>
            <w:r>
              <w:t>20807</w:t>
            </w:r>
          </w:p>
        </w:tc>
        <w:tc>
          <w:tcPr>
            <w:tcW w:w="1095" w:type="dxa"/>
            <w:vAlign w:val="center"/>
          </w:tcPr>
          <w:p>
            <w:pPr>
              <w:pStyle w:val="10"/>
            </w:pPr>
            <w:r>
              <w:t>就业补助</w:t>
            </w:r>
          </w:p>
        </w:tc>
        <w:tc>
          <w:tcPr>
            <w:tcW w:w="1095" w:type="dxa"/>
            <w:vAlign w:val="center"/>
          </w:tcPr>
          <w:p>
            <w:pPr>
              <w:pStyle w:val="11"/>
            </w:pPr>
            <w:r>
              <w:t>1.90</w:t>
            </w:r>
          </w:p>
        </w:tc>
        <w:tc>
          <w:tcPr>
            <w:tcW w:w="1095" w:type="dxa"/>
            <w:vAlign w:val="center"/>
          </w:tcPr>
          <w:p>
            <w:pPr>
              <w:pStyle w:val="11"/>
            </w:pPr>
          </w:p>
        </w:tc>
        <w:tc>
          <w:tcPr>
            <w:tcW w:w="1095" w:type="dxa"/>
            <w:vAlign w:val="center"/>
          </w:tcPr>
          <w:p>
            <w:pPr>
              <w:pStyle w:val="11"/>
            </w:pPr>
            <w:r>
              <w:t>1.90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18</w:t>
            </w:r>
          </w:p>
        </w:tc>
        <w:tc>
          <w:tcPr>
            <w:tcW w:w="1095" w:type="dxa"/>
            <w:vAlign w:val="center"/>
          </w:tcPr>
          <w:p>
            <w:pPr>
              <w:pStyle w:val="10"/>
            </w:pPr>
            <w:r>
              <w:t>2080711</w:t>
            </w:r>
          </w:p>
        </w:tc>
        <w:tc>
          <w:tcPr>
            <w:tcW w:w="1095" w:type="dxa"/>
            <w:vAlign w:val="center"/>
          </w:tcPr>
          <w:p>
            <w:pPr>
              <w:pStyle w:val="10"/>
            </w:pPr>
            <w:r>
              <w:t>就业见习补贴</w:t>
            </w:r>
          </w:p>
        </w:tc>
        <w:tc>
          <w:tcPr>
            <w:tcW w:w="1095" w:type="dxa"/>
            <w:vAlign w:val="center"/>
          </w:tcPr>
          <w:p>
            <w:pPr>
              <w:pStyle w:val="11"/>
            </w:pPr>
            <w:r>
              <w:t>1.90</w:t>
            </w:r>
          </w:p>
        </w:tc>
        <w:tc>
          <w:tcPr>
            <w:tcW w:w="1095" w:type="dxa"/>
            <w:vAlign w:val="center"/>
          </w:tcPr>
          <w:p>
            <w:pPr>
              <w:pStyle w:val="11"/>
            </w:pPr>
          </w:p>
        </w:tc>
        <w:tc>
          <w:tcPr>
            <w:tcW w:w="1095" w:type="dxa"/>
            <w:vAlign w:val="center"/>
          </w:tcPr>
          <w:p>
            <w:pPr>
              <w:pStyle w:val="11"/>
            </w:pPr>
            <w:r>
              <w:t>1.90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19</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11"/>
            </w:pPr>
            <w:r>
              <w:t>100.34</w:t>
            </w:r>
          </w:p>
        </w:tc>
        <w:tc>
          <w:tcPr>
            <w:tcW w:w="1095" w:type="dxa"/>
            <w:vAlign w:val="center"/>
          </w:tcPr>
          <w:p>
            <w:pPr>
              <w:pStyle w:val="11"/>
            </w:pPr>
            <w:r>
              <w:t>100.34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20</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11"/>
            </w:pPr>
            <w:r>
              <w:t>100.34</w:t>
            </w:r>
          </w:p>
        </w:tc>
        <w:tc>
          <w:tcPr>
            <w:tcW w:w="1095" w:type="dxa"/>
            <w:vAlign w:val="center"/>
          </w:tcPr>
          <w:p>
            <w:pPr>
              <w:pStyle w:val="11"/>
            </w:pPr>
            <w:r>
              <w:t>100.34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21</w:t>
            </w:r>
          </w:p>
        </w:tc>
        <w:tc>
          <w:tcPr>
            <w:tcW w:w="1095" w:type="dxa"/>
            <w:vAlign w:val="center"/>
          </w:tcPr>
          <w:p>
            <w:pPr>
              <w:pStyle w:val="10"/>
            </w:pPr>
            <w:r>
              <w:t>2101101</w:t>
            </w:r>
          </w:p>
        </w:tc>
        <w:tc>
          <w:tcPr>
            <w:tcW w:w="1095" w:type="dxa"/>
            <w:vAlign w:val="center"/>
          </w:tcPr>
          <w:p>
            <w:pPr>
              <w:pStyle w:val="10"/>
            </w:pPr>
            <w:r>
              <w:t>行政单位医疗</w:t>
            </w:r>
          </w:p>
        </w:tc>
        <w:tc>
          <w:tcPr>
            <w:tcW w:w="1095" w:type="dxa"/>
            <w:vAlign w:val="center"/>
          </w:tcPr>
          <w:p>
            <w:pPr>
              <w:pStyle w:val="11"/>
            </w:pPr>
            <w:r>
              <w:t>41.49</w:t>
            </w:r>
          </w:p>
        </w:tc>
        <w:tc>
          <w:tcPr>
            <w:tcW w:w="1095" w:type="dxa"/>
            <w:vAlign w:val="center"/>
          </w:tcPr>
          <w:p>
            <w:pPr>
              <w:pStyle w:val="11"/>
            </w:pPr>
            <w:r>
              <w:t>41.49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22</w:t>
            </w:r>
          </w:p>
        </w:tc>
        <w:tc>
          <w:tcPr>
            <w:tcW w:w="1095" w:type="dxa"/>
            <w:vAlign w:val="center"/>
          </w:tcPr>
          <w:p>
            <w:pPr>
              <w:pStyle w:val="10"/>
            </w:pPr>
            <w:r>
              <w:t>2101103</w:t>
            </w:r>
          </w:p>
        </w:tc>
        <w:tc>
          <w:tcPr>
            <w:tcW w:w="1095" w:type="dxa"/>
            <w:vAlign w:val="center"/>
          </w:tcPr>
          <w:p>
            <w:pPr>
              <w:pStyle w:val="10"/>
            </w:pPr>
            <w:r>
              <w:t>公务员医疗补助</w:t>
            </w:r>
          </w:p>
        </w:tc>
        <w:tc>
          <w:tcPr>
            <w:tcW w:w="1095" w:type="dxa"/>
            <w:vAlign w:val="center"/>
          </w:tcPr>
          <w:p>
            <w:pPr>
              <w:pStyle w:val="11"/>
            </w:pPr>
            <w:r>
              <w:t>58.85</w:t>
            </w:r>
          </w:p>
        </w:tc>
        <w:tc>
          <w:tcPr>
            <w:tcW w:w="1095" w:type="dxa"/>
            <w:vAlign w:val="center"/>
          </w:tcPr>
          <w:p>
            <w:pPr>
              <w:pStyle w:val="11"/>
            </w:pPr>
            <w:r>
              <w:t>58.85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23</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11"/>
            </w:pPr>
            <w:r>
              <w:t>87.76</w:t>
            </w:r>
          </w:p>
        </w:tc>
        <w:tc>
          <w:tcPr>
            <w:tcW w:w="1095" w:type="dxa"/>
            <w:vAlign w:val="center"/>
          </w:tcPr>
          <w:p>
            <w:pPr>
              <w:pStyle w:val="11"/>
            </w:pPr>
            <w:r>
              <w:t>87.76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24</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11"/>
            </w:pPr>
            <w:r>
              <w:t>87.76</w:t>
            </w:r>
          </w:p>
        </w:tc>
        <w:tc>
          <w:tcPr>
            <w:tcW w:w="1095" w:type="dxa"/>
            <w:vAlign w:val="center"/>
          </w:tcPr>
          <w:p>
            <w:pPr>
              <w:pStyle w:val="11"/>
            </w:pPr>
            <w:r>
              <w:t>87.76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25</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11"/>
            </w:pPr>
            <w:r>
              <w:t>87.76</w:t>
            </w:r>
          </w:p>
        </w:tc>
        <w:tc>
          <w:tcPr>
            <w:tcW w:w="1095" w:type="dxa"/>
            <w:vAlign w:val="center"/>
          </w:tcPr>
          <w:p>
            <w:pPr>
              <w:pStyle w:val="11"/>
            </w:pPr>
            <w:r>
              <w:t>87.76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5"/>
            </w:pPr>
            <w:r>
              <w:t>330唐山市丰南区司法局</w:t>
            </w:r>
          </w:p>
        </w:tc>
        <w:tc>
          <w:tcPr>
            <w:tcW w:w="1232" w:type="dxa"/>
            <w:tcBorders>
              <w:top w:val="single" w:color="FFFFFF" w:sz="6" w:space="0"/>
              <w:left w:val="single" w:color="FFFFFF" w:sz="6" w:space="0"/>
              <w:right w:val="single" w:color="FFFFFF" w:sz="6" w:space="0"/>
            </w:tcBorders>
            <w:vAlign w:val="center"/>
          </w:tcPr>
          <w:p>
            <w:pPr>
              <w:pStyle w:val="6"/>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2464" w:type="dxa"/>
            <w:gridSpan w:val="2"/>
            <w:vAlign w:val="center"/>
          </w:tcPr>
          <w:p>
            <w:pPr>
              <w:pStyle w:val="8"/>
            </w:pPr>
            <w:r>
              <w:t>收入</w:t>
            </w:r>
          </w:p>
        </w:tc>
        <w:tc>
          <w:tcPr>
            <w:tcW w:w="6160"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1954.13</w:t>
            </w:r>
          </w:p>
        </w:tc>
        <w:tc>
          <w:tcPr>
            <w:tcW w:w="1232" w:type="dxa"/>
            <w:vAlign w:val="center"/>
          </w:tcPr>
          <w:p>
            <w:pPr>
              <w:pStyle w:val="10"/>
            </w:pPr>
            <w:r>
              <w:t>一、一般公共服务支出</w:t>
            </w:r>
          </w:p>
        </w:tc>
        <w:tc>
          <w:tcPr>
            <w:tcW w:w="1232" w:type="dxa"/>
            <w:vAlign w:val="center"/>
          </w:tcPr>
          <w:p>
            <w:pPr>
              <w:pStyle w:val="11"/>
            </w:pPr>
            <w:r>
              <w:t>141.04</w:t>
            </w:r>
          </w:p>
        </w:tc>
        <w:tc>
          <w:tcPr>
            <w:tcW w:w="1232" w:type="dxa"/>
            <w:vAlign w:val="center"/>
          </w:tcPr>
          <w:p>
            <w:pPr>
              <w:pStyle w:val="11"/>
            </w:pPr>
            <w:r>
              <w:t>141.04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r>
              <w:t>1449.66</w:t>
            </w:r>
          </w:p>
        </w:tc>
        <w:tc>
          <w:tcPr>
            <w:tcW w:w="1232" w:type="dxa"/>
            <w:vAlign w:val="center"/>
          </w:tcPr>
          <w:p>
            <w:pPr>
              <w:pStyle w:val="11"/>
            </w:pPr>
            <w:r>
              <w:t>1449.66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175.33</w:t>
            </w:r>
          </w:p>
        </w:tc>
        <w:tc>
          <w:tcPr>
            <w:tcW w:w="1232" w:type="dxa"/>
            <w:vAlign w:val="center"/>
          </w:tcPr>
          <w:p>
            <w:pPr>
              <w:pStyle w:val="11"/>
            </w:pPr>
            <w:r>
              <w:t>175.33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十、卫生健康支出</w:t>
            </w:r>
          </w:p>
        </w:tc>
        <w:tc>
          <w:tcPr>
            <w:tcW w:w="1232" w:type="dxa"/>
            <w:vAlign w:val="center"/>
          </w:tcPr>
          <w:p>
            <w:pPr>
              <w:pStyle w:val="11"/>
            </w:pPr>
            <w:r>
              <w:t>100.34</w:t>
            </w:r>
          </w:p>
        </w:tc>
        <w:tc>
          <w:tcPr>
            <w:tcW w:w="1232" w:type="dxa"/>
            <w:vAlign w:val="center"/>
          </w:tcPr>
          <w:p>
            <w:pPr>
              <w:pStyle w:val="11"/>
            </w:pPr>
            <w:r>
              <w:t>100.34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二十、住房保障支出</w:t>
            </w:r>
          </w:p>
        </w:tc>
        <w:tc>
          <w:tcPr>
            <w:tcW w:w="1232" w:type="dxa"/>
            <w:vAlign w:val="center"/>
          </w:tcPr>
          <w:p>
            <w:pPr>
              <w:pStyle w:val="11"/>
            </w:pPr>
            <w:r>
              <w:t>87.76</w:t>
            </w:r>
          </w:p>
        </w:tc>
        <w:tc>
          <w:tcPr>
            <w:tcW w:w="1232" w:type="dxa"/>
            <w:vAlign w:val="center"/>
          </w:tcPr>
          <w:p>
            <w:pPr>
              <w:pStyle w:val="11"/>
            </w:pPr>
            <w:r>
              <w:t>87.76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2"/>
            </w:pPr>
            <w:r>
              <w:t>本年收入合计</w:t>
            </w:r>
          </w:p>
        </w:tc>
        <w:tc>
          <w:tcPr>
            <w:tcW w:w="1232" w:type="dxa"/>
            <w:vAlign w:val="center"/>
          </w:tcPr>
          <w:p>
            <w:pPr>
              <w:pStyle w:val="13"/>
            </w:pPr>
            <w:r>
              <w:t>1954.13</w:t>
            </w:r>
          </w:p>
        </w:tc>
        <w:tc>
          <w:tcPr>
            <w:tcW w:w="1232" w:type="dxa"/>
            <w:vAlign w:val="center"/>
          </w:tcPr>
          <w:p>
            <w:pPr>
              <w:pStyle w:val="12"/>
            </w:pPr>
            <w:r>
              <w:t>本年支出合计</w:t>
            </w:r>
          </w:p>
        </w:tc>
        <w:tc>
          <w:tcPr>
            <w:tcW w:w="1232" w:type="dxa"/>
            <w:vAlign w:val="center"/>
          </w:tcPr>
          <w:p>
            <w:pPr>
              <w:pStyle w:val="13"/>
            </w:pPr>
            <w:r>
              <w:t>1954.13</w:t>
            </w:r>
          </w:p>
        </w:tc>
        <w:tc>
          <w:tcPr>
            <w:tcW w:w="1232" w:type="dxa"/>
            <w:vAlign w:val="center"/>
          </w:tcPr>
          <w:p>
            <w:pPr>
              <w:pStyle w:val="13"/>
            </w:pPr>
            <w:r>
              <w:t>1954.13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0"/>
            </w:pPr>
            <w:r>
              <w:t>年初财政拨款结转和结余</w:t>
            </w:r>
          </w:p>
        </w:tc>
        <w:tc>
          <w:tcPr>
            <w:tcW w:w="1232" w:type="dxa"/>
            <w:vAlign w:val="center"/>
          </w:tcPr>
          <w:p>
            <w:pPr>
              <w:pStyle w:val="11"/>
            </w:pP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一、一般公共预算拨款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37</w:t>
            </w:r>
          </w:p>
        </w:tc>
        <w:tc>
          <w:tcPr>
            <w:tcW w:w="1232" w:type="dxa"/>
            <w:vAlign w:val="center"/>
          </w:tcPr>
          <w:p>
            <w:pPr>
              <w:pStyle w:val="12"/>
            </w:pPr>
            <w:r>
              <w:t>收入总计</w:t>
            </w:r>
          </w:p>
        </w:tc>
        <w:tc>
          <w:tcPr>
            <w:tcW w:w="1232" w:type="dxa"/>
            <w:vAlign w:val="center"/>
          </w:tcPr>
          <w:p>
            <w:pPr>
              <w:pStyle w:val="13"/>
            </w:pPr>
            <w:r>
              <w:t>1954.13</w:t>
            </w:r>
          </w:p>
        </w:tc>
        <w:tc>
          <w:tcPr>
            <w:tcW w:w="1232" w:type="dxa"/>
            <w:vAlign w:val="center"/>
          </w:tcPr>
          <w:p>
            <w:pPr>
              <w:pStyle w:val="12"/>
            </w:pPr>
            <w:r>
              <w:t>支出总计</w:t>
            </w:r>
          </w:p>
        </w:tc>
        <w:tc>
          <w:tcPr>
            <w:tcW w:w="1232" w:type="dxa"/>
            <w:vAlign w:val="center"/>
          </w:tcPr>
          <w:p>
            <w:pPr>
              <w:pStyle w:val="13"/>
            </w:pPr>
            <w:r>
              <w:t>1954.13</w:t>
            </w:r>
          </w:p>
        </w:tc>
        <w:tc>
          <w:tcPr>
            <w:tcW w:w="1232" w:type="dxa"/>
            <w:vAlign w:val="center"/>
          </w:tcPr>
          <w:p>
            <w:pPr>
              <w:pStyle w:val="13"/>
            </w:pPr>
            <w:r>
              <w:t>1954.13</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330唐山市丰南区司法局</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1954.13</w:t>
            </w:r>
          </w:p>
        </w:tc>
        <w:tc>
          <w:tcPr>
            <w:tcW w:w="1643" w:type="dxa"/>
            <w:vAlign w:val="center"/>
          </w:tcPr>
          <w:p>
            <w:pPr>
              <w:pStyle w:val="13"/>
            </w:pPr>
            <w:r>
              <w:t>1365.47</w:t>
            </w:r>
          </w:p>
        </w:tc>
        <w:tc>
          <w:tcPr>
            <w:tcW w:w="1643" w:type="dxa"/>
            <w:vAlign w:val="center"/>
          </w:tcPr>
          <w:p>
            <w:pPr>
              <w:pStyle w:val="13"/>
            </w:pPr>
            <w:r>
              <w:t>588.66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201</w:t>
            </w:r>
          </w:p>
        </w:tc>
        <w:tc>
          <w:tcPr>
            <w:tcW w:w="1643" w:type="dxa"/>
            <w:vAlign w:val="center"/>
          </w:tcPr>
          <w:p>
            <w:pPr>
              <w:pStyle w:val="10"/>
            </w:pPr>
            <w:r>
              <w:t>一般公共服务支出</w:t>
            </w:r>
          </w:p>
        </w:tc>
        <w:tc>
          <w:tcPr>
            <w:tcW w:w="1643" w:type="dxa"/>
            <w:vAlign w:val="center"/>
          </w:tcPr>
          <w:p>
            <w:pPr>
              <w:pStyle w:val="11"/>
            </w:pPr>
            <w:r>
              <w:t>141.04</w:t>
            </w:r>
          </w:p>
        </w:tc>
        <w:tc>
          <w:tcPr>
            <w:tcW w:w="1643" w:type="dxa"/>
            <w:vAlign w:val="center"/>
          </w:tcPr>
          <w:p>
            <w:pPr>
              <w:pStyle w:val="11"/>
            </w:pPr>
            <w:r>
              <w:t>141.04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20103</w:t>
            </w:r>
          </w:p>
        </w:tc>
        <w:tc>
          <w:tcPr>
            <w:tcW w:w="1643" w:type="dxa"/>
            <w:vAlign w:val="center"/>
          </w:tcPr>
          <w:p>
            <w:pPr>
              <w:pStyle w:val="10"/>
            </w:pPr>
            <w:r>
              <w:t>政府办公厅（室）及相关机构事务</w:t>
            </w:r>
          </w:p>
        </w:tc>
        <w:tc>
          <w:tcPr>
            <w:tcW w:w="1643" w:type="dxa"/>
            <w:vAlign w:val="center"/>
          </w:tcPr>
          <w:p>
            <w:pPr>
              <w:pStyle w:val="11"/>
            </w:pPr>
            <w:r>
              <w:t>141.04</w:t>
            </w:r>
          </w:p>
        </w:tc>
        <w:tc>
          <w:tcPr>
            <w:tcW w:w="1643" w:type="dxa"/>
            <w:vAlign w:val="center"/>
          </w:tcPr>
          <w:p>
            <w:pPr>
              <w:pStyle w:val="11"/>
            </w:pPr>
            <w:r>
              <w:t>141.04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2010301</w:t>
            </w:r>
          </w:p>
        </w:tc>
        <w:tc>
          <w:tcPr>
            <w:tcW w:w="1643" w:type="dxa"/>
            <w:vAlign w:val="center"/>
          </w:tcPr>
          <w:p>
            <w:pPr>
              <w:pStyle w:val="10"/>
            </w:pPr>
            <w:r>
              <w:t>行政运行</w:t>
            </w:r>
          </w:p>
        </w:tc>
        <w:tc>
          <w:tcPr>
            <w:tcW w:w="1643" w:type="dxa"/>
            <w:vAlign w:val="center"/>
          </w:tcPr>
          <w:p>
            <w:pPr>
              <w:pStyle w:val="11"/>
            </w:pPr>
            <w:r>
              <w:t>141.04</w:t>
            </w:r>
          </w:p>
        </w:tc>
        <w:tc>
          <w:tcPr>
            <w:tcW w:w="1643" w:type="dxa"/>
            <w:vAlign w:val="center"/>
          </w:tcPr>
          <w:p>
            <w:pPr>
              <w:pStyle w:val="11"/>
            </w:pPr>
            <w:r>
              <w:t>141.04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204</w:t>
            </w:r>
          </w:p>
        </w:tc>
        <w:tc>
          <w:tcPr>
            <w:tcW w:w="1643" w:type="dxa"/>
            <w:vAlign w:val="center"/>
          </w:tcPr>
          <w:p>
            <w:pPr>
              <w:pStyle w:val="10"/>
            </w:pPr>
            <w:r>
              <w:t>公共安全支出</w:t>
            </w:r>
          </w:p>
        </w:tc>
        <w:tc>
          <w:tcPr>
            <w:tcW w:w="1643" w:type="dxa"/>
            <w:vAlign w:val="center"/>
          </w:tcPr>
          <w:p>
            <w:pPr>
              <w:pStyle w:val="11"/>
            </w:pPr>
            <w:r>
              <w:t>1449.66</w:t>
            </w:r>
          </w:p>
        </w:tc>
        <w:tc>
          <w:tcPr>
            <w:tcW w:w="1643" w:type="dxa"/>
            <w:vAlign w:val="center"/>
          </w:tcPr>
          <w:p>
            <w:pPr>
              <w:pStyle w:val="11"/>
            </w:pPr>
            <w:r>
              <w:t>862.90</w:t>
            </w:r>
          </w:p>
        </w:tc>
        <w:tc>
          <w:tcPr>
            <w:tcW w:w="1643" w:type="dxa"/>
            <w:vAlign w:val="center"/>
          </w:tcPr>
          <w:p>
            <w:pPr>
              <w:pStyle w:val="11"/>
            </w:pPr>
            <w:r>
              <w:t>586.76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20406</w:t>
            </w:r>
          </w:p>
        </w:tc>
        <w:tc>
          <w:tcPr>
            <w:tcW w:w="1643" w:type="dxa"/>
            <w:vAlign w:val="center"/>
          </w:tcPr>
          <w:p>
            <w:pPr>
              <w:pStyle w:val="10"/>
            </w:pPr>
            <w:r>
              <w:t>司法</w:t>
            </w:r>
          </w:p>
        </w:tc>
        <w:tc>
          <w:tcPr>
            <w:tcW w:w="1643" w:type="dxa"/>
            <w:vAlign w:val="center"/>
          </w:tcPr>
          <w:p>
            <w:pPr>
              <w:pStyle w:val="11"/>
            </w:pPr>
            <w:r>
              <w:t>1449.66</w:t>
            </w:r>
          </w:p>
        </w:tc>
        <w:tc>
          <w:tcPr>
            <w:tcW w:w="1643" w:type="dxa"/>
            <w:vAlign w:val="center"/>
          </w:tcPr>
          <w:p>
            <w:pPr>
              <w:pStyle w:val="11"/>
            </w:pPr>
            <w:r>
              <w:t>862.90</w:t>
            </w:r>
          </w:p>
        </w:tc>
        <w:tc>
          <w:tcPr>
            <w:tcW w:w="1643" w:type="dxa"/>
            <w:vAlign w:val="center"/>
          </w:tcPr>
          <w:p>
            <w:pPr>
              <w:pStyle w:val="11"/>
            </w:pPr>
            <w:r>
              <w:t>586.76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2040601</w:t>
            </w:r>
          </w:p>
        </w:tc>
        <w:tc>
          <w:tcPr>
            <w:tcW w:w="1643" w:type="dxa"/>
            <w:vAlign w:val="center"/>
          </w:tcPr>
          <w:p>
            <w:pPr>
              <w:pStyle w:val="10"/>
            </w:pPr>
            <w:r>
              <w:t>行政运行</w:t>
            </w:r>
          </w:p>
        </w:tc>
        <w:tc>
          <w:tcPr>
            <w:tcW w:w="1643" w:type="dxa"/>
            <w:vAlign w:val="center"/>
          </w:tcPr>
          <w:p>
            <w:pPr>
              <w:pStyle w:val="11"/>
            </w:pPr>
            <w:r>
              <w:t>882.90</w:t>
            </w:r>
          </w:p>
        </w:tc>
        <w:tc>
          <w:tcPr>
            <w:tcW w:w="1643" w:type="dxa"/>
            <w:vAlign w:val="center"/>
          </w:tcPr>
          <w:p>
            <w:pPr>
              <w:pStyle w:val="11"/>
            </w:pPr>
            <w:r>
              <w:t>862.90</w:t>
            </w: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2040602</w:t>
            </w:r>
          </w:p>
        </w:tc>
        <w:tc>
          <w:tcPr>
            <w:tcW w:w="1643" w:type="dxa"/>
            <w:vAlign w:val="center"/>
          </w:tcPr>
          <w:p>
            <w:pPr>
              <w:pStyle w:val="10"/>
            </w:pPr>
            <w:r>
              <w:t>一般行政管理事务</w:t>
            </w:r>
          </w:p>
        </w:tc>
        <w:tc>
          <w:tcPr>
            <w:tcW w:w="1643" w:type="dxa"/>
            <w:vAlign w:val="center"/>
          </w:tcPr>
          <w:p>
            <w:pPr>
              <w:pStyle w:val="11"/>
            </w:pPr>
            <w:r>
              <w:t>40.70</w:t>
            </w:r>
          </w:p>
        </w:tc>
        <w:tc>
          <w:tcPr>
            <w:tcW w:w="1643" w:type="dxa"/>
            <w:vAlign w:val="center"/>
          </w:tcPr>
          <w:p>
            <w:pPr>
              <w:pStyle w:val="11"/>
            </w:pPr>
          </w:p>
        </w:tc>
        <w:tc>
          <w:tcPr>
            <w:tcW w:w="1643" w:type="dxa"/>
            <w:vAlign w:val="center"/>
          </w:tcPr>
          <w:p>
            <w:pPr>
              <w:pStyle w:val="11"/>
            </w:pPr>
            <w:r>
              <w:t>40.70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2040604</w:t>
            </w:r>
          </w:p>
        </w:tc>
        <w:tc>
          <w:tcPr>
            <w:tcW w:w="1643" w:type="dxa"/>
            <w:vAlign w:val="center"/>
          </w:tcPr>
          <w:p>
            <w:pPr>
              <w:pStyle w:val="10"/>
            </w:pPr>
            <w:r>
              <w:t>基层司法业务</w:t>
            </w:r>
          </w:p>
        </w:tc>
        <w:tc>
          <w:tcPr>
            <w:tcW w:w="1643" w:type="dxa"/>
            <w:vAlign w:val="center"/>
          </w:tcPr>
          <w:p>
            <w:pPr>
              <w:pStyle w:val="11"/>
            </w:pPr>
            <w:r>
              <w:t>436.06</w:t>
            </w:r>
          </w:p>
        </w:tc>
        <w:tc>
          <w:tcPr>
            <w:tcW w:w="1643" w:type="dxa"/>
            <w:vAlign w:val="center"/>
          </w:tcPr>
          <w:p>
            <w:pPr>
              <w:pStyle w:val="11"/>
            </w:pPr>
          </w:p>
        </w:tc>
        <w:tc>
          <w:tcPr>
            <w:tcW w:w="1643" w:type="dxa"/>
            <w:vAlign w:val="center"/>
          </w:tcPr>
          <w:p>
            <w:pPr>
              <w:pStyle w:val="11"/>
            </w:pPr>
            <w:r>
              <w:t>436.06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2040605</w:t>
            </w:r>
          </w:p>
        </w:tc>
        <w:tc>
          <w:tcPr>
            <w:tcW w:w="1643" w:type="dxa"/>
            <w:vAlign w:val="center"/>
          </w:tcPr>
          <w:p>
            <w:pPr>
              <w:pStyle w:val="10"/>
            </w:pPr>
            <w:r>
              <w:t>普法宣传</w:t>
            </w:r>
          </w:p>
        </w:tc>
        <w:tc>
          <w:tcPr>
            <w:tcW w:w="1643" w:type="dxa"/>
            <w:vAlign w:val="center"/>
          </w:tcPr>
          <w:p>
            <w:pPr>
              <w:pStyle w:val="11"/>
            </w:pPr>
            <w:r>
              <w:t>40.00</w:t>
            </w:r>
          </w:p>
        </w:tc>
        <w:tc>
          <w:tcPr>
            <w:tcW w:w="1643" w:type="dxa"/>
            <w:vAlign w:val="center"/>
          </w:tcPr>
          <w:p>
            <w:pPr>
              <w:pStyle w:val="11"/>
            </w:pPr>
          </w:p>
        </w:tc>
        <w:tc>
          <w:tcPr>
            <w:tcW w:w="1643"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2040607</w:t>
            </w:r>
          </w:p>
        </w:tc>
        <w:tc>
          <w:tcPr>
            <w:tcW w:w="1643" w:type="dxa"/>
            <w:vAlign w:val="center"/>
          </w:tcPr>
          <w:p>
            <w:pPr>
              <w:pStyle w:val="10"/>
            </w:pPr>
            <w:r>
              <w:t>公共法律服务</w:t>
            </w:r>
          </w:p>
        </w:tc>
        <w:tc>
          <w:tcPr>
            <w:tcW w:w="1643" w:type="dxa"/>
            <w:vAlign w:val="center"/>
          </w:tcPr>
          <w:p>
            <w:pPr>
              <w:pStyle w:val="11"/>
            </w:pPr>
            <w:r>
              <w:t>30.00</w:t>
            </w:r>
          </w:p>
        </w:tc>
        <w:tc>
          <w:tcPr>
            <w:tcW w:w="1643" w:type="dxa"/>
            <w:vAlign w:val="center"/>
          </w:tcPr>
          <w:p>
            <w:pPr>
              <w:pStyle w:val="11"/>
            </w:pPr>
          </w:p>
        </w:tc>
        <w:tc>
          <w:tcPr>
            <w:tcW w:w="1643"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2040612</w:t>
            </w:r>
          </w:p>
        </w:tc>
        <w:tc>
          <w:tcPr>
            <w:tcW w:w="1643" w:type="dxa"/>
            <w:vAlign w:val="center"/>
          </w:tcPr>
          <w:p>
            <w:pPr>
              <w:pStyle w:val="10"/>
            </w:pPr>
            <w:r>
              <w:t>法治建设</w:t>
            </w:r>
          </w:p>
        </w:tc>
        <w:tc>
          <w:tcPr>
            <w:tcW w:w="1643" w:type="dxa"/>
            <w:vAlign w:val="center"/>
          </w:tcPr>
          <w:p>
            <w:pPr>
              <w:pStyle w:val="11"/>
            </w:pPr>
            <w:r>
              <w:t>20.00</w:t>
            </w:r>
          </w:p>
        </w:tc>
        <w:tc>
          <w:tcPr>
            <w:tcW w:w="1643" w:type="dxa"/>
            <w:vAlign w:val="center"/>
          </w:tcPr>
          <w:p>
            <w:pPr>
              <w:pStyle w:val="11"/>
            </w:pP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175.33</w:t>
            </w:r>
          </w:p>
        </w:tc>
        <w:tc>
          <w:tcPr>
            <w:tcW w:w="1643" w:type="dxa"/>
            <w:vAlign w:val="center"/>
          </w:tcPr>
          <w:p>
            <w:pPr>
              <w:pStyle w:val="11"/>
            </w:pPr>
            <w:r>
              <w:t>173.43</w:t>
            </w:r>
          </w:p>
        </w:tc>
        <w:tc>
          <w:tcPr>
            <w:tcW w:w="1643"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173.43</w:t>
            </w:r>
          </w:p>
        </w:tc>
        <w:tc>
          <w:tcPr>
            <w:tcW w:w="1643" w:type="dxa"/>
            <w:vAlign w:val="center"/>
          </w:tcPr>
          <w:p>
            <w:pPr>
              <w:pStyle w:val="11"/>
            </w:pPr>
            <w:r>
              <w:t>173.43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2080501</w:t>
            </w:r>
          </w:p>
        </w:tc>
        <w:tc>
          <w:tcPr>
            <w:tcW w:w="1643" w:type="dxa"/>
            <w:vAlign w:val="center"/>
          </w:tcPr>
          <w:p>
            <w:pPr>
              <w:pStyle w:val="10"/>
            </w:pPr>
            <w:r>
              <w:t>行政单位离退休</w:t>
            </w:r>
          </w:p>
        </w:tc>
        <w:tc>
          <w:tcPr>
            <w:tcW w:w="1643" w:type="dxa"/>
            <w:vAlign w:val="center"/>
          </w:tcPr>
          <w:p>
            <w:pPr>
              <w:pStyle w:val="11"/>
            </w:pPr>
            <w:r>
              <w:t>65.14</w:t>
            </w:r>
          </w:p>
        </w:tc>
        <w:tc>
          <w:tcPr>
            <w:tcW w:w="1643" w:type="dxa"/>
            <w:vAlign w:val="center"/>
          </w:tcPr>
          <w:p>
            <w:pPr>
              <w:pStyle w:val="11"/>
            </w:pPr>
            <w:r>
              <w:t>65.14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108.29</w:t>
            </w:r>
          </w:p>
        </w:tc>
        <w:tc>
          <w:tcPr>
            <w:tcW w:w="1643" w:type="dxa"/>
            <w:vAlign w:val="center"/>
          </w:tcPr>
          <w:p>
            <w:pPr>
              <w:pStyle w:val="11"/>
            </w:pPr>
            <w:r>
              <w:t>108.29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20807</w:t>
            </w:r>
          </w:p>
        </w:tc>
        <w:tc>
          <w:tcPr>
            <w:tcW w:w="1643" w:type="dxa"/>
            <w:vAlign w:val="center"/>
          </w:tcPr>
          <w:p>
            <w:pPr>
              <w:pStyle w:val="10"/>
            </w:pPr>
            <w:r>
              <w:t>就业补助</w:t>
            </w:r>
          </w:p>
        </w:tc>
        <w:tc>
          <w:tcPr>
            <w:tcW w:w="1643" w:type="dxa"/>
            <w:vAlign w:val="center"/>
          </w:tcPr>
          <w:p>
            <w:pPr>
              <w:pStyle w:val="11"/>
            </w:pPr>
            <w:r>
              <w:t>1.90</w:t>
            </w:r>
          </w:p>
        </w:tc>
        <w:tc>
          <w:tcPr>
            <w:tcW w:w="1643" w:type="dxa"/>
            <w:vAlign w:val="center"/>
          </w:tcPr>
          <w:p>
            <w:pPr>
              <w:pStyle w:val="11"/>
            </w:pPr>
          </w:p>
        </w:tc>
        <w:tc>
          <w:tcPr>
            <w:tcW w:w="1643"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2080711</w:t>
            </w:r>
          </w:p>
        </w:tc>
        <w:tc>
          <w:tcPr>
            <w:tcW w:w="1643" w:type="dxa"/>
            <w:vAlign w:val="center"/>
          </w:tcPr>
          <w:p>
            <w:pPr>
              <w:pStyle w:val="10"/>
            </w:pPr>
            <w:r>
              <w:t>就业见习补贴</w:t>
            </w:r>
          </w:p>
        </w:tc>
        <w:tc>
          <w:tcPr>
            <w:tcW w:w="1643" w:type="dxa"/>
            <w:vAlign w:val="center"/>
          </w:tcPr>
          <w:p>
            <w:pPr>
              <w:pStyle w:val="11"/>
            </w:pPr>
            <w:r>
              <w:t>1.90</w:t>
            </w:r>
          </w:p>
        </w:tc>
        <w:tc>
          <w:tcPr>
            <w:tcW w:w="1643" w:type="dxa"/>
            <w:vAlign w:val="center"/>
          </w:tcPr>
          <w:p>
            <w:pPr>
              <w:pStyle w:val="11"/>
            </w:pPr>
          </w:p>
        </w:tc>
        <w:tc>
          <w:tcPr>
            <w:tcW w:w="1643"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100.34</w:t>
            </w:r>
          </w:p>
        </w:tc>
        <w:tc>
          <w:tcPr>
            <w:tcW w:w="1643" w:type="dxa"/>
            <w:vAlign w:val="center"/>
          </w:tcPr>
          <w:p>
            <w:pPr>
              <w:pStyle w:val="11"/>
            </w:pPr>
            <w:r>
              <w:t>100.34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11"/>
            </w:pPr>
            <w:r>
              <w:t>100.34</w:t>
            </w:r>
          </w:p>
        </w:tc>
        <w:tc>
          <w:tcPr>
            <w:tcW w:w="1643" w:type="dxa"/>
            <w:vAlign w:val="center"/>
          </w:tcPr>
          <w:p>
            <w:pPr>
              <w:pStyle w:val="11"/>
            </w:pPr>
            <w:r>
              <w:t>100.34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2101101</w:t>
            </w:r>
          </w:p>
        </w:tc>
        <w:tc>
          <w:tcPr>
            <w:tcW w:w="1643" w:type="dxa"/>
            <w:vAlign w:val="center"/>
          </w:tcPr>
          <w:p>
            <w:pPr>
              <w:pStyle w:val="10"/>
            </w:pPr>
            <w:r>
              <w:t>行政单位医疗</w:t>
            </w:r>
          </w:p>
        </w:tc>
        <w:tc>
          <w:tcPr>
            <w:tcW w:w="1643" w:type="dxa"/>
            <w:vAlign w:val="center"/>
          </w:tcPr>
          <w:p>
            <w:pPr>
              <w:pStyle w:val="11"/>
            </w:pPr>
            <w:r>
              <w:t>41.49</w:t>
            </w:r>
          </w:p>
        </w:tc>
        <w:tc>
          <w:tcPr>
            <w:tcW w:w="1643" w:type="dxa"/>
            <w:vAlign w:val="center"/>
          </w:tcPr>
          <w:p>
            <w:pPr>
              <w:pStyle w:val="11"/>
            </w:pPr>
            <w:r>
              <w:t>41.49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2101103</w:t>
            </w:r>
          </w:p>
        </w:tc>
        <w:tc>
          <w:tcPr>
            <w:tcW w:w="1643" w:type="dxa"/>
            <w:vAlign w:val="center"/>
          </w:tcPr>
          <w:p>
            <w:pPr>
              <w:pStyle w:val="10"/>
            </w:pPr>
            <w:r>
              <w:t>公务员医疗补助</w:t>
            </w:r>
          </w:p>
        </w:tc>
        <w:tc>
          <w:tcPr>
            <w:tcW w:w="1643" w:type="dxa"/>
            <w:vAlign w:val="center"/>
          </w:tcPr>
          <w:p>
            <w:pPr>
              <w:pStyle w:val="11"/>
            </w:pPr>
            <w:r>
              <w:t>58.85</w:t>
            </w:r>
          </w:p>
        </w:tc>
        <w:tc>
          <w:tcPr>
            <w:tcW w:w="1643" w:type="dxa"/>
            <w:vAlign w:val="center"/>
          </w:tcPr>
          <w:p>
            <w:pPr>
              <w:pStyle w:val="11"/>
            </w:pPr>
            <w:r>
              <w:t>58.85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87.76</w:t>
            </w:r>
          </w:p>
        </w:tc>
        <w:tc>
          <w:tcPr>
            <w:tcW w:w="1643" w:type="dxa"/>
            <w:vAlign w:val="center"/>
          </w:tcPr>
          <w:p>
            <w:pPr>
              <w:pStyle w:val="11"/>
            </w:pPr>
            <w:r>
              <w:t>87.76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87.76</w:t>
            </w:r>
          </w:p>
        </w:tc>
        <w:tc>
          <w:tcPr>
            <w:tcW w:w="1643" w:type="dxa"/>
            <w:vAlign w:val="center"/>
          </w:tcPr>
          <w:p>
            <w:pPr>
              <w:pStyle w:val="11"/>
            </w:pPr>
            <w:r>
              <w:t>87.76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25</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87.76</w:t>
            </w:r>
          </w:p>
        </w:tc>
        <w:tc>
          <w:tcPr>
            <w:tcW w:w="1643" w:type="dxa"/>
            <w:vAlign w:val="center"/>
          </w:tcPr>
          <w:p>
            <w:pPr>
              <w:pStyle w:val="11"/>
            </w:pPr>
            <w:r>
              <w:t>87.76</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330唐山市丰南区司法局</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支出部门经济分类科目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1365.47</w:t>
            </w:r>
          </w:p>
        </w:tc>
        <w:tc>
          <w:tcPr>
            <w:tcW w:w="1643" w:type="dxa"/>
            <w:vAlign w:val="center"/>
          </w:tcPr>
          <w:p>
            <w:pPr>
              <w:pStyle w:val="13"/>
            </w:pPr>
            <w:r>
              <w:t>1224.43</w:t>
            </w:r>
          </w:p>
        </w:tc>
        <w:tc>
          <w:tcPr>
            <w:tcW w:w="1643" w:type="dxa"/>
            <w:vAlign w:val="center"/>
          </w:tcPr>
          <w:p>
            <w:pPr>
              <w:pStyle w:val="13"/>
            </w:pPr>
            <w:r>
              <w:t>141.04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1158.00</w:t>
            </w:r>
          </w:p>
        </w:tc>
        <w:tc>
          <w:tcPr>
            <w:tcW w:w="1643" w:type="dxa"/>
            <w:vAlign w:val="center"/>
          </w:tcPr>
          <w:p>
            <w:pPr>
              <w:pStyle w:val="11"/>
            </w:pPr>
            <w:r>
              <w:t>1158.00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11"/>
            </w:pPr>
            <w:r>
              <w:t>316.26</w:t>
            </w:r>
          </w:p>
        </w:tc>
        <w:tc>
          <w:tcPr>
            <w:tcW w:w="1643" w:type="dxa"/>
            <w:vAlign w:val="center"/>
          </w:tcPr>
          <w:p>
            <w:pPr>
              <w:pStyle w:val="11"/>
            </w:pPr>
            <w:r>
              <w:t>316.26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11"/>
            </w:pPr>
            <w:r>
              <w:t>389.03</w:t>
            </w:r>
          </w:p>
        </w:tc>
        <w:tc>
          <w:tcPr>
            <w:tcW w:w="1643" w:type="dxa"/>
            <w:vAlign w:val="center"/>
          </w:tcPr>
          <w:p>
            <w:pPr>
              <w:pStyle w:val="11"/>
            </w:pPr>
            <w:r>
              <w:t>389.03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11"/>
            </w:pPr>
            <w:r>
              <w:t>136.87</w:t>
            </w:r>
          </w:p>
        </w:tc>
        <w:tc>
          <w:tcPr>
            <w:tcW w:w="1643" w:type="dxa"/>
            <w:vAlign w:val="center"/>
          </w:tcPr>
          <w:p>
            <w:pPr>
              <w:pStyle w:val="11"/>
            </w:pPr>
            <w:r>
              <w:t>136.87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11"/>
            </w:pPr>
            <w:r>
              <w:t>108.29</w:t>
            </w:r>
          </w:p>
        </w:tc>
        <w:tc>
          <w:tcPr>
            <w:tcW w:w="1643" w:type="dxa"/>
            <w:vAlign w:val="center"/>
          </w:tcPr>
          <w:p>
            <w:pPr>
              <w:pStyle w:val="11"/>
            </w:pPr>
            <w:r>
              <w:t>108.29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30110</w:t>
            </w:r>
          </w:p>
        </w:tc>
        <w:tc>
          <w:tcPr>
            <w:tcW w:w="1643" w:type="dxa"/>
            <w:vAlign w:val="center"/>
          </w:tcPr>
          <w:p>
            <w:pPr>
              <w:pStyle w:val="10"/>
            </w:pPr>
            <w:r>
              <w:t>职工基本医疗保险缴费</w:t>
            </w:r>
          </w:p>
        </w:tc>
        <w:tc>
          <w:tcPr>
            <w:tcW w:w="1643" w:type="dxa"/>
            <w:vAlign w:val="center"/>
          </w:tcPr>
          <w:p>
            <w:pPr>
              <w:pStyle w:val="11"/>
            </w:pPr>
            <w:r>
              <w:t>41.49</w:t>
            </w:r>
          </w:p>
        </w:tc>
        <w:tc>
          <w:tcPr>
            <w:tcW w:w="1643" w:type="dxa"/>
            <w:vAlign w:val="center"/>
          </w:tcPr>
          <w:p>
            <w:pPr>
              <w:pStyle w:val="11"/>
            </w:pPr>
            <w:r>
              <w:t>41.49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30111</w:t>
            </w:r>
          </w:p>
        </w:tc>
        <w:tc>
          <w:tcPr>
            <w:tcW w:w="1643" w:type="dxa"/>
            <w:vAlign w:val="center"/>
          </w:tcPr>
          <w:p>
            <w:pPr>
              <w:pStyle w:val="10"/>
            </w:pPr>
            <w:r>
              <w:t>公务员医疗补助缴费</w:t>
            </w:r>
          </w:p>
        </w:tc>
        <w:tc>
          <w:tcPr>
            <w:tcW w:w="1643" w:type="dxa"/>
            <w:vAlign w:val="center"/>
          </w:tcPr>
          <w:p>
            <w:pPr>
              <w:pStyle w:val="11"/>
            </w:pPr>
            <w:r>
              <w:t>58.85</w:t>
            </w:r>
          </w:p>
        </w:tc>
        <w:tc>
          <w:tcPr>
            <w:tcW w:w="1643" w:type="dxa"/>
            <w:vAlign w:val="center"/>
          </w:tcPr>
          <w:p>
            <w:pPr>
              <w:pStyle w:val="11"/>
            </w:pPr>
            <w:r>
              <w:t>58.85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11"/>
            </w:pPr>
            <w:r>
              <w:t>6.80</w:t>
            </w:r>
          </w:p>
        </w:tc>
        <w:tc>
          <w:tcPr>
            <w:tcW w:w="1643" w:type="dxa"/>
            <w:vAlign w:val="center"/>
          </w:tcPr>
          <w:p>
            <w:pPr>
              <w:pStyle w:val="11"/>
            </w:pPr>
            <w:r>
              <w:t>6.80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11"/>
            </w:pPr>
            <w:r>
              <w:t>87.76</w:t>
            </w:r>
          </w:p>
        </w:tc>
        <w:tc>
          <w:tcPr>
            <w:tcW w:w="1643" w:type="dxa"/>
            <w:vAlign w:val="center"/>
          </w:tcPr>
          <w:p>
            <w:pPr>
              <w:pStyle w:val="11"/>
            </w:pPr>
            <w:r>
              <w:t>87.76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30199</w:t>
            </w:r>
          </w:p>
        </w:tc>
        <w:tc>
          <w:tcPr>
            <w:tcW w:w="1643" w:type="dxa"/>
            <w:vAlign w:val="center"/>
          </w:tcPr>
          <w:p>
            <w:pPr>
              <w:pStyle w:val="10"/>
            </w:pPr>
            <w:r>
              <w:t>其他工资福利支出</w:t>
            </w:r>
          </w:p>
        </w:tc>
        <w:tc>
          <w:tcPr>
            <w:tcW w:w="1643" w:type="dxa"/>
            <w:vAlign w:val="center"/>
          </w:tcPr>
          <w:p>
            <w:pPr>
              <w:pStyle w:val="11"/>
            </w:pPr>
            <w:r>
              <w:t>12.65</w:t>
            </w:r>
          </w:p>
        </w:tc>
        <w:tc>
          <w:tcPr>
            <w:tcW w:w="1643" w:type="dxa"/>
            <w:vAlign w:val="center"/>
          </w:tcPr>
          <w:p>
            <w:pPr>
              <w:pStyle w:val="11"/>
            </w:pPr>
            <w:r>
              <w:t>12.65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140.04</w:t>
            </w:r>
          </w:p>
        </w:tc>
        <w:tc>
          <w:tcPr>
            <w:tcW w:w="1643" w:type="dxa"/>
            <w:vAlign w:val="center"/>
          </w:tcPr>
          <w:p>
            <w:pPr>
              <w:pStyle w:val="11"/>
            </w:pPr>
          </w:p>
        </w:tc>
        <w:tc>
          <w:tcPr>
            <w:tcW w:w="1643" w:type="dxa"/>
            <w:vAlign w:val="center"/>
          </w:tcPr>
          <w:p>
            <w:pPr>
              <w:pStyle w:val="11"/>
            </w:pPr>
            <w:r>
              <w:t>140.04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11"/>
            </w:pPr>
            <w:r>
              <w:t>9.31</w:t>
            </w:r>
          </w:p>
        </w:tc>
        <w:tc>
          <w:tcPr>
            <w:tcW w:w="1643" w:type="dxa"/>
            <w:vAlign w:val="center"/>
          </w:tcPr>
          <w:p>
            <w:pPr>
              <w:pStyle w:val="11"/>
            </w:pPr>
          </w:p>
        </w:tc>
        <w:tc>
          <w:tcPr>
            <w:tcW w:w="1643" w:type="dxa"/>
            <w:vAlign w:val="center"/>
          </w:tcPr>
          <w:p>
            <w:pPr>
              <w:pStyle w:val="11"/>
            </w:pPr>
            <w:r>
              <w:t>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30202</w:t>
            </w:r>
          </w:p>
        </w:tc>
        <w:tc>
          <w:tcPr>
            <w:tcW w:w="1643" w:type="dxa"/>
            <w:vAlign w:val="center"/>
          </w:tcPr>
          <w:p>
            <w:pPr>
              <w:pStyle w:val="10"/>
            </w:pPr>
            <w:r>
              <w:t>印刷费</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30207</w:t>
            </w:r>
          </w:p>
        </w:tc>
        <w:tc>
          <w:tcPr>
            <w:tcW w:w="1643" w:type="dxa"/>
            <w:vAlign w:val="center"/>
          </w:tcPr>
          <w:p>
            <w:pPr>
              <w:pStyle w:val="10"/>
            </w:pPr>
            <w:r>
              <w:t>邮电费</w:t>
            </w:r>
          </w:p>
        </w:tc>
        <w:tc>
          <w:tcPr>
            <w:tcW w:w="1643" w:type="dxa"/>
            <w:vAlign w:val="center"/>
          </w:tcPr>
          <w:p>
            <w:pPr>
              <w:pStyle w:val="11"/>
            </w:pPr>
            <w:r>
              <w:t>35.77</w:t>
            </w:r>
          </w:p>
        </w:tc>
        <w:tc>
          <w:tcPr>
            <w:tcW w:w="1643" w:type="dxa"/>
            <w:vAlign w:val="center"/>
          </w:tcPr>
          <w:p>
            <w:pPr>
              <w:pStyle w:val="11"/>
            </w:pPr>
          </w:p>
        </w:tc>
        <w:tc>
          <w:tcPr>
            <w:tcW w:w="1643" w:type="dxa"/>
            <w:vAlign w:val="center"/>
          </w:tcPr>
          <w:p>
            <w:pPr>
              <w:pStyle w:val="11"/>
            </w:pPr>
            <w:r>
              <w:t>35.77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30209</w:t>
            </w:r>
          </w:p>
        </w:tc>
        <w:tc>
          <w:tcPr>
            <w:tcW w:w="1643" w:type="dxa"/>
            <w:vAlign w:val="center"/>
          </w:tcPr>
          <w:p>
            <w:pPr>
              <w:pStyle w:val="10"/>
            </w:pPr>
            <w:r>
              <w:t>物业管理费</w:t>
            </w:r>
          </w:p>
        </w:tc>
        <w:tc>
          <w:tcPr>
            <w:tcW w:w="1643" w:type="dxa"/>
            <w:vAlign w:val="center"/>
          </w:tcPr>
          <w:p>
            <w:pPr>
              <w:pStyle w:val="11"/>
            </w:pPr>
            <w:r>
              <w:t>0.30</w:t>
            </w:r>
          </w:p>
        </w:tc>
        <w:tc>
          <w:tcPr>
            <w:tcW w:w="1643" w:type="dxa"/>
            <w:vAlign w:val="center"/>
          </w:tcPr>
          <w:p>
            <w:pPr>
              <w:pStyle w:val="11"/>
            </w:pPr>
          </w:p>
        </w:tc>
        <w:tc>
          <w:tcPr>
            <w:tcW w:w="1643"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30211</w:t>
            </w:r>
          </w:p>
        </w:tc>
        <w:tc>
          <w:tcPr>
            <w:tcW w:w="1643" w:type="dxa"/>
            <w:vAlign w:val="center"/>
          </w:tcPr>
          <w:p>
            <w:pPr>
              <w:pStyle w:val="10"/>
            </w:pPr>
            <w:r>
              <w:t>差旅费</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30213</w:t>
            </w:r>
          </w:p>
        </w:tc>
        <w:tc>
          <w:tcPr>
            <w:tcW w:w="1643" w:type="dxa"/>
            <w:vAlign w:val="center"/>
          </w:tcPr>
          <w:p>
            <w:pPr>
              <w:pStyle w:val="10"/>
            </w:pPr>
            <w:r>
              <w:t>维修(护)费</w:t>
            </w:r>
          </w:p>
        </w:tc>
        <w:tc>
          <w:tcPr>
            <w:tcW w:w="1643" w:type="dxa"/>
            <w:vAlign w:val="center"/>
          </w:tcPr>
          <w:p>
            <w:pPr>
              <w:pStyle w:val="11"/>
            </w:pPr>
            <w:r>
              <w:t>8.00</w:t>
            </w:r>
          </w:p>
        </w:tc>
        <w:tc>
          <w:tcPr>
            <w:tcW w:w="1643" w:type="dxa"/>
            <w:vAlign w:val="center"/>
          </w:tcPr>
          <w:p>
            <w:pPr>
              <w:pStyle w:val="11"/>
            </w:pPr>
          </w:p>
        </w:tc>
        <w:tc>
          <w:tcPr>
            <w:tcW w:w="1643"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30217</w:t>
            </w:r>
          </w:p>
        </w:tc>
        <w:tc>
          <w:tcPr>
            <w:tcW w:w="1643" w:type="dxa"/>
            <w:vAlign w:val="center"/>
          </w:tcPr>
          <w:p>
            <w:pPr>
              <w:pStyle w:val="10"/>
            </w:pPr>
            <w:r>
              <w:t>公务接待费</w:t>
            </w:r>
          </w:p>
        </w:tc>
        <w:tc>
          <w:tcPr>
            <w:tcW w:w="1643" w:type="dxa"/>
            <w:vAlign w:val="center"/>
          </w:tcPr>
          <w:p>
            <w:pPr>
              <w:pStyle w:val="11"/>
            </w:pPr>
            <w:r>
              <w:t>0.30</w:t>
            </w:r>
          </w:p>
        </w:tc>
        <w:tc>
          <w:tcPr>
            <w:tcW w:w="1643" w:type="dxa"/>
            <w:vAlign w:val="center"/>
          </w:tcPr>
          <w:p>
            <w:pPr>
              <w:pStyle w:val="11"/>
            </w:pPr>
          </w:p>
        </w:tc>
        <w:tc>
          <w:tcPr>
            <w:tcW w:w="1643"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11"/>
            </w:pPr>
            <w:r>
              <w:t>16.94</w:t>
            </w:r>
          </w:p>
        </w:tc>
        <w:tc>
          <w:tcPr>
            <w:tcW w:w="1643" w:type="dxa"/>
            <w:vAlign w:val="center"/>
          </w:tcPr>
          <w:p>
            <w:pPr>
              <w:pStyle w:val="11"/>
            </w:pPr>
          </w:p>
        </w:tc>
        <w:tc>
          <w:tcPr>
            <w:tcW w:w="1643" w:type="dxa"/>
            <w:vAlign w:val="center"/>
          </w:tcPr>
          <w:p>
            <w:pPr>
              <w:pStyle w:val="11"/>
            </w:pPr>
            <w:r>
              <w:t>16.94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11"/>
            </w:pPr>
            <w:r>
              <w:t>7.22</w:t>
            </w:r>
          </w:p>
        </w:tc>
        <w:tc>
          <w:tcPr>
            <w:tcW w:w="1643" w:type="dxa"/>
            <w:vAlign w:val="center"/>
          </w:tcPr>
          <w:p>
            <w:pPr>
              <w:pStyle w:val="11"/>
            </w:pPr>
          </w:p>
        </w:tc>
        <w:tc>
          <w:tcPr>
            <w:tcW w:w="1643" w:type="dxa"/>
            <w:vAlign w:val="center"/>
          </w:tcPr>
          <w:p>
            <w:pPr>
              <w:pStyle w:val="11"/>
            </w:pPr>
            <w:r>
              <w:t>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30231</w:t>
            </w:r>
          </w:p>
        </w:tc>
        <w:tc>
          <w:tcPr>
            <w:tcW w:w="1643" w:type="dxa"/>
            <w:vAlign w:val="center"/>
          </w:tcPr>
          <w:p>
            <w:pPr>
              <w:pStyle w:val="10"/>
            </w:pPr>
            <w:r>
              <w:t>公务用车运行维护费</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11"/>
            </w:pPr>
            <w:r>
              <w:t>40.98</w:t>
            </w:r>
          </w:p>
        </w:tc>
        <w:tc>
          <w:tcPr>
            <w:tcW w:w="1643" w:type="dxa"/>
            <w:vAlign w:val="center"/>
          </w:tcPr>
          <w:p>
            <w:pPr>
              <w:pStyle w:val="11"/>
            </w:pPr>
          </w:p>
        </w:tc>
        <w:tc>
          <w:tcPr>
            <w:tcW w:w="1643" w:type="dxa"/>
            <w:vAlign w:val="center"/>
          </w:tcPr>
          <w:p>
            <w:pPr>
              <w:pStyle w:val="11"/>
            </w:pPr>
            <w:r>
              <w:t>40.98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10"/>
            </w:pPr>
            <w:r>
              <w:t>30299</w:t>
            </w:r>
          </w:p>
        </w:tc>
        <w:tc>
          <w:tcPr>
            <w:tcW w:w="1643" w:type="dxa"/>
            <w:vAlign w:val="center"/>
          </w:tcPr>
          <w:p>
            <w:pPr>
              <w:pStyle w:val="10"/>
            </w:pPr>
            <w:r>
              <w:t>其他商品和服务支出</w:t>
            </w:r>
          </w:p>
        </w:tc>
        <w:tc>
          <w:tcPr>
            <w:tcW w:w="1643" w:type="dxa"/>
            <w:vAlign w:val="center"/>
          </w:tcPr>
          <w:p>
            <w:pPr>
              <w:pStyle w:val="11"/>
            </w:pPr>
            <w:r>
              <w:t>9.22</w:t>
            </w:r>
          </w:p>
        </w:tc>
        <w:tc>
          <w:tcPr>
            <w:tcW w:w="1643" w:type="dxa"/>
            <w:vAlign w:val="center"/>
          </w:tcPr>
          <w:p>
            <w:pPr>
              <w:pStyle w:val="11"/>
            </w:pPr>
          </w:p>
        </w:tc>
        <w:tc>
          <w:tcPr>
            <w:tcW w:w="1643" w:type="dxa"/>
            <w:vAlign w:val="center"/>
          </w:tcPr>
          <w:p>
            <w:pPr>
              <w:pStyle w:val="11"/>
            </w:pPr>
            <w:r>
              <w:t>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25</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11"/>
            </w:pPr>
            <w:r>
              <w:t>66.43</w:t>
            </w:r>
          </w:p>
        </w:tc>
        <w:tc>
          <w:tcPr>
            <w:tcW w:w="1643" w:type="dxa"/>
            <w:vAlign w:val="center"/>
          </w:tcPr>
          <w:p>
            <w:pPr>
              <w:pStyle w:val="11"/>
            </w:pPr>
            <w:r>
              <w:t>66.43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26</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11"/>
            </w:pPr>
            <w:r>
              <w:t>65.14</w:t>
            </w:r>
          </w:p>
        </w:tc>
        <w:tc>
          <w:tcPr>
            <w:tcW w:w="1643" w:type="dxa"/>
            <w:vAlign w:val="center"/>
          </w:tcPr>
          <w:p>
            <w:pPr>
              <w:pStyle w:val="11"/>
            </w:pPr>
            <w:r>
              <w:t>65.14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27</w:t>
            </w:r>
          </w:p>
        </w:tc>
        <w:tc>
          <w:tcPr>
            <w:tcW w:w="1643" w:type="dxa"/>
            <w:vAlign w:val="center"/>
          </w:tcPr>
          <w:p>
            <w:pPr>
              <w:pStyle w:val="10"/>
            </w:pPr>
            <w:r>
              <w:t>30305</w:t>
            </w:r>
          </w:p>
        </w:tc>
        <w:tc>
          <w:tcPr>
            <w:tcW w:w="1643" w:type="dxa"/>
            <w:vAlign w:val="center"/>
          </w:tcPr>
          <w:p>
            <w:pPr>
              <w:pStyle w:val="10"/>
            </w:pPr>
            <w:r>
              <w:t>生活补助</w:t>
            </w:r>
          </w:p>
        </w:tc>
        <w:tc>
          <w:tcPr>
            <w:tcW w:w="1643" w:type="dxa"/>
            <w:vAlign w:val="center"/>
          </w:tcPr>
          <w:p>
            <w:pPr>
              <w:pStyle w:val="11"/>
            </w:pPr>
            <w:r>
              <w:t>0.93</w:t>
            </w:r>
          </w:p>
        </w:tc>
        <w:tc>
          <w:tcPr>
            <w:tcW w:w="1643" w:type="dxa"/>
            <w:vAlign w:val="center"/>
          </w:tcPr>
          <w:p>
            <w:pPr>
              <w:pStyle w:val="11"/>
            </w:pPr>
            <w:r>
              <w:t>0.93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28</w:t>
            </w:r>
          </w:p>
        </w:tc>
        <w:tc>
          <w:tcPr>
            <w:tcW w:w="1643" w:type="dxa"/>
            <w:vAlign w:val="center"/>
          </w:tcPr>
          <w:p>
            <w:pPr>
              <w:pStyle w:val="10"/>
            </w:pPr>
            <w:r>
              <w:t>30309</w:t>
            </w:r>
          </w:p>
        </w:tc>
        <w:tc>
          <w:tcPr>
            <w:tcW w:w="1643" w:type="dxa"/>
            <w:vAlign w:val="center"/>
          </w:tcPr>
          <w:p>
            <w:pPr>
              <w:pStyle w:val="10"/>
            </w:pPr>
            <w:r>
              <w:t>奖励金</w:t>
            </w:r>
          </w:p>
        </w:tc>
        <w:tc>
          <w:tcPr>
            <w:tcW w:w="1643" w:type="dxa"/>
            <w:vAlign w:val="center"/>
          </w:tcPr>
          <w:p>
            <w:pPr>
              <w:pStyle w:val="11"/>
            </w:pPr>
            <w:r>
              <w:t>0.36</w:t>
            </w:r>
          </w:p>
        </w:tc>
        <w:tc>
          <w:tcPr>
            <w:tcW w:w="1643" w:type="dxa"/>
            <w:vAlign w:val="center"/>
          </w:tcPr>
          <w:p>
            <w:pPr>
              <w:pStyle w:val="11"/>
            </w:pPr>
            <w:r>
              <w:t>0.36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29</w:t>
            </w:r>
          </w:p>
        </w:tc>
        <w:tc>
          <w:tcPr>
            <w:tcW w:w="1643" w:type="dxa"/>
            <w:vAlign w:val="center"/>
          </w:tcPr>
          <w:p>
            <w:pPr>
              <w:pStyle w:val="10"/>
            </w:pPr>
            <w:r>
              <w:t>310</w:t>
            </w:r>
          </w:p>
        </w:tc>
        <w:tc>
          <w:tcPr>
            <w:tcW w:w="1643" w:type="dxa"/>
            <w:vAlign w:val="center"/>
          </w:tcPr>
          <w:p>
            <w:pPr>
              <w:pStyle w:val="10"/>
            </w:pPr>
            <w:r>
              <w:t>资本性支出</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30</w:t>
            </w:r>
          </w:p>
        </w:tc>
        <w:tc>
          <w:tcPr>
            <w:tcW w:w="1643" w:type="dxa"/>
            <w:vAlign w:val="center"/>
          </w:tcPr>
          <w:p>
            <w:pPr>
              <w:pStyle w:val="10"/>
            </w:pPr>
            <w:r>
              <w:t>31002</w:t>
            </w:r>
          </w:p>
        </w:tc>
        <w:tc>
          <w:tcPr>
            <w:tcW w:w="1643" w:type="dxa"/>
            <w:vAlign w:val="center"/>
          </w:tcPr>
          <w:p>
            <w:pPr>
              <w:pStyle w:val="10"/>
            </w:pPr>
            <w:r>
              <w:t>办公设备购置</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330唐山市丰南区司法局</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330唐山市丰南区司法局</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330唐山市丰南区司法局</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657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w:t>
            </w:r>
          </w:p>
        </w:tc>
        <w:tc>
          <w:tcPr>
            <w:tcW w:w="1643" w:type="dxa"/>
            <w:vAlign w:val="center"/>
          </w:tcPr>
          <w:p>
            <w:pPr>
              <w:pStyle w:val="12"/>
            </w:pPr>
            <w:r>
              <w:t>合计</w:t>
            </w:r>
          </w:p>
        </w:tc>
        <w:tc>
          <w:tcPr>
            <w:tcW w:w="1643" w:type="dxa"/>
            <w:vAlign w:val="center"/>
          </w:tcPr>
          <w:p>
            <w:pPr>
              <w:pStyle w:val="13"/>
            </w:pPr>
            <w:r>
              <w:t>1</w:t>
            </w:r>
            <w:r>
              <w:rPr>
                <w:rFonts w:hint="eastAsia"/>
                <w:lang w:val="en-US" w:eastAsia="zh-CN"/>
              </w:rPr>
              <w:t>0</w:t>
            </w:r>
            <w:r>
              <w:t>.30</w:t>
            </w:r>
          </w:p>
        </w:tc>
        <w:tc>
          <w:tcPr>
            <w:tcW w:w="1643" w:type="dxa"/>
            <w:vAlign w:val="center"/>
          </w:tcPr>
          <w:p>
            <w:pPr>
              <w:pStyle w:val="13"/>
            </w:pPr>
            <w:r>
              <w:t>1</w:t>
            </w:r>
            <w:r>
              <w:rPr>
                <w:rFonts w:hint="eastAsia"/>
                <w:lang w:val="en-US" w:eastAsia="zh-CN"/>
              </w:rPr>
              <w:t>0</w:t>
            </w:r>
            <w:r>
              <w:t>.30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2</w:t>
            </w:r>
          </w:p>
        </w:tc>
        <w:tc>
          <w:tcPr>
            <w:tcW w:w="1643" w:type="dxa"/>
            <w:vAlign w:val="center"/>
          </w:tcPr>
          <w:p>
            <w:pPr>
              <w:pStyle w:val="10"/>
            </w:pPr>
            <w:r>
              <w:t>“三公”经费小计</w:t>
            </w:r>
          </w:p>
        </w:tc>
        <w:tc>
          <w:tcPr>
            <w:tcW w:w="1643" w:type="dxa"/>
            <w:vAlign w:val="center"/>
          </w:tcPr>
          <w:p>
            <w:pPr>
              <w:pStyle w:val="11"/>
            </w:pPr>
            <w:r>
              <w:t>10.30</w:t>
            </w:r>
          </w:p>
        </w:tc>
        <w:tc>
          <w:tcPr>
            <w:tcW w:w="1643" w:type="dxa"/>
            <w:vAlign w:val="center"/>
          </w:tcPr>
          <w:p>
            <w:pPr>
              <w:pStyle w:val="11"/>
            </w:pPr>
            <w:r>
              <w:t>10.30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3</w:t>
            </w:r>
          </w:p>
        </w:tc>
        <w:tc>
          <w:tcPr>
            <w:tcW w:w="1643" w:type="dxa"/>
            <w:vAlign w:val="center"/>
          </w:tcPr>
          <w:p>
            <w:pPr>
              <w:pStyle w:val="10"/>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4</w:t>
            </w:r>
          </w:p>
        </w:tc>
        <w:tc>
          <w:tcPr>
            <w:tcW w:w="1643" w:type="dxa"/>
            <w:vAlign w:val="center"/>
          </w:tcPr>
          <w:p>
            <w:pPr>
              <w:pStyle w:val="10"/>
            </w:pPr>
            <w:r>
              <w:t>二、公务用车购置及维护费</w:t>
            </w:r>
          </w:p>
        </w:tc>
        <w:tc>
          <w:tcPr>
            <w:tcW w:w="1643" w:type="dxa"/>
            <w:vAlign w:val="center"/>
          </w:tcPr>
          <w:p>
            <w:pPr>
              <w:pStyle w:val="11"/>
            </w:pPr>
            <w:r>
              <w:t>10.00</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5</w:t>
            </w:r>
          </w:p>
        </w:tc>
        <w:tc>
          <w:tcPr>
            <w:tcW w:w="1643" w:type="dxa"/>
            <w:vAlign w:val="center"/>
          </w:tcPr>
          <w:p>
            <w:pPr>
              <w:pStyle w:val="10"/>
            </w:pPr>
            <w:r>
              <w:t>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6</w:t>
            </w:r>
          </w:p>
        </w:tc>
        <w:tc>
          <w:tcPr>
            <w:tcW w:w="1643" w:type="dxa"/>
            <w:vAlign w:val="center"/>
          </w:tcPr>
          <w:p>
            <w:pPr>
              <w:pStyle w:val="10"/>
            </w:pPr>
            <w:r>
              <w:t xml:space="preserve">          公务用车运行维护费</w:t>
            </w:r>
          </w:p>
        </w:tc>
        <w:tc>
          <w:tcPr>
            <w:tcW w:w="1643" w:type="dxa"/>
            <w:vAlign w:val="center"/>
          </w:tcPr>
          <w:p>
            <w:pPr>
              <w:pStyle w:val="11"/>
            </w:pPr>
            <w:r>
              <w:t>10.00</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7</w:t>
            </w:r>
          </w:p>
        </w:tc>
        <w:tc>
          <w:tcPr>
            <w:tcW w:w="1643" w:type="dxa"/>
            <w:vAlign w:val="center"/>
          </w:tcPr>
          <w:p>
            <w:pPr>
              <w:pStyle w:val="10"/>
            </w:pPr>
            <w:r>
              <w:t>三、公务接待费</w:t>
            </w:r>
          </w:p>
        </w:tc>
        <w:tc>
          <w:tcPr>
            <w:tcW w:w="1643" w:type="dxa"/>
            <w:vAlign w:val="center"/>
          </w:tcPr>
          <w:p>
            <w:pPr>
              <w:pStyle w:val="11"/>
            </w:pPr>
            <w:r>
              <w:t>0.30</w:t>
            </w:r>
          </w:p>
        </w:tc>
        <w:tc>
          <w:tcPr>
            <w:tcW w:w="1643" w:type="dxa"/>
            <w:vAlign w:val="center"/>
          </w:tcPr>
          <w:p>
            <w:pPr>
              <w:pStyle w:val="11"/>
            </w:pPr>
            <w:r>
              <w:t>0.30</w:t>
            </w:r>
          </w:p>
        </w:tc>
        <w:tc>
          <w:tcPr>
            <w:tcW w:w="1643" w:type="dxa"/>
            <w:vAlign w:val="center"/>
          </w:tcPr>
          <w:p>
            <w:pPr>
              <w:pStyle w:val="11"/>
            </w:pPr>
          </w:p>
        </w:tc>
        <w:tc>
          <w:tcPr>
            <w:tcW w:w="1643" w:type="dxa"/>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唐山市丰南区司法局2023年部门预算信息公开情况说明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唐山市丰南区司法局2023年部门预算信息公开情况说明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按照《预算法》、《地方预决算公开操作规程》和《关于进一步推进预算公开工作的实施意见》规定，现将唐山市丰南区司法局2023年部门预算公开如下：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5"/>
      </w:pPr>
      <w:r>
        <w:t>充分发挥司法职能作用，服务经济社会发展，全面推进司法行政和信息化建设，打造过硬司法队伍，为建设沿海强区、美丽丰南提供有力的司法保障和高效的法律服务。聚焦经济发展，着力营造公平高效的法治环境。注重司法为民，着力提高人民群众法律意识。强化“四个意识”，建设过硬司法队伍。提高全区人民法律意识和法律素质，增强法治化管理水平，促进全区民主与法制建设。深化人民调解、社区矫正和安置帮教工作，最大限度降低重新违法犯罪和社会不稳定因素发生率。立完善法律援助法律法规体系、工作体制和机制，加大法律援助法律法规宣传覆盖面，扩大法律援助覆盖面，推动全县法律援助工作长足发展。建立完善法律援助法律法规体系、工作体制和机制，加大法律援助法律法规宣传覆盖面，扩大法律援助覆盖面，推动全县法律援助工作长足发展。组织全区依法行政考核工作；组织全区执法监督检查，加强对行政执法人员资格、考试、证件管理；办理行政复议案件，行政诉讼、裁决案件，及时纠正各级行政机关违法不当行为。通过发挥专家作用，提升区政府决策法制化水平。提高行政、民事诉讼案件的应诉工作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唐山市丰南区司法局本级</w:t>
            </w:r>
          </w:p>
        </w:tc>
        <w:tc>
          <w:tcPr>
            <w:tcW w:w="2464" w:type="dxa"/>
            <w:vAlign w:val="center"/>
          </w:tcPr>
          <w:p>
            <w:pPr>
              <w:pStyle w:val="9"/>
            </w:pPr>
            <w:r>
              <w:t>行政</w:t>
            </w:r>
          </w:p>
        </w:tc>
        <w:tc>
          <w:tcPr>
            <w:tcW w:w="2464" w:type="dxa"/>
            <w:vAlign w:val="center"/>
          </w:tcPr>
          <w:p>
            <w:pPr>
              <w:pStyle w:val="9"/>
            </w:pPr>
            <w:r>
              <w:t>正科级</w:t>
            </w:r>
          </w:p>
        </w:tc>
        <w:tc>
          <w:tcPr>
            <w:tcW w:w="2464" w:type="dxa"/>
            <w:vAlign w:val="center"/>
          </w:tcPr>
          <w:p>
            <w:pPr>
              <w:pStyle w:val="9"/>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按照预算管理有关规定，目前我省部门预算的编制实行综合预算管理，即全部收入和支出都反映在预算中。唐山市丰南区司法局机关及所属事业单位的收支包含在部门预算中。</w:t>
      </w:r>
    </w:p>
    <w:p>
      <w:pPr>
        <w:pStyle w:val="16"/>
      </w:pPr>
      <w:r>
        <w:t>（一）收入说明</w:t>
      </w:r>
    </w:p>
    <w:p>
      <w:pPr>
        <w:pStyle w:val="16"/>
        <w:rPr>
          <w:rFonts w:hint="default" w:eastAsia="方正仿宋_GBK"/>
          <w:lang w:val="en-US" w:eastAsia="zh-CN"/>
        </w:rPr>
      </w:pPr>
      <w:r>
        <w:rPr>
          <w:rFonts w:hint="eastAsia"/>
          <w:lang w:val="en-US" w:eastAsia="zh-CN"/>
        </w:rPr>
        <w:t>反映本部门当年全部收入。</w:t>
      </w:r>
      <w:r>
        <w:t>2023年预算收入1954.13万元，其中：一般公共预算</w:t>
      </w:r>
      <w:r>
        <w:rPr>
          <w:rFonts w:hint="eastAsia"/>
          <w:lang w:val="en-US" w:eastAsia="zh-CN"/>
        </w:rPr>
        <w:t>收入</w:t>
      </w:r>
      <w:r>
        <w:t>1954.13万元，基金预算</w:t>
      </w:r>
      <w:r>
        <w:rPr>
          <w:rFonts w:hint="eastAsia"/>
          <w:lang w:val="en-US" w:eastAsia="zh-CN"/>
        </w:rPr>
        <w:t>收入</w:t>
      </w:r>
      <w:r>
        <w:t>0万元，国有资本经营预算</w:t>
      </w:r>
      <w:r>
        <w:rPr>
          <w:rFonts w:hint="eastAsia"/>
          <w:lang w:val="en-US" w:eastAsia="zh-CN"/>
        </w:rPr>
        <w:t>收入</w:t>
      </w:r>
      <w:r>
        <w:t>0万元，财政专户核拨</w:t>
      </w:r>
      <w:r>
        <w:rPr>
          <w:rFonts w:hint="eastAsia"/>
          <w:lang w:val="en-US" w:eastAsia="zh-CN"/>
        </w:rPr>
        <w:t>收入</w:t>
      </w:r>
      <w:r>
        <w:t>0万元，单位资金</w:t>
      </w:r>
      <w:r>
        <w:rPr>
          <w:rFonts w:hint="eastAsia"/>
          <w:lang w:val="en-US" w:eastAsia="zh-CN"/>
        </w:rPr>
        <w:t>收入</w:t>
      </w:r>
      <w:r>
        <w:t>0万元</w:t>
      </w:r>
      <w:r>
        <w:rPr>
          <w:rFonts w:hint="eastAsia"/>
          <w:lang w:eastAsia="zh-CN"/>
        </w:rPr>
        <w:t>，</w:t>
      </w:r>
      <w:r>
        <w:rPr>
          <w:rFonts w:hint="eastAsia"/>
          <w:lang w:val="en-US" w:eastAsia="zh-CN"/>
        </w:rPr>
        <w:t>上年结转结余0万元。</w:t>
      </w:r>
    </w:p>
    <w:p>
      <w:pPr>
        <w:pStyle w:val="16"/>
      </w:pPr>
      <w:r>
        <w:t>（二）支出说明</w:t>
      </w:r>
    </w:p>
    <w:p>
      <w:pPr>
        <w:pStyle w:val="16"/>
      </w:pPr>
      <w:r>
        <w:rPr>
          <w:rFonts w:hint="eastAsia"/>
          <w:lang w:val="en-US" w:eastAsia="zh-CN"/>
        </w:rPr>
        <w:t>收支预算总表支出栏、基本支出表、项目支出表按经济分类和支出功能分类科目编制，反映2023年度部门预算中支出预算的总体情况。</w:t>
      </w:r>
      <w:r>
        <w:t>2023年部门预算支出1954.13万元，其中：</w:t>
      </w:r>
      <w:r>
        <w:rPr>
          <w:rFonts w:hint="eastAsia"/>
          <w:lang w:val="en-US" w:eastAsia="zh-CN"/>
        </w:rPr>
        <w:t>基本支出1365.47万元，其中包括</w:t>
      </w:r>
      <w:r>
        <w:t>人员经费1224.43万元，日常公用经费141.04万元</w:t>
      </w:r>
      <w:r>
        <w:rPr>
          <w:rFonts w:hint="eastAsia"/>
          <w:lang w:eastAsia="zh-CN"/>
        </w:rPr>
        <w:t>；</w:t>
      </w:r>
      <w:r>
        <w:t>项目支出588.66万元</w:t>
      </w:r>
      <w:r>
        <w:rPr>
          <w:rFonts w:hint="eastAsia"/>
          <w:lang w:eastAsia="zh-CN"/>
        </w:rPr>
        <w:t>，</w:t>
      </w:r>
      <w:r>
        <w:rPr>
          <w:rFonts w:hint="eastAsia"/>
          <w:lang w:val="en-US" w:eastAsia="zh-CN"/>
        </w:rPr>
        <w:t>主要为普法经费、法律援助经费、社区矫正经费（2.5万元以内）等</w:t>
      </w:r>
      <w:r>
        <w:t>。</w:t>
      </w:r>
    </w:p>
    <w:p>
      <w:pPr>
        <w:pStyle w:val="16"/>
      </w:pPr>
      <w:r>
        <w:t>（三）比上年增减情况</w:t>
      </w:r>
    </w:p>
    <w:p>
      <w:pPr>
        <w:pStyle w:val="16"/>
        <w:rPr>
          <w:rFonts w:hint="default" w:eastAsia="方正仿宋_GBK"/>
          <w:lang w:val="en-US" w:eastAsia="zh-CN"/>
        </w:rPr>
      </w:pPr>
      <w:r>
        <w:t>2023年</w:t>
      </w:r>
      <w:r>
        <w:rPr>
          <w:rFonts w:hint="eastAsia"/>
          <w:lang w:val="en-US" w:eastAsia="zh-CN"/>
        </w:rPr>
        <w:t>预算收支安排1954.13万元，</w:t>
      </w:r>
      <w:r>
        <w:t>较2022年增加47.91万元，其中：</w:t>
      </w:r>
      <w:r>
        <w:rPr>
          <w:rFonts w:hint="eastAsia"/>
          <w:lang w:val="en-US" w:eastAsia="zh-CN"/>
        </w:rPr>
        <w:t>基本支出增加199.4万元，主要为增加人员经费支出；</w:t>
      </w:r>
      <w:r>
        <w:t>项目</w:t>
      </w:r>
      <w:r>
        <w:rPr>
          <w:rFonts w:hint="eastAsia"/>
          <w:lang w:val="en-US" w:eastAsia="zh-CN"/>
        </w:rPr>
        <w:t>支出</w:t>
      </w:r>
      <w:r>
        <w:t>减少151.49万元</w:t>
      </w:r>
      <w:r>
        <w:rPr>
          <w:rFonts w:hint="eastAsia"/>
          <w:lang w:eastAsia="zh-CN"/>
        </w:rPr>
        <w:t>，</w:t>
      </w:r>
      <w:r>
        <w:rPr>
          <w:rFonts w:hint="eastAsia"/>
          <w:lang w:val="en-US" w:eastAsia="zh-CN"/>
        </w:rPr>
        <w:t>主要为减少丰南区社会治理综合服务中心相关资金。</w:t>
      </w:r>
      <w:bookmarkStart w:id="18" w:name="_GoBack"/>
      <w:bookmarkEnd w:id="18"/>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7"/>
      </w:pPr>
      <w:r>
        <w:t>2023年机关运行经费共计安排141.04万元，主要包括用于保证机关正常运转的办公及印刷费、邮电费、物业管理费、差旅费、日常维修费、一般设备购置费、其他商品服务支出、公务用车运行维护费、公务接待费、工会费、福利费、移动通讯补贴、交通补贴、离退休干部报刊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2023年部门“三公”经费预算安排10.3万元，比2022年减少14.34万元。具体增减情况为：</w:t>
      </w:r>
    </w:p>
    <w:p>
      <w:pPr>
        <w:pStyle w:val="18"/>
      </w:pPr>
      <w:r>
        <w:t>（一）公务用车购置及运行费10万元，比2022年减少14万元，原因是2023年无公务用车购置费。</w:t>
      </w:r>
    </w:p>
    <w:p>
      <w:pPr>
        <w:pStyle w:val="18"/>
      </w:pPr>
      <w:r>
        <w:t>（二）公务接待费0.3万元，比2022年减少0.34万元，原因是节约开支。</w:t>
      </w:r>
    </w:p>
    <w:p>
      <w:pPr>
        <w:pStyle w:val="18"/>
      </w:pPr>
      <w:r>
        <w:t>（三）因公出国（境）费0万元，比2022年无增减变化。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9"/>
      </w:pPr>
      <w:r>
        <w:t>充分发挥司法职能作用，服务经济社会发展，全面推进司法行政和信息化建设，打造过硬司法队伍，为建设沿海强区、美丽丰南提供有力的司法保障和高效的法律服务。聚焦经济发展，着力营造公平高效的法治环境。注重司法为民，着力提高人民群众法律意识。强化“四个意识”，建设过硬司法队伍。</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pPr>
      <w:r>
        <w:t>（一）提升全区司法行政管理水平</w:t>
      </w:r>
    </w:p>
    <w:p>
      <w:pPr>
        <w:pStyle w:val="20"/>
      </w:pPr>
      <w:r>
        <w:t>绩效目标：提高全区人民法律意识和法律素质，增强法治化管理水平，促进全区民主与法制建设。深化人民调解、社区矫正和安置帮教工作，最大限度降低重新违法犯罪和社会不稳定因素发生率。建立完善法律援助法律法规体系、工作体制和机制，加大法律援助法律法规宣传覆盖面，扩大法律援助覆盖面，推动全县法律援助工作长足发展。</w:t>
      </w:r>
    </w:p>
    <w:p>
      <w:pPr>
        <w:pStyle w:val="20"/>
      </w:pPr>
      <w:r>
        <w:t>绩效指标：普法考核通过率80%以上为合格；社区矫正人员集中教育和义务劳动参与度80%以上合格；专职人民调解员培训次数集中培训一次，各单位自行组织不上站培训合格；人民调解案件数1000件以上合格；法律援助案件受理数350件以上合格；司法所规范化建设达标率全部达标，程序准确材料齐全，文书格式准确，报告内容全面，意见肯定。</w:t>
      </w:r>
    </w:p>
    <w:p>
      <w:pPr>
        <w:pStyle w:val="20"/>
      </w:pPr>
      <w:r>
        <w:t>（二）促进司法系统执法能力全面提升</w:t>
      </w:r>
    </w:p>
    <w:p>
      <w:pPr>
        <w:pStyle w:val="20"/>
      </w:pPr>
      <w:r>
        <w:t>绩效目标：开展学历教育和政法干警试点生培养，加强纪检审计监督、信息化建设等，促进司法行政系统各项事业健康发展，促进司法系统执法能力全面提升指标。</w:t>
      </w:r>
    </w:p>
    <w:p>
      <w:pPr>
        <w:pStyle w:val="20"/>
      </w:pPr>
      <w:r>
        <w:t>绩效指标：机关后勤工作完成率70%以上合格；综合业务管理工作完成率90%以上合格；服务对象满意度70%以上合格。</w:t>
      </w:r>
    </w:p>
    <w:p>
      <w:pPr>
        <w:pStyle w:val="20"/>
      </w:pPr>
      <w:r>
        <w:t>（三）对行政执法人员和行政执法行为监督管理，提高行政执法水平，考核依法行政工作，推进依法行政</w:t>
      </w:r>
    </w:p>
    <w:p>
      <w:pPr>
        <w:pStyle w:val="20"/>
      </w:pPr>
      <w:r>
        <w:t>绩效目标：组织全区依法行政考核工作；组织全区执法监督检查，加强对行政执法人员资格、考试、证件管理；办理行政复议案件，行政诉讼、裁决案件，及时纠正各级行政机关违法不当行为。通过发挥专家作用，提升区政府决策法制化水平。提高行政、民事诉讼案件的应诉工作情况。</w:t>
      </w:r>
    </w:p>
    <w:p>
      <w:pPr>
        <w:pStyle w:val="20"/>
      </w:pPr>
      <w:r>
        <w:t>绩效指标：行政复议案件到期办结率70%以上合格；组织依法行政考核完成情况较好完成；培训考试人员数量2000人以上；为区政府提供法律服务人次10以上；行政应诉案件办理数2件以上。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1"/>
      </w:pPr>
      <w:r>
        <w:t>（一）抓好教育整顿“回头看”，不断提升队伍能力素质。认真做好政法队伍教育整顿“回头看”，持续强化教育、认真查究、巩固成果，不断提升队伍履职尽责的能力素质。</w:t>
      </w:r>
    </w:p>
    <w:p>
      <w:pPr>
        <w:pStyle w:val="21"/>
      </w:pPr>
      <w:r>
        <w:t>（二）创新法治政府建设举措，全面提升“法治丰南”建设水平。一是出台《丰南区行政机关内部重要决策事项合法性审查工作规程》，填补合法性审查制度空白。二是制定法治丰南建设考核指标体系，全面准备迎接唐山市法治建设调查和法治政府建设第三方评估。</w:t>
      </w:r>
    </w:p>
    <w:p>
      <w:pPr>
        <w:pStyle w:val="21"/>
      </w:pPr>
      <w:r>
        <w:t>（三）抓好行政执法工作，促进行政执法监督工作规范化。重点对新修订的《行政处罚法》、新颁布的《河北省乡镇和街道综合行政执法条例》组织学习培训。一是协调组织继续推进证明事项告知承诺制等工作，扎实做好2023年度依法行政考核工作。二是强化执法人员年度培训，协调指导乡镇街道、区直行政执法部门落实年度法律培训不少于40学时。三是围绕落实服务监督职能，多举措促进执法规范。四是加强和协调相关部门对乡镇（街道）执法指导，推进乡镇（街道）综合行政执法改革有序衔接。</w:t>
      </w:r>
    </w:p>
    <w:p>
      <w:pPr>
        <w:pStyle w:val="21"/>
      </w:pPr>
      <w:r>
        <w:t>（四）压实部门责任，推动各项业务工作取得新发展。普法宣传工作。一是出台我区“八五”普法规划，启动“八五”普法工作，组织好日常及重要时段节点的法治宣传，持续抓好普法阵地建设和普法典型培养工作。深入推进突出宪法、民法典的宣传，突出公职人员、群众、青少年重点人员的法治教育。二是推进公共法律服务贴近百姓工程，积极开展律师参与重大信访事项和重大矛盾纠纷化解工作，出台《实施意见》，完善律师参与信访调解工作室建设。年办理援助案件530件以上。打造村（居）公共法律服务示范点“品牌”，力争每个乡镇选树两个以上示范点。三是大力推进人民调解工作。持续深化人民调解工作“两化”模式管理，在巩固“创优”品牌调解室成果基础上，将部分司法所调解室提档升级，在现有11个专业性、行业性调解组织的基础上，积极推进黑沿子渔业行业性调委会和村居“品牌”调解室建设，积极打造多元化矛盾纠纷调解平台，努力实现将矛盾纠纷调处在当地、化解在基层、消除在萌芽，矛盾纠纷不上交。坚持以20个优秀品牌调解室为标准，推进全区各级各类人民调解组织管理规范化、工作制度化、服务精准化、调解成功化。四是持续规范社区矫正和安置帮教工作。完成申报省级“智慧矫正中心”的各项准备工作，完善改造硬件设施，加大社区矫正软实力建设。协调专业机构助力社区服刑人员的心理矫治工作，为有心理障碍的社区服刑人员提供帮助。积极探索建立服刑人员分色预警机制，按照不同等级建立“红黄蓝”分色预警档案，做到分类矫治、针对性矫正。常态化做好社区矫正、安置帮教“两类人员”的摸排管控工作。五是基层司法所规范化建设。全区16个基层司法所在全市创优全部达标的基础上，持续按上级部署要求再升级。六是律师队伍管理工作。开展律师“进企法律服务”活动，持续发挥好村（居）法律顾问群的作用。坚持以律师行业突出问题专项治理活动为契机，教育引导律师队伍增强责任意识，切实履行社会责任，巩固教育整顿成果，持续保持每名律师至少为民办1件实事活动。</w:t>
      </w:r>
    </w:p>
    <w:p>
      <w:pPr>
        <w:pStyle w:val="21"/>
      </w:pPr>
      <w:r>
        <w:t>（五）完善制度建设。包括制定完善预算绩效管理制度、资金管理办法、工作保障制度等，为全年预算绩效目标的实现奠定制度基础。</w:t>
      </w:r>
    </w:p>
    <w:p>
      <w:pPr>
        <w:pStyle w:val="21"/>
      </w:pPr>
      <w:r>
        <w:t>（六）加强支出管理。通过优化支出结构、编细编实预算、加快履行政府采购手续、尽快启动项目、及时支付资金、6月底前细化代编预算、按规定及时下达资金等多种措施，确保支出进度达标。</w:t>
      </w:r>
    </w:p>
    <w:p>
      <w:pPr>
        <w:pStyle w:val="21"/>
      </w:pPr>
      <w:r>
        <w:t>（七）加强绩效运行监控。按要求开展绩效运行监控，发现问题及时采取措施，确保绩效目标如期保质实现。</w:t>
      </w:r>
    </w:p>
    <w:p>
      <w:pPr>
        <w:pStyle w:val="21"/>
      </w:pPr>
      <w:r>
        <w:t>（八）做好绩效自评。按要求开展上年度部门预算绩效自评和重点评价工作，对评价中发现的问题及时整改，调整优化支出结构，提高财政资金使用效益。</w:t>
      </w:r>
    </w:p>
    <w:p>
      <w:pPr>
        <w:pStyle w:val="21"/>
      </w:pPr>
      <w:r>
        <w:t>（九）规范财务资产管理。完善财务管理制度，严格审批程序，加强固定资产登记、使用和报废处置管理，做到支出合理，物尽其用。</w:t>
      </w:r>
    </w:p>
    <w:p>
      <w:pPr>
        <w:pStyle w:val="21"/>
      </w:pPr>
      <w:r>
        <w:t>（十）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十一）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1、2023年省级基层公检法司转移支付资金（唐财政法[2023]2号）绩效目标表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年调解纠纷案件数</w:t>
            </w:r>
          </w:p>
        </w:tc>
        <w:tc>
          <w:tcPr>
            <w:tcW w:w="2466" w:type="dxa"/>
            <w:vAlign w:val="center"/>
          </w:tcPr>
          <w:p>
            <w:pPr>
              <w:pStyle w:val="10"/>
            </w:pPr>
            <w:r>
              <w:t>年调解纠纷案件数</w:t>
            </w:r>
          </w:p>
        </w:tc>
        <w:tc>
          <w:tcPr>
            <w:tcW w:w="2466" w:type="dxa"/>
            <w:vAlign w:val="center"/>
          </w:tcPr>
          <w:p>
            <w:pPr>
              <w:pStyle w:val="10"/>
            </w:pPr>
            <w:r>
              <w:t>≥3000件</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法律援助案件质量等级优良率</w:t>
            </w:r>
          </w:p>
        </w:tc>
        <w:tc>
          <w:tcPr>
            <w:tcW w:w="2466" w:type="dxa"/>
            <w:vAlign w:val="center"/>
          </w:tcPr>
          <w:p>
            <w:pPr>
              <w:pStyle w:val="10"/>
            </w:pPr>
            <w:r>
              <w:t>法律援助案件质量等级优良率</w:t>
            </w:r>
          </w:p>
        </w:tc>
        <w:tc>
          <w:tcPr>
            <w:tcW w:w="2466" w:type="dxa"/>
            <w:vAlign w:val="center"/>
          </w:tcPr>
          <w:p>
            <w:pPr>
              <w:pStyle w:val="10"/>
            </w:pPr>
            <w:r>
              <w:t>≥80%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业务装备及时采购</w:t>
            </w:r>
          </w:p>
        </w:tc>
        <w:tc>
          <w:tcPr>
            <w:tcW w:w="2466" w:type="dxa"/>
            <w:vAlign w:val="center"/>
          </w:tcPr>
          <w:p>
            <w:pPr>
              <w:pStyle w:val="10"/>
            </w:pPr>
            <w:r>
              <w:t>业务装备及时采购</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降低刑罚成本</w:t>
            </w:r>
          </w:p>
        </w:tc>
        <w:tc>
          <w:tcPr>
            <w:tcW w:w="2466" w:type="dxa"/>
            <w:vAlign w:val="center"/>
          </w:tcPr>
          <w:p>
            <w:pPr>
              <w:pStyle w:val="10"/>
            </w:pPr>
            <w:r>
              <w:t>降低刑罚成本</w:t>
            </w:r>
          </w:p>
        </w:tc>
        <w:tc>
          <w:tcPr>
            <w:tcW w:w="2466" w:type="dxa"/>
            <w:vAlign w:val="center"/>
          </w:tcPr>
          <w:p>
            <w:pPr>
              <w:pStyle w:val="10"/>
            </w:pPr>
            <w:r>
              <w:t>≥30%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诉讼费节约率</w:t>
            </w:r>
          </w:p>
        </w:tc>
        <w:tc>
          <w:tcPr>
            <w:tcW w:w="2466" w:type="dxa"/>
            <w:vAlign w:val="center"/>
          </w:tcPr>
          <w:p>
            <w:pPr>
              <w:pStyle w:val="10"/>
            </w:pPr>
            <w:r>
              <w:t>诉讼费节约率</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改善办案基础设施和基础条件</w:t>
            </w:r>
          </w:p>
        </w:tc>
        <w:tc>
          <w:tcPr>
            <w:tcW w:w="2466" w:type="dxa"/>
            <w:vAlign w:val="center"/>
          </w:tcPr>
          <w:p>
            <w:pPr>
              <w:pStyle w:val="10"/>
            </w:pPr>
            <w:r>
              <w:t>改善办案基础设施和基础条件</w:t>
            </w:r>
          </w:p>
        </w:tc>
        <w:tc>
          <w:tcPr>
            <w:tcW w:w="2466" w:type="dxa"/>
            <w:vAlign w:val="center"/>
          </w:tcPr>
          <w:p>
            <w:pPr>
              <w:pStyle w:val="10"/>
            </w:pPr>
            <w:r>
              <w:t>有效改善</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提供优秀的法律服务</w:t>
            </w:r>
          </w:p>
        </w:tc>
        <w:tc>
          <w:tcPr>
            <w:tcW w:w="2466" w:type="dxa"/>
            <w:vAlign w:val="center"/>
          </w:tcPr>
          <w:p>
            <w:pPr>
              <w:pStyle w:val="10"/>
            </w:pPr>
            <w:r>
              <w:t>提供优秀的法律服务</w:t>
            </w:r>
          </w:p>
        </w:tc>
        <w:tc>
          <w:tcPr>
            <w:tcW w:w="2466" w:type="dxa"/>
            <w:vAlign w:val="center"/>
          </w:tcPr>
          <w:p>
            <w:pPr>
              <w:pStyle w:val="10"/>
            </w:pPr>
            <w:r>
              <w:t>有效改善</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满意度</w:t>
            </w:r>
          </w:p>
        </w:tc>
        <w:tc>
          <w:tcPr>
            <w:tcW w:w="2466" w:type="dxa"/>
            <w:vAlign w:val="center"/>
          </w:tcPr>
          <w:p>
            <w:pPr>
              <w:pStyle w:val="10"/>
            </w:pPr>
            <w:r>
              <w:t>满意度</w:t>
            </w:r>
          </w:p>
        </w:tc>
        <w:tc>
          <w:tcPr>
            <w:tcW w:w="2466" w:type="dxa"/>
            <w:vAlign w:val="center"/>
          </w:tcPr>
          <w:p>
            <w:pPr>
              <w:pStyle w:val="10"/>
            </w:pPr>
            <w:r>
              <w:t>≥80%</w:t>
            </w:r>
          </w:p>
        </w:tc>
        <w:tc>
          <w:tcPr>
            <w:tcW w:w="246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2、安置帮教费用绩效目标表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1.预防和减少安置帮教人员重新犯罪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安置帮教人数</w:t>
            </w:r>
          </w:p>
        </w:tc>
        <w:tc>
          <w:tcPr>
            <w:tcW w:w="2466" w:type="dxa"/>
            <w:vAlign w:val="center"/>
          </w:tcPr>
          <w:p>
            <w:pPr>
              <w:pStyle w:val="10"/>
            </w:pPr>
            <w:r>
              <w:t>安置帮教达标率</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刑满释放人员帮教率</w:t>
            </w:r>
          </w:p>
        </w:tc>
        <w:tc>
          <w:tcPr>
            <w:tcW w:w="2466" w:type="dxa"/>
            <w:vAlign w:val="center"/>
          </w:tcPr>
          <w:p>
            <w:pPr>
              <w:pStyle w:val="10"/>
            </w:pPr>
            <w:r>
              <w:t>刑满释放人员帮教率</w:t>
            </w:r>
          </w:p>
        </w:tc>
        <w:tc>
          <w:tcPr>
            <w:tcW w:w="2466" w:type="dxa"/>
            <w:vAlign w:val="center"/>
          </w:tcPr>
          <w:p>
            <w:pPr>
              <w:pStyle w:val="10"/>
            </w:pPr>
            <w:r>
              <w:t>≥80%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帮教及时性</w:t>
            </w:r>
          </w:p>
        </w:tc>
        <w:tc>
          <w:tcPr>
            <w:tcW w:w="2466" w:type="dxa"/>
            <w:vAlign w:val="center"/>
          </w:tcPr>
          <w:p>
            <w:pPr>
              <w:pStyle w:val="10"/>
            </w:pPr>
            <w:r>
              <w:t>对刑释人员及时帮教对接</w:t>
            </w:r>
          </w:p>
        </w:tc>
        <w:tc>
          <w:tcPr>
            <w:tcW w:w="2466" w:type="dxa"/>
            <w:vAlign w:val="center"/>
          </w:tcPr>
          <w:p>
            <w:pPr>
              <w:pStyle w:val="10"/>
            </w:pPr>
            <w:r>
              <w:t>及时帮教</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刑满释放人员安置率</w:t>
            </w:r>
          </w:p>
        </w:tc>
        <w:tc>
          <w:tcPr>
            <w:tcW w:w="2466" w:type="dxa"/>
            <w:vAlign w:val="center"/>
          </w:tcPr>
          <w:p>
            <w:pPr>
              <w:pStyle w:val="10"/>
            </w:pPr>
            <w:r>
              <w:t>刑满释放人员安置率</w:t>
            </w:r>
          </w:p>
        </w:tc>
        <w:tc>
          <w:tcPr>
            <w:tcW w:w="2466" w:type="dxa"/>
            <w:vAlign w:val="center"/>
          </w:tcPr>
          <w:p>
            <w:pPr>
              <w:pStyle w:val="10"/>
            </w:pPr>
            <w:r>
              <w:t>≥80%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安置刑满释放人员</w:t>
            </w:r>
          </w:p>
        </w:tc>
        <w:tc>
          <w:tcPr>
            <w:tcW w:w="2466" w:type="dxa"/>
            <w:vAlign w:val="center"/>
          </w:tcPr>
          <w:p>
            <w:pPr>
              <w:pStyle w:val="10"/>
            </w:pPr>
            <w:r>
              <w:t>安置刑满释放人员</w:t>
            </w:r>
          </w:p>
        </w:tc>
        <w:tc>
          <w:tcPr>
            <w:tcW w:w="2466" w:type="dxa"/>
            <w:vAlign w:val="center"/>
          </w:tcPr>
          <w:p>
            <w:pPr>
              <w:pStyle w:val="10"/>
            </w:pPr>
            <w:r>
              <w:t>100%</w:t>
            </w:r>
          </w:p>
        </w:tc>
        <w:tc>
          <w:tcPr>
            <w:tcW w:w="246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减少两类人员再犯罪</w:t>
            </w:r>
          </w:p>
        </w:tc>
        <w:tc>
          <w:tcPr>
            <w:tcW w:w="2466" w:type="dxa"/>
            <w:vAlign w:val="center"/>
          </w:tcPr>
          <w:p>
            <w:pPr>
              <w:pStyle w:val="10"/>
            </w:pPr>
            <w:r>
              <w:t>社区矫正人员、刑满释放人员再犯罪率</w:t>
            </w:r>
          </w:p>
        </w:tc>
        <w:tc>
          <w:tcPr>
            <w:tcW w:w="2466" w:type="dxa"/>
            <w:vAlign w:val="center"/>
          </w:tcPr>
          <w:p>
            <w:pPr>
              <w:pStyle w:val="10"/>
            </w:pPr>
            <w:r>
              <w:t>≤0.25%</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刑释人员顺利回归社会</w:t>
            </w:r>
          </w:p>
        </w:tc>
        <w:tc>
          <w:tcPr>
            <w:tcW w:w="2466" w:type="dxa"/>
            <w:vAlign w:val="center"/>
          </w:tcPr>
          <w:p>
            <w:pPr>
              <w:pStyle w:val="10"/>
            </w:pPr>
            <w:r>
              <w:t>刑满释放人员顺利回归社会所占比例</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群众满意问卷占所有问卷比例</w:t>
            </w:r>
          </w:p>
        </w:tc>
        <w:tc>
          <w:tcPr>
            <w:tcW w:w="2466" w:type="dxa"/>
            <w:vAlign w:val="center"/>
          </w:tcPr>
          <w:p>
            <w:pPr>
              <w:pStyle w:val="10"/>
            </w:pPr>
            <w:r>
              <w:t>≥85%</w:t>
            </w:r>
          </w:p>
        </w:tc>
        <w:tc>
          <w:tcPr>
            <w:tcW w:w="246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3、安置帮教网络费用（2.5万元以内）绩效目标表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1.全面构建全区安置帮教网络信息化管理体系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安置帮教人数</w:t>
            </w:r>
          </w:p>
        </w:tc>
        <w:tc>
          <w:tcPr>
            <w:tcW w:w="2466" w:type="dxa"/>
            <w:vAlign w:val="center"/>
          </w:tcPr>
          <w:p>
            <w:pPr>
              <w:pStyle w:val="10"/>
            </w:pPr>
            <w:r>
              <w:t>安置帮教人数达标率</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安置帮教工作完成率</w:t>
            </w:r>
          </w:p>
        </w:tc>
        <w:tc>
          <w:tcPr>
            <w:tcW w:w="2466" w:type="dxa"/>
            <w:vAlign w:val="center"/>
          </w:tcPr>
          <w:p>
            <w:pPr>
              <w:pStyle w:val="10"/>
            </w:pPr>
            <w:r>
              <w:t>安置帮教工作完成情况占安置帮教工作任务的比例</w:t>
            </w:r>
          </w:p>
        </w:tc>
        <w:tc>
          <w:tcPr>
            <w:tcW w:w="2466" w:type="dxa"/>
            <w:vAlign w:val="center"/>
          </w:tcPr>
          <w:p>
            <w:pPr>
              <w:pStyle w:val="10"/>
            </w:pPr>
            <w:r>
              <w:t>≥90%</w:t>
            </w:r>
          </w:p>
        </w:tc>
        <w:tc>
          <w:tcPr>
            <w:tcW w:w="246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维修及时率</w:t>
            </w:r>
          </w:p>
        </w:tc>
        <w:tc>
          <w:tcPr>
            <w:tcW w:w="2466" w:type="dxa"/>
            <w:vAlign w:val="center"/>
          </w:tcPr>
          <w:p>
            <w:pPr>
              <w:pStyle w:val="10"/>
            </w:pPr>
            <w:r>
              <w:t>维修及时率</w:t>
            </w:r>
          </w:p>
        </w:tc>
        <w:tc>
          <w:tcPr>
            <w:tcW w:w="2466" w:type="dxa"/>
            <w:vAlign w:val="center"/>
          </w:tcPr>
          <w:p>
            <w:pPr>
              <w:pStyle w:val="10"/>
            </w:pPr>
            <w:r>
              <w:t>≥90%</w:t>
            </w:r>
          </w:p>
        </w:tc>
        <w:tc>
          <w:tcPr>
            <w:tcW w:w="246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网络安全保障率</w:t>
            </w:r>
          </w:p>
        </w:tc>
        <w:tc>
          <w:tcPr>
            <w:tcW w:w="2466" w:type="dxa"/>
            <w:vAlign w:val="center"/>
          </w:tcPr>
          <w:p>
            <w:pPr>
              <w:pStyle w:val="10"/>
            </w:pPr>
            <w:r>
              <w:t>网络使用无问题情况天数占网络使用天数的比率</w:t>
            </w:r>
          </w:p>
        </w:tc>
        <w:tc>
          <w:tcPr>
            <w:tcW w:w="2466" w:type="dxa"/>
            <w:vAlign w:val="center"/>
          </w:tcPr>
          <w:p>
            <w:pPr>
              <w:pStyle w:val="10"/>
            </w:pPr>
            <w:r>
              <w:t>≥90%</w:t>
            </w:r>
          </w:p>
        </w:tc>
        <w:tc>
          <w:tcPr>
            <w:tcW w:w="246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提高帮教人员法律意识</w:t>
            </w:r>
          </w:p>
        </w:tc>
        <w:tc>
          <w:tcPr>
            <w:tcW w:w="2466" w:type="dxa"/>
            <w:vAlign w:val="center"/>
          </w:tcPr>
          <w:p>
            <w:pPr>
              <w:pStyle w:val="10"/>
            </w:pPr>
            <w:r>
              <w:t>提高帮教人员法律意识</w:t>
            </w:r>
          </w:p>
        </w:tc>
        <w:tc>
          <w:tcPr>
            <w:tcW w:w="2466" w:type="dxa"/>
            <w:vAlign w:val="center"/>
          </w:tcPr>
          <w:p>
            <w:pPr>
              <w:pStyle w:val="10"/>
            </w:pPr>
            <w:r>
              <w:t>&gt;50%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减少两类人员再犯罪</w:t>
            </w:r>
          </w:p>
        </w:tc>
        <w:tc>
          <w:tcPr>
            <w:tcW w:w="2466" w:type="dxa"/>
            <w:vAlign w:val="center"/>
          </w:tcPr>
          <w:p>
            <w:pPr>
              <w:pStyle w:val="10"/>
            </w:pPr>
            <w:r>
              <w:t>帮教人员重新犯罪率</w:t>
            </w:r>
          </w:p>
        </w:tc>
        <w:tc>
          <w:tcPr>
            <w:tcW w:w="2466" w:type="dxa"/>
            <w:vAlign w:val="center"/>
          </w:tcPr>
          <w:p>
            <w:pPr>
              <w:pStyle w:val="10"/>
            </w:pPr>
            <w:r>
              <w:t>≤1%</w:t>
            </w:r>
          </w:p>
        </w:tc>
        <w:tc>
          <w:tcPr>
            <w:tcW w:w="246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网络畅通</w:t>
            </w:r>
          </w:p>
        </w:tc>
        <w:tc>
          <w:tcPr>
            <w:tcW w:w="2466" w:type="dxa"/>
            <w:vAlign w:val="center"/>
          </w:tcPr>
          <w:p>
            <w:pPr>
              <w:pStyle w:val="10"/>
            </w:pPr>
            <w:r>
              <w:t>保障网络畅通</w:t>
            </w:r>
          </w:p>
        </w:tc>
        <w:tc>
          <w:tcPr>
            <w:tcW w:w="2466" w:type="dxa"/>
            <w:vAlign w:val="center"/>
          </w:tcPr>
          <w:p>
            <w:pPr>
              <w:pStyle w:val="10"/>
            </w:pPr>
            <w:r>
              <w:t>≥90%</w:t>
            </w:r>
          </w:p>
        </w:tc>
        <w:tc>
          <w:tcPr>
            <w:tcW w:w="246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受益人满意度</w:t>
            </w:r>
          </w:p>
        </w:tc>
        <w:tc>
          <w:tcPr>
            <w:tcW w:w="2466" w:type="dxa"/>
            <w:vAlign w:val="center"/>
          </w:tcPr>
          <w:p>
            <w:pPr>
              <w:pStyle w:val="10"/>
            </w:pPr>
            <w:r>
              <w:t>相关工作人员对该服务是否满意</w:t>
            </w:r>
          </w:p>
        </w:tc>
        <w:tc>
          <w:tcPr>
            <w:tcW w:w="2466" w:type="dxa"/>
            <w:vAlign w:val="center"/>
          </w:tcPr>
          <w:p>
            <w:pPr>
              <w:pStyle w:val="10"/>
            </w:pPr>
            <w:r>
              <w:t>≥90%</w:t>
            </w:r>
          </w:p>
        </w:tc>
        <w:tc>
          <w:tcPr>
            <w:tcW w:w="2466" w:type="dxa"/>
            <w:vAlign w:val="center"/>
          </w:tcPr>
          <w:p>
            <w:pPr>
              <w:pStyle w:val="10"/>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4、大学生专职人民调解员经费（劳务费）绩效目标表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1.及时发放大学生专职人民调解员工资，保障机关正常运转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大学生专职调解员数量</w:t>
            </w:r>
          </w:p>
        </w:tc>
        <w:tc>
          <w:tcPr>
            <w:tcW w:w="2466" w:type="dxa"/>
            <w:vAlign w:val="center"/>
          </w:tcPr>
          <w:p>
            <w:pPr>
              <w:pStyle w:val="10"/>
            </w:pPr>
            <w:r>
              <w:t>大学生专职调解员数量</w:t>
            </w:r>
          </w:p>
        </w:tc>
        <w:tc>
          <w:tcPr>
            <w:tcW w:w="2466" w:type="dxa"/>
            <w:vAlign w:val="center"/>
          </w:tcPr>
          <w:p>
            <w:pPr>
              <w:pStyle w:val="10"/>
            </w:pPr>
            <w:r>
              <w:t>≥11人</w:t>
            </w:r>
          </w:p>
        </w:tc>
        <w:tc>
          <w:tcPr>
            <w:tcW w:w="246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工资标准</w:t>
            </w:r>
          </w:p>
        </w:tc>
        <w:tc>
          <w:tcPr>
            <w:tcW w:w="2466" w:type="dxa"/>
            <w:vAlign w:val="center"/>
          </w:tcPr>
          <w:p>
            <w:pPr>
              <w:pStyle w:val="10"/>
            </w:pPr>
            <w:r>
              <w:t>执行的劳务派遣人员月工资标准</w:t>
            </w:r>
          </w:p>
        </w:tc>
        <w:tc>
          <w:tcPr>
            <w:tcW w:w="2466" w:type="dxa"/>
            <w:vAlign w:val="center"/>
          </w:tcPr>
          <w:p>
            <w:pPr>
              <w:pStyle w:val="10"/>
            </w:pPr>
            <w:r>
              <w:t>≥1900元</w:t>
            </w:r>
          </w:p>
        </w:tc>
        <w:tc>
          <w:tcPr>
            <w:tcW w:w="2466" w:type="dxa"/>
            <w:vAlign w:val="center"/>
          </w:tcPr>
          <w:p>
            <w:pPr>
              <w:pStyle w:val="10"/>
            </w:pPr>
            <w:r>
              <w:t>国家规定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工资发放及时率</w:t>
            </w:r>
          </w:p>
        </w:tc>
        <w:tc>
          <w:tcPr>
            <w:tcW w:w="2466" w:type="dxa"/>
            <w:vAlign w:val="center"/>
          </w:tcPr>
          <w:p>
            <w:pPr>
              <w:pStyle w:val="10"/>
            </w:pPr>
            <w:r>
              <w:t>工资发放及时率</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工作完成度</w:t>
            </w:r>
          </w:p>
        </w:tc>
        <w:tc>
          <w:tcPr>
            <w:tcW w:w="2466" w:type="dxa"/>
            <w:vAlign w:val="center"/>
          </w:tcPr>
          <w:p>
            <w:pPr>
              <w:pStyle w:val="10"/>
            </w:pPr>
            <w:r>
              <w:t>工作完成度</w:t>
            </w:r>
          </w:p>
        </w:tc>
        <w:tc>
          <w:tcPr>
            <w:tcW w:w="2466" w:type="dxa"/>
            <w:vAlign w:val="center"/>
          </w:tcPr>
          <w:p>
            <w:pPr>
              <w:pStyle w:val="10"/>
            </w:pPr>
            <w:r>
              <w:t>≥98%</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工资消费贡献率</w:t>
            </w:r>
          </w:p>
        </w:tc>
        <w:tc>
          <w:tcPr>
            <w:tcW w:w="2466" w:type="dxa"/>
            <w:vAlign w:val="center"/>
          </w:tcPr>
          <w:p>
            <w:pPr>
              <w:pStyle w:val="10"/>
            </w:pPr>
            <w:r>
              <w:t>工资收入的消费能力</w:t>
            </w:r>
          </w:p>
        </w:tc>
        <w:tc>
          <w:tcPr>
            <w:tcW w:w="2466" w:type="dxa"/>
            <w:vAlign w:val="center"/>
          </w:tcPr>
          <w:p>
            <w:pPr>
              <w:pStyle w:val="10"/>
            </w:pPr>
            <w:r>
              <w:t>≥50%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安排就业人数</w:t>
            </w:r>
          </w:p>
        </w:tc>
        <w:tc>
          <w:tcPr>
            <w:tcW w:w="2466" w:type="dxa"/>
            <w:vAlign w:val="center"/>
          </w:tcPr>
          <w:p>
            <w:pPr>
              <w:pStyle w:val="10"/>
            </w:pPr>
            <w:r>
              <w:t>解决就业人数，缓解就业压力</w:t>
            </w:r>
          </w:p>
        </w:tc>
        <w:tc>
          <w:tcPr>
            <w:tcW w:w="2466" w:type="dxa"/>
            <w:vAlign w:val="center"/>
          </w:tcPr>
          <w:p>
            <w:pPr>
              <w:pStyle w:val="10"/>
            </w:pPr>
            <w:r>
              <w:t>≥11人</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保障事业发展</w:t>
            </w:r>
          </w:p>
        </w:tc>
        <w:tc>
          <w:tcPr>
            <w:tcW w:w="2466" w:type="dxa"/>
            <w:vAlign w:val="center"/>
          </w:tcPr>
          <w:p>
            <w:pPr>
              <w:pStyle w:val="10"/>
            </w:pPr>
            <w:r>
              <w:t>保障各项工作正常运转</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劳务派遣人员满意度</w:t>
            </w:r>
          </w:p>
        </w:tc>
        <w:tc>
          <w:tcPr>
            <w:tcW w:w="2466" w:type="dxa"/>
            <w:vAlign w:val="center"/>
          </w:tcPr>
          <w:p>
            <w:pPr>
              <w:pStyle w:val="10"/>
            </w:pPr>
            <w:r>
              <w:t>劳务派遣人员对工资待遇的满意度</w:t>
            </w:r>
          </w:p>
        </w:tc>
        <w:tc>
          <w:tcPr>
            <w:tcW w:w="2466" w:type="dxa"/>
            <w:vAlign w:val="center"/>
          </w:tcPr>
          <w:p>
            <w:pPr>
              <w:pStyle w:val="10"/>
            </w:pPr>
            <w:r>
              <w:t>≥90%</w:t>
            </w:r>
          </w:p>
        </w:tc>
        <w:tc>
          <w:tcPr>
            <w:tcW w:w="246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5、法律援助经费绩效目标表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1.扩大法律援助范围，提升法律援助效力。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提供法律咨询数量</w:t>
            </w:r>
          </w:p>
        </w:tc>
        <w:tc>
          <w:tcPr>
            <w:tcW w:w="2466" w:type="dxa"/>
            <w:vAlign w:val="center"/>
          </w:tcPr>
          <w:p>
            <w:pPr>
              <w:pStyle w:val="10"/>
            </w:pPr>
            <w:r>
              <w:t>为来电来访群众提供法律咨询服务数量</w:t>
            </w:r>
          </w:p>
        </w:tc>
        <w:tc>
          <w:tcPr>
            <w:tcW w:w="2466" w:type="dxa"/>
            <w:vAlign w:val="center"/>
          </w:tcPr>
          <w:p>
            <w:pPr>
              <w:pStyle w:val="10"/>
            </w:pPr>
            <w:r>
              <w:t>≥3500人</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法律援助案件受理数</w:t>
            </w:r>
          </w:p>
        </w:tc>
        <w:tc>
          <w:tcPr>
            <w:tcW w:w="2466" w:type="dxa"/>
            <w:vAlign w:val="center"/>
          </w:tcPr>
          <w:p>
            <w:pPr>
              <w:pStyle w:val="10"/>
            </w:pPr>
            <w:r>
              <w:t>办理法律援助案件数量</w:t>
            </w:r>
          </w:p>
        </w:tc>
        <w:tc>
          <w:tcPr>
            <w:tcW w:w="2466" w:type="dxa"/>
            <w:vAlign w:val="center"/>
          </w:tcPr>
          <w:p>
            <w:pPr>
              <w:pStyle w:val="10"/>
            </w:pPr>
            <w:r>
              <w:t>≥500件</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提供法律服务及时性</w:t>
            </w:r>
          </w:p>
        </w:tc>
        <w:tc>
          <w:tcPr>
            <w:tcW w:w="2466" w:type="dxa"/>
            <w:vAlign w:val="center"/>
          </w:tcPr>
          <w:p>
            <w:pPr>
              <w:pStyle w:val="10"/>
            </w:pPr>
            <w:r>
              <w:t>提供法律服务及时性</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法律援助案件受理率</w:t>
            </w:r>
          </w:p>
        </w:tc>
        <w:tc>
          <w:tcPr>
            <w:tcW w:w="2466" w:type="dxa"/>
            <w:vAlign w:val="center"/>
          </w:tcPr>
          <w:p>
            <w:pPr>
              <w:pStyle w:val="10"/>
            </w:pPr>
            <w:r>
              <w:t>已提供法律援助案件占申请法律援助案件比例</w:t>
            </w:r>
          </w:p>
        </w:tc>
        <w:tc>
          <w:tcPr>
            <w:tcW w:w="2466" w:type="dxa"/>
            <w:vAlign w:val="center"/>
          </w:tcPr>
          <w:p>
            <w:pPr>
              <w:pStyle w:val="10"/>
            </w:pPr>
            <w:r>
              <w:t>≥98%</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为受援助人免收代理费</w:t>
            </w:r>
          </w:p>
        </w:tc>
        <w:tc>
          <w:tcPr>
            <w:tcW w:w="2466" w:type="dxa"/>
            <w:vAlign w:val="center"/>
          </w:tcPr>
          <w:p>
            <w:pPr>
              <w:pStyle w:val="10"/>
            </w:pPr>
            <w:r>
              <w:t>为受援助人免收代理费</w:t>
            </w:r>
          </w:p>
        </w:tc>
        <w:tc>
          <w:tcPr>
            <w:tcW w:w="2466" w:type="dxa"/>
            <w:vAlign w:val="center"/>
          </w:tcPr>
          <w:p>
            <w:pPr>
              <w:pStyle w:val="10"/>
            </w:pPr>
            <w:r>
              <w:t>≥100万元</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及时受理、及时审批、及时指派</w:t>
            </w:r>
          </w:p>
        </w:tc>
        <w:tc>
          <w:tcPr>
            <w:tcW w:w="2466" w:type="dxa"/>
            <w:vAlign w:val="center"/>
          </w:tcPr>
          <w:p>
            <w:pPr>
              <w:pStyle w:val="10"/>
            </w:pPr>
            <w:r>
              <w:t>对符合困难标准和受案范围的当事人受援率要达到100%，从而实现应援尽援、尽援优援。</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民事和形势案卷质量评估</w:t>
            </w:r>
          </w:p>
        </w:tc>
        <w:tc>
          <w:tcPr>
            <w:tcW w:w="2466" w:type="dxa"/>
            <w:vAlign w:val="center"/>
          </w:tcPr>
          <w:p>
            <w:pPr>
              <w:pStyle w:val="10"/>
            </w:pPr>
            <w:r>
              <w:t>确保法律援助案卷在质量评估中达到合格以上的标准</w:t>
            </w:r>
          </w:p>
        </w:tc>
        <w:tc>
          <w:tcPr>
            <w:tcW w:w="2466" w:type="dxa"/>
            <w:vAlign w:val="center"/>
          </w:tcPr>
          <w:p>
            <w:pPr>
              <w:pStyle w:val="10"/>
            </w:pPr>
            <w:r>
              <w:t>≥95%</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通过抽样调查的方式，对接受法律援助的人员进行调查，达到满意程度的比例</w:t>
            </w:r>
          </w:p>
        </w:tc>
        <w:tc>
          <w:tcPr>
            <w:tcW w:w="2466" w:type="dxa"/>
            <w:vAlign w:val="center"/>
          </w:tcPr>
          <w:p>
            <w:pPr>
              <w:pStyle w:val="10"/>
            </w:pPr>
            <w:r>
              <w:t>≥95%</w:t>
            </w:r>
          </w:p>
        </w:tc>
        <w:tc>
          <w:tcPr>
            <w:tcW w:w="246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6、法律专家咨询费绩效目标表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1.提高我区工作人员法律意识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聘用律师数量</w:t>
            </w:r>
          </w:p>
        </w:tc>
        <w:tc>
          <w:tcPr>
            <w:tcW w:w="2466" w:type="dxa"/>
            <w:vAlign w:val="center"/>
          </w:tcPr>
          <w:p>
            <w:pPr>
              <w:pStyle w:val="10"/>
            </w:pPr>
            <w:r>
              <w:t>聘用的律师人数</w:t>
            </w:r>
          </w:p>
        </w:tc>
        <w:tc>
          <w:tcPr>
            <w:tcW w:w="2466" w:type="dxa"/>
            <w:vAlign w:val="center"/>
          </w:tcPr>
          <w:p>
            <w:pPr>
              <w:pStyle w:val="10"/>
            </w:pPr>
            <w:r>
              <w:t>≥8人</w:t>
            </w:r>
          </w:p>
        </w:tc>
        <w:tc>
          <w:tcPr>
            <w:tcW w:w="246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咨询服务质量</w:t>
            </w:r>
          </w:p>
        </w:tc>
        <w:tc>
          <w:tcPr>
            <w:tcW w:w="2466" w:type="dxa"/>
            <w:vAlign w:val="center"/>
          </w:tcPr>
          <w:p>
            <w:pPr>
              <w:pStyle w:val="10"/>
            </w:pPr>
            <w:r>
              <w:t>提供的法律咨询服务质量</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律师咨询费发放及时率</w:t>
            </w:r>
          </w:p>
        </w:tc>
        <w:tc>
          <w:tcPr>
            <w:tcW w:w="2466" w:type="dxa"/>
            <w:vAlign w:val="center"/>
          </w:tcPr>
          <w:p>
            <w:pPr>
              <w:pStyle w:val="10"/>
            </w:pPr>
            <w:r>
              <w:t>律师咨询费发放的及时程度</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律师咨询费最低发放标准</w:t>
            </w:r>
          </w:p>
        </w:tc>
        <w:tc>
          <w:tcPr>
            <w:tcW w:w="2466" w:type="dxa"/>
            <w:vAlign w:val="center"/>
          </w:tcPr>
          <w:p>
            <w:pPr>
              <w:pStyle w:val="10"/>
            </w:pPr>
            <w:r>
              <w:t>执行的律师咨询费发放标准标准</w:t>
            </w:r>
          </w:p>
        </w:tc>
        <w:tc>
          <w:tcPr>
            <w:tcW w:w="2466" w:type="dxa"/>
            <w:vAlign w:val="center"/>
          </w:tcPr>
          <w:p>
            <w:pPr>
              <w:pStyle w:val="10"/>
            </w:pPr>
            <w:r>
              <w:t>≥15000元/年，人</w:t>
            </w:r>
          </w:p>
        </w:tc>
        <w:tc>
          <w:tcPr>
            <w:tcW w:w="246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咨询费消费贡献率</w:t>
            </w:r>
          </w:p>
        </w:tc>
        <w:tc>
          <w:tcPr>
            <w:tcW w:w="2466" w:type="dxa"/>
            <w:vAlign w:val="center"/>
          </w:tcPr>
          <w:p>
            <w:pPr>
              <w:pStyle w:val="10"/>
            </w:pPr>
            <w:r>
              <w:t>咨询收入的消费能力</w:t>
            </w:r>
          </w:p>
        </w:tc>
        <w:tc>
          <w:tcPr>
            <w:tcW w:w="2466" w:type="dxa"/>
            <w:vAlign w:val="center"/>
          </w:tcPr>
          <w:p>
            <w:pPr>
              <w:pStyle w:val="10"/>
            </w:pPr>
            <w:r>
              <w:t>≥50%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提高我区工作人员法律意识</w:t>
            </w:r>
          </w:p>
        </w:tc>
        <w:tc>
          <w:tcPr>
            <w:tcW w:w="2466" w:type="dxa"/>
            <w:vAlign w:val="center"/>
          </w:tcPr>
          <w:p>
            <w:pPr>
              <w:pStyle w:val="10"/>
            </w:pPr>
            <w:r>
              <w:t>提高我区工作人员法律意识。</w:t>
            </w:r>
          </w:p>
        </w:tc>
        <w:tc>
          <w:tcPr>
            <w:tcW w:w="2466" w:type="dxa"/>
            <w:vAlign w:val="center"/>
          </w:tcPr>
          <w:p>
            <w:pPr>
              <w:pStyle w:val="10"/>
            </w:pPr>
            <w:r>
              <w:t>有效提高</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保障我区法律权益</w:t>
            </w:r>
          </w:p>
        </w:tc>
        <w:tc>
          <w:tcPr>
            <w:tcW w:w="2466" w:type="dxa"/>
            <w:vAlign w:val="center"/>
          </w:tcPr>
          <w:p>
            <w:pPr>
              <w:pStyle w:val="10"/>
            </w:pPr>
            <w:r>
              <w:t>保障我区法律权益</w:t>
            </w:r>
          </w:p>
        </w:tc>
        <w:tc>
          <w:tcPr>
            <w:tcW w:w="2466" w:type="dxa"/>
            <w:vAlign w:val="center"/>
          </w:tcPr>
          <w:p>
            <w:pPr>
              <w:pStyle w:val="10"/>
            </w:pPr>
            <w:r>
              <w:t>保障了机关正常运转</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律师满意度</w:t>
            </w:r>
          </w:p>
        </w:tc>
        <w:tc>
          <w:tcPr>
            <w:tcW w:w="2466" w:type="dxa"/>
            <w:vAlign w:val="center"/>
          </w:tcPr>
          <w:p>
            <w:pPr>
              <w:pStyle w:val="10"/>
            </w:pPr>
            <w:r>
              <w:t>律师对咨询费待遇的满意度</w:t>
            </w:r>
          </w:p>
        </w:tc>
        <w:tc>
          <w:tcPr>
            <w:tcW w:w="2466" w:type="dxa"/>
            <w:vAlign w:val="center"/>
          </w:tcPr>
          <w:p>
            <w:pPr>
              <w:pStyle w:val="10"/>
            </w:pPr>
            <w:r>
              <w:t>≥90%</w:t>
            </w:r>
          </w:p>
        </w:tc>
        <w:tc>
          <w:tcPr>
            <w:tcW w:w="2466" w:type="dxa"/>
            <w:vAlign w:val="center"/>
          </w:tcPr>
          <w:p>
            <w:pPr>
              <w:pStyle w:val="10"/>
            </w:pPr>
            <w:r>
              <w:t>历史标准</w:t>
            </w:r>
            <w:r>
              <w:tab/>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7、法治规范化建设经费绩效目标表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1.全区行政执法部门依法行政，执法监督水平提高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依法治区学习材料数量</w:t>
            </w:r>
          </w:p>
        </w:tc>
        <w:tc>
          <w:tcPr>
            <w:tcW w:w="2466" w:type="dxa"/>
            <w:vAlign w:val="center"/>
          </w:tcPr>
          <w:p>
            <w:pPr>
              <w:pStyle w:val="10"/>
            </w:pPr>
            <w:r>
              <w:t>印制依法治区学习材料</w:t>
            </w:r>
          </w:p>
        </w:tc>
        <w:tc>
          <w:tcPr>
            <w:tcW w:w="2466" w:type="dxa"/>
            <w:vAlign w:val="center"/>
          </w:tcPr>
          <w:p>
            <w:pPr>
              <w:pStyle w:val="10"/>
            </w:pPr>
            <w:r>
              <w:t>&gt;50000份</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落实全年依法治区委员会安排部署</w:t>
            </w:r>
          </w:p>
        </w:tc>
        <w:tc>
          <w:tcPr>
            <w:tcW w:w="2466" w:type="dxa"/>
            <w:vAlign w:val="center"/>
          </w:tcPr>
          <w:p>
            <w:pPr>
              <w:pStyle w:val="10"/>
            </w:pPr>
            <w:r>
              <w:t>确保全面依法治区委员会安排部署全部落实</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及时组织依法行政考核</w:t>
            </w:r>
          </w:p>
        </w:tc>
        <w:tc>
          <w:tcPr>
            <w:tcW w:w="2466" w:type="dxa"/>
            <w:vAlign w:val="center"/>
          </w:tcPr>
          <w:p>
            <w:pPr>
              <w:pStyle w:val="10"/>
            </w:pPr>
            <w:r>
              <w:t>及时组织依法行政考核</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组织开展案卷评查次数</w:t>
            </w:r>
          </w:p>
        </w:tc>
        <w:tc>
          <w:tcPr>
            <w:tcW w:w="2466" w:type="dxa"/>
            <w:vAlign w:val="center"/>
          </w:tcPr>
          <w:p>
            <w:pPr>
              <w:pStyle w:val="10"/>
            </w:pPr>
            <w:r>
              <w:t>对全区行政执法相关案件进行评查</w:t>
            </w:r>
          </w:p>
        </w:tc>
        <w:tc>
          <w:tcPr>
            <w:tcW w:w="2466" w:type="dxa"/>
            <w:vAlign w:val="center"/>
          </w:tcPr>
          <w:p>
            <w:pPr>
              <w:pStyle w:val="10"/>
            </w:pPr>
            <w:r>
              <w:t>≥2次</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法治政府建设创建效果</w:t>
            </w:r>
          </w:p>
        </w:tc>
        <w:tc>
          <w:tcPr>
            <w:tcW w:w="2466" w:type="dxa"/>
            <w:vAlign w:val="center"/>
          </w:tcPr>
          <w:p>
            <w:pPr>
              <w:pStyle w:val="10"/>
            </w:pPr>
            <w:r>
              <w:t>政府职能依法全面履行，不断优化营商环境</w:t>
            </w:r>
          </w:p>
        </w:tc>
        <w:tc>
          <w:tcPr>
            <w:tcW w:w="2466" w:type="dxa"/>
            <w:vAlign w:val="center"/>
          </w:tcPr>
          <w:p>
            <w:pPr>
              <w:pStyle w:val="10"/>
            </w:pPr>
            <w:r>
              <w:t>有效改善</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依法治区工作成效</w:t>
            </w:r>
          </w:p>
        </w:tc>
        <w:tc>
          <w:tcPr>
            <w:tcW w:w="2466" w:type="dxa"/>
            <w:vAlign w:val="center"/>
          </w:tcPr>
          <w:p>
            <w:pPr>
              <w:pStyle w:val="10"/>
            </w:pPr>
            <w:r>
              <w:t>依法执政、依法行政水平不断增强，法治政府建设持续加强</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发挥统筹协调推动作用</w:t>
            </w:r>
          </w:p>
        </w:tc>
        <w:tc>
          <w:tcPr>
            <w:tcW w:w="2466" w:type="dxa"/>
            <w:vAlign w:val="center"/>
          </w:tcPr>
          <w:p>
            <w:pPr>
              <w:pStyle w:val="10"/>
            </w:pPr>
            <w:r>
              <w:t>统筹协调各地各部门协调配合，共同推进依法治区工作开展</w:t>
            </w:r>
          </w:p>
        </w:tc>
        <w:tc>
          <w:tcPr>
            <w:tcW w:w="2466" w:type="dxa"/>
            <w:vAlign w:val="center"/>
          </w:tcPr>
          <w:p>
            <w:pPr>
              <w:pStyle w:val="10"/>
            </w:pPr>
            <w:r>
              <w:t>明显提高</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群众满意问卷占所有问卷的比例</w:t>
            </w:r>
          </w:p>
        </w:tc>
        <w:tc>
          <w:tcPr>
            <w:tcW w:w="2466" w:type="dxa"/>
            <w:vAlign w:val="center"/>
          </w:tcPr>
          <w:p>
            <w:pPr>
              <w:pStyle w:val="10"/>
            </w:pPr>
            <w:r>
              <w:t>≥95%</w:t>
            </w:r>
          </w:p>
        </w:tc>
        <w:tc>
          <w:tcPr>
            <w:tcW w:w="246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8、就业见习补贴绩效目标表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就业见习岗位人员数量</w:t>
            </w:r>
          </w:p>
        </w:tc>
        <w:tc>
          <w:tcPr>
            <w:tcW w:w="2466" w:type="dxa"/>
            <w:vAlign w:val="center"/>
          </w:tcPr>
          <w:p>
            <w:pPr>
              <w:pStyle w:val="10"/>
            </w:pPr>
            <w:r>
              <w:t>就业见习岗位人员数量</w:t>
            </w:r>
          </w:p>
        </w:tc>
        <w:tc>
          <w:tcPr>
            <w:tcW w:w="2466" w:type="dxa"/>
            <w:vAlign w:val="center"/>
          </w:tcPr>
          <w:p>
            <w:pPr>
              <w:pStyle w:val="10"/>
            </w:pPr>
            <w:r>
              <w:t>≥7人</w:t>
            </w:r>
          </w:p>
        </w:tc>
        <w:tc>
          <w:tcPr>
            <w:tcW w:w="246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工资标准</w:t>
            </w:r>
          </w:p>
        </w:tc>
        <w:tc>
          <w:tcPr>
            <w:tcW w:w="2466" w:type="dxa"/>
            <w:vAlign w:val="center"/>
          </w:tcPr>
          <w:p>
            <w:pPr>
              <w:pStyle w:val="10"/>
            </w:pPr>
            <w:r>
              <w:t>执行的就业见习岗位人员工资标准</w:t>
            </w:r>
          </w:p>
        </w:tc>
        <w:tc>
          <w:tcPr>
            <w:tcW w:w="2466" w:type="dxa"/>
            <w:vAlign w:val="center"/>
          </w:tcPr>
          <w:p>
            <w:pPr>
              <w:pStyle w:val="10"/>
            </w:pPr>
            <w:r>
              <w:t>≥1900元</w:t>
            </w:r>
          </w:p>
        </w:tc>
        <w:tc>
          <w:tcPr>
            <w:tcW w:w="2466" w:type="dxa"/>
            <w:vAlign w:val="center"/>
          </w:tcPr>
          <w:p>
            <w:pPr>
              <w:pStyle w:val="10"/>
            </w:pPr>
            <w:r>
              <w:t>国家规定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工资发放及时率</w:t>
            </w:r>
          </w:p>
        </w:tc>
        <w:tc>
          <w:tcPr>
            <w:tcW w:w="2466" w:type="dxa"/>
            <w:vAlign w:val="center"/>
          </w:tcPr>
          <w:p>
            <w:pPr>
              <w:pStyle w:val="10"/>
            </w:pPr>
            <w:r>
              <w:t>工资发放及时率</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工作完成度</w:t>
            </w:r>
          </w:p>
        </w:tc>
        <w:tc>
          <w:tcPr>
            <w:tcW w:w="2466" w:type="dxa"/>
            <w:vAlign w:val="center"/>
          </w:tcPr>
          <w:p>
            <w:pPr>
              <w:pStyle w:val="10"/>
            </w:pPr>
            <w:r>
              <w:t>工作完成度</w:t>
            </w:r>
          </w:p>
        </w:tc>
        <w:tc>
          <w:tcPr>
            <w:tcW w:w="2466" w:type="dxa"/>
            <w:vAlign w:val="center"/>
          </w:tcPr>
          <w:p>
            <w:pPr>
              <w:pStyle w:val="10"/>
            </w:pPr>
            <w:r>
              <w:t>≥98%</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工资消费贡献率</w:t>
            </w:r>
          </w:p>
        </w:tc>
        <w:tc>
          <w:tcPr>
            <w:tcW w:w="2466" w:type="dxa"/>
            <w:vAlign w:val="center"/>
          </w:tcPr>
          <w:p>
            <w:pPr>
              <w:pStyle w:val="10"/>
            </w:pPr>
            <w:r>
              <w:t>工资收入的消费能力</w:t>
            </w:r>
          </w:p>
        </w:tc>
        <w:tc>
          <w:tcPr>
            <w:tcW w:w="2466" w:type="dxa"/>
            <w:vAlign w:val="center"/>
          </w:tcPr>
          <w:p>
            <w:pPr>
              <w:pStyle w:val="10"/>
            </w:pPr>
            <w:r>
              <w:t>≥50%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工资消费贡献率</w:t>
            </w:r>
          </w:p>
        </w:tc>
        <w:tc>
          <w:tcPr>
            <w:tcW w:w="2466" w:type="dxa"/>
            <w:vAlign w:val="center"/>
          </w:tcPr>
          <w:p>
            <w:pPr>
              <w:pStyle w:val="10"/>
            </w:pPr>
            <w:r>
              <w:t>解决就业人数，缓解就业压力</w:t>
            </w:r>
          </w:p>
        </w:tc>
        <w:tc>
          <w:tcPr>
            <w:tcW w:w="2466" w:type="dxa"/>
            <w:vAlign w:val="center"/>
          </w:tcPr>
          <w:p>
            <w:pPr>
              <w:pStyle w:val="10"/>
            </w:pPr>
            <w:r>
              <w:t>≥7人</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保障事业发展</w:t>
            </w:r>
          </w:p>
        </w:tc>
        <w:tc>
          <w:tcPr>
            <w:tcW w:w="2466" w:type="dxa"/>
            <w:vAlign w:val="center"/>
          </w:tcPr>
          <w:p>
            <w:pPr>
              <w:pStyle w:val="10"/>
            </w:pPr>
            <w:r>
              <w:t>保障各项工作正常运转</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生态效益增长率</w:t>
            </w:r>
          </w:p>
        </w:tc>
        <w:tc>
          <w:tcPr>
            <w:tcW w:w="2466" w:type="dxa"/>
            <w:vAlign w:val="center"/>
          </w:tcPr>
          <w:p>
            <w:pPr>
              <w:pStyle w:val="10"/>
            </w:pPr>
            <w:r>
              <w:t>生态效益增长率</w:t>
            </w:r>
          </w:p>
        </w:tc>
        <w:tc>
          <w:tcPr>
            <w:tcW w:w="2466" w:type="dxa"/>
            <w:vAlign w:val="center"/>
          </w:tcPr>
          <w:p>
            <w:pPr>
              <w:pStyle w:val="10"/>
            </w:pPr>
            <w:r>
              <w:t>≥95%</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劳务派遣人员满意度</w:t>
            </w:r>
          </w:p>
        </w:tc>
        <w:tc>
          <w:tcPr>
            <w:tcW w:w="2466" w:type="dxa"/>
            <w:vAlign w:val="center"/>
          </w:tcPr>
          <w:p>
            <w:pPr>
              <w:pStyle w:val="10"/>
            </w:pPr>
            <w:r>
              <w:t>劳务派遣人员对工资待遇的满意度</w:t>
            </w:r>
          </w:p>
        </w:tc>
        <w:tc>
          <w:tcPr>
            <w:tcW w:w="2466" w:type="dxa"/>
            <w:vAlign w:val="center"/>
          </w:tcPr>
          <w:p>
            <w:pPr>
              <w:pStyle w:val="10"/>
            </w:pPr>
            <w:r>
              <w:t>≥90%</w:t>
            </w:r>
          </w:p>
        </w:tc>
        <w:tc>
          <w:tcPr>
            <w:tcW w:w="246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9、就业生活补贴（区级垫付）绩效目标表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就业见习岗位人员数量</w:t>
            </w:r>
          </w:p>
        </w:tc>
        <w:tc>
          <w:tcPr>
            <w:tcW w:w="2466" w:type="dxa"/>
            <w:vAlign w:val="center"/>
          </w:tcPr>
          <w:p>
            <w:pPr>
              <w:pStyle w:val="10"/>
            </w:pPr>
            <w:r>
              <w:t>就业见习岗位人员数量</w:t>
            </w:r>
          </w:p>
        </w:tc>
        <w:tc>
          <w:tcPr>
            <w:tcW w:w="2466" w:type="dxa"/>
            <w:vAlign w:val="center"/>
          </w:tcPr>
          <w:p>
            <w:pPr>
              <w:pStyle w:val="10"/>
            </w:pPr>
            <w:r>
              <w:t>≥7人</w:t>
            </w:r>
          </w:p>
        </w:tc>
        <w:tc>
          <w:tcPr>
            <w:tcW w:w="246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工资标准</w:t>
            </w:r>
          </w:p>
        </w:tc>
        <w:tc>
          <w:tcPr>
            <w:tcW w:w="2466" w:type="dxa"/>
            <w:vAlign w:val="center"/>
          </w:tcPr>
          <w:p>
            <w:pPr>
              <w:pStyle w:val="10"/>
            </w:pPr>
            <w:r>
              <w:t>执行的就业见习岗位人员工资标准</w:t>
            </w:r>
          </w:p>
        </w:tc>
        <w:tc>
          <w:tcPr>
            <w:tcW w:w="2466" w:type="dxa"/>
            <w:vAlign w:val="center"/>
          </w:tcPr>
          <w:p>
            <w:pPr>
              <w:pStyle w:val="10"/>
            </w:pPr>
            <w:r>
              <w:t>≥1900元</w:t>
            </w:r>
          </w:p>
        </w:tc>
        <w:tc>
          <w:tcPr>
            <w:tcW w:w="2466" w:type="dxa"/>
            <w:vAlign w:val="center"/>
          </w:tcPr>
          <w:p>
            <w:pPr>
              <w:pStyle w:val="10"/>
            </w:pPr>
            <w:r>
              <w:t>国家规定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工资发放及时率</w:t>
            </w:r>
          </w:p>
        </w:tc>
        <w:tc>
          <w:tcPr>
            <w:tcW w:w="2466" w:type="dxa"/>
            <w:vAlign w:val="center"/>
          </w:tcPr>
          <w:p>
            <w:pPr>
              <w:pStyle w:val="10"/>
            </w:pPr>
            <w:r>
              <w:t>工资发放及时率</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工作完成度</w:t>
            </w:r>
          </w:p>
        </w:tc>
        <w:tc>
          <w:tcPr>
            <w:tcW w:w="2466" w:type="dxa"/>
            <w:vAlign w:val="center"/>
          </w:tcPr>
          <w:p>
            <w:pPr>
              <w:pStyle w:val="10"/>
            </w:pPr>
            <w:r>
              <w:t>工作完成度</w:t>
            </w:r>
          </w:p>
        </w:tc>
        <w:tc>
          <w:tcPr>
            <w:tcW w:w="2466" w:type="dxa"/>
            <w:vAlign w:val="center"/>
          </w:tcPr>
          <w:p>
            <w:pPr>
              <w:pStyle w:val="10"/>
            </w:pPr>
            <w:r>
              <w:t>≥98%</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工资消费贡献率</w:t>
            </w:r>
          </w:p>
        </w:tc>
        <w:tc>
          <w:tcPr>
            <w:tcW w:w="2466" w:type="dxa"/>
            <w:vAlign w:val="center"/>
          </w:tcPr>
          <w:p>
            <w:pPr>
              <w:pStyle w:val="10"/>
            </w:pPr>
            <w:r>
              <w:t>工资收入的消费能力</w:t>
            </w:r>
          </w:p>
        </w:tc>
        <w:tc>
          <w:tcPr>
            <w:tcW w:w="2466" w:type="dxa"/>
            <w:vAlign w:val="center"/>
          </w:tcPr>
          <w:p>
            <w:pPr>
              <w:pStyle w:val="10"/>
            </w:pPr>
            <w:r>
              <w:t>≥50%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工资消费贡献率</w:t>
            </w:r>
          </w:p>
        </w:tc>
        <w:tc>
          <w:tcPr>
            <w:tcW w:w="2466" w:type="dxa"/>
            <w:vAlign w:val="center"/>
          </w:tcPr>
          <w:p>
            <w:pPr>
              <w:pStyle w:val="10"/>
            </w:pPr>
            <w:r>
              <w:t>解决就业人数，缓解就业压力</w:t>
            </w:r>
          </w:p>
        </w:tc>
        <w:tc>
          <w:tcPr>
            <w:tcW w:w="2466" w:type="dxa"/>
            <w:vAlign w:val="center"/>
          </w:tcPr>
          <w:p>
            <w:pPr>
              <w:pStyle w:val="10"/>
            </w:pPr>
            <w:r>
              <w:t>≥7人</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保障事业发展</w:t>
            </w:r>
          </w:p>
        </w:tc>
        <w:tc>
          <w:tcPr>
            <w:tcW w:w="2466" w:type="dxa"/>
            <w:vAlign w:val="center"/>
          </w:tcPr>
          <w:p>
            <w:pPr>
              <w:pStyle w:val="10"/>
            </w:pPr>
            <w:r>
              <w:t>保障各项工作正常运转</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生态效益增长率</w:t>
            </w:r>
          </w:p>
        </w:tc>
        <w:tc>
          <w:tcPr>
            <w:tcW w:w="2466" w:type="dxa"/>
            <w:vAlign w:val="center"/>
          </w:tcPr>
          <w:p>
            <w:pPr>
              <w:pStyle w:val="10"/>
            </w:pPr>
            <w:r>
              <w:t>生态效益增长率</w:t>
            </w:r>
          </w:p>
        </w:tc>
        <w:tc>
          <w:tcPr>
            <w:tcW w:w="2466" w:type="dxa"/>
            <w:vAlign w:val="center"/>
          </w:tcPr>
          <w:p>
            <w:pPr>
              <w:pStyle w:val="10"/>
            </w:pPr>
            <w:r>
              <w:t>≥95%</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劳务派遣人员满意度</w:t>
            </w:r>
          </w:p>
        </w:tc>
        <w:tc>
          <w:tcPr>
            <w:tcW w:w="2466" w:type="dxa"/>
            <w:vAlign w:val="center"/>
          </w:tcPr>
          <w:p>
            <w:pPr>
              <w:pStyle w:val="10"/>
            </w:pPr>
            <w:r>
              <w:t>劳务派遣人员对工资待遇的满意度</w:t>
            </w:r>
          </w:p>
        </w:tc>
        <w:tc>
          <w:tcPr>
            <w:tcW w:w="2466" w:type="dxa"/>
            <w:vAlign w:val="center"/>
          </w:tcPr>
          <w:p>
            <w:pPr>
              <w:pStyle w:val="10"/>
            </w:pPr>
            <w:r>
              <w:t>≥90%</w:t>
            </w:r>
          </w:p>
        </w:tc>
        <w:tc>
          <w:tcPr>
            <w:tcW w:w="246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10、劳务派遣人员经费（劳务费）绩效目标表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1.及时发放劳务派遣人员工资，保障机关正常运转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劳务派遣人员数量</w:t>
            </w:r>
          </w:p>
        </w:tc>
        <w:tc>
          <w:tcPr>
            <w:tcW w:w="2466" w:type="dxa"/>
            <w:vAlign w:val="center"/>
          </w:tcPr>
          <w:p>
            <w:pPr>
              <w:pStyle w:val="10"/>
            </w:pPr>
            <w:r>
              <w:t>聘用的劳务派遣人数</w:t>
            </w:r>
          </w:p>
        </w:tc>
        <w:tc>
          <w:tcPr>
            <w:tcW w:w="2466" w:type="dxa"/>
            <w:vAlign w:val="center"/>
          </w:tcPr>
          <w:p>
            <w:pPr>
              <w:pStyle w:val="10"/>
            </w:pPr>
            <w:r>
              <w:t>≥6人</w:t>
            </w:r>
          </w:p>
        </w:tc>
        <w:tc>
          <w:tcPr>
            <w:tcW w:w="246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工作完成度</w:t>
            </w:r>
          </w:p>
        </w:tc>
        <w:tc>
          <w:tcPr>
            <w:tcW w:w="2466" w:type="dxa"/>
            <w:vAlign w:val="center"/>
          </w:tcPr>
          <w:p>
            <w:pPr>
              <w:pStyle w:val="10"/>
            </w:pPr>
            <w:r>
              <w:t>工作完成度</w:t>
            </w:r>
          </w:p>
        </w:tc>
        <w:tc>
          <w:tcPr>
            <w:tcW w:w="2466" w:type="dxa"/>
            <w:vAlign w:val="center"/>
          </w:tcPr>
          <w:p>
            <w:pPr>
              <w:pStyle w:val="10"/>
            </w:pPr>
            <w:r>
              <w:t>≥98%</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工资发放及时率</w:t>
            </w:r>
          </w:p>
        </w:tc>
        <w:tc>
          <w:tcPr>
            <w:tcW w:w="2466" w:type="dxa"/>
            <w:vAlign w:val="center"/>
          </w:tcPr>
          <w:p>
            <w:pPr>
              <w:pStyle w:val="10"/>
            </w:pPr>
            <w:r>
              <w:t>工资发放的及时程度</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劳务派遣人员月最低工资标准</w:t>
            </w:r>
          </w:p>
        </w:tc>
        <w:tc>
          <w:tcPr>
            <w:tcW w:w="2466" w:type="dxa"/>
            <w:vAlign w:val="center"/>
          </w:tcPr>
          <w:p>
            <w:pPr>
              <w:pStyle w:val="10"/>
            </w:pPr>
            <w:r>
              <w:t>执行的劳务派遣人员月工资标准</w:t>
            </w:r>
          </w:p>
        </w:tc>
        <w:tc>
          <w:tcPr>
            <w:tcW w:w="2466" w:type="dxa"/>
            <w:vAlign w:val="center"/>
          </w:tcPr>
          <w:p>
            <w:pPr>
              <w:pStyle w:val="10"/>
            </w:pPr>
            <w:r>
              <w:t>≥1900元/月，人</w:t>
            </w:r>
          </w:p>
        </w:tc>
        <w:tc>
          <w:tcPr>
            <w:tcW w:w="2466"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工资消费贡献率</w:t>
            </w:r>
          </w:p>
        </w:tc>
        <w:tc>
          <w:tcPr>
            <w:tcW w:w="2466" w:type="dxa"/>
            <w:vAlign w:val="center"/>
          </w:tcPr>
          <w:p>
            <w:pPr>
              <w:pStyle w:val="10"/>
            </w:pPr>
            <w:r>
              <w:t>工资收入的消费能力</w:t>
            </w:r>
          </w:p>
        </w:tc>
        <w:tc>
          <w:tcPr>
            <w:tcW w:w="2466" w:type="dxa"/>
            <w:vAlign w:val="center"/>
          </w:tcPr>
          <w:p>
            <w:pPr>
              <w:pStyle w:val="10"/>
            </w:pPr>
            <w:r>
              <w:t>≥50%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安排就业人数</w:t>
            </w:r>
          </w:p>
        </w:tc>
        <w:tc>
          <w:tcPr>
            <w:tcW w:w="2466" w:type="dxa"/>
            <w:vAlign w:val="center"/>
          </w:tcPr>
          <w:p>
            <w:pPr>
              <w:pStyle w:val="10"/>
            </w:pPr>
            <w:r>
              <w:t>解决就业人数，缓解就业压力</w:t>
            </w:r>
          </w:p>
        </w:tc>
        <w:tc>
          <w:tcPr>
            <w:tcW w:w="2466" w:type="dxa"/>
            <w:vAlign w:val="center"/>
          </w:tcPr>
          <w:p>
            <w:pPr>
              <w:pStyle w:val="10"/>
            </w:pPr>
            <w:r>
              <w:t>≥6人</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保障事业发展</w:t>
            </w:r>
          </w:p>
        </w:tc>
        <w:tc>
          <w:tcPr>
            <w:tcW w:w="2466" w:type="dxa"/>
            <w:vAlign w:val="center"/>
          </w:tcPr>
          <w:p>
            <w:pPr>
              <w:pStyle w:val="10"/>
            </w:pPr>
            <w:r>
              <w:t>保障各项工作正常运转</w:t>
            </w:r>
          </w:p>
        </w:tc>
        <w:tc>
          <w:tcPr>
            <w:tcW w:w="2466" w:type="dxa"/>
            <w:vAlign w:val="center"/>
          </w:tcPr>
          <w:p>
            <w:pPr>
              <w:pStyle w:val="10"/>
            </w:pPr>
            <w:r>
              <w:t>机关正常运转</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劳务派遣人员满意度</w:t>
            </w:r>
          </w:p>
        </w:tc>
        <w:tc>
          <w:tcPr>
            <w:tcW w:w="2466" w:type="dxa"/>
            <w:vAlign w:val="center"/>
          </w:tcPr>
          <w:p>
            <w:pPr>
              <w:pStyle w:val="10"/>
            </w:pPr>
            <w:r>
              <w:t>劳务派遣人员对工资待遇的满意度</w:t>
            </w:r>
          </w:p>
        </w:tc>
        <w:tc>
          <w:tcPr>
            <w:tcW w:w="2466" w:type="dxa"/>
            <w:vAlign w:val="center"/>
          </w:tcPr>
          <w:p>
            <w:pPr>
              <w:pStyle w:val="10"/>
            </w:pPr>
            <w:r>
              <w:t>≥95%</w:t>
            </w:r>
          </w:p>
        </w:tc>
        <w:tc>
          <w:tcPr>
            <w:tcW w:w="246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11、离退休老干部专职人民调解员费用（劳务费）绩效目标表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1.及时发放离退休老干部调解员工资，提升调解力度。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老干部调解员人数</w:t>
            </w:r>
          </w:p>
        </w:tc>
        <w:tc>
          <w:tcPr>
            <w:tcW w:w="2466" w:type="dxa"/>
            <w:vAlign w:val="center"/>
          </w:tcPr>
          <w:p>
            <w:pPr>
              <w:pStyle w:val="10"/>
            </w:pPr>
            <w:r>
              <w:t>老干部调解员人数</w:t>
            </w:r>
          </w:p>
        </w:tc>
        <w:tc>
          <w:tcPr>
            <w:tcW w:w="2466" w:type="dxa"/>
            <w:vAlign w:val="center"/>
          </w:tcPr>
          <w:p>
            <w:pPr>
              <w:pStyle w:val="10"/>
            </w:pPr>
            <w:r>
              <w:t>≥48人</w:t>
            </w:r>
          </w:p>
        </w:tc>
        <w:tc>
          <w:tcPr>
            <w:tcW w:w="246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参与调解案件率</w:t>
            </w:r>
          </w:p>
        </w:tc>
        <w:tc>
          <w:tcPr>
            <w:tcW w:w="2466" w:type="dxa"/>
            <w:vAlign w:val="center"/>
          </w:tcPr>
          <w:p>
            <w:pPr>
              <w:pStyle w:val="10"/>
            </w:pPr>
            <w:r>
              <w:t>参与调解案件数占总调解案件数比例</w:t>
            </w:r>
          </w:p>
        </w:tc>
        <w:tc>
          <w:tcPr>
            <w:tcW w:w="2466" w:type="dxa"/>
            <w:vAlign w:val="center"/>
          </w:tcPr>
          <w:p>
            <w:pPr>
              <w:pStyle w:val="10"/>
            </w:pPr>
            <w:r>
              <w:t>≥50%</w:t>
            </w:r>
          </w:p>
        </w:tc>
        <w:tc>
          <w:tcPr>
            <w:tcW w:w="2466" w:type="dxa"/>
            <w:vAlign w:val="center"/>
          </w:tcPr>
          <w:p>
            <w:pPr>
              <w:pStyle w:val="10"/>
            </w:pPr>
            <w:r>
              <w:t>国家规定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工资发放及时率</w:t>
            </w:r>
          </w:p>
        </w:tc>
        <w:tc>
          <w:tcPr>
            <w:tcW w:w="2466" w:type="dxa"/>
            <w:vAlign w:val="center"/>
          </w:tcPr>
          <w:p>
            <w:pPr>
              <w:pStyle w:val="10"/>
            </w:pPr>
            <w:r>
              <w:t>工资发放及时率</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劳务派遣人员月工资标准</w:t>
            </w:r>
          </w:p>
        </w:tc>
        <w:tc>
          <w:tcPr>
            <w:tcW w:w="2466" w:type="dxa"/>
            <w:vAlign w:val="center"/>
          </w:tcPr>
          <w:p>
            <w:pPr>
              <w:pStyle w:val="10"/>
            </w:pPr>
            <w:r>
              <w:t>执行的劳务派遣人员月工资标准</w:t>
            </w:r>
          </w:p>
        </w:tc>
        <w:tc>
          <w:tcPr>
            <w:tcW w:w="2466" w:type="dxa"/>
            <w:vAlign w:val="center"/>
          </w:tcPr>
          <w:p>
            <w:pPr>
              <w:pStyle w:val="10"/>
            </w:pPr>
            <w:r>
              <w:t>2000元</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工资消费贡献率</w:t>
            </w:r>
          </w:p>
        </w:tc>
        <w:tc>
          <w:tcPr>
            <w:tcW w:w="2466" w:type="dxa"/>
            <w:vAlign w:val="center"/>
          </w:tcPr>
          <w:p>
            <w:pPr>
              <w:pStyle w:val="10"/>
            </w:pPr>
            <w:r>
              <w:t>工资收入的消费能力</w:t>
            </w:r>
          </w:p>
        </w:tc>
        <w:tc>
          <w:tcPr>
            <w:tcW w:w="2466" w:type="dxa"/>
            <w:vAlign w:val="center"/>
          </w:tcPr>
          <w:p>
            <w:pPr>
              <w:pStyle w:val="10"/>
            </w:pPr>
            <w:r>
              <w:t>≥50%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安排就业人数</w:t>
            </w:r>
          </w:p>
        </w:tc>
        <w:tc>
          <w:tcPr>
            <w:tcW w:w="2466" w:type="dxa"/>
            <w:vAlign w:val="center"/>
          </w:tcPr>
          <w:p>
            <w:pPr>
              <w:pStyle w:val="10"/>
            </w:pPr>
            <w:r>
              <w:t>解决就业人数，缓解就业压力</w:t>
            </w:r>
          </w:p>
        </w:tc>
        <w:tc>
          <w:tcPr>
            <w:tcW w:w="2466" w:type="dxa"/>
            <w:vAlign w:val="center"/>
          </w:tcPr>
          <w:p>
            <w:pPr>
              <w:pStyle w:val="10"/>
            </w:pPr>
            <w:r>
              <w:t>≥48人</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保障事业发展</w:t>
            </w:r>
          </w:p>
        </w:tc>
        <w:tc>
          <w:tcPr>
            <w:tcW w:w="2466" w:type="dxa"/>
            <w:vAlign w:val="center"/>
          </w:tcPr>
          <w:p>
            <w:pPr>
              <w:pStyle w:val="10"/>
            </w:pPr>
            <w:r>
              <w:t>保障各项工作正常运转</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老干部对工资待遇的满意度</w:t>
            </w:r>
          </w:p>
        </w:tc>
        <w:tc>
          <w:tcPr>
            <w:tcW w:w="2466" w:type="dxa"/>
            <w:vAlign w:val="center"/>
          </w:tcPr>
          <w:p>
            <w:pPr>
              <w:pStyle w:val="10"/>
            </w:pPr>
            <w:r>
              <w:t>≥90%</w:t>
            </w:r>
          </w:p>
        </w:tc>
        <w:tc>
          <w:tcPr>
            <w:tcW w:w="246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12、普法经费绩效目标表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1.提高群众法律意识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法治培训及讲座次数</w:t>
            </w:r>
          </w:p>
        </w:tc>
        <w:tc>
          <w:tcPr>
            <w:tcW w:w="2466" w:type="dxa"/>
            <w:vAlign w:val="center"/>
          </w:tcPr>
          <w:p>
            <w:pPr>
              <w:pStyle w:val="10"/>
            </w:pPr>
            <w:r>
              <w:t>举办各种法治培训及法治报告会</w:t>
            </w:r>
          </w:p>
        </w:tc>
        <w:tc>
          <w:tcPr>
            <w:tcW w:w="2466" w:type="dxa"/>
            <w:vAlign w:val="center"/>
          </w:tcPr>
          <w:p>
            <w:pPr>
              <w:pStyle w:val="10"/>
            </w:pPr>
            <w:r>
              <w:t>≥4次</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宣传资料制作数</w:t>
            </w:r>
          </w:p>
        </w:tc>
        <w:tc>
          <w:tcPr>
            <w:tcW w:w="2466" w:type="dxa"/>
            <w:vAlign w:val="center"/>
          </w:tcPr>
          <w:p>
            <w:pPr>
              <w:pStyle w:val="10"/>
            </w:pPr>
            <w:r>
              <w:t>各种法律宣传资料数量</w:t>
            </w:r>
          </w:p>
        </w:tc>
        <w:tc>
          <w:tcPr>
            <w:tcW w:w="2466" w:type="dxa"/>
            <w:vAlign w:val="center"/>
          </w:tcPr>
          <w:p>
            <w:pPr>
              <w:pStyle w:val="10"/>
            </w:pPr>
            <w:r>
              <w:t>≥10万张</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增强全民普法意识</w:t>
            </w:r>
          </w:p>
        </w:tc>
        <w:tc>
          <w:tcPr>
            <w:tcW w:w="2466" w:type="dxa"/>
            <w:vAlign w:val="center"/>
          </w:tcPr>
          <w:p>
            <w:pPr>
              <w:pStyle w:val="10"/>
            </w:pPr>
            <w:r>
              <w:t>全民普法意识率</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组织宣传活动</w:t>
            </w:r>
          </w:p>
        </w:tc>
        <w:tc>
          <w:tcPr>
            <w:tcW w:w="2466" w:type="dxa"/>
            <w:vAlign w:val="center"/>
          </w:tcPr>
          <w:p>
            <w:pPr>
              <w:pStyle w:val="10"/>
            </w:pPr>
            <w:r>
              <w:t>普及法律知识活动次数</w:t>
            </w:r>
          </w:p>
        </w:tc>
        <w:tc>
          <w:tcPr>
            <w:tcW w:w="2466" w:type="dxa"/>
            <w:vAlign w:val="center"/>
          </w:tcPr>
          <w:p>
            <w:pPr>
              <w:pStyle w:val="10"/>
            </w:pPr>
            <w:r>
              <w:t>≥6次</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普法考核通过率</w:t>
            </w:r>
          </w:p>
        </w:tc>
        <w:tc>
          <w:tcPr>
            <w:tcW w:w="2466" w:type="dxa"/>
            <w:vAlign w:val="center"/>
          </w:tcPr>
          <w:p>
            <w:pPr>
              <w:pStyle w:val="10"/>
            </w:pPr>
            <w:r>
              <w:t>通过普法考核的人数占考核总人数的比率</w:t>
            </w:r>
          </w:p>
        </w:tc>
        <w:tc>
          <w:tcPr>
            <w:tcW w:w="2466" w:type="dxa"/>
            <w:vAlign w:val="center"/>
          </w:tcPr>
          <w:p>
            <w:pPr>
              <w:pStyle w:val="10"/>
            </w:pPr>
            <w:r>
              <w:t>≥80%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普法活动效果</w:t>
            </w:r>
          </w:p>
        </w:tc>
        <w:tc>
          <w:tcPr>
            <w:tcW w:w="2466" w:type="dxa"/>
            <w:vAlign w:val="center"/>
          </w:tcPr>
          <w:p>
            <w:pPr>
              <w:pStyle w:val="10"/>
            </w:pPr>
            <w:r>
              <w:t>增强人民普法热情，使广大人民群众知法懂法，提高人民生活水平</w:t>
            </w:r>
          </w:p>
        </w:tc>
        <w:tc>
          <w:tcPr>
            <w:tcW w:w="2466" w:type="dxa"/>
            <w:vAlign w:val="center"/>
          </w:tcPr>
          <w:p>
            <w:pPr>
              <w:pStyle w:val="10"/>
            </w:pPr>
            <w:r>
              <w:t>有效改善</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提高人民法律意识</w:t>
            </w:r>
          </w:p>
        </w:tc>
        <w:tc>
          <w:tcPr>
            <w:tcW w:w="2466" w:type="dxa"/>
            <w:vAlign w:val="center"/>
          </w:tcPr>
          <w:p>
            <w:pPr>
              <w:pStyle w:val="10"/>
            </w:pPr>
            <w:r>
              <w:t>提高人民法律意识</w:t>
            </w:r>
          </w:p>
        </w:tc>
        <w:tc>
          <w:tcPr>
            <w:tcW w:w="2466" w:type="dxa"/>
            <w:vAlign w:val="center"/>
          </w:tcPr>
          <w:p>
            <w:pPr>
              <w:pStyle w:val="10"/>
            </w:pPr>
            <w:r>
              <w:t>有效改善</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生态效益增长率</w:t>
            </w:r>
          </w:p>
        </w:tc>
        <w:tc>
          <w:tcPr>
            <w:tcW w:w="2466" w:type="dxa"/>
            <w:vAlign w:val="center"/>
          </w:tcPr>
          <w:p>
            <w:pPr>
              <w:pStyle w:val="10"/>
            </w:pPr>
            <w:r>
              <w:t>生态效益增长率</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群众满意问卷占所有问卷的比例</w:t>
            </w:r>
          </w:p>
        </w:tc>
        <w:tc>
          <w:tcPr>
            <w:tcW w:w="2466" w:type="dxa"/>
            <w:vAlign w:val="center"/>
          </w:tcPr>
          <w:p>
            <w:pPr>
              <w:pStyle w:val="10"/>
            </w:pPr>
            <w:r>
              <w:t>≥90%</w:t>
            </w:r>
          </w:p>
        </w:tc>
        <w:tc>
          <w:tcPr>
            <w:tcW w:w="246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13、人民调解“以奖代补”“以案定补”费用绩效目标表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1.提高村级调解员调解积极性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调解案件数</w:t>
            </w:r>
          </w:p>
        </w:tc>
        <w:tc>
          <w:tcPr>
            <w:tcW w:w="2466" w:type="dxa"/>
            <w:vAlign w:val="center"/>
          </w:tcPr>
          <w:p>
            <w:pPr>
              <w:pStyle w:val="10"/>
            </w:pPr>
            <w:r>
              <w:t>调解案件数</w:t>
            </w:r>
          </w:p>
        </w:tc>
        <w:tc>
          <w:tcPr>
            <w:tcW w:w="2466" w:type="dxa"/>
            <w:vAlign w:val="center"/>
          </w:tcPr>
          <w:p>
            <w:pPr>
              <w:pStyle w:val="10"/>
            </w:pPr>
            <w:r>
              <w:t>≥5000件</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调解成功率</w:t>
            </w:r>
          </w:p>
        </w:tc>
        <w:tc>
          <w:tcPr>
            <w:tcW w:w="2466" w:type="dxa"/>
            <w:vAlign w:val="center"/>
          </w:tcPr>
          <w:p>
            <w:pPr>
              <w:pStyle w:val="10"/>
            </w:pPr>
            <w:r>
              <w:t>调解成功率</w:t>
            </w:r>
          </w:p>
        </w:tc>
        <w:tc>
          <w:tcPr>
            <w:tcW w:w="2466" w:type="dxa"/>
            <w:vAlign w:val="center"/>
          </w:tcPr>
          <w:p>
            <w:pPr>
              <w:pStyle w:val="10"/>
            </w:pPr>
            <w:r>
              <w:t>≥85%</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补贴发放及时率</w:t>
            </w:r>
          </w:p>
        </w:tc>
        <w:tc>
          <w:tcPr>
            <w:tcW w:w="2466" w:type="dxa"/>
            <w:vAlign w:val="center"/>
          </w:tcPr>
          <w:p>
            <w:pPr>
              <w:pStyle w:val="10"/>
            </w:pPr>
            <w:r>
              <w:t>补贴发放及时程度</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兼职调解人员最低补贴标准</w:t>
            </w:r>
          </w:p>
        </w:tc>
        <w:tc>
          <w:tcPr>
            <w:tcW w:w="2466" w:type="dxa"/>
            <w:vAlign w:val="center"/>
          </w:tcPr>
          <w:p>
            <w:pPr>
              <w:pStyle w:val="10"/>
            </w:pPr>
            <w:r>
              <w:t>执行的兼职调解人员月补贴标准</w:t>
            </w:r>
          </w:p>
        </w:tc>
        <w:tc>
          <w:tcPr>
            <w:tcW w:w="2466" w:type="dxa"/>
            <w:vAlign w:val="center"/>
          </w:tcPr>
          <w:p>
            <w:pPr>
              <w:pStyle w:val="10"/>
            </w:pPr>
            <w:r>
              <w:t>≥50元</w:t>
            </w:r>
          </w:p>
        </w:tc>
        <w:tc>
          <w:tcPr>
            <w:tcW w:w="246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诉讼费用节约率</w:t>
            </w:r>
          </w:p>
        </w:tc>
        <w:tc>
          <w:tcPr>
            <w:tcW w:w="2466" w:type="dxa"/>
            <w:vAlign w:val="center"/>
          </w:tcPr>
          <w:p>
            <w:pPr>
              <w:pStyle w:val="10"/>
            </w:pPr>
            <w:r>
              <w:t>节约的诉讼费金额占诉讼费的比例</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调解工作发挥作用</w:t>
            </w:r>
          </w:p>
        </w:tc>
        <w:tc>
          <w:tcPr>
            <w:tcW w:w="2466" w:type="dxa"/>
            <w:vAlign w:val="center"/>
          </w:tcPr>
          <w:p>
            <w:pPr>
              <w:pStyle w:val="10"/>
            </w:pPr>
            <w:r>
              <w:t>人民调解在化解矛盾纠纷的宣传率</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开展专项纠纷排查活动，排查率</w:t>
            </w:r>
          </w:p>
        </w:tc>
        <w:tc>
          <w:tcPr>
            <w:tcW w:w="2466" w:type="dxa"/>
            <w:vAlign w:val="center"/>
          </w:tcPr>
          <w:p>
            <w:pPr>
              <w:pStyle w:val="10"/>
            </w:pPr>
            <w:r>
              <w:t>排查纠纷件数按总纠纷件数的占比</w:t>
            </w:r>
          </w:p>
        </w:tc>
        <w:tc>
          <w:tcPr>
            <w:tcW w:w="2466" w:type="dxa"/>
            <w:vAlign w:val="center"/>
          </w:tcPr>
          <w:p>
            <w:pPr>
              <w:pStyle w:val="10"/>
            </w:pPr>
            <w:r>
              <w:t>≥70%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服务对象满意度占服务对象总人数的比例</w:t>
            </w:r>
          </w:p>
        </w:tc>
        <w:tc>
          <w:tcPr>
            <w:tcW w:w="2466" w:type="dxa"/>
            <w:vAlign w:val="center"/>
          </w:tcPr>
          <w:p>
            <w:pPr>
              <w:pStyle w:val="10"/>
            </w:pPr>
            <w:r>
              <w:t>≥90%</w:t>
            </w:r>
          </w:p>
        </w:tc>
        <w:tc>
          <w:tcPr>
            <w:tcW w:w="246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14、人民调解经费（2.5万元以内）绩效目标表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1.化解矛盾纠纷，维护社会稳定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年调解纠纷案件</w:t>
            </w:r>
          </w:p>
        </w:tc>
        <w:tc>
          <w:tcPr>
            <w:tcW w:w="2466" w:type="dxa"/>
            <w:vAlign w:val="center"/>
          </w:tcPr>
          <w:p>
            <w:pPr>
              <w:pStyle w:val="10"/>
            </w:pPr>
            <w:r>
              <w:t>年调解纠纷案件</w:t>
            </w:r>
          </w:p>
        </w:tc>
        <w:tc>
          <w:tcPr>
            <w:tcW w:w="2466" w:type="dxa"/>
            <w:vAlign w:val="center"/>
          </w:tcPr>
          <w:p>
            <w:pPr>
              <w:pStyle w:val="10"/>
            </w:pPr>
            <w:r>
              <w:t>&gt;4000件</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矛盾纠纷调解率</w:t>
            </w:r>
          </w:p>
        </w:tc>
        <w:tc>
          <w:tcPr>
            <w:tcW w:w="2466" w:type="dxa"/>
            <w:vAlign w:val="center"/>
          </w:tcPr>
          <w:p>
            <w:pPr>
              <w:pStyle w:val="10"/>
            </w:pPr>
            <w:r>
              <w:t>全年矛盾纠纷调解件数占纠纷案件数比例</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调解及时性</w:t>
            </w:r>
          </w:p>
        </w:tc>
        <w:tc>
          <w:tcPr>
            <w:tcW w:w="2466" w:type="dxa"/>
            <w:vAlign w:val="center"/>
          </w:tcPr>
          <w:p>
            <w:pPr>
              <w:pStyle w:val="10"/>
            </w:pPr>
            <w:r>
              <w:t>调解及时性</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调解成功率</w:t>
            </w:r>
          </w:p>
        </w:tc>
        <w:tc>
          <w:tcPr>
            <w:tcW w:w="2466" w:type="dxa"/>
            <w:vAlign w:val="center"/>
          </w:tcPr>
          <w:p>
            <w:pPr>
              <w:pStyle w:val="10"/>
            </w:pPr>
            <w:r>
              <w:t>调解成功案件数占调解案件数比例</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当事人诉讼成本节约率</w:t>
            </w:r>
          </w:p>
        </w:tc>
        <w:tc>
          <w:tcPr>
            <w:tcW w:w="2466" w:type="dxa"/>
            <w:vAlign w:val="center"/>
          </w:tcPr>
          <w:p>
            <w:pPr>
              <w:pStyle w:val="10"/>
            </w:pPr>
            <w:r>
              <w:t>节约的诉讼费金额占诉讼费的比例</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人民调解发挥作用</w:t>
            </w:r>
          </w:p>
        </w:tc>
        <w:tc>
          <w:tcPr>
            <w:tcW w:w="2466" w:type="dxa"/>
            <w:vAlign w:val="center"/>
          </w:tcPr>
          <w:p>
            <w:pPr>
              <w:pStyle w:val="10"/>
            </w:pPr>
            <w:r>
              <w:t>人民调解在化解矛盾纠纷的宣传率</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开展专项纠纷排查活动，排查率</w:t>
            </w:r>
          </w:p>
        </w:tc>
        <w:tc>
          <w:tcPr>
            <w:tcW w:w="2466" w:type="dxa"/>
            <w:vAlign w:val="center"/>
          </w:tcPr>
          <w:p>
            <w:pPr>
              <w:pStyle w:val="10"/>
            </w:pPr>
            <w:r>
              <w:t>排查纠纷件数按总纠纷件数的占比</w:t>
            </w:r>
          </w:p>
        </w:tc>
        <w:tc>
          <w:tcPr>
            <w:tcW w:w="2466" w:type="dxa"/>
            <w:vAlign w:val="center"/>
          </w:tcPr>
          <w:p>
            <w:pPr>
              <w:pStyle w:val="10"/>
            </w:pPr>
            <w:r>
              <w:t>≥70%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群众满意问卷占所有问卷的比例</w:t>
            </w:r>
          </w:p>
        </w:tc>
        <w:tc>
          <w:tcPr>
            <w:tcW w:w="2466" w:type="dxa"/>
            <w:vAlign w:val="center"/>
          </w:tcPr>
          <w:p>
            <w:pPr>
              <w:pStyle w:val="10"/>
            </w:pPr>
            <w:r>
              <w:t>≥85%</w:t>
            </w:r>
          </w:p>
        </w:tc>
        <w:tc>
          <w:tcPr>
            <w:tcW w:w="246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15、社区矫正经费（2.5万元以内）绩效目标表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1.降低重新犯罪和社会不稳定因素发生率。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社区矫正人员接收率</w:t>
            </w:r>
          </w:p>
        </w:tc>
        <w:tc>
          <w:tcPr>
            <w:tcW w:w="2466" w:type="dxa"/>
            <w:vAlign w:val="center"/>
          </w:tcPr>
          <w:p>
            <w:pPr>
              <w:pStyle w:val="10"/>
            </w:pPr>
            <w:r>
              <w:t>社区矫正人员接收率</w:t>
            </w:r>
          </w:p>
        </w:tc>
        <w:tc>
          <w:tcPr>
            <w:tcW w:w="2466" w:type="dxa"/>
            <w:vAlign w:val="center"/>
          </w:tcPr>
          <w:p>
            <w:pPr>
              <w:pStyle w:val="10"/>
            </w:pPr>
            <w:r>
              <w:t>≥98%</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组织集中教育覆盖率</w:t>
            </w:r>
          </w:p>
        </w:tc>
        <w:tc>
          <w:tcPr>
            <w:tcW w:w="2466" w:type="dxa"/>
            <w:vAlign w:val="center"/>
          </w:tcPr>
          <w:p>
            <w:pPr>
              <w:pStyle w:val="10"/>
            </w:pPr>
            <w:r>
              <w:t>组织集中教育覆盖率</w:t>
            </w:r>
          </w:p>
        </w:tc>
        <w:tc>
          <w:tcPr>
            <w:tcW w:w="2466" w:type="dxa"/>
            <w:vAlign w:val="center"/>
          </w:tcPr>
          <w:p>
            <w:pPr>
              <w:pStyle w:val="10"/>
            </w:pPr>
            <w:r>
              <w:t>≥85%</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审前调查及时性</w:t>
            </w:r>
          </w:p>
        </w:tc>
        <w:tc>
          <w:tcPr>
            <w:tcW w:w="2466" w:type="dxa"/>
            <w:vAlign w:val="center"/>
          </w:tcPr>
          <w:p>
            <w:pPr>
              <w:pStyle w:val="10"/>
            </w:pPr>
            <w:r>
              <w:t>审前调查及时性</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办理定位手机遵守定位规定</w:t>
            </w:r>
          </w:p>
        </w:tc>
        <w:tc>
          <w:tcPr>
            <w:tcW w:w="2466" w:type="dxa"/>
            <w:vAlign w:val="center"/>
          </w:tcPr>
          <w:p>
            <w:pPr>
              <w:pStyle w:val="10"/>
            </w:pPr>
            <w:r>
              <w:t>办理定位手机遵守定位规定</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降低刑罚执行成本</w:t>
            </w:r>
          </w:p>
        </w:tc>
        <w:tc>
          <w:tcPr>
            <w:tcW w:w="2466" w:type="dxa"/>
            <w:vAlign w:val="center"/>
          </w:tcPr>
          <w:p>
            <w:pPr>
              <w:pStyle w:val="10"/>
            </w:pPr>
            <w:r>
              <w:t>社区矫正对象在社区服刑而非在监狱服刑，大大节约刑罚执行成本</w:t>
            </w:r>
          </w:p>
        </w:tc>
        <w:tc>
          <w:tcPr>
            <w:tcW w:w="2466" w:type="dxa"/>
            <w:vAlign w:val="center"/>
          </w:tcPr>
          <w:p>
            <w:pPr>
              <w:pStyle w:val="10"/>
            </w:pPr>
            <w:r>
              <w:t>≥10万元</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社区矫正人员监管率</w:t>
            </w:r>
          </w:p>
        </w:tc>
        <w:tc>
          <w:tcPr>
            <w:tcW w:w="2466" w:type="dxa"/>
            <w:vAlign w:val="center"/>
          </w:tcPr>
          <w:p>
            <w:pPr>
              <w:pStyle w:val="10"/>
            </w:pPr>
            <w:r>
              <w:t>社区矫正人员监管率</w:t>
            </w:r>
          </w:p>
        </w:tc>
        <w:tc>
          <w:tcPr>
            <w:tcW w:w="2466" w:type="dxa"/>
            <w:vAlign w:val="center"/>
          </w:tcPr>
          <w:p>
            <w:pPr>
              <w:pStyle w:val="10"/>
            </w:pPr>
            <w:r>
              <w:t>≥95%</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矫正对象、刑释人员顺利回归社会</w:t>
            </w:r>
          </w:p>
        </w:tc>
        <w:tc>
          <w:tcPr>
            <w:tcW w:w="2466" w:type="dxa"/>
            <w:vAlign w:val="center"/>
          </w:tcPr>
          <w:p>
            <w:pPr>
              <w:pStyle w:val="10"/>
            </w:pPr>
            <w:r>
              <w:t>社区矫正对象、刑满释放人员顺利回归社会所占比例</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群众满意问卷占所有问卷的比例</w:t>
            </w:r>
          </w:p>
        </w:tc>
        <w:tc>
          <w:tcPr>
            <w:tcW w:w="2466" w:type="dxa"/>
            <w:vAlign w:val="center"/>
          </w:tcPr>
          <w:p>
            <w:pPr>
              <w:pStyle w:val="10"/>
            </w:pPr>
            <w:r>
              <w:t>≥85%</w:t>
            </w:r>
          </w:p>
        </w:tc>
        <w:tc>
          <w:tcPr>
            <w:tcW w:w="246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16、社区矫正协管员经费（劳务费）绩效目标表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1.及时发放工资，保障工作正常完成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社区矫正协管员人数</w:t>
            </w:r>
          </w:p>
        </w:tc>
        <w:tc>
          <w:tcPr>
            <w:tcW w:w="2466" w:type="dxa"/>
            <w:vAlign w:val="center"/>
          </w:tcPr>
          <w:p>
            <w:pPr>
              <w:pStyle w:val="10"/>
            </w:pPr>
            <w:r>
              <w:t>社区矫正协管员人数</w:t>
            </w:r>
          </w:p>
        </w:tc>
        <w:tc>
          <w:tcPr>
            <w:tcW w:w="2466" w:type="dxa"/>
            <w:vAlign w:val="center"/>
          </w:tcPr>
          <w:p>
            <w:pPr>
              <w:pStyle w:val="10"/>
            </w:pPr>
            <w:r>
              <w:t>≥25人</w:t>
            </w:r>
          </w:p>
        </w:tc>
        <w:tc>
          <w:tcPr>
            <w:tcW w:w="246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社区矫正协管员月工资标准</w:t>
            </w:r>
          </w:p>
        </w:tc>
        <w:tc>
          <w:tcPr>
            <w:tcW w:w="2466" w:type="dxa"/>
            <w:vAlign w:val="center"/>
          </w:tcPr>
          <w:p>
            <w:pPr>
              <w:pStyle w:val="10"/>
            </w:pPr>
            <w:r>
              <w:t>社区矫正协管员月工资标准</w:t>
            </w:r>
          </w:p>
        </w:tc>
        <w:tc>
          <w:tcPr>
            <w:tcW w:w="2466" w:type="dxa"/>
            <w:vAlign w:val="center"/>
          </w:tcPr>
          <w:p>
            <w:pPr>
              <w:pStyle w:val="10"/>
            </w:pPr>
            <w:r>
              <w:t>≥1900元</w:t>
            </w:r>
          </w:p>
        </w:tc>
        <w:tc>
          <w:tcPr>
            <w:tcW w:w="2466" w:type="dxa"/>
            <w:vAlign w:val="center"/>
          </w:tcPr>
          <w:p>
            <w:pPr>
              <w:pStyle w:val="10"/>
            </w:pPr>
            <w:r>
              <w:t>国家规定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工资发放及时率</w:t>
            </w:r>
          </w:p>
        </w:tc>
        <w:tc>
          <w:tcPr>
            <w:tcW w:w="2466" w:type="dxa"/>
            <w:vAlign w:val="center"/>
          </w:tcPr>
          <w:p>
            <w:pPr>
              <w:pStyle w:val="10"/>
            </w:pPr>
            <w:r>
              <w:t>工资发放及时率</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工作完成度</w:t>
            </w:r>
          </w:p>
        </w:tc>
        <w:tc>
          <w:tcPr>
            <w:tcW w:w="2466" w:type="dxa"/>
            <w:vAlign w:val="center"/>
          </w:tcPr>
          <w:p>
            <w:pPr>
              <w:pStyle w:val="10"/>
            </w:pPr>
            <w:r>
              <w:t>工作完成度</w:t>
            </w:r>
          </w:p>
        </w:tc>
        <w:tc>
          <w:tcPr>
            <w:tcW w:w="2466" w:type="dxa"/>
            <w:vAlign w:val="center"/>
          </w:tcPr>
          <w:p>
            <w:pPr>
              <w:pStyle w:val="10"/>
            </w:pPr>
            <w:r>
              <w:t>≥98%</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工资消费贡献率</w:t>
            </w:r>
          </w:p>
        </w:tc>
        <w:tc>
          <w:tcPr>
            <w:tcW w:w="2466" w:type="dxa"/>
            <w:vAlign w:val="center"/>
          </w:tcPr>
          <w:p>
            <w:pPr>
              <w:pStyle w:val="10"/>
            </w:pPr>
            <w:r>
              <w:t>工资收入的消费能力</w:t>
            </w:r>
          </w:p>
        </w:tc>
        <w:tc>
          <w:tcPr>
            <w:tcW w:w="2466" w:type="dxa"/>
            <w:vAlign w:val="center"/>
          </w:tcPr>
          <w:p>
            <w:pPr>
              <w:pStyle w:val="10"/>
            </w:pPr>
            <w:r>
              <w:t>≥50%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安排就业人数</w:t>
            </w:r>
          </w:p>
        </w:tc>
        <w:tc>
          <w:tcPr>
            <w:tcW w:w="2466" w:type="dxa"/>
            <w:vAlign w:val="center"/>
          </w:tcPr>
          <w:p>
            <w:pPr>
              <w:pStyle w:val="10"/>
            </w:pPr>
            <w:r>
              <w:t>解决就业人数，缓解就业压力</w:t>
            </w:r>
          </w:p>
        </w:tc>
        <w:tc>
          <w:tcPr>
            <w:tcW w:w="2466" w:type="dxa"/>
            <w:vAlign w:val="center"/>
          </w:tcPr>
          <w:p>
            <w:pPr>
              <w:pStyle w:val="10"/>
            </w:pPr>
            <w:r>
              <w:t>≥25人</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保障事业发展</w:t>
            </w:r>
          </w:p>
        </w:tc>
        <w:tc>
          <w:tcPr>
            <w:tcW w:w="2466" w:type="dxa"/>
            <w:vAlign w:val="center"/>
          </w:tcPr>
          <w:p>
            <w:pPr>
              <w:pStyle w:val="10"/>
            </w:pPr>
            <w:r>
              <w:t>保障各项工作正常运转</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对工资待遇的满意度</w:t>
            </w:r>
          </w:p>
        </w:tc>
        <w:tc>
          <w:tcPr>
            <w:tcW w:w="2466" w:type="dxa"/>
            <w:vAlign w:val="center"/>
          </w:tcPr>
          <w:p>
            <w:pPr>
              <w:pStyle w:val="10"/>
            </w:pPr>
            <w:r>
              <w:t>≥90%</w:t>
            </w:r>
          </w:p>
        </w:tc>
        <w:tc>
          <w:tcPr>
            <w:tcW w:w="246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17、社区矫正移动终端使用费绩效目标表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1.提高社区矫正工作效率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社区服刑人员接收率</w:t>
            </w:r>
          </w:p>
        </w:tc>
        <w:tc>
          <w:tcPr>
            <w:tcW w:w="2466" w:type="dxa"/>
            <w:vAlign w:val="center"/>
          </w:tcPr>
          <w:p>
            <w:pPr>
              <w:pStyle w:val="10"/>
            </w:pPr>
            <w:r>
              <w:t>社区服刑人员接收率</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审前调查评估完成率</w:t>
            </w:r>
          </w:p>
        </w:tc>
        <w:tc>
          <w:tcPr>
            <w:tcW w:w="2466" w:type="dxa"/>
            <w:vAlign w:val="center"/>
          </w:tcPr>
          <w:p>
            <w:pPr>
              <w:pStyle w:val="10"/>
            </w:pPr>
            <w:r>
              <w:t>审前调查评估完成率</w:t>
            </w:r>
          </w:p>
        </w:tc>
        <w:tc>
          <w:tcPr>
            <w:tcW w:w="2466" w:type="dxa"/>
            <w:vAlign w:val="center"/>
          </w:tcPr>
          <w:p>
            <w:pPr>
              <w:pStyle w:val="10"/>
            </w:pPr>
            <w:r>
              <w:t>≥95%</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审前调查评估及时性</w:t>
            </w:r>
          </w:p>
        </w:tc>
        <w:tc>
          <w:tcPr>
            <w:tcW w:w="2466" w:type="dxa"/>
            <w:vAlign w:val="center"/>
          </w:tcPr>
          <w:p>
            <w:pPr>
              <w:pStyle w:val="10"/>
            </w:pPr>
            <w:r>
              <w:t>审前调查评估及时性</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节约刑罚成本</w:t>
            </w:r>
          </w:p>
        </w:tc>
        <w:tc>
          <w:tcPr>
            <w:tcW w:w="2466" w:type="dxa"/>
            <w:vAlign w:val="center"/>
          </w:tcPr>
          <w:p>
            <w:pPr>
              <w:pStyle w:val="10"/>
            </w:pPr>
            <w:r>
              <w:t>节约刑罚成本</w:t>
            </w:r>
          </w:p>
        </w:tc>
        <w:tc>
          <w:tcPr>
            <w:tcW w:w="2466" w:type="dxa"/>
            <w:vAlign w:val="center"/>
          </w:tcPr>
          <w:p>
            <w:pPr>
              <w:pStyle w:val="10"/>
            </w:pPr>
            <w:r>
              <w:t>≥35%</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降低刑罚成本</w:t>
            </w:r>
          </w:p>
        </w:tc>
        <w:tc>
          <w:tcPr>
            <w:tcW w:w="2466" w:type="dxa"/>
            <w:vAlign w:val="center"/>
          </w:tcPr>
          <w:p>
            <w:pPr>
              <w:pStyle w:val="10"/>
            </w:pPr>
            <w:r>
              <w:t>降低刑罚成本</w:t>
            </w:r>
          </w:p>
        </w:tc>
        <w:tc>
          <w:tcPr>
            <w:tcW w:w="2466" w:type="dxa"/>
            <w:vAlign w:val="center"/>
          </w:tcPr>
          <w:p>
            <w:pPr>
              <w:pStyle w:val="10"/>
            </w:pPr>
            <w:r>
              <w:t>≥35%</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审前调查及时率</w:t>
            </w:r>
          </w:p>
        </w:tc>
        <w:tc>
          <w:tcPr>
            <w:tcW w:w="2466" w:type="dxa"/>
            <w:vAlign w:val="center"/>
          </w:tcPr>
          <w:p>
            <w:pPr>
              <w:pStyle w:val="10"/>
            </w:pPr>
            <w:r>
              <w:t>审前调查完成及时率</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减少人员再犯罪</w:t>
            </w:r>
          </w:p>
        </w:tc>
        <w:tc>
          <w:tcPr>
            <w:tcW w:w="2466" w:type="dxa"/>
            <w:vAlign w:val="center"/>
          </w:tcPr>
          <w:p>
            <w:pPr>
              <w:pStyle w:val="10"/>
            </w:pPr>
            <w:r>
              <w:t>社区服刑人员、再犯罪率</w:t>
            </w:r>
          </w:p>
        </w:tc>
        <w:tc>
          <w:tcPr>
            <w:tcW w:w="2466" w:type="dxa"/>
            <w:vAlign w:val="center"/>
          </w:tcPr>
          <w:p>
            <w:pPr>
              <w:pStyle w:val="10"/>
            </w:pPr>
            <w:r>
              <w:t>≤0.25%</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群众满意问卷占所有问卷的比例</w:t>
            </w:r>
          </w:p>
        </w:tc>
        <w:tc>
          <w:tcPr>
            <w:tcW w:w="2466" w:type="dxa"/>
            <w:vAlign w:val="center"/>
          </w:tcPr>
          <w:p>
            <w:pPr>
              <w:pStyle w:val="10"/>
            </w:pPr>
            <w:r>
              <w:t>≥90%</w:t>
            </w:r>
          </w:p>
        </w:tc>
        <w:tc>
          <w:tcPr>
            <w:tcW w:w="246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18、社区矫正中心运转费用绩效目标表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1.保障社区矫正中心正常运转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社区服刑人员接收率</w:t>
            </w:r>
          </w:p>
        </w:tc>
        <w:tc>
          <w:tcPr>
            <w:tcW w:w="2466" w:type="dxa"/>
            <w:vAlign w:val="center"/>
          </w:tcPr>
          <w:p>
            <w:pPr>
              <w:pStyle w:val="10"/>
            </w:pPr>
            <w:r>
              <w:t>社区服刑人员接收率</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质量达标</w:t>
            </w:r>
          </w:p>
        </w:tc>
        <w:tc>
          <w:tcPr>
            <w:tcW w:w="2466" w:type="dxa"/>
            <w:vAlign w:val="center"/>
          </w:tcPr>
          <w:p>
            <w:pPr>
              <w:pStyle w:val="10"/>
            </w:pPr>
            <w:r>
              <w:t>达标率</w:t>
            </w:r>
          </w:p>
        </w:tc>
        <w:tc>
          <w:tcPr>
            <w:tcW w:w="2466" w:type="dxa"/>
            <w:vAlign w:val="center"/>
          </w:tcPr>
          <w:p>
            <w:pPr>
              <w:pStyle w:val="10"/>
            </w:pPr>
            <w:r>
              <w:t>100%</w:t>
            </w:r>
          </w:p>
        </w:tc>
        <w:tc>
          <w:tcPr>
            <w:tcW w:w="2466" w:type="dxa"/>
            <w:vAlign w:val="center"/>
          </w:tcPr>
          <w:p>
            <w:pPr>
              <w:pStyle w:val="10"/>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项目实施及时率</w:t>
            </w:r>
          </w:p>
        </w:tc>
        <w:tc>
          <w:tcPr>
            <w:tcW w:w="2466" w:type="dxa"/>
            <w:vAlign w:val="center"/>
          </w:tcPr>
          <w:p>
            <w:pPr>
              <w:pStyle w:val="10"/>
            </w:pPr>
            <w:r>
              <w:t>及时率</w:t>
            </w:r>
          </w:p>
        </w:tc>
        <w:tc>
          <w:tcPr>
            <w:tcW w:w="2466" w:type="dxa"/>
            <w:vAlign w:val="center"/>
          </w:tcPr>
          <w:p>
            <w:pPr>
              <w:pStyle w:val="10"/>
            </w:pPr>
            <w:r>
              <w:t>100%</w:t>
            </w:r>
          </w:p>
        </w:tc>
        <w:tc>
          <w:tcPr>
            <w:tcW w:w="2466"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节约成本</w:t>
            </w:r>
          </w:p>
        </w:tc>
        <w:tc>
          <w:tcPr>
            <w:tcW w:w="2466" w:type="dxa"/>
            <w:vAlign w:val="center"/>
          </w:tcPr>
          <w:p>
            <w:pPr>
              <w:pStyle w:val="10"/>
            </w:pPr>
            <w:r>
              <w:t>节约成本</w:t>
            </w:r>
          </w:p>
        </w:tc>
        <w:tc>
          <w:tcPr>
            <w:tcW w:w="2466" w:type="dxa"/>
            <w:vAlign w:val="center"/>
          </w:tcPr>
          <w:p>
            <w:pPr>
              <w:pStyle w:val="10"/>
            </w:pPr>
            <w:r>
              <w:t>≥5%</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为群众服务效率</w:t>
            </w:r>
          </w:p>
        </w:tc>
        <w:tc>
          <w:tcPr>
            <w:tcW w:w="2466" w:type="dxa"/>
            <w:vAlign w:val="center"/>
          </w:tcPr>
          <w:p>
            <w:pPr>
              <w:pStyle w:val="10"/>
            </w:pPr>
            <w:r>
              <w:t>为群众服务效率提高</w:t>
            </w:r>
          </w:p>
        </w:tc>
        <w:tc>
          <w:tcPr>
            <w:tcW w:w="2466" w:type="dxa"/>
            <w:vAlign w:val="center"/>
          </w:tcPr>
          <w:p>
            <w:pPr>
              <w:pStyle w:val="10"/>
            </w:pPr>
            <w:r>
              <w:t>有效提高</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项目完成情况</w:t>
            </w:r>
          </w:p>
        </w:tc>
        <w:tc>
          <w:tcPr>
            <w:tcW w:w="2466" w:type="dxa"/>
            <w:vAlign w:val="center"/>
          </w:tcPr>
          <w:p>
            <w:pPr>
              <w:pStyle w:val="10"/>
            </w:pPr>
            <w:r>
              <w:t>完成率</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保障各项工作正常运转</w:t>
            </w:r>
          </w:p>
        </w:tc>
        <w:tc>
          <w:tcPr>
            <w:tcW w:w="2466" w:type="dxa"/>
            <w:vAlign w:val="center"/>
          </w:tcPr>
          <w:p>
            <w:pPr>
              <w:pStyle w:val="10"/>
            </w:pPr>
            <w:r>
              <w:t>保障机关正常运转</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满意度</w:t>
            </w:r>
          </w:p>
        </w:tc>
        <w:tc>
          <w:tcPr>
            <w:tcW w:w="2466" w:type="dxa"/>
            <w:vAlign w:val="center"/>
          </w:tcPr>
          <w:p>
            <w:pPr>
              <w:pStyle w:val="10"/>
            </w:pPr>
            <w:r>
              <w:t>≥98%</w:t>
            </w:r>
          </w:p>
        </w:tc>
        <w:tc>
          <w:tcPr>
            <w:tcW w:w="246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19、司法警务辅助人员奖励资金（劳务费）绩效目标表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接受奖励人员数量</w:t>
            </w:r>
          </w:p>
        </w:tc>
        <w:tc>
          <w:tcPr>
            <w:tcW w:w="2466" w:type="dxa"/>
            <w:vAlign w:val="center"/>
          </w:tcPr>
          <w:p>
            <w:pPr>
              <w:pStyle w:val="10"/>
            </w:pPr>
            <w:r>
              <w:t>接受奖励人员数量</w:t>
            </w:r>
          </w:p>
        </w:tc>
        <w:tc>
          <w:tcPr>
            <w:tcW w:w="2466" w:type="dxa"/>
            <w:vAlign w:val="center"/>
          </w:tcPr>
          <w:p>
            <w:pPr>
              <w:pStyle w:val="10"/>
            </w:pPr>
            <w:r>
              <w:t>≥21人</w:t>
            </w:r>
          </w:p>
        </w:tc>
        <w:tc>
          <w:tcPr>
            <w:tcW w:w="246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工作完成度</w:t>
            </w:r>
          </w:p>
        </w:tc>
        <w:tc>
          <w:tcPr>
            <w:tcW w:w="2466" w:type="dxa"/>
            <w:vAlign w:val="center"/>
          </w:tcPr>
          <w:p>
            <w:pPr>
              <w:pStyle w:val="10"/>
            </w:pPr>
            <w:r>
              <w:t>工作完成度</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奖励金发放及时率</w:t>
            </w:r>
          </w:p>
        </w:tc>
        <w:tc>
          <w:tcPr>
            <w:tcW w:w="2466" w:type="dxa"/>
            <w:vAlign w:val="center"/>
          </w:tcPr>
          <w:p>
            <w:pPr>
              <w:pStyle w:val="10"/>
            </w:pPr>
            <w:r>
              <w:t>奖励金发放的及时程度</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奖励最低标准</w:t>
            </w:r>
          </w:p>
        </w:tc>
        <w:tc>
          <w:tcPr>
            <w:tcW w:w="2466" w:type="dxa"/>
            <w:vAlign w:val="center"/>
          </w:tcPr>
          <w:p>
            <w:pPr>
              <w:pStyle w:val="10"/>
            </w:pPr>
            <w:r>
              <w:t>奖励最低标准</w:t>
            </w:r>
          </w:p>
        </w:tc>
        <w:tc>
          <w:tcPr>
            <w:tcW w:w="2466" w:type="dxa"/>
            <w:vAlign w:val="center"/>
          </w:tcPr>
          <w:p>
            <w:pPr>
              <w:pStyle w:val="10"/>
            </w:pPr>
            <w:r>
              <w:t>≥100元</w:t>
            </w:r>
          </w:p>
        </w:tc>
        <w:tc>
          <w:tcPr>
            <w:tcW w:w="2466"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奖励金消费贡献率</w:t>
            </w:r>
          </w:p>
        </w:tc>
        <w:tc>
          <w:tcPr>
            <w:tcW w:w="2466" w:type="dxa"/>
            <w:vAlign w:val="center"/>
          </w:tcPr>
          <w:p>
            <w:pPr>
              <w:pStyle w:val="10"/>
            </w:pPr>
            <w:r>
              <w:t>奖励金收入的消费能力</w:t>
            </w:r>
          </w:p>
        </w:tc>
        <w:tc>
          <w:tcPr>
            <w:tcW w:w="2466" w:type="dxa"/>
            <w:vAlign w:val="center"/>
          </w:tcPr>
          <w:p>
            <w:pPr>
              <w:pStyle w:val="10"/>
            </w:pPr>
            <w:r>
              <w:t>≥50%</w:t>
            </w:r>
          </w:p>
        </w:tc>
        <w:tc>
          <w:tcPr>
            <w:tcW w:w="246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安排就业人数</w:t>
            </w:r>
          </w:p>
        </w:tc>
        <w:tc>
          <w:tcPr>
            <w:tcW w:w="2466" w:type="dxa"/>
            <w:vAlign w:val="center"/>
          </w:tcPr>
          <w:p>
            <w:pPr>
              <w:pStyle w:val="10"/>
            </w:pPr>
            <w:r>
              <w:t>解决就业人数，缓解就业压力</w:t>
            </w:r>
          </w:p>
        </w:tc>
        <w:tc>
          <w:tcPr>
            <w:tcW w:w="2466" w:type="dxa"/>
            <w:vAlign w:val="center"/>
          </w:tcPr>
          <w:p>
            <w:pPr>
              <w:pStyle w:val="10"/>
            </w:pPr>
            <w:r>
              <w:t>≥21人</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保障事业发展</w:t>
            </w:r>
          </w:p>
        </w:tc>
        <w:tc>
          <w:tcPr>
            <w:tcW w:w="2466" w:type="dxa"/>
            <w:vAlign w:val="center"/>
          </w:tcPr>
          <w:p>
            <w:pPr>
              <w:pStyle w:val="10"/>
            </w:pPr>
            <w:r>
              <w:t>保障各项工作正常运转</w:t>
            </w:r>
          </w:p>
        </w:tc>
        <w:tc>
          <w:tcPr>
            <w:tcW w:w="2466" w:type="dxa"/>
            <w:vAlign w:val="center"/>
          </w:tcPr>
          <w:p>
            <w:pPr>
              <w:pStyle w:val="10"/>
            </w:pPr>
            <w:r>
              <w:t>100%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奖励人员满意度</w:t>
            </w:r>
          </w:p>
        </w:tc>
        <w:tc>
          <w:tcPr>
            <w:tcW w:w="2466" w:type="dxa"/>
            <w:vAlign w:val="center"/>
          </w:tcPr>
          <w:p>
            <w:pPr>
              <w:pStyle w:val="10"/>
            </w:pPr>
            <w:r>
              <w:t>奖励人员对享受待遇的满意度</w:t>
            </w:r>
          </w:p>
        </w:tc>
        <w:tc>
          <w:tcPr>
            <w:tcW w:w="2466" w:type="dxa"/>
            <w:vAlign w:val="center"/>
          </w:tcPr>
          <w:p>
            <w:pPr>
              <w:pStyle w:val="10"/>
            </w:pPr>
            <w:r>
              <w:t>≥90%</w:t>
            </w:r>
          </w:p>
        </w:tc>
        <w:tc>
          <w:tcPr>
            <w:tcW w:w="246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20、专业性、行业性人民调解委员会费用绩效目标表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1.提高人民调解在维护社会稳定中发挥的作用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人民调解案件数</w:t>
            </w:r>
          </w:p>
        </w:tc>
        <w:tc>
          <w:tcPr>
            <w:tcW w:w="2466" w:type="dxa"/>
            <w:vAlign w:val="center"/>
          </w:tcPr>
          <w:p>
            <w:pPr>
              <w:pStyle w:val="10"/>
            </w:pPr>
            <w:r>
              <w:t>人民调解案件数</w:t>
            </w:r>
          </w:p>
        </w:tc>
        <w:tc>
          <w:tcPr>
            <w:tcW w:w="2466" w:type="dxa"/>
            <w:vAlign w:val="center"/>
          </w:tcPr>
          <w:p>
            <w:pPr>
              <w:pStyle w:val="10"/>
            </w:pPr>
            <w:r>
              <w:t>≥5000件</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调解成功率</w:t>
            </w:r>
          </w:p>
        </w:tc>
        <w:tc>
          <w:tcPr>
            <w:tcW w:w="2466" w:type="dxa"/>
            <w:vAlign w:val="center"/>
          </w:tcPr>
          <w:p>
            <w:pPr>
              <w:pStyle w:val="10"/>
            </w:pPr>
            <w:r>
              <w:t>调解成功率</w:t>
            </w:r>
          </w:p>
        </w:tc>
        <w:tc>
          <w:tcPr>
            <w:tcW w:w="2466" w:type="dxa"/>
            <w:vAlign w:val="center"/>
          </w:tcPr>
          <w:p>
            <w:pPr>
              <w:pStyle w:val="10"/>
            </w:pPr>
            <w:r>
              <w:t>≥85%</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培训计划按期完成率</w:t>
            </w:r>
          </w:p>
        </w:tc>
        <w:tc>
          <w:tcPr>
            <w:tcW w:w="2466" w:type="dxa"/>
            <w:vAlign w:val="center"/>
          </w:tcPr>
          <w:p>
            <w:pPr>
              <w:pStyle w:val="10"/>
            </w:pPr>
            <w:r>
              <w:t>培训计划按期完成率</w:t>
            </w:r>
          </w:p>
        </w:tc>
        <w:tc>
          <w:tcPr>
            <w:tcW w:w="2466" w:type="dxa"/>
            <w:vAlign w:val="center"/>
          </w:tcPr>
          <w:p>
            <w:pPr>
              <w:pStyle w:val="10"/>
            </w:pPr>
            <w:r>
              <w:t>≥95%</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组织培训班次</w:t>
            </w:r>
          </w:p>
        </w:tc>
        <w:tc>
          <w:tcPr>
            <w:tcW w:w="2466" w:type="dxa"/>
            <w:vAlign w:val="center"/>
          </w:tcPr>
          <w:p>
            <w:pPr>
              <w:pStyle w:val="10"/>
            </w:pPr>
            <w:r>
              <w:t>组织培训的班次</w:t>
            </w:r>
          </w:p>
        </w:tc>
        <w:tc>
          <w:tcPr>
            <w:tcW w:w="2466" w:type="dxa"/>
            <w:vAlign w:val="center"/>
          </w:tcPr>
          <w:p>
            <w:pPr>
              <w:pStyle w:val="10"/>
            </w:pPr>
            <w:r>
              <w:t>&gt;4次</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当事人诉讼成本节约率</w:t>
            </w:r>
          </w:p>
        </w:tc>
        <w:tc>
          <w:tcPr>
            <w:tcW w:w="2466" w:type="dxa"/>
            <w:vAlign w:val="center"/>
          </w:tcPr>
          <w:p>
            <w:pPr>
              <w:pStyle w:val="10"/>
            </w:pPr>
            <w:r>
              <w:t>节约的诉讼费金额占诉讼费的比例</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人民调解发挥作用</w:t>
            </w:r>
          </w:p>
        </w:tc>
        <w:tc>
          <w:tcPr>
            <w:tcW w:w="2466" w:type="dxa"/>
            <w:vAlign w:val="center"/>
          </w:tcPr>
          <w:p>
            <w:pPr>
              <w:pStyle w:val="10"/>
            </w:pPr>
            <w:r>
              <w:t>人民调解在化解矛盾纠纷的宣传率</w:t>
            </w:r>
          </w:p>
        </w:tc>
        <w:tc>
          <w:tcPr>
            <w:tcW w:w="2466" w:type="dxa"/>
            <w:vAlign w:val="center"/>
          </w:tcPr>
          <w:p>
            <w:pPr>
              <w:pStyle w:val="10"/>
            </w:pPr>
            <w:r>
              <w:t>≥90%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开展专项纠纷排查活动，排查率</w:t>
            </w:r>
          </w:p>
        </w:tc>
        <w:tc>
          <w:tcPr>
            <w:tcW w:w="2466" w:type="dxa"/>
            <w:vAlign w:val="center"/>
          </w:tcPr>
          <w:p>
            <w:pPr>
              <w:pStyle w:val="10"/>
            </w:pPr>
            <w:r>
              <w:t>排查纠纷件数按总纠纷件数的占比</w:t>
            </w:r>
          </w:p>
        </w:tc>
        <w:tc>
          <w:tcPr>
            <w:tcW w:w="2466" w:type="dxa"/>
            <w:vAlign w:val="center"/>
          </w:tcPr>
          <w:p>
            <w:pPr>
              <w:pStyle w:val="10"/>
            </w:pPr>
            <w:r>
              <w:t>≥70%</w:t>
            </w:r>
          </w:p>
        </w:tc>
        <w:tc>
          <w:tcPr>
            <w:tcW w:w="246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群众满意问卷占所有问卷的比例</w:t>
            </w:r>
          </w:p>
        </w:tc>
        <w:tc>
          <w:tcPr>
            <w:tcW w:w="2466" w:type="dxa"/>
            <w:vAlign w:val="center"/>
          </w:tcPr>
          <w:p>
            <w:pPr>
              <w:pStyle w:val="10"/>
            </w:pPr>
            <w:r>
              <w:t>≥95%</w:t>
            </w:r>
          </w:p>
        </w:tc>
        <w:tc>
          <w:tcPr>
            <w:tcW w:w="246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2023年，唐山市丰南区司法局安排政府采购预算0.00万元。具体内容见下表。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pPr>
            <w:r>
              <w:t>330唐山市丰南区司法局</w:t>
            </w:r>
          </w:p>
        </w:tc>
        <w:tc>
          <w:tcPr>
            <w:tcW w:w="831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政府采购金额（当年部门预算安排资金）</w:t>
            </w:r>
          </w:p>
        </w:tc>
        <w:tc>
          <w:tcPr>
            <w:tcW w:w="92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p>
        </w:tc>
        <w:tc>
          <w:tcPr>
            <w:tcW w:w="924" w:type="dxa"/>
            <w:vAlign w:val="center"/>
          </w:tcPr>
          <w:p>
            <w:pPr>
              <w:pStyle w:val="11"/>
            </w:pPr>
          </w:p>
        </w:tc>
        <w:tc>
          <w:tcPr>
            <w:tcW w:w="924" w:type="dxa"/>
            <w:vAlign w:val="center"/>
          </w:tcPr>
          <w:p>
            <w:pPr>
              <w:pStyle w:val="10"/>
            </w:pPr>
          </w:p>
        </w:tc>
        <w:tc>
          <w:tcPr>
            <w:tcW w:w="924" w:type="dxa"/>
            <w:vAlign w:val="center"/>
          </w:tcPr>
          <w:p>
            <w:pPr>
              <w:pStyle w:val="10"/>
            </w:pPr>
          </w:p>
        </w:tc>
        <w:tc>
          <w:tcPr>
            <w:tcW w:w="924" w:type="dxa"/>
            <w:vAlign w:val="center"/>
          </w:tcPr>
          <w:p>
            <w:pPr>
              <w:pStyle w:val="9"/>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唐山市丰南区司法局（含所属单位）上年末固定资产金额为675.91万元（详见下表）。本年度拟购置固定资产总额为0.00万元，已按要求列入政府采购预算，详见政府采购预算表。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330唐山市丰南区司法局</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资产总额</w:t>
            </w:r>
          </w:p>
        </w:tc>
        <w:tc>
          <w:tcPr>
            <w:tcW w:w="4933" w:type="dxa"/>
            <w:vAlign w:val="center"/>
          </w:tcPr>
          <w:p>
            <w:pPr>
              <w:pStyle w:val="9"/>
            </w:pPr>
          </w:p>
        </w:tc>
        <w:tc>
          <w:tcPr>
            <w:tcW w:w="4933" w:type="dxa"/>
            <w:vAlign w:val="center"/>
          </w:tcPr>
          <w:p>
            <w:pPr>
              <w:pStyle w:val="11"/>
            </w:pPr>
            <w:r>
              <w:t>675.91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1、房屋（平方米）</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　　其中：办公用房（平方米）</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2、车辆（台、辆）</w:t>
            </w:r>
          </w:p>
        </w:tc>
        <w:tc>
          <w:tcPr>
            <w:tcW w:w="4933" w:type="dxa"/>
            <w:vAlign w:val="center"/>
          </w:tcPr>
          <w:p>
            <w:pPr>
              <w:pStyle w:val="9"/>
            </w:pPr>
            <w:r>
              <w:t>8</w:t>
            </w:r>
          </w:p>
        </w:tc>
        <w:tc>
          <w:tcPr>
            <w:tcW w:w="4933" w:type="dxa"/>
            <w:vAlign w:val="center"/>
          </w:tcPr>
          <w:p>
            <w:pPr>
              <w:pStyle w:val="11"/>
            </w:pPr>
            <w:r>
              <w:t>72.53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3、单价在20万元以上的设备</w:t>
            </w:r>
          </w:p>
        </w:tc>
        <w:tc>
          <w:tcPr>
            <w:tcW w:w="4933" w:type="dxa"/>
            <w:vAlign w:val="center"/>
          </w:tcPr>
          <w:p>
            <w:pPr>
              <w:pStyle w:val="9"/>
            </w:pPr>
            <w:r>
              <w:t>2</w:t>
            </w:r>
          </w:p>
        </w:tc>
        <w:tc>
          <w:tcPr>
            <w:tcW w:w="4933" w:type="dxa"/>
            <w:vAlign w:val="center"/>
          </w:tcPr>
          <w:p>
            <w:pPr>
              <w:pStyle w:val="11"/>
            </w:pPr>
            <w:r>
              <w:t>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4、其他固定资产</w:t>
            </w:r>
          </w:p>
        </w:tc>
        <w:tc>
          <w:tcPr>
            <w:tcW w:w="4933" w:type="dxa"/>
            <w:vAlign w:val="center"/>
          </w:tcPr>
          <w:p>
            <w:pPr>
              <w:pStyle w:val="9"/>
            </w:pPr>
            <w:r>
              <w:t>2173</w:t>
            </w:r>
          </w:p>
        </w:tc>
        <w:tc>
          <w:tcPr>
            <w:tcW w:w="4933" w:type="dxa"/>
            <w:vAlign w:val="center"/>
          </w:tcPr>
          <w:p>
            <w:pPr>
              <w:pStyle w:val="11"/>
            </w:pPr>
            <w:r>
              <w:t>534.58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NmE1NDBjZjhkNWQ3YTU0N2UyM2U4ZDQwYmNhNGQifQ=="/>
    <w:docVar w:name="KSO_WPS_MARK_KEY" w:val="b8891fb0-e88b-44bf-a330-18c8f5a815c7"/>
  </w:docVars>
  <w:rsids>
    <w:rsidRoot w:val="74B9591D"/>
    <w:rsid w:val="22AB7B36"/>
    <w:rsid w:val="444D7D64"/>
    <w:rsid w:val="74B9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14899</Words>
  <Characters>17373</Characters>
  <Lines>0</Lines>
  <Paragraphs>0</Paragraphs>
  <TotalTime>335</TotalTime>
  <ScaleCrop>false</ScaleCrop>
  <LinksUpToDate>false</LinksUpToDate>
  <CharactersWithSpaces>17552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2023-02-02T02:03:00Z</dcterms:created>
  <dc:creator>大仙儿</dc:creator>
  <cp:lastModifiedBy>大仙儿</cp:lastModifiedBy>
  <dcterms:modified xsi:type="dcterms:W3CDTF">2024-10-22T02:13:22Z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00AAA42945FC4013912BB3292553DAF7</vt:lpwstr>
  </property>
</Properties>
</file>