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9"/>
        <w:rPr>
          <w:rFonts w:ascii="黑体" w:eastAsia="黑体" w:cs="黑体" w:hAnsi="方正小标宋_GBK" w:hint="eastAsia"/>
          <w:color w:val="000000"/>
          <w:sz w:val="32"/>
          <w:szCs w:val="32"/>
        </w:rPr>
      </w:pPr>
      <w:bookmarkStart w:id="0" w:name="_Toc_4_4_0000000019"/>
      <w:r>
        <w:rPr>
          <w:rFonts w:ascii="黑体" w:eastAsia="黑体" w:cs="黑体" w:hAnsi="方正小标宋_GBK" w:hint="eastAsia"/>
          <w:color w:val="000000"/>
          <w:sz w:val="32"/>
          <w:szCs w:val="32"/>
        </w:rPr>
        <w:t>第二部分 部门所属单位预算</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一、唐山市丰南区信访局本级收支预算</w:t>
        <w:tab/>
      </w:r>
      <w:r>
        <w:fldChar w:fldCharType="end"/>
      </w:r>
      <w:r>
        <w:t>2</w:t>
      </w:r>
    </w:p>
    <w:p>
      <w:pPr>
        <w:pStyle w:val="40"/>
        <w:tabs>
          <w:tab w:val="right" w:leader="dot" w:pos="14562"/>
        </w:tabs>
      </w:pP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eastAsia="方正小标宋_GBK" w:cs="方正小标宋_GBK" w:hAnsi="方正小标宋_GBK"/>
          <w:b w:val="0"/>
          <w:color w:val="000000"/>
          <w:sz w:val="44"/>
        </w:rPr>
        <w:t>一、唐山市丰南区信访局本级收支预算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left"/>
        <w:tblInd w:w="300" w:type="dxa"/>
        <w:tblW w:w="13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80"/>
        <w:gridCol w:w="3528"/>
        <w:gridCol w:w="2664"/>
        <w:gridCol w:w="3828"/>
        <w:gridCol w:w="2652"/>
      </w:tblGrid>
      <w:tr>
        <w:trPr>
          <w:trHeight w:val="369"/>
          <w:tblHeader/>
        </w:trPr>
        <w:tc>
          <w:tcPr>
            <w:tcW w:w="4508" w:type="dxa"/>
            <w:gridSpan w:val="2"/>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664" w:type="dxa"/>
            <w:tcBorders>
              <w:top w:val="single" w:sz="6" w:space="0" w:color="FFFFFF"/>
              <w:left w:val="single" w:sz="6" w:space="0" w:color="FFFFFF"/>
              <w:right w:val="single" w:sz="6" w:space="0" w:color="FFFFFF"/>
            </w:tcBorders>
            <w:vAlign w:val="center"/>
          </w:tcPr>
          <w:p>
            <w:pPr>
              <w:pStyle w:val="16"/>
            </w:pPr>
            <w:r>
              <w:t>预算年度：2023</w:t>
            </w:r>
          </w:p>
        </w:tc>
        <w:tc>
          <w:tcPr>
            <w:tcW w:w="6480"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980" w:type="dxa"/>
            <w:vMerge w:val="restart"/>
            <w:vAlign w:val="center"/>
          </w:tcPr>
          <w:p>
            <w:pPr>
              <w:pStyle w:val="18"/>
            </w:pPr>
            <w:r>
              <w:t>序号</w:t>
            </w:r>
          </w:p>
        </w:tc>
        <w:tc>
          <w:tcPr>
            <w:tcW w:w="6192" w:type="dxa"/>
            <w:gridSpan w:val="2"/>
            <w:tcBorders>
              <w:left w:val="single" w:sz="6" w:space="0" w:color="000000"/>
              <w:right w:val="single" w:sz="6" w:space="0" w:color="000000"/>
            </w:tcBorders>
            <w:vAlign w:val="center"/>
          </w:tcPr>
          <w:p>
            <w:pPr>
              <w:pStyle w:val="18"/>
            </w:pPr>
            <w:r>
              <w:t>收入</w:t>
            </w:r>
          </w:p>
        </w:tc>
        <w:tc>
          <w:tcPr>
            <w:tcW w:w="6480" w:type="dxa"/>
            <w:gridSpan w:val="2"/>
            <w:tcBorders>
              <w:left w:val="single" w:sz="6" w:space="0" w:color="000000"/>
            </w:tcBorders>
            <w:vAlign w:val="center"/>
          </w:tcPr>
          <w:p>
            <w:pPr>
              <w:pStyle w:val="18"/>
            </w:pPr>
            <w:r>
              <w:t>支出</w:t>
            </w:r>
          </w:p>
        </w:tc>
      </w:tr>
      <w:tr>
        <w:trPr>
          <w:trHeight w:val="369"/>
          <w:tblHeader/>
        </w:trPr>
        <w:tc>
          <w:tcPr>
            <w:tcW w:w="980" w:type="dxa"/>
            <w:vMerge/>
          </w:tcPr>
          <w:p/>
        </w:tc>
        <w:tc>
          <w:tcPr>
            <w:tcW w:w="3528" w:type="dxa"/>
            <w:tcBorders>
              <w:left w:val="single" w:sz="6" w:space="0" w:color="000000"/>
              <w:right w:val="single" w:sz="6" w:space="0" w:color="000000"/>
            </w:tcBorders>
            <w:vAlign w:val="center"/>
          </w:tcPr>
          <w:p>
            <w:pPr>
              <w:pStyle w:val="18"/>
            </w:pPr>
            <w:r>
              <w:t>项  目</w:t>
            </w:r>
          </w:p>
        </w:tc>
        <w:tc>
          <w:tcPr>
            <w:tcW w:w="2664" w:type="dxa"/>
            <w:tcBorders>
              <w:left w:val="single" w:sz="6" w:space="0" w:color="000000"/>
              <w:right w:val="single" w:sz="6" w:space="0" w:color="000000"/>
            </w:tcBorders>
            <w:vAlign w:val="center"/>
          </w:tcPr>
          <w:p>
            <w:pPr>
              <w:pStyle w:val="18"/>
            </w:pPr>
            <w:r>
              <w:t>预算数</w:t>
            </w:r>
          </w:p>
        </w:tc>
        <w:tc>
          <w:tcPr>
            <w:tcW w:w="3828" w:type="dxa"/>
            <w:tcBorders>
              <w:left w:val="single" w:sz="6" w:space="0" w:color="000000"/>
              <w:right w:val="single" w:sz="6" w:space="0" w:color="000000"/>
            </w:tcBorders>
            <w:vAlign w:val="center"/>
          </w:tcPr>
          <w:p>
            <w:pPr>
              <w:pStyle w:val="18"/>
            </w:pPr>
            <w:r>
              <w:t>项  目</w:t>
            </w:r>
          </w:p>
        </w:tc>
        <w:tc>
          <w:tcPr>
            <w:tcW w:w="2652" w:type="dxa"/>
            <w:vAlign w:val="center"/>
          </w:tcPr>
          <w:p>
            <w:pPr>
              <w:pStyle w:val="18"/>
            </w:pPr>
            <w:r>
              <w:t>预算数</w:t>
            </w:r>
          </w:p>
        </w:tc>
      </w:tr>
      <w:tr>
        <w:trPr>
          <w:trHeight w:val="369"/>
          <w:tblHeader/>
        </w:trPr>
        <w:tc>
          <w:tcPr>
            <w:tcW w:w="980" w:type="dxa"/>
            <w:vAlign w:val="center"/>
          </w:tcPr>
          <w:p>
            <w:pPr>
              <w:pStyle w:val="18"/>
            </w:pPr>
            <w:r>
              <w:t>栏次</w:t>
            </w:r>
          </w:p>
        </w:tc>
        <w:tc>
          <w:tcPr>
            <w:tcW w:w="3528" w:type="dxa"/>
            <w:tcBorders>
              <w:left w:val="single" w:sz="6" w:space="0" w:color="000000"/>
              <w:right w:val="single" w:sz="6" w:space="0" w:color="000000"/>
            </w:tcBorders>
            <w:vAlign w:val="center"/>
          </w:tcPr>
          <w:p>
            <w:pPr>
              <w:pStyle w:val="18"/>
            </w:pPr>
            <w:r>
              <w:t>1</w:t>
            </w:r>
          </w:p>
        </w:tc>
        <w:tc>
          <w:tcPr>
            <w:tcW w:w="2664" w:type="dxa"/>
            <w:tcBorders>
              <w:left w:val="single" w:sz="6" w:space="0" w:color="000000"/>
              <w:right w:val="single" w:sz="6" w:space="0" w:color="000000"/>
            </w:tcBorders>
            <w:vAlign w:val="center"/>
          </w:tcPr>
          <w:p>
            <w:pPr>
              <w:pStyle w:val="18"/>
            </w:pPr>
            <w:r>
              <w:t>2</w:t>
            </w:r>
          </w:p>
        </w:tc>
        <w:tc>
          <w:tcPr>
            <w:tcW w:w="3828" w:type="dxa"/>
            <w:tcBorders>
              <w:left w:val="single" w:sz="6" w:space="0" w:color="000000"/>
              <w:right w:val="single" w:sz="6" w:space="0" w:color="000000"/>
            </w:tcBorders>
            <w:vAlign w:val="center"/>
          </w:tcPr>
          <w:p>
            <w:pPr>
              <w:pStyle w:val="18"/>
            </w:pPr>
            <w:r>
              <w:t>3</w:t>
            </w:r>
          </w:p>
        </w:tc>
        <w:tc>
          <w:tcPr>
            <w:tcW w:w="2652" w:type="dxa"/>
            <w:vAlign w:val="center"/>
          </w:tcPr>
          <w:p>
            <w:pPr>
              <w:pStyle w:val="18"/>
            </w:pPr>
            <w:r>
              <w:t>4</w:t>
            </w:r>
          </w:p>
        </w:tc>
      </w:tr>
      <w:tr>
        <w:trPr>
          <w:trHeight w:val="369"/>
        </w:trPr>
        <w:tc>
          <w:tcPr>
            <w:tcW w:w="980" w:type="dxa"/>
            <w:vAlign w:val="center"/>
          </w:tcPr>
          <w:p>
            <w:pPr>
              <w:pStyle w:val="21"/>
            </w:pPr>
            <w:r>
              <w:t>1</w:t>
            </w:r>
          </w:p>
        </w:tc>
        <w:tc>
          <w:tcPr>
            <w:tcW w:w="3528" w:type="dxa"/>
            <w:tcBorders>
              <w:left w:val="single" w:sz="6" w:space="0" w:color="000000"/>
              <w:right w:val="single" w:sz="6" w:space="0" w:color="000000"/>
            </w:tcBorders>
            <w:vAlign w:val="center"/>
          </w:tcPr>
          <w:p>
            <w:pPr>
              <w:pStyle w:val="20"/>
            </w:pPr>
            <w:r>
              <w:t>一、一般公共预算拨款收入</w:t>
            </w:r>
          </w:p>
        </w:tc>
        <w:tc>
          <w:tcPr>
            <w:tcW w:w="2664" w:type="dxa"/>
            <w:tcBorders>
              <w:left w:val="single" w:sz="6" w:space="0" w:color="000000"/>
              <w:right w:val="single" w:sz="6" w:space="0" w:color="000000"/>
            </w:tcBorders>
            <w:vAlign w:val="center"/>
          </w:tcPr>
          <w:p>
            <w:pPr>
              <w:pStyle w:val="19"/>
            </w:pPr>
            <w:r>
              <w:t>713.58</w:t>
            </w:r>
          </w:p>
        </w:tc>
        <w:tc>
          <w:tcPr>
            <w:tcW w:w="3828" w:type="dxa"/>
            <w:tcBorders>
              <w:left w:val="single" w:sz="6" w:space="0" w:color="000000"/>
              <w:right w:val="single" w:sz="6" w:space="0" w:color="000000"/>
            </w:tcBorders>
            <w:vAlign w:val="center"/>
          </w:tcPr>
          <w:p>
            <w:pPr>
              <w:pStyle w:val="20"/>
            </w:pPr>
            <w:r>
              <w:t>一、一般公共服务支出</w:t>
            </w:r>
          </w:p>
        </w:tc>
        <w:tc>
          <w:tcPr>
            <w:tcW w:w="2652" w:type="dxa"/>
            <w:vAlign w:val="center"/>
          </w:tcPr>
          <w:p>
            <w:pPr>
              <w:pStyle w:val="19"/>
            </w:pPr>
            <w:r>
              <w:t>612.20</w:t>
            </w:r>
          </w:p>
        </w:tc>
      </w:tr>
      <w:tr>
        <w:trPr>
          <w:trHeight w:val="369"/>
        </w:trPr>
        <w:tc>
          <w:tcPr>
            <w:tcW w:w="980" w:type="dxa"/>
            <w:vAlign w:val="center"/>
          </w:tcPr>
          <w:p>
            <w:pPr>
              <w:pStyle w:val="21"/>
            </w:pPr>
            <w:r>
              <w:t>2</w:t>
            </w:r>
          </w:p>
        </w:tc>
        <w:tc>
          <w:tcPr>
            <w:tcW w:w="3528" w:type="dxa"/>
            <w:tcBorders>
              <w:left w:val="single" w:sz="6" w:space="0" w:color="000000"/>
              <w:right w:val="single" w:sz="6" w:space="0" w:color="000000"/>
            </w:tcBorders>
            <w:vAlign w:val="center"/>
          </w:tcPr>
          <w:p>
            <w:pPr>
              <w:pStyle w:val="20"/>
            </w:pPr>
            <w:r>
              <w:t>二、政府性基金预算拨款收入</w:t>
            </w: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二、外交支出</w:t>
            </w:r>
          </w:p>
        </w:tc>
        <w:tc>
          <w:tcPr>
            <w:tcW w:w="2652" w:type="dxa"/>
            <w:vAlign w:val="center"/>
          </w:tcPr>
          <w:p>
            <w:pPr>
              <w:pStyle w:val="19"/>
            </w:pPr>
          </w:p>
        </w:tc>
      </w:tr>
      <w:tr>
        <w:trPr>
          <w:trHeight w:val="369"/>
        </w:trPr>
        <w:tc>
          <w:tcPr>
            <w:tcW w:w="980" w:type="dxa"/>
            <w:vAlign w:val="center"/>
          </w:tcPr>
          <w:p>
            <w:pPr>
              <w:pStyle w:val="21"/>
            </w:pPr>
            <w:r>
              <w:t>3</w:t>
            </w:r>
          </w:p>
        </w:tc>
        <w:tc>
          <w:tcPr>
            <w:tcW w:w="3528" w:type="dxa"/>
            <w:tcBorders>
              <w:left w:val="single" w:sz="6" w:space="0" w:color="000000"/>
              <w:right w:val="single" w:sz="6" w:space="0" w:color="000000"/>
            </w:tcBorders>
            <w:vAlign w:val="center"/>
          </w:tcPr>
          <w:p>
            <w:pPr>
              <w:pStyle w:val="20"/>
            </w:pPr>
            <w:r>
              <w:t>三、国有资本经营预算拨款收入</w:t>
            </w: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三、国防支出</w:t>
            </w:r>
          </w:p>
        </w:tc>
        <w:tc>
          <w:tcPr>
            <w:tcW w:w="2652" w:type="dxa"/>
            <w:vAlign w:val="center"/>
          </w:tcPr>
          <w:p>
            <w:pPr>
              <w:pStyle w:val="19"/>
            </w:pPr>
          </w:p>
        </w:tc>
      </w:tr>
      <w:tr>
        <w:trPr>
          <w:trHeight w:val="369"/>
        </w:trPr>
        <w:tc>
          <w:tcPr>
            <w:tcW w:w="980" w:type="dxa"/>
            <w:vAlign w:val="center"/>
          </w:tcPr>
          <w:p>
            <w:pPr>
              <w:pStyle w:val="21"/>
            </w:pPr>
            <w:r>
              <w:t>4</w:t>
            </w:r>
          </w:p>
        </w:tc>
        <w:tc>
          <w:tcPr>
            <w:tcW w:w="3528" w:type="dxa"/>
            <w:tcBorders>
              <w:left w:val="single" w:sz="6" w:space="0" w:color="000000"/>
              <w:right w:val="single" w:sz="6" w:space="0" w:color="000000"/>
            </w:tcBorders>
            <w:vAlign w:val="center"/>
          </w:tcPr>
          <w:p>
            <w:pPr>
              <w:pStyle w:val="20"/>
            </w:pPr>
            <w:r>
              <w:t>四、财政专户管理资金收入</w:t>
            </w: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四、公共安全支出</w:t>
            </w:r>
          </w:p>
        </w:tc>
        <w:tc>
          <w:tcPr>
            <w:tcW w:w="2652" w:type="dxa"/>
            <w:vAlign w:val="center"/>
          </w:tcPr>
          <w:p>
            <w:pPr>
              <w:pStyle w:val="19"/>
            </w:pPr>
          </w:p>
        </w:tc>
      </w:tr>
      <w:tr>
        <w:trPr>
          <w:trHeight w:val="369"/>
        </w:trPr>
        <w:tc>
          <w:tcPr>
            <w:tcW w:w="980" w:type="dxa"/>
            <w:vAlign w:val="center"/>
          </w:tcPr>
          <w:p>
            <w:pPr>
              <w:pStyle w:val="21"/>
            </w:pPr>
            <w:r>
              <w:t>5</w:t>
            </w:r>
          </w:p>
        </w:tc>
        <w:tc>
          <w:tcPr>
            <w:tcW w:w="3528" w:type="dxa"/>
            <w:tcBorders>
              <w:left w:val="single" w:sz="6" w:space="0" w:color="000000"/>
              <w:right w:val="single" w:sz="6" w:space="0" w:color="000000"/>
            </w:tcBorders>
            <w:vAlign w:val="center"/>
          </w:tcPr>
          <w:p>
            <w:pPr>
              <w:pStyle w:val="20"/>
            </w:pPr>
            <w:r>
              <w:t>五、事业收入</w:t>
            </w: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五、教育支出</w:t>
            </w:r>
          </w:p>
        </w:tc>
        <w:tc>
          <w:tcPr>
            <w:tcW w:w="2652" w:type="dxa"/>
            <w:vAlign w:val="center"/>
          </w:tcPr>
          <w:p>
            <w:pPr>
              <w:pStyle w:val="19"/>
            </w:pPr>
          </w:p>
        </w:tc>
      </w:tr>
      <w:tr>
        <w:trPr>
          <w:trHeight w:val="369"/>
        </w:trPr>
        <w:tc>
          <w:tcPr>
            <w:tcW w:w="980" w:type="dxa"/>
            <w:vAlign w:val="center"/>
          </w:tcPr>
          <w:p>
            <w:pPr>
              <w:pStyle w:val="21"/>
            </w:pPr>
            <w:r>
              <w:t>6</w:t>
            </w:r>
          </w:p>
        </w:tc>
        <w:tc>
          <w:tcPr>
            <w:tcW w:w="3528" w:type="dxa"/>
            <w:tcBorders>
              <w:left w:val="single" w:sz="6" w:space="0" w:color="000000"/>
              <w:right w:val="single" w:sz="6" w:space="0" w:color="000000"/>
            </w:tcBorders>
            <w:vAlign w:val="center"/>
          </w:tcPr>
          <w:p>
            <w:pPr>
              <w:pStyle w:val="20"/>
            </w:pPr>
            <w:r>
              <w:t>六、事业单位经营收入</w:t>
            </w: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六、科学技术支出</w:t>
            </w:r>
          </w:p>
        </w:tc>
        <w:tc>
          <w:tcPr>
            <w:tcW w:w="2652" w:type="dxa"/>
            <w:vAlign w:val="center"/>
          </w:tcPr>
          <w:p>
            <w:pPr>
              <w:pStyle w:val="19"/>
            </w:pPr>
          </w:p>
        </w:tc>
      </w:tr>
      <w:tr>
        <w:trPr>
          <w:trHeight w:val="369"/>
        </w:trPr>
        <w:tc>
          <w:tcPr>
            <w:tcW w:w="980" w:type="dxa"/>
            <w:vAlign w:val="center"/>
          </w:tcPr>
          <w:p>
            <w:pPr>
              <w:pStyle w:val="21"/>
            </w:pPr>
            <w:r>
              <w:t>7</w:t>
            </w:r>
          </w:p>
        </w:tc>
        <w:tc>
          <w:tcPr>
            <w:tcW w:w="3528" w:type="dxa"/>
            <w:tcBorders>
              <w:left w:val="single" w:sz="6" w:space="0" w:color="000000"/>
              <w:right w:val="single" w:sz="6" w:space="0" w:color="000000"/>
            </w:tcBorders>
            <w:vAlign w:val="center"/>
          </w:tcPr>
          <w:p>
            <w:pPr>
              <w:pStyle w:val="20"/>
            </w:pPr>
            <w:r>
              <w:t>七、上级补助收入</w:t>
            </w: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七、文化旅游体育与传媒支出</w:t>
            </w:r>
          </w:p>
        </w:tc>
        <w:tc>
          <w:tcPr>
            <w:tcW w:w="2652" w:type="dxa"/>
            <w:vAlign w:val="center"/>
          </w:tcPr>
          <w:p>
            <w:pPr>
              <w:pStyle w:val="19"/>
            </w:pPr>
          </w:p>
        </w:tc>
      </w:tr>
      <w:tr>
        <w:trPr>
          <w:trHeight w:val="369"/>
        </w:trPr>
        <w:tc>
          <w:tcPr>
            <w:tcW w:w="980" w:type="dxa"/>
            <w:vAlign w:val="center"/>
          </w:tcPr>
          <w:p>
            <w:pPr>
              <w:pStyle w:val="21"/>
            </w:pPr>
            <w:r>
              <w:t>8</w:t>
            </w:r>
          </w:p>
        </w:tc>
        <w:tc>
          <w:tcPr>
            <w:tcW w:w="3528" w:type="dxa"/>
            <w:tcBorders>
              <w:left w:val="single" w:sz="6" w:space="0" w:color="000000"/>
              <w:right w:val="single" w:sz="6" w:space="0" w:color="000000"/>
            </w:tcBorders>
            <w:vAlign w:val="center"/>
          </w:tcPr>
          <w:p>
            <w:pPr>
              <w:pStyle w:val="20"/>
            </w:pPr>
            <w:r>
              <w:t>八、附属单位上缴收入</w:t>
            </w: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八、社会保障和就业支出</w:t>
            </w:r>
          </w:p>
        </w:tc>
        <w:tc>
          <w:tcPr>
            <w:tcW w:w="2652" w:type="dxa"/>
            <w:vAlign w:val="center"/>
          </w:tcPr>
          <w:p>
            <w:pPr>
              <w:pStyle w:val="19"/>
            </w:pPr>
            <w:r>
              <w:t>43.19</w:t>
            </w:r>
          </w:p>
        </w:tc>
      </w:tr>
      <w:tr>
        <w:trPr>
          <w:trHeight w:val="369"/>
        </w:trPr>
        <w:tc>
          <w:tcPr>
            <w:tcW w:w="980" w:type="dxa"/>
            <w:vAlign w:val="center"/>
          </w:tcPr>
          <w:p>
            <w:pPr>
              <w:pStyle w:val="21"/>
            </w:pPr>
            <w:r>
              <w:t>9</w:t>
            </w:r>
          </w:p>
        </w:tc>
        <w:tc>
          <w:tcPr>
            <w:tcW w:w="3528" w:type="dxa"/>
            <w:tcBorders>
              <w:left w:val="single" w:sz="6" w:space="0" w:color="000000"/>
              <w:right w:val="single" w:sz="6" w:space="0" w:color="000000"/>
            </w:tcBorders>
            <w:vAlign w:val="center"/>
          </w:tcPr>
          <w:p>
            <w:pPr>
              <w:pStyle w:val="20"/>
            </w:pPr>
            <w:r>
              <w:t>九、其他收入</w:t>
            </w: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九、社会保险基金支出</w:t>
            </w:r>
          </w:p>
        </w:tc>
        <w:tc>
          <w:tcPr>
            <w:tcW w:w="2652" w:type="dxa"/>
            <w:vAlign w:val="center"/>
          </w:tcPr>
          <w:p>
            <w:pPr>
              <w:pStyle w:val="19"/>
            </w:pPr>
          </w:p>
        </w:tc>
      </w:tr>
      <w:tr>
        <w:trPr>
          <w:trHeight w:val="369"/>
        </w:trPr>
        <w:tc>
          <w:tcPr>
            <w:tcW w:w="980" w:type="dxa"/>
            <w:vAlign w:val="center"/>
          </w:tcPr>
          <w:p>
            <w:pPr>
              <w:pStyle w:val="21"/>
            </w:pPr>
            <w:r>
              <w:t>10</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十、卫生健康支出</w:t>
            </w:r>
          </w:p>
        </w:tc>
        <w:tc>
          <w:tcPr>
            <w:tcW w:w="2652" w:type="dxa"/>
            <w:vAlign w:val="center"/>
          </w:tcPr>
          <w:p>
            <w:pPr>
              <w:pStyle w:val="19"/>
            </w:pPr>
            <w:r>
              <w:t>31.26</w:t>
            </w:r>
          </w:p>
        </w:tc>
      </w:tr>
      <w:tr>
        <w:trPr>
          <w:trHeight w:val="369"/>
        </w:trPr>
        <w:tc>
          <w:tcPr>
            <w:tcW w:w="980" w:type="dxa"/>
            <w:vAlign w:val="center"/>
          </w:tcPr>
          <w:p>
            <w:pPr>
              <w:pStyle w:val="21"/>
            </w:pPr>
            <w:r>
              <w:t>11</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十一、节能环保支出</w:t>
            </w:r>
          </w:p>
        </w:tc>
        <w:tc>
          <w:tcPr>
            <w:tcW w:w="2652" w:type="dxa"/>
            <w:vAlign w:val="center"/>
          </w:tcPr>
          <w:p>
            <w:pPr>
              <w:pStyle w:val="19"/>
            </w:pPr>
          </w:p>
        </w:tc>
      </w:tr>
      <w:tr>
        <w:trPr>
          <w:trHeight w:val="369"/>
        </w:trPr>
        <w:tc>
          <w:tcPr>
            <w:tcW w:w="980" w:type="dxa"/>
            <w:vAlign w:val="center"/>
          </w:tcPr>
          <w:p>
            <w:pPr>
              <w:pStyle w:val="21"/>
            </w:pPr>
            <w:r>
              <w:t>12</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十二、城乡社区支出</w:t>
            </w:r>
          </w:p>
        </w:tc>
        <w:tc>
          <w:tcPr>
            <w:tcW w:w="2652" w:type="dxa"/>
            <w:vAlign w:val="center"/>
          </w:tcPr>
          <w:p>
            <w:pPr>
              <w:pStyle w:val="19"/>
            </w:pPr>
          </w:p>
        </w:tc>
      </w:tr>
      <w:tr>
        <w:trPr>
          <w:trHeight w:val="369"/>
        </w:trPr>
        <w:tc>
          <w:tcPr>
            <w:tcW w:w="980" w:type="dxa"/>
            <w:vAlign w:val="center"/>
          </w:tcPr>
          <w:p>
            <w:pPr>
              <w:pStyle w:val="21"/>
            </w:pPr>
            <w:r>
              <w:t>13</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十三、农林水支出</w:t>
            </w:r>
          </w:p>
        </w:tc>
        <w:tc>
          <w:tcPr>
            <w:tcW w:w="2652" w:type="dxa"/>
            <w:vAlign w:val="center"/>
          </w:tcPr>
          <w:p>
            <w:pPr>
              <w:pStyle w:val="19"/>
            </w:pPr>
          </w:p>
        </w:tc>
      </w:tr>
      <w:tr>
        <w:trPr>
          <w:trHeight w:val="369"/>
        </w:trPr>
        <w:tc>
          <w:tcPr>
            <w:tcW w:w="980" w:type="dxa"/>
            <w:vAlign w:val="center"/>
          </w:tcPr>
          <w:p>
            <w:pPr>
              <w:pStyle w:val="21"/>
            </w:pPr>
            <w:r>
              <w:t>14</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十四、交通运输支出</w:t>
            </w:r>
          </w:p>
        </w:tc>
        <w:tc>
          <w:tcPr>
            <w:tcW w:w="2652" w:type="dxa"/>
            <w:vAlign w:val="center"/>
          </w:tcPr>
          <w:p>
            <w:pPr>
              <w:pStyle w:val="19"/>
            </w:pPr>
          </w:p>
        </w:tc>
      </w:tr>
      <w:tr>
        <w:trPr>
          <w:trHeight w:val="369"/>
        </w:trPr>
        <w:tc>
          <w:tcPr>
            <w:tcW w:w="980" w:type="dxa"/>
            <w:vAlign w:val="center"/>
          </w:tcPr>
          <w:p>
            <w:pPr>
              <w:pStyle w:val="21"/>
            </w:pPr>
            <w:r>
              <w:t>15</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十五、资源勘探工业信息等支出</w:t>
            </w:r>
          </w:p>
        </w:tc>
        <w:tc>
          <w:tcPr>
            <w:tcW w:w="2652" w:type="dxa"/>
            <w:vAlign w:val="center"/>
          </w:tcPr>
          <w:p>
            <w:pPr>
              <w:pStyle w:val="19"/>
            </w:pPr>
          </w:p>
        </w:tc>
      </w:tr>
      <w:tr>
        <w:trPr>
          <w:trHeight w:val="369"/>
        </w:trPr>
        <w:tc>
          <w:tcPr>
            <w:tcW w:w="980" w:type="dxa"/>
            <w:vAlign w:val="center"/>
          </w:tcPr>
          <w:p>
            <w:pPr>
              <w:pStyle w:val="21"/>
            </w:pPr>
            <w:r>
              <w:t>16</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十六、商业服务业等支出</w:t>
            </w:r>
          </w:p>
        </w:tc>
        <w:tc>
          <w:tcPr>
            <w:tcW w:w="2652" w:type="dxa"/>
            <w:vAlign w:val="center"/>
          </w:tcPr>
          <w:p>
            <w:pPr>
              <w:pStyle w:val="19"/>
            </w:pPr>
          </w:p>
        </w:tc>
      </w:tr>
      <w:tr>
        <w:trPr>
          <w:trHeight w:val="369"/>
        </w:trPr>
        <w:tc>
          <w:tcPr>
            <w:tcW w:w="980" w:type="dxa"/>
            <w:vAlign w:val="center"/>
          </w:tcPr>
          <w:p>
            <w:pPr>
              <w:pStyle w:val="21"/>
            </w:pPr>
            <w:r>
              <w:t>17</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十七、金融支出</w:t>
            </w:r>
          </w:p>
        </w:tc>
        <w:tc>
          <w:tcPr>
            <w:tcW w:w="2652" w:type="dxa"/>
            <w:vAlign w:val="center"/>
          </w:tcPr>
          <w:p>
            <w:pPr>
              <w:pStyle w:val="19"/>
            </w:pPr>
          </w:p>
        </w:tc>
      </w:tr>
      <w:tr>
        <w:trPr>
          <w:trHeight w:val="369"/>
        </w:trPr>
        <w:tc>
          <w:tcPr>
            <w:tcW w:w="980" w:type="dxa"/>
            <w:vAlign w:val="center"/>
          </w:tcPr>
          <w:p>
            <w:pPr>
              <w:pStyle w:val="21"/>
            </w:pPr>
            <w:r>
              <w:t>18</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十八、援助其他地区支出</w:t>
            </w:r>
          </w:p>
        </w:tc>
        <w:tc>
          <w:tcPr>
            <w:tcW w:w="2652" w:type="dxa"/>
            <w:vAlign w:val="center"/>
          </w:tcPr>
          <w:p>
            <w:pPr>
              <w:pStyle w:val="19"/>
            </w:pPr>
          </w:p>
        </w:tc>
      </w:tr>
      <w:tr>
        <w:trPr>
          <w:trHeight w:val="369"/>
        </w:trPr>
        <w:tc>
          <w:tcPr>
            <w:tcW w:w="980" w:type="dxa"/>
            <w:vAlign w:val="center"/>
          </w:tcPr>
          <w:p>
            <w:pPr>
              <w:pStyle w:val="21"/>
            </w:pPr>
            <w:r>
              <w:t>19</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十九、自然资源海洋气象等支出</w:t>
            </w:r>
          </w:p>
        </w:tc>
        <w:tc>
          <w:tcPr>
            <w:tcW w:w="2652" w:type="dxa"/>
            <w:vAlign w:val="center"/>
          </w:tcPr>
          <w:p>
            <w:pPr>
              <w:pStyle w:val="19"/>
            </w:pPr>
          </w:p>
        </w:tc>
      </w:tr>
      <w:tr>
        <w:trPr>
          <w:trHeight w:val="369"/>
        </w:trPr>
        <w:tc>
          <w:tcPr>
            <w:tcW w:w="980" w:type="dxa"/>
            <w:vAlign w:val="center"/>
          </w:tcPr>
          <w:p>
            <w:pPr>
              <w:pStyle w:val="21"/>
            </w:pPr>
            <w:r>
              <w:t>20</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二十、住房保障支出</w:t>
            </w:r>
          </w:p>
        </w:tc>
        <w:tc>
          <w:tcPr>
            <w:tcW w:w="2652" w:type="dxa"/>
            <w:vAlign w:val="center"/>
          </w:tcPr>
          <w:p>
            <w:pPr>
              <w:pStyle w:val="19"/>
            </w:pPr>
            <w:r>
              <w:t>26.93</w:t>
            </w:r>
          </w:p>
        </w:tc>
      </w:tr>
      <w:tr>
        <w:trPr>
          <w:trHeight w:val="369"/>
        </w:trPr>
        <w:tc>
          <w:tcPr>
            <w:tcW w:w="980" w:type="dxa"/>
            <w:vAlign w:val="center"/>
          </w:tcPr>
          <w:p>
            <w:pPr>
              <w:pStyle w:val="21"/>
            </w:pPr>
            <w:r>
              <w:t>21</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二十一、粮油物资储备支出</w:t>
            </w:r>
          </w:p>
        </w:tc>
        <w:tc>
          <w:tcPr>
            <w:tcW w:w="2652" w:type="dxa"/>
            <w:vAlign w:val="center"/>
          </w:tcPr>
          <w:p>
            <w:pPr>
              <w:pStyle w:val="19"/>
            </w:pPr>
          </w:p>
        </w:tc>
      </w:tr>
      <w:tr>
        <w:trPr>
          <w:trHeight w:val="369"/>
        </w:trPr>
        <w:tc>
          <w:tcPr>
            <w:tcW w:w="980" w:type="dxa"/>
            <w:vAlign w:val="center"/>
          </w:tcPr>
          <w:p>
            <w:pPr>
              <w:pStyle w:val="21"/>
            </w:pPr>
            <w:r>
              <w:t>22</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二十二、国有资本经营预算支出</w:t>
            </w:r>
          </w:p>
        </w:tc>
        <w:tc>
          <w:tcPr>
            <w:tcW w:w="2652" w:type="dxa"/>
            <w:vAlign w:val="center"/>
          </w:tcPr>
          <w:p>
            <w:pPr>
              <w:pStyle w:val="19"/>
            </w:pPr>
          </w:p>
        </w:tc>
      </w:tr>
      <w:tr>
        <w:trPr>
          <w:trHeight w:val="369"/>
        </w:trPr>
        <w:tc>
          <w:tcPr>
            <w:tcW w:w="980" w:type="dxa"/>
            <w:vAlign w:val="center"/>
          </w:tcPr>
          <w:p>
            <w:pPr>
              <w:pStyle w:val="21"/>
            </w:pPr>
            <w:r>
              <w:t>23</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二十三、灾害防治及应急管理支出</w:t>
            </w:r>
          </w:p>
        </w:tc>
        <w:tc>
          <w:tcPr>
            <w:tcW w:w="2652" w:type="dxa"/>
            <w:vAlign w:val="center"/>
          </w:tcPr>
          <w:p>
            <w:pPr>
              <w:pStyle w:val="19"/>
            </w:pPr>
          </w:p>
        </w:tc>
      </w:tr>
      <w:tr>
        <w:trPr>
          <w:trHeight w:val="369"/>
        </w:trPr>
        <w:tc>
          <w:tcPr>
            <w:tcW w:w="980" w:type="dxa"/>
            <w:vAlign w:val="center"/>
          </w:tcPr>
          <w:p>
            <w:pPr>
              <w:pStyle w:val="21"/>
            </w:pPr>
            <w:r>
              <w:t>24</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二十四、预备费</w:t>
            </w:r>
          </w:p>
        </w:tc>
        <w:tc>
          <w:tcPr>
            <w:tcW w:w="2652" w:type="dxa"/>
            <w:vAlign w:val="center"/>
          </w:tcPr>
          <w:p>
            <w:pPr>
              <w:pStyle w:val="19"/>
            </w:pPr>
          </w:p>
        </w:tc>
      </w:tr>
      <w:tr>
        <w:trPr>
          <w:trHeight w:val="369"/>
        </w:trPr>
        <w:tc>
          <w:tcPr>
            <w:tcW w:w="980" w:type="dxa"/>
            <w:vAlign w:val="center"/>
          </w:tcPr>
          <w:p>
            <w:pPr>
              <w:pStyle w:val="21"/>
            </w:pPr>
            <w:r>
              <w:t>25</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二十五、其他支出</w:t>
            </w:r>
          </w:p>
        </w:tc>
        <w:tc>
          <w:tcPr>
            <w:tcW w:w="2652" w:type="dxa"/>
            <w:vAlign w:val="center"/>
          </w:tcPr>
          <w:p>
            <w:pPr>
              <w:pStyle w:val="19"/>
            </w:pPr>
          </w:p>
        </w:tc>
      </w:tr>
      <w:tr>
        <w:trPr>
          <w:trHeight w:val="369"/>
        </w:trPr>
        <w:tc>
          <w:tcPr>
            <w:tcW w:w="980" w:type="dxa"/>
            <w:vAlign w:val="center"/>
          </w:tcPr>
          <w:p>
            <w:pPr>
              <w:pStyle w:val="21"/>
            </w:pPr>
            <w:r>
              <w:t>26</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二十六、转移性支出</w:t>
            </w:r>
          </w:p>
        </w:tc>
        <w:tc>
          <w:tcPr>
            <w:tcW w:w="2652" w:type="dxa"/>
            <w:vAlign w:val="center"/>
          </w:tcPr>
          <w:p>
            <w:pPr>
              <w:pStyle w:val="19"/>
            </w:pPr>
          </w:p>
        </w:tc>
      </w:tr>
      <w:tr>
        <w:trPr>
          <w:trHeight w:val="369"/>
        </w:trPr>
        <w:tc>
          <w:tcPr>
            <w:tcW w:w="980" w:type="dxa"/>
            <w:vAlign w:val="center"/>
          </w:tcPr>
          <w:p>
            <w:pPr>
              <w:pStyle w:val="21"/>
            </w:pPr>
            <w:r>
              <w:t>27</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二十七、债务还本支出</w:t>
            </w:r>
          </w:p>
        </w:tc>
        <w:tc>
          <w:tcPr>
            <w:tcW w:w="2652" w:type="dxa"/>
            <w:vAlign w:val="center"/>
          </w:tcPr>
          <w:p>
            <w:pPr>
              <w:pStyle w:val="19"/>
            </w:pPr>
          </w:p>
        </w:tc>
      </w:tr>
      <w:tr>
        <w:trPr>
          <w:trHeight w:val="369"/>
        </w:trPr>
        <w:tc>
          <w:tcPr>
            <w:tcW w:w="980" w:type="dxa"/>
            <w:vAlign w:val="center"/>
          </w:tcPr>
          <w:p>
            <w:pPr>
              <w:pStyle w:val="21"/>
            </w:pPr>
            <w:r>
              <w:t>28</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二十八、债务付息支出</w:t>
            </w:r>
          </w:p>
        </w:tc>
        <w:tc>
          <w:tcPr>
            <w:tcW w:w="2652" w:type="dxa"/>
            <w:vAlign w:val="center"/>
          </w:tcPr>
          <w:p>
            <w:pPr>
              <w:pStyle w:val="19"/>
            </w:pPr>
          </w:p>
        </w:tc>
      </w:tr>
      <w:tr>
        <w:trPr>
          <w:trHeight w:val="369"/>
        </w:trPr>
        <w:tc>
          <w:tcPr>
            <w:tcW w:w="980" w:type="dxa"/>
            <w:vAlign w:val="center"/>
          </w:tcPr>
          <w:p>
            <w:pPr>
              <w:pStyle w:val="21"/>
            </w:pPr>
            <w:r>
              <w:t>29</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二十九、债务发行费用支出</w:t>
            </w:r>
          </w:p>
        </w:tc>
        <w:tc>
          <w:tcPr>
            <w:tcW w:w="2652" w:type="dxa"/>
            <w:vAlign w:val="center"/>
          </w:tcPr>
          <w:p>
            <w:pPr>
              <w:pStyle w:val="19"/>
            </w:pPr>
          </w:p>
        </w:tc>
      </w:tr>
      <w:tr>
        <w:trPr>
          <w:trHeight w:val="369"/>
        </w:trPr>
        <w:tc>
          <w:tcPr>
            <w:tcW w:w="980" w:type="dxa"/>
            <w:vAlign w:val="center"/>
          </w:tcPr>
          <w:p>
            <w:pPr>
              <w:pStyle w:val="21"/>
            </w:pPr>
            <w:r>
              <w:t>30</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三十、抗疫特别国债安排的支出</w:t>
            </w:r>
          </w:p>
        </w:tc>
        <w:tc>
          <w:tcPr>
            <w:tcW w:w="2652" w:type="dxa"/>
            <w:vAlign w:val="center"/>
          </w:tcPr>
          <w:p>
            <w:pPr>
              <w:pStyle w:val="19"/>
            </w:pPr>
          </w:p>
        </w:tc>
      </w:tr>
      <w:tr>
        <w:trPr>
          <w:trHeight w:val="369"/>
        </w:trPr>
        <w:tc>
          <w:tcPr>
            <w:tcW w:w="980" w:type="dxa"/>
            <w:vAlign w:val="center"/>
          </w:tcPr>
          <w:p>
            <w:pPr>
              <w:pStyle w:val="21"/>
            </w:pPr>
            <w:r>
              <w:t>31</w:t>
            </w:r>
          </w:p>
        </w:tc>
        <w:tc>
          <w:tcPr>
            <w:tcW w:w="3528" w:type="dxa"/>
            <w:tcBorders>
              <w:left w:val="single" w:sz="6" w:space="0" w:color="000000"/>
              <w:right w:val="single" w:sz="6" w:space="0" w:color="000000"/>
            </w:tcBorders>
            <w:vAlign w:val="center"/>
          </w:tcPr>
          <w:p>
            <w:pPr>
              <w:pStyle w:val="20"/>
            </w:pP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三十一、人行科目</w:t>
            </w:r>
          </w:p>
        </w:tc>
        <w:tc>
          <w:tcPr>
            <w:tcW w:w="2652" w:type="dxa"/>
            <w:vAlign w:val="center"/>
          </w:tcPr>
          <w:p>
            <w:pPr>
              <w:pStyle w:val="19"/>
            </w:pPr>
          </w:p>
        </w:tc>
      </w:tr>
      <w:tr>
        <w:trPr>
          <w:trHeight w:val="369"/>
        </w:trPr>
        <w:tc>
          <w:tcPr>
            <w:tcW w:w="980" w:type="dxa"/>
            <w:vAlign w:val="center"/>
          </w:tcPr>
          <w:p>
            <w:pPr>
              <w:pStyle w:val="21"/>
            </w:pPr>
            <w:r>
              <w:t>32</w:t>
            </w:r>
          </w:p>
        </w:tc>
        <w:tc>
          <w:tcPr>
            <w:tcW w:w="3528" w:type="dxa"/>
            <w:tcBorders>
              <w:left w:val="single" w:sz="6" w:space="0" w:color="000000"/>
              <w:right w:val="single" w:sz="6" w:space="0" w:color="000000"/>
            </w:tcBorders>
            <w:vAlign w:val="center"/>
          </w:tcPr>
          <w:p>
            <w:pPr>
              <w:pStyle w:val="22"/>
            </w:pPr>
            <w:r>
              <w:t>本年收入合计</w:t>
            </w:r>
          </w:p>
        </w:tc>
        <w:tc>
          <w:tcPr>
            <w:tcW w:w="2664" w:type="dxa"/>
            <w:tcBorders>
              <w:left w:val="single" w:sz="6" w:space="0" w:color="000000"/>
              <w:right w:val="single" w:sz="6" w:space="0" w:color="000000"/>
            </w:tcBorders>
            <w:vAlign w:val="center"/>
          </w:tcPr>
          <w:p>
            <w:pPr>
              <w:pStyle w:val="23"/>
            </w:pPr>
            <w:r>
              <w:t>713.58</w:t>
            </w:r>
          </w:p>
        </w:tc>
        <w:tc>
          <w:tcPr>
            <w:tcW w:w="3828" w:type="dxa"/>
            <w:tcBorders>
              <w:left w:val="single" w:sz="6" w:space="0" w:color="000000"/>
              <w:right w:val="single" w:sz="6" w:space="0" w:color="000000"/>
            </w:tcBorders>
            <w:vAlign w:val="center"/>
          </w:tcPr>
          <w:p>
            <w:pPr>
              <w:pStyle w:val="22"/>
            </w:pPr>
            <w:r>
              <w:t>本年支出合计</w:t>
            </w:r>
          </w:p>
        </w:tc>
        <w:tc>
          <w:tcPr>
            <w:tcW w:w="2652" w:type="dxa"/>
            <w:vAlign w:val="center"/>
          </w:tcPr>
          <w:p>
            <w:pPr>
              <w:pStyle w:val="23"/>
            </w:pPr>
            <w:r>
              <w:t>713.58</w:t>
            </w:r>
          </w:p>
        </w:tc>
      </w:tr>
      <w:tr>
        <w:trPr>
          <w:trHeight w:val="369"/>
        </w:trPr>
        <w:tc>
          <w:tcPr>
            <w:tcW w:w="980" w:type="dxa"/>
            <w:vAlign w:val="center"/>
          </w:tcPr>
          <w:p>
            <w:pPr>
              <w:pStyle w:val="21"/>
            </w:pPr>
            <w:r>
              <w:t>33</w:t>
            </w:r>
          </w:p>
        </w:tc>
        <w:tc>
          <w:tcPr>
            <w:tcW w:w="3528" w:type="dxa"/>
            <w:tcBorders>
              <w:left w:val="single" w:sz="6" w:space="0" w:color="000000"/>
              <w:right w:val="single" w:sz="6" w:space="0" w:color="000000"/>
            </w:tcBorders>
            <w:vAlign w:val="center"/>
          </w:tcPr>
          <w:p>
            <w:pPr>
              <w:pStyle w:val="20"/>
            </w:pPr>
            <w:r>
              <w:t>上年结转结余</w:t>
            </w:r>
          </w:p>
        </w:tc>
        <w:tc>
          <w:tcPr>
            <w:tcW w:w="2664" w:type="dxa"/>
            <w:tcBorders>
              <w:left w:val="single" w:sz="6" w:space="0" w:color="000000"/>
              <w:right w:val="single" w:sz="6" w:space="0" w:color="000000"/>
            </w:tcBorders>
            <w:vAlign w:val="center"/>
          </w:tcPr>
          <w:p>
            <w:pPr>
              <w:pStyle w:val="19"/>
            </w:pPr>
          </w:p>
        </w:tc>
        <w:tc>
          <w:tcPr>
            <w:tcW w:w="3828" w:type="dxa"/>
            <w:tcBorders>
              <w:left w:val="single" w:sz="6" w:space="0" w:color="000000"/>
              <w:right w:val="single" w:sz="6" w:space="0" w:color="000000"/>
            </w:tcBorders>
            <w:vAlign w:val="center"/>
          </w:tcPr>
          <w:p>
            <w:pPr>
              <w:pStyle w:val="20"/>
            </w:pPr>
            <w:r>
              <w:t>年终结转结余</w:t>
            </w:r>
          </w:p>
        </w:tc>
        <w:tc>
          <w:tcPr>
            <w:tcW w:w="2652" w:type="dxa"/>
            <w:vAlign w:val="center"/>
          </w:tcPr>
          <w:p>
            <w:pPr>
              <w:pStyle w:val="19"/>
            </w:pPr>
          </w:p>
        </w:tc>
      </w:tr>
      <w:tr>
        <w:trPr>
          <w:trHeight w:val="369"/>
        </w:trPr>
        <w:tc>
          <w:tcPr>
            <w:tcW w:w="980" w:type="dxa"/>
            <w:vAlign w:val="center"/>
          </w:tcPr>
          <w:p>
            <w:pPr>
              <w:pStyle w:val="21"/>
            </w:pPr>
            <w:r>
              <w:t>34</w:t>
            </w:r>
          </w:p>
        </w:tc>
        <w:tc>
          <w:tcPr>
            <w:tcW w:w="3528" w:type="dxa"/>
            <w:tcBorders>
              <w:left w:val="single" w:sz="6" w:space="0" w:color="000000"/>
              <w:right w:val="single" w:sz="6" w:space="0" w:color="000000"/>
            </w:tcBorders>
            <w:vAlign w:val="center"/>
          </w:tcPr>
          <w:p>
            <w:pPr>
              <w:pStyle w:val="22"/>
            </w:pPr>
            <w:r>
              <w:t>收入总计</w:t>
            </w:r>
          </w:p>
        </w:tc>
        <w:tc>
          <w:tcPr>
            <w:tcW w:w="2664" w:type="dxa"/>
            <w:tcBorders>
              <w:left w:val="single" w:sz="6" w:space="0" w:color="000000"/>
              <w:right w:val="single" w:sz="6" w:space="0" w:color="000000"/>
            </w:tcBorders>
            <w:vAlign w:val="center"/>
          </w:tcPr>
          <w:p>
            <w:pPr>
              <w:pStyle w:val="23"/>
            </w:pPr>
            <w:r>
              <w:t>713.58</w:t>
            </w:r>
          </w:p>
        </w:tc>
        <w:tc>
          <w:tcPr>
            <w:tcW w:w="3828" w:type="dxa"/>
            <w:tcBorders>
              <w:left w:val="single" w:sz="6" w:space="0" w:color="000000"/>
              <w:right w:val="single" w:sz="6" w:space="0" w:color="000000"/>
            </w:tcBorders>
            <w:vAlign w:val="center"/>
          </w:tcPr>
          <w:p>
            <w:pPr>
              <w:pStyle w:val="22"/>
            </w:pPr>
            <w:r>
              <w:t>支出总计</w:t>
            </w:r>
          </w:p>
        </w:tc>
        <w:tc>
          <w:tcPr>
            <w:tcW w:w="2652" w:type="dxa"/>
            <w:vAlign w:val="center"/>
          </w:tcPr>
          <w:p>
            <w:pPr>
              <w:pStyle w:val="23"/>
            </w:pPr>
            <w:r>
              <w:t>713.58</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7"/>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304001唐山市丰南区信访局本级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713.58</w:t>
            </w:r>
          </w:p>
        </w:tc>
        <w:tc>
          <w:tcPr>
            <w:tcW w:w="1134" w:type="dxa"/>
            <w:tcBorders>
              <w:left w:val="single" w:sz="6" w:space="0" w:color="000000"/>
              <w:right w:val="single" w:sz="6" w:space="0" w:color="000000"/>
            </w:tcBorders>
            <w:vAlign w:val="center"/>
          </w:tcPr>
          <w:p>
            <w:pPr>
              <w:pStyle w:val="23"/>
            </w:pPr>
            <w:r>
              <w:t>713.58</w:t>
            </w:r>
          </w:p>
        </w:tc>
        <w:tc>
          <w:tcPr>
            <w:tcW w:w="1134" w:type="dxa"/>
            <w:tcBorders>
              <w:left w:val="single" w:sz="6" w:space="0" w:color="000000"/>
              <w:right w:val="single" w:sz="6" w:space="0" w:color="000000"/>
            </w:tcBorders>
            <w:vAlign w:val="center"/>
          </w:tcPr>
          <w:p>
            <w:pPr>
              <w:pStyle w:val="23"/>
            </w:pPr>
            <w:r>
              <w:t>713.58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1559" w:type="dxa"/>
            <w:tcBorders>
              <w:left w:val="single" w:sz="6" w:space="0" w:color="000000"/>
              <w:right w:val="single" w:sz="6" w:space="0" w:color="000000"/>
            </w:tcBorders>
            <w:vAlign w:val="center"/>
          </w:tcPr>
          <w:p>
            <w:pPr>
              <w:pStyle w:val="20"/>
            </w:pPr>
            <w:r>
              <w:t>政府办公厅（室）及相关机构事务</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2010308</w:t>
            </w:r>
          </w:p>
        </w:tc>
        <w:tc>
          <w:tcPr>
            <w:tcW w:w="1559" w:type="dxa"/>
            <w:tcBorders>
              <w:left w:val="single" w:sz="6" w:space="0" w:color="000000"/>
              <w:right w:val="single" w:sz="6" w:space="0" w:color="000000"/>
            </w:tcBorders>
            <w:vAlign w:val="center"/>
          </w:tcPr>
          <w:p>
            <w:pPr>
              <w:pStyle w:val="20"/>
            </w:pPr>
            <w:r>
              <w:t>信访事务</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r>
              <w:t>612.20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r>
              <w:t>43.19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35.91</w:t>
            </w:r>
          </w:p>
        </w:tc>
        <w:tc>
          <w:tcPr>
            <w:tcW w:w="1134" w:type="dxa"/>
            <w:tcBorders>
              <w:left w:val="single" w:sz="6" w:space="0" w:color="000000"/>
              <w:right w:val="single" w:sz="6" w:space="0" w:color="000000"/>
            </w:tcBorders>
            <w:vAlign w:val="center"/>
          </w:tcPr>
          <w:p>
            <w:pPr>
              <w:pStyle w:val="19"/>
            </w:pPr>
            <w:r>
              <w:t>35.91</w:t>
            </w:r>
          </w:p>
        </w:tc>
        <w:tc>
          <w:tcPr>
            <w:tcW w:w="1134" w:type="dxa"/>
            <w:tcBorders>
              <w:left w:val="single" w:sz="6" w:space="0" w:color="000000"/>
              <w:right w:val="single" w:sz="6" w:space="0" w:color="000000"/>
            </w:tcBorders>
            <w:vAlign w:val="center"/>
          </w:tcPr>
          <w:p>
            <w:pPr>
              <w:pStyle w:val="19"/>
            </w:pPr>
            <w:r>
              <w:t>35.91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r>
              <w:t>31.26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14.03</w:t>
            </w:r>
          </w:p>
        </w:tc>
        <w:tc>
          <w:tcPr>
            <w:tcW w:w="1134" w:type="dxa"/>
            <w:tcBorders>
              <w:left w:val="single" w:sz="6" w:space="0" w:color="000000"/>
              <w:right w:val="single" w:sz="6" w:space="0" w:color="000000"/>
            </w:tcBorders>
            <w:vAlign w:val="center"/>
          </w:tcPr>
          <w:p>
            <w:pPr>
              <w:pStyle w:val="19"/>
            </w:pPr>
            <w:r>
              <w:t>14.03</w:t>
            </w:r>
          </w:p>
        </w:tc>
        <w:tc>
          <w:tcPr>
            <w:tcW w:w="1134" w:type="dxa"/>
            <w:tcBorders>
              <w:left w:val="single" w:sz="6" w:space="0" w:color="000000"/>
              <w:right w:val="single" w:sz="6" w:space="0" w:color="000000"/>
            </w:tcBorders>
            <w:vAlign w:val="center"/>
          </w:tcPr>
          <w:p>
            <w:pPr>
              <w:pStyle w:val="19"/>
            </w:pPr>
            <w:r>
              <w:t>14.03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17.23</w:t>
            </w:r>
          </w:p>
        </w:tc>
        <w:tc>
          <w:tcPr>
            <w:tcW w:w="1134" w:type="dxa"/>
            <w:tcBorders>
              <w:left w:val="single" w:sz="6" w:space="0" w:color="000000"/>
              <w:right w:val="single" w:sz="6" w:space="0" w:color="000000"/>
            </w:tcBorders>
            <w:vAlign w:val="center"/>
          </w:tcPr>
          <w:p>
            <w:pPr>
              <w:pStyle w:val="19"/>
            </w:pPr>
            <w:r>
              <w:t>17.23</w:t>
            </w:r>
          </w:p>
        </w:tc>
        <w:tc>
          <w:tcPr>
            <w:tcW w:w="1134" w:type="dxa"/>
            <w:tcBorders>
              <w:left w:val="single" w:sz="6" w:space="0" w:color="000000"/>
              <w:right w:val="single" w:sz="6" w:space="0" w:color="000000"/>
            </w:tcBorders>
            <w:vAlign w:val="center"/>
          </w:tcPr>
          <w:p>
            <w:pPr>
              <w:pStyle w:val="19"/>
            </w:pPr>
            <w:r>
              <w:t>17.23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r>
              <w:t>26.93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4"/>
        <w:gridCol w:w="1094"/>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713.58</w:t>
            </w:r>
          </w:p>
        </w:tc>
        <w:tc>
          <w:tcPr>
            <w:tcW w:w="1361" w:type="dxa"/>
            <w:tcBorders>
              <w:left w:val="single" w:sz="6" w:space="0" w:color="000000"/>
              <w:right w:val="single" w:sz="6" w:space="0" w:color="000000"/>
            </w:tcBorders>
            <w:vAlign w:val="center"/>
          </w:tcPr>
          <w:p>
            <w:pPr>
              <w:pStyle w:val="23"/>
            </w:pPr>
            <w:r>
              <w:t>443.58</w:t>
            </w:r>
          </w:p>
        </w:tc>
        <w:tc>
          <w:tcPr>
            <w:tcW w:w="1361" w:type="dxa"/>
            <w:tcBorders>
              <w:left w:val="single" w:sz="6" w:space="0" w:color="000000"/>
              <w:right w:val="single" w:sz="6" w:space="0" w:color="000000"/>
            </w:tcBorders>
            <w:vAlign w:val="center"/>
          </w:tcPr>
          <w:p>
            <w:pPr>
              <w:pStyle w:val="23"/>
            </w:pPr>
            <w:r>
              <w:t>270.00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612.20</w:t>
            </w:r>
          </w:p>
        </w:tc>
        <w:tc>
          <w:tcPr>
            <w:tcW w:w="1361" w:type="dxa"/>
            <w:tcBorders>
              <w:left w:val="single" w:sz="6" w:space="0" w:color="000000"/>
              <w:right w:val="single" w:sz="6" w:space="0" w:color="000000"/>
            </w:tcBorders>
            <w:vAlign w:val="center"/>
          </w:tcPr>
          <w:p>
            <w:pPr>
              <w:pStyle w:val="19"/>
            </w:pPr>
            <w:r>
              <w:t>342.20</w:t>
            </w:r>
          </w:p>
        </w:tc>
        <w:tc>
          <w:tcPr>
            <w:tcW w:w="1361" w:type="dxa"/>
            <w:tcBorders>
              <w:left w:val="single" w:sz="6" w:space="0" w:color="000000"/>
              <w:right w:val="single" w:sz="6" w:space="0" w:color="000000"/>
            </w:tcBorders>
            <w:vAlign w:val="center"/>
          </w:tcPr>
          <w:p>
            <w:pPr>
              <w:pStyle w:val="19"/>
            </w:pPr>
            <w:r>
              <w:t>270.00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1361" w:type="dxa"/>
            <w:tcBorders>
              <w:left w:val="single" w:sz="6" w:space="0" w:color="000000"/>
              <w:right w:val="single" w:sz="6" w:space="0" w:color="000000"/>
            </w:tcBorders>
            <w:vAlign w:val="center"/>
          </w:tcPr>
          <w:p>
            <w:pPr>
              <w:pStyle w:val="19"/>
            </w:pPr>
            <w:r>
              <w:t>612.20</w:t>
            </w:r>
          </w:p>
        </w:tc>
        <w:tc>
          <w:tcPr>
            <w:tcW w:w="1361" w:type="dxa"/>
            <w:tcBorders>
              <w:left w:val="single" w:sz="6" w:space="0" w:color="000000"/>
              <w:right w:val="single" w:sz="6" w:space="0" w:color="000000"/>
            </w:tcBorders>
            <w:vAlign w:val="center"/>
          </w:tcPr>
          <w:p>
            <w:pPr>
              <w:pStyle w:val="19"/>
            </w:pPr>
            <w:r>
              <w:t>342.20</w:t>
            </w:r>
          </w:p>
        </w:tc>
        <w:tc>
          <w:tcPr>
            <w:tcW w:w="1361" w:type="dxa"/>
            <w:tcBorders>
              <w:left w:val="single" w:sz="6" w:space="0" w:color="000000"/>
              <w:right w:val="single" w:sz="6" w:space="0" w:color="000000"/>
            </w:tcBorders>
            <w:vAlign w:val="center"/>
          </w:tcPr>
          <w:p>
            <w:pPr>
              <w:pStyle w:val="19"/>
            </w:pPr>
            <w:r>
              <w:t>270.00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2010308</w:t>
            </w:r>
          </w:p>
        </w:tc>
        <w:tc>
          <w:tcPr>
            <w:tcW w:w="4535" w:type="dxa"/>
            <w:tcBorders>
              <w:left w:val="single" w:sz="6" w:space="0" w:color="000000"/>
              <w:right w:val="single" w:sz="6" w:space="0" w:color="000000"/>
            </w:tcBorders>
            <w:vAlign w:val="center"/>
          </w:tcPr>
          <w:p>
            <w:pPr>
              <w:pStyle w:val="20"/>
            </w:pPr>
            <w:r>
              <w:t>信访事务</w:t>
            </w:r>
          </w:p>
        </w:tc>
        <w:tc>
          <w:tcPr>
            <w:tcW w:w="1361" w:type="dxa"/>
            <w:tcBorders>
              <w:left w:val="single" w:sz="6" w:space="0" w:color="000000"/>
              <w:right w:val="single" w:sz="6" w:space="0" w:color="000000"/>
            </w:tcBorders>
            <w:vAlign w:val="center"/>
          </w:tcPr>
          <w:p>
            <w:pPr>
              <w:pStyle w:val="19"/>
            </w:pPr>
            <w:r>
              <w:t>612.20</w:t>
            </w:r>
          </w:p>
        </w:tc>
        <w:tc>
          <w:tcPr>
            <w:tcW w:w="1361" w:type="dxa"/>
            <w:tcBorders>
              <w:left w:val="single" w:sz="6" w:space="0" w:color="000000"/>
              <w:right w:val="single" w:sz="6" w:space="0" w:color="000000"/>
            </w:tcBorders>
            <w:vAlign w:val="center"/>
          </w:tcPr>
          <w:p>
            <w:pPr>
              <w:pStyle w:val="19"/>
            </w:pPr>
            <w:r>
              <w:t>342.20</w:t>
            </w:r>
          </w:p>
        </w:tc>
        <w:tc>
          <w:tcPr>
            <w:tcW w:w="1361" w:type="dxa"/>
            <w:tcBorders>
              <w:left w:val="single" w:sz="6" w:space="0" w:color="000000"/>
              <w:right w:val="single" w:sz="6" w:space="0" w:color="000000"/>
            </w:tcBorders>
            <w:vAlign w:val="center"/>
          </w:tcPr>
          <w:p>
            <w:pPr>
              <w:pStyle w:val="19"/>
            </w:pPr>
            <w:r>
              <w:t>270.00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43.19</w:t>
            </w:r>
          </w:p>
        </w:tc>
        <w:tc>
          <w:tcPr>
            <w:tcW w:w="1361" w:type="dxa"/>
            <w:tcBorders>
              <w:left w:val="single" w:sz="6" w:space="0" w:color="000000"/>
              <w:right w:val="single" w:sz="6" w:space="0" w:color="000000"/>
            </w:tcBorders>
            <w:vAlign w:val="center"/>
          </w:tcPr>
          <w:p>
            <w:pPr>
              <w:pStyle w:val="19"/>
            </w:pPr>
            <w:r>
              <w:t>43.19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43.19</w:t>
            </w:r>
          </w:p>
        </w:tc>
        <w:tc>
          <w:tcPr>
            <w:tcW w:w="1361" w:type="dxa"/>
            <w:tcBorders>
              <w:left w:val="single" w:sz="6" w:space="0" w:color="000000"/>
              <w:right w:val="single" w:sz="6" w:space="0" w:color="000000"/>
            </w:tcBorders>
            <w:vAlign w:val="center"/>
          </w:tcPr>
          <w:p>
            <w:pPr>
              <w:pStyle w:val="19"/>
            </w:pPr>
            <w:r>
              <w:t>43.19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7.28</w:t>
            </w:r>
          </w:p>
        </w:tc>
        <w:tc>
          <w:tcPr>
            <w:tcW w:w="1361" w:type="dxa"/>
            <w:tcBorders>
              <w:left w:val="single" w:sz="6" w:space="0" w:color="000000"/>
              <w:right w:val="single" w:sz="6" w:space="0" w:color="000000"/>
            </w:tcBorders>
            <w:vAlign w:val="center"/>
          </w:tcPr>
          <w:p>
            <w:pPr>
              <w:pStyle w:val="19"/>
            </w:pPr>
            <w:r>
              <w:t>7.28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35.91</w:t>
            </w:r>
          </w:p>
        </w:tc>
        <w:tc>
          <w:tcPr>
            <w:tcW w:w="1361" w:type="dxa"/>
            <w:tcBorders>
              <w:left w:val="single" w:sz="6" w:space="0" w:color="000000"/>
              <w:right w:val="single" w:sz="6" w:space="0" w:color="000000"/>
            </w:tcBorders>
            <w:vAlign w:val="center"/>
          </w:tcPr>
          <w:p>
            <w:pPr>
              <w:pStyle w:val="19"/>
            </w:pPr>
            <w:r>
              <w:t>35.91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31.26</w:t>
            </w:r>
          </w:p>
        </w:tc>
        <w:tc>
          <w:tcPr>
            <w:tcW w:w="1361" w:type="dxa"/>
            <w:tcBorders>
              <w:left w:val="single" w:sz="6" w:space="0" w:color="000000"/>
              <w:right w:val="single" w:sz="6" w:space="0" w:color="000000"/>
            </w:tcBorders>
            <w:vAlign w:val="center"/>
          </w:tcPr>
          <w:p>
            <w:pPr>
              <w:pStyle w:val="19"/>
            </w:pPr>
            <w:r>
              <w:t>31.26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31.26</w:t>
            </w:r>
          </w:p>
        </w:tc>
        <w:tc>
          <w:tcPr>
            <w:tcW w:w="1361" w:type="dxa"/>
            <w:tcBorders>
              <w:left w:val="single" w:sz="6" w:space="0" w:color="000000"/>
              <w:right w:val="single" w:sz="6" w:space="0" w:color="000000"/>
            </w:tcBorders>
            <w:vAlign w:val="center"/>
          </w:tcPr>
          <w:p>
            <w:pPr>
              <w:pStyle w:val="19"/>
            </w:pPr>
            <w:r>
              <w:t>31.26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14.03</w:t>
            </w:r>
          </w:p>
        </w:tc>
        <w:tc>
          <w:tcPr>
            <w:tcW w:w="1361" w:type="dxa"/>
            <w:tcBorders>
              <w:left w:val="single" w:sz="6" w:space="0" w:color="000000"/>
              <w:right w:val="single" w:sz="6" w:space="0" w:color="000000"/>
            </w:tcBorders>
            <w:vAlign w:val="center"/>
          </w:tcPr>
          <w:p>
            <w:pPr>
              <w:pStyle w:val="19"/>
            </w:pPr>
            <w:r>
              <w:t>14.03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17.23</w:t>
            </w:r>
          </w:p>
        </w:tc>
        <w:tc>
          <w:tcPr>
            <w:tcW w:w="1361" w:type="dxa"/>
            <w:tcBorders>
              <w:left w:val="single" w:sz="6" w:space="0" w:color="000000"/>
              <w:right w:val="single" w:sz="6" w:space="0" w:color="000000"/>
            </w:tcBorders>
            <w:vAlign w:val="center"/>
          </w:tcPr>
          <w:p>
            <w:pPr>
              <w:pStyle w:val="19"/>
            </w:pPr>
            <w:r>
              <w:t>17.23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r>
              <w:t>26.93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1"/>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713.58</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612.20</w:t>
            </w:r>
          </w:p>
        </w:tc>
        <w:tc>
          <w:tcPr>
            <w:tcW w:w="1474" w:type="dxa"/>
            <w:tcBorders>
              <w:left w:val="single" w:sz="6" w:space="0" w:color="000000"/>
              <w:right w:val="single" w:sz="6" w:space="0" w:color="000000"/>
            </w:tcBorders>
            <w:vAlign w:val="center"/>
          </w:tcPr>
          <w:p>
            <w:pPr>
              <w:pStyle w:val="19"/>
            </w:pPr>
            <w:r>
              <w:t>612.20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43.19</w:t>
            </w:r>
          </w:p>
        </w:tc>
        <w:tc>
          <w:tcPr>
            <w:tcW w:w="1474" w:type="dxa"/>
            <w:tcBorders>
              <w:left w:val="single" w:sz="6" w:space="0" w:color="000000"/>
              <w:right w:val="single" w:sz="6" w:space="0" w:color="000000"/>
            </w:tcBorders>
            <w:vAlign w:val="center"/>
          </w:tcPr>
          <w:p>
            <w:pPr>
              <w:pStyle w:val="19"/>
            </w:pPr>
            <w:r>
              <w:t>43.19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31.26</w:t>
            </w:r>
          </w:p>
        </w:tc>
        <w:tc>
          <w:tcPr>
            <w:tcW w:w="1474" w:type="dxa"/>
            <w:tcBorders>
              <w:left w:val="single" w:sz="6" w:space="0" w:color="000000"/>
              <w:right w:val="single" w:sz="6" w:space="0" w:color="000000"/>
            </w:tcBorders>
            <w:vAlign w:val="center"/>
          </w:tcPr>
          <w:p>
            <w:pPr>
              <w:pStyle w:val="19"/>
            </w:pPr>
            <w:r>
              <w:t>31.26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26.93</w:t>
            </w:r>
          </w:p>
        </w:tc>
        <w:tc>
          <w:tcPr>
            <w:tcW w:w="1474" w:type="dxa"/>
            <w:tcBorders>
              <w:left w:val="single" w:sz="6" w:space="0" w:color="000000"/>
              <w:right w:val="single" w:sz="6" w:space="0" w:color="000000"/>
            </w:tcBorders>
            <w:vAlign w:val="center"/>
          </w:tcPr>
          <w:p>
            <w:pPr>
              <w:pStyle w:val="19"/>
            </w:pPr>
            <w:r>
              <w:t>26.93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713.58</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713.58</w:t>
            </w:r>
          </w:p>
        </w:tc>
        <w:tc>
          <w:tcPr>
            <w:tcW w:w="1474" w:type="dxa"/>
            <w:tcBorders>
              <w:left w:val="single" w:sz="6" w:space="0" w:color="000000"/>
              <w:right w:val="single" w:sz="6" w:space="0" w:color="000000"/>
            </w:tcBorders>
            <w:vAlign w:val="center"/>
          </w:tcPr>
          <w:p>
            <w:pPr>
              <w:pStyle w:val="23"/>
            </w:pPr>
            <w:r>
              <w:t>713.58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713.58</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713.58</w:t>
            </w:r>
          </w:p>
        </w:tc>
        <w:tc>
          <w:tcPr>
            <w:tcW w:w="1474" w:type="dxa"/>
            <w:tcBorders>
              <w:left w:val="single" w:sz="6" w:space="0" w:color="000000"/>
              <w:right w:val="single" w:sz="6" w:space="0" w:color="000000"/>
            </w:tcBorders>
            <w:vAlign w:val="center"/>
          </w:tcPr>
          <w:p>
            <w:pPr>
              <w:pStyle w:val="23"/>
            </w:pPr>
            <w:r>
              <w:t>713.58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713.58</w:t>
            </w:r>
          </w:p>
        </w:tc>
        <w:tc>
          <w:tcPr>
            <w:tcW w:w="2551" w:type="dxa"/>
            <w:tcBorders>
              <w:left w:val="single" w:sz="6" w:space="0" w:color="000000"/>
              <w:right w:val="single" w:sz="6" w:space="0" w:color="000000"/>
            </w:tcBorders>
            <w:vAlign w:val="center"/>
          </w:tcPr>
          <w:p>
            <w:pPr>
              <w:pStyle w:val="23"/>
            </w:pPr>
            <w:r>
              <w:t>443.58</w:t>
            </w:r>
          </w:p>
        </w:tc>
        <w:tc>
          <w:tcPr>
            <w:tcW w:w="2551" w:type="dxa"/>
            <w:vAlign w:val="center"/>
          </w:tcPr>
          <w:p>
            <w:pPr>
              <w:pStyle w:val="23"/>
            </w:pPr>
            <w:r>
              <w:t>270.00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612.20</w:t>
            </w:r>
          </w:p>
        </w:tc>
        <w:tc>
          <w:tcPr>
            <w:tcW w:w="2551" w:type="dxa"/>
            <w:tcBorders>
              <w:left w:val="single" w:sz="6" w:space="0" w:color="000000"/>
              <w:right w:val="single" w:sz="6" w:space="0" w:color="000000"/>
            </w:tcBorders>
            <w:vAlign w:val="center"/>
          </w:tcPr>
          <w:p>
            <w:pPr>
              <w:pStyle w:val="19"/>
            </w:pPr>
            <w:r>
              <w:t>342.20</w:t>
            </w:r>
          </w:p>
        </w:tc>
        <w:tc>
          <w:tcPr>
            <w:tcW w:w="2551" w:type="dxa"/>
            <w:vAlign w:val="center"/>
          </w:tcPr>
          <w:p>
            <w:pPr>
              <w:pStyle w:val="19"/>
            </w:pPr>
            <w:r>
              <w:t>270.00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2551" w:type="dxa"/>
            <w:tcBorders>
              <w:left w:val="single" w:sz="6" w:space="0" w:color="000000"/>
              <w:right w:val="single" w:sz="6" w:space="0" w:color="000000"/>
            </w:tcBorders>
            <w:vAlign w:val="center"/>
          </w:tcPr>
          <w:p>
            <w:pPr>
              <w:pStyle w:val="19"/>
            </w:pPr>
            <w:r>
              <w:t>612.20</w:t>
            </w:r>
          </w:p>
        </w:tc>
        <w:tc>
          <w:tcPr>
            <w:tcW w:w="2551" w:type="dxa"/>
            <w:tcBorders>
              <w:left w:val="single" w:sz="6" w:space="0" w:color="000000"/>
              <w:right w:val="single" w:sz="6" w:space="0" w:color="000000"/>
            </w:tcBorders>
            <w:vAlign w:val="center"/>
          </w:tcPr>
          <w:p>
            <w:pPr>
              <w:pStyle w:val="19"/>
            </w:pPr>
            <w:r>
              <w:t>342.20</w:t>
            </w:r>
          </w:p>
        </w:tc>
        <w:tc>
          <w:tcPr>
            <w:tcW w:w="2551" w:type="dxa"/>
            <w:vAlign w:val="center"/>
          </w:tcPr>
          <w:p>
            <w:pPr>
              <w:pStyle w:val="19"/>
            </w:pPr>
            <w:r>
              <w:t>270.00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2010308</w:t>
            </w:r>
          </w:p>
        </w:tc>
        <w:tc>
          <w:tcPr>
            <w:tcW w:w="4535" w:type="dxa"/>
            <w:tcBorders>
              <w:left w:val="single" w:sz="6" w:space="0" w:color="000000"/>
              <w:right w:val="single" w:sz="6" w:space="0" w:color="000000"/>
            </w:tcBorders>
            <w:vAlign w:val="center"/>
          </w:tcPr>
          <w:p>
            <w:pPr>
              <w:pStyle w:val="20"/>
            </w:pPr>
            <w:r>
              <w:t>信访事务</w:t>
            </w:r>
          </w:p>
        </w:tc>
        <w:tc>
          <w:tcPr>
            <w:tcW w:w="2551" w:type="dxa"/>
            <w:tcBorders>
              <w:left w:val="single" w:sz="6" w:space="0" w:color="000000"/>
              <w:right w:val="single" w:sz="6" w:space="0" w:color="000000"/>
            </w:tcBorders>
            <w:vAlign w:val="center"/>
          </w:tcPr>
          <w:p>
            <w:pPr>
              <w:pStyle w:val="19"/>
            </w:pPr>
            <w:r>
              <w:t>612.20</w:t>
            </w:r>
          </w:p>
        </w:tc>
        <w:tc>
          <w:tcPr>
            <w:tcW w:w="2551" w:type="dxa"/>
            <w:tcBorders>
              <w:left w:val="single" w:sz="6" w:space="0" w:color="000000"/>
              <w:right w:val="single" w:sz="6" w:space="0" w:color="000000"/>
            </w:tcBorders>
            <w:vAlign w:val="center"/>
          </w:tcPr>
          <w:p>
            <w:pPr>
              <w:pStyle w:val="19"/>
            </w:pPr>
            <w:r>
              <w:t>342.20</w:t>
            </w:r>
          </w:p>
        </w:tc>
        <w:tc>
          <w:tcPr>
            <w:tcW w:w="2551" w:type="dxa"/>
            <w:vAlign w:val="center"/>
          </w:tcPr>
          <w:p>
            <w:pPr>
              <w:pStyle w:val="19"/>
            </w:pPr>
            <w:r>
              <w:t>270.00</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43.19</w:t>
            </w:r>
          </w:p>
        </w:tc>
        <w:tc>
          <w:tcPr>
            <w:tcW w:w="2551" w:type="dxa"/>
            <w:tcBorders>
              <w:left w:val="single" w:sz="6" w:space="0" w:color="000000"/>
              <w:right w:val="single" w:sz="6" w:space="0" w:color="000000"/>
            </w:tcBorders>
            <w:vAlign w:val="center"/>
          </w:tcPr>
          <w:p>
            <w:pPr>
              <w:pStyle w:val="19"/>
            </w:pPr>
            <w:r>
              <w:t>43.19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43.19</w:t>
            </w:r>
          </w:p>
        </w:tc>
        <w:tc>
          <w:tcPr>
            <w:tcW w:w="2551" w:type="dxa"/>
            <w:tcBorders>
              <w:left w:val="single" w:sz="6" w:space="0" w:color="000000"/>
              <w:right w:val="single" w:sz="6" w:space="0" w:color="000000"/>
            </w:tcBorders>
            <w:vAlign w:val="center"/>
          </w:tcPr>
          <w:p>
            <w:pPr>
              <w:pStyle w:val="19"/>
            </w:pPr>
            <w:r>
              <w:t>43.19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7.28</w:t>
            </w:r>
          </w:p>
        </w:tc>
        <w:tc>
          <w:tcPr>
            <w:tcW w:w="2551" w:type="dxa"/>
            <w:tcBorders>
              <w:left w:val="single" w:sz="6" w:space="0" w:color="000000"/>
              <w:right w:val="single" w:sz="6" w:space="0" w:color="000000"/>
            </w:tcBorders>
            <w:vAlign w:val="center"/>
          </w:tcPr>
          <w:p>
            <w:pPr>
              <w:pStyle w:val="19"/>
            </w:pPr>
            <w:r>
              <w:t>7.28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35.91</w:t>
            </w:r>
          </w:p>
        </w:tc>
        <w:tc>
          <w:tcPr>
            <w:tcW w:w="2551" w:type="dxa"/>
            <w:tcBorders>
              <w:left w:val="single" w:sz="6" w:space="0" w:color="000000"/>
              <w:right w:val="single" w:sz="6" w:space="0" w:color="000000"/>
            </w:tcBorders>
            <w:vAlign w:val="center"/>
          </w:tcPr>
          <w:p>
            <w:pPr>
              <w:pStyle w:val="19"/>
            </w:pPr>
            <w:r>
              <w:t>35.91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31.26</w:t>
            </w:r>
          </w:p>
        </w:tc>
        <w:tc>
          <w:tcPr>
            <w:tcW w:w="2551" w:type="dxa"/>
            <w:tcBorders>
              <w:left w:val="single" w:sz="6" w:space="0" w:color="000000"/>
              <w:right w:val="single" w:sz="6" w:space="0" w:color="000000"/>
            </w:tcBorders>
            <w:vAlign w:val="center"/>
          </w:tcPr>
          <w:p>
            <w:pPr>
              <w:pStyle w:val="19"/>
            </w:pPr>
            <w:r>
              <w:t>31.26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31.26</w:t>
            </w:r>
          </w:p>
        </w:tc>
        <w:tc>
          <w:tcPr>
            <w:tcW w:w="2551" w:type="dxa"/>
            <w:tcBorders>
              <w:left w:val="single" w:sz="6" w:space="0" w:color="000000"/>
              <w:right w:val="single" w:sz="6" w:space="0" w:color="000000"/>
            </w:tcBorders>
            <w:vAlign w:val="center"/>
          </w:tcPr>
          <w:p>
            <w:pPr>
              <w:pStyle w:val="19"/>
            </w:pPr>
            <w:r>
              <w:t>31.26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14.03</w:t>
            </w:r>
          </w:p>
        </w:tc>
        <w:tc>
          <w:tcPr>
            <w:tcW w:w="2551" w:type="dxa"/>
            <w:tcBorders>
              <w:left w:val="single" w:sz="6" w:space="0" w:color="000000"/>
              <w:right w:val="single" w:sz="6" w:space="0" w:color="000000"/>
            </w:tcBorders>
            <w:vAlign w:val="center"/>
          </w:tcPr>
          <w:p>
            <w:pPr>
              <w:pStyle w:val="19"/>
            </w:pPr>
            <w:r>
              <w:t>14.03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17.23</w:t>
            </w:r>
          </w:p>
        </w:tc>
        <w:tc>
          <w:tcPr>
            <w:tcW w:w="2551" w:type="dxa"/>
            <w:tcBorders>
              <w:left w:val="single" w:sz="6" w:space="0" w:color="000000"/>
              <w:right w:val="single" w:sz="6" w:space="0" w:color="000000"/>
            </w:tcBorders>
            <w:vAlign w:val="center"/>
          </w:tcPr>
          <w:p>
            <w:pPr>
              <w:pStyle w:val="19"/>
            </w:pPr>
            <w:r>
              <w:t>17.23</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26.93</w:t>
            </w:r>
          </w:p>
        </w:tc>
        <w:tc>
          <w:tcPr>
            <w:tcW w:w="2551" w:type="dxa"/>
            <w:tcBorders>
              <w:left w:val="single" w:sz="6" w:space="0" w:color="000000"/>
              <w:right w:val="single" w:sz="6" w:space="0" w:color="000000"/>
            </w:tcBorders>
            <w:vAlign w:val="center"/>
          </w:tcPr>
          <w:p>
            <w:pPr>
              <w:pStyle w:val="19"/>
            </w:pPr>
            <w:r>
              <w:t>26.93</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26.93</w:t>
            </w:r>
          </w:p>
        </w:tc>
        <w:tc>
          <w:tcPr>
            <w:tcW w:w="2551" w:type="dxa"/>
            <w:tcBorders>
              <w:left w:val="single" w:sz="6" w:space="0" w:color="000000"/>
              <w:right w:val="single" w:sz="6" w:space="0" w:color="000000"/>
            </w:tcBorders>
            <w:vAlign w:val="center"/>
          </w:tcPr>
          <w:p>
            <w:pPr>
              <w:pStyle w:val="19"/>
            </w:pPr>
            <w:r>
              <w:t>26.93</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26.93</w:t>
            </w:r>
          </w:p>
        </w:tc>
        <w:tc>
          <w:tcPr>
            <w:tcW w:w="2551" w:type="dxa"/>
            <w:tcBorders>
              <w:left w:val="single" w:sz="6" w:space="0" w:color="000000"/>
              <w:right w:val="single" w:sz="6" w:space="0" w:color="000000"/>
            </w:tcBorders>
            <w:vAlign w:val="center"/>
          </w:tcPr>
          <w:p>
            <w:pPr>
              <w:pStyle w:val="19"/>
            </w:pPr>
            <w:r>
              <w:t>26.93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443.58</w:t>
            </w:r>
          </w:p>
        </w:tc>
        <w:tc>
          <w:tcPr>
            <w:tcW w:w="2551" w:type="dxa"/>
            <w:tcBorders>
              <w:left w:val="single" w:sz="6" w:space="0" w:color="000000"/>
              <w:right w:val="single" w:sz="6" w:space="0" w:color="000000"/>
            </w:tcBorders>
            <w:vAlign w:val="center"/>
          </w:tcPr>
          <w:p>
            <w:pPr>
              <w:pStyle w:val="23"/>
            </w:pPr>
            <w:r>
              <w:t>406.11</w:t>
            </w:r>
          </w:p>
        </w:tc>
        <w:tc>
          <w:tcPr>
            <w:tcW w:w="2551" w:type="dxa"/>
            <w:vAlign w:val="center"/>
          </w:tcPr>
          <w:p>
            <w:pPr>
              <w:pStyle w:val="23"/>
            </w:pPr>
            <w:r>
              <w:t>37.47</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398.78</w:t>
            </w:r>
          </w:p>
        </w:tc>
        <w:tc>
          <w:tcPr>
            <w:tcW w:w="2551" w:type="dxa"/>
            <w:tcBorders>
              <w:left w:val="single" w:sz="6" w:space="0" w:color="000000"/>
              <w:right w:val="single" w:sz="6" w:space="0" w:color="000000"/>
            </w:tcBorders>
            <w:vAlign w:val="center"/>
          </w:tcPr>
          <w:p>
            <w:pPr>
              <w:pStyle w:val="19"/>
            </w:pPr>
            <w:r>
              <w:t>398.78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98.76</w:t>
            </w:r>
          </w:p>
        </w:tc>
        <w:tc>
          <w:tcPr>
            <w:tcW w:w="2551" w:type="dxa"/>
            <w:tcBorders>
              <w:left w:val="single" w:sz="6" w:space="0" w:color="000000"/>
              <w:right w:val="single" w:sz="6" w:space="0" w:color="000000"/>
            </w:tcBorders>
            <w:vAlign w:val="center"/>
          </w:tcPr>
          <w:p>
            <w:pPr>
              <w:pStyle w:val="19"/>
            </w:pPr>
            <w:r>
              <w:t>98.76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62.49</w:t>
            </w:r>
          </w:p>
        </w:tc>
        <w:tc>
          <w:tcPr>
            <w:tcW w:w="2551" w:type="dxa"/>
            <w:tcBorders>
              <w:left w:val="single" w:sz="6" w:space="0" w:color="000000"/>
              <w:right w:val="single" w:sz="6" w:space="0" w:color="000000"/>
            </w:tcBorders>
            <w:vAlign w:val="center"/>
          </w:tcPr>
          <w:p>
            <w:pPr>
              <w:pStyle w:val="19"/>
            </w:pPr>
            <w:r>
              <w:t>62.49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21.75</w:t>
            </w:r>
          </w:p>
        </w:tc>
        <w:tc>
          <w:tcPr>
            <w:tcW w:w="2551" w:type="dxa"/>
            <w:tcBorders>
              <w:left w:val="single" w:sz="6" w:space="0" w:color="000000"/>
              <w:right w:val="single" w:sz="6" w:space="0" w:color="000000"/>
            </w:tcBorders>
            <w:vAlign w:val="center"/>
          </w:tcPr>
          <w:p>
            <w:pPr>
              <w:pStyle w:val="19"/>
            </w:pPr>
            <w:r>
              <w:t>21.75</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66.87</w:t>
            </w:r>
          </w:p>
        </w:tc>
        <w:tc>
          <w:tcPr>
            <w:tcW w:w="2551" w:type="dxa"/>
            <w:tcBorders>
              <w:left w:val="single" w:sz="6" w:space="0" w:color="000000"/>
              <w:right w:val="single" w:sz="6" w:space="0" w:color="000000"/>
            </w:tcBorders>
            <w:vAlign w:val="center"/>
          </w:tcPr>
          <w:p>
            <w:pPr>
              <w:pStyle w:val="19"/>
            </w:pPr>
            <w:r>
              <w:t>66.87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35.91</w:t>
            </w:r>
          </w:p>
        </w:tc>
        <w:tc>
          <w:tcPr>
            <w:tcW w:w="2551" w:type="dxa"/>
            <w:tcBorders>
              <w:left w:val="single" w:sz="6" w:space="0" w:color="000000"/>
              <w:right w:val="single" w:sz="6" w:space="0" w:color="000000"/>
            </w:tcBorders>
            <w:vAlign w:val="center"/>
          </w:tcPr>
          <w:p>
            <w:pPr>
              <w:pStyle w:val="19"/>
            </w:pPr>
            <w:r>
              <w:t>35.91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14.03</w:t>
            </w:r>
          </w:p>
        </w:tc>
        <w:tc>
          <w:tcPr>
            <w:tcW w:w="2551" w:type="dxa"/>
            <w:tcBorders>
              <w:left w:val="single" w:sz="6" w:space="0" w:color="000000"/>
              <w:right w:val="single" w:sz="6" w:space="0" w:color="000000"/>
            </w:tcBorders>
            <w:vAlign w:val="center"/>
          </w:tcPr>
          <w:p>
            <w:pPr>
              <w:pStyle w:val="19"/>
            </w:pPr>
            <w:r>
              <w:t>14.03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17.23</w:t>
            </w:r>
          </w:p>
        </w:tc>
        <w:tc>
          <w:tcPr>
            <w:tcW w:w="2551" w:type="dxa"/>
            <w:tcBorders>
              <w:left w:val="single" w:sz="6" w:space="0" w:color="000000"/>
              <w:right w:val="single" w:sz="6" w:space="0" w:color="000000"/>
            </w:tcBorders>
            <w:vAlign w:val="center"/>
          </w:tcPr>
          <w:p>
            <w:pPr>
              <w:pStyle w:val="19"/>
            </w:pPr>
            <w:r>
              <w:t>17.23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2.24</w:t>
            </w:r>
          </w:p>
        </w:tc>
        <w:tc>
          <w:tcPr>
            <w:tcW w:w="2551" w:type="dxa"/>
            <w:tcBorders>
              <w:left w:val="single" w:sz="6" w:space="0" w:color="000000"/>
              <w:right w:val="single" w:sz="6" w:space="0" w:color="000000"/>
            </w:tcBorders>
            <w:vAlign w:val="center"/>
          </w:tcPr>
          <w:p>
            <w:pPr>
              <w:pStyle w:val="19"/>
            </w:pPr>
            <w:r>
              <w:t>2.24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26.93</w:t>
            </w:r>
          </w:p>
        </w:tc>
        <w:tc>
          <w:tcPr>
            <w:tcW w:w="2551" w:type="dxa"/>
            <w:tcBorders>
              <w:left w:val="single" w:sz="6" w:space="0" w:color="000000"/>
              <w:right w:val="single" w:sz="6" w:space="0" w:color="000000"/>
            </w:tcBorders>
            <w:vAlign w:val="center"/>
          </w:tcPr>
          <w:p>
            <w:pPr>
              <w:pStyle w:val="19"/>
            </w:pPr>
            <w:r>
              <w:t>26.93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52.57</w:t>
            </w:r>
          </w:p>
        </w:tc>
        <w:tc>
          <w:tcPr>
            <w:tcW w:w="2551" w:type="dxa"/>
            <w:tcBorders>
              <w:left w:val="single" w:sz="6" w:space="0" w:color="000000"/>
              <w:right w:val="single" w:sz="6" w:space="0" w:color="000000"/>
            </w:tcBorders>
            <w:vAlign w:val="center"/>
          </w:tcPr>
          <w:p>
            <w:pPr>
              <w:pStyle w:val="19"/>
            </w:pPr>
            <w:r>
              <w:t>52.57</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34.77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34.77</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1.79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1.79</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8.50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3.60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30227</w:t>
            </w:r>
          </w:p>
        </w:tc>
        <w:tc>
          <w:tcPr>
            <w:tcW w:w="4535" w:type="dxa"/>
            <w:tcBorders>
              <w:left w:val="single" w:sz="6" w:space="0" w:color="000000"/>
              <w:right w:val="single" w:sz="6" w:space="0" w:color="000000"/>
            </w:tcBorders>
            <w:vAlign w:val="center"/>
          </w:tcPr>
          <w:p>
            <w:pPr>
              <w:pStyle w:val="20"/>
            </w:pPr>
            <w:r>
              <w:t>委托业务费</w:t>
            </w:r>
          </w:p>
        </w:tc>
        <w:tc>
          <w:tcPr>
            <w:tcW w:w="2551" w:type="dxa"/>
            <w:tcBorders>
              <w:left w:val="single" w:sz="6" w:space="0" w:color="000000"/>
              <w:right w:val="single" w:sz="6" w:space="0" w:color="000000"/>
            </w:tcBorders>
            <w:vAlign w:val="center"/>
          </w:tcPr>
          <w:p>
            <w:pPr>
              <w:pStyle w:val="19"/>
            </w:pPr>
            <w:r>
              <w:t>0.85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0.85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5.10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2.58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2.58</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0.35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0.35</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7.33</w:t>
            </w:r>
          </w:p>
        </w:tc>
        <w:tc>
          <w:tcPr>
            <w:tcW w:w="2551" w:type="dxa"/>
            <w:tcBorders>
              <w:left w:val="single" w:sz="6" w:space="0" w:color="000000"/>
              <w:right w:val="single" w:sz="6" w:space="0" w:color="000000"/>
            </w:tcBorders>
            <w:vAlign w:val="center"/>
          </w:tcPr>
          <w:p>
            <w:pPr>
              <w:pStyle w:val="19"/>
            </w:pPr>
            <w:r>
              <w:t>7.33</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7.28</w:t>
            </w:r>
          </w:p>
        </w:tc>
        <w:tc>
          <w:tcPr>
            <w:tcW w:w="2551" w:type="dxa"/>
            <w:tcBorders>
              <w:left w:val="single" w:sz="6" w:space="0" w:color="000000"/>
              <w:right w:val="single" w:sz="6" w:space="0" w:color="000000"/>
            </w:tcBorders>
            <w:vAlign w:val="center"/>
          </w:tcPr>
          <w:p>
            <w:pPr>
              <w:pStyle w:val="19"/>
            </w:pPr>
            <w:r>
              <w:t>7.28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0.05</w:t>
            </w:r>
          </w:p>
        </w:tc>
        <w:tc>
          <w:tcPr>
            <w:tcW w:w="2551" w:type="dxa"/>
            <w:tcBorders>
              <w:left w:val="single" w:sz="6" w:space="0" w:color="000000"/>
              <w:right w:val="single" w:sz="6" w:space="0" w:color="000000"/>
            </w:tcBorders>
            <w:vAlign w:val="center"/>
          </w:tcPr>
          <w:p>
            <w:pPr>
              <w:pStyle w:val="19"/>
            </w:pPr>
            <w:r>
              <w:t>0.05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310</w:t>
            </w:r>
          </w:p>
        </w:tc>
        <w:tc>
          <w:tcPr>
            <w:tcW w:w="4535" w:type="dxa"/>
            <w:tcBorders>
              <w:left w:val="single" w:sz="6" w:space="0" w:color="000000"/>
              <w:right w:val="single" w:sz="6" w:space="0" w:color="000000"/>
            </w:tcBorders>
            <w:vAlign w:val="center"/>
          </w:tcPr>
          <w:p>
            <w:pPr>
              <w:pStyle w:val="20"/>
            </w:pPr>
            <w:r>
              <w:t>资本性支出</w:t>
            </w:r>
          </w:p>
        </w:tc>
        <w:tc>
          <w:tcPr>
            <w:tcW w:w="2551" w:type="dxa"/>
            <w:tcBorders>
              <w:left w:val="single" w:sz="6" w:space="0" w:color="000000"/>
              <w:right w:val="single" w:sz="6" w:space="0" w:color="000000"/>
            </w:tcBorders>
            <w:vAlign w:val="center"/>
          </w:tcPr>
          <w:p>
            <w:pPr>
              <w:pStyle w:val="19"/>
            </w:pPr>
            <w:r>
              <w:t>2.70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2.70</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31002</w:t>
            </w:r>
          </w:p>
        </w:tc>
        <w:tc>
          <w:tcPr>
            <w:tcW w:w="4535" w:type="dxa"/>
            <w:tcBorders>
              <w:left w:val="single" w:sz="6" w:space="0" w:color="000000"/>
              <w:right w:val="single" w:sz="6" w:space="0" w:color="000000"/>
            </w:tcBorders>
            <w:vAlign w:val="center"/>
          </w:tcPr>
          <w:p>
            <w:pPr>
              <w:pStyle w:val="20"/>
            </w:pPr>
            <w:r>
              <w:t>办公设备购置</w:t>
            </w:r>
          </w:p>
        </w:tc>
        <w:tc>
          <w:tcPr>
            <w:tcW w:w="2551" w:type="dxa"/>
            <w:tcBorders>
              <w:left w:val="single" w:sz="6" w:space="0" w:color="000000"/>
              <w:right w:val="single" w:sz="6" w:space="0" w:color="000000"/>
            </w:tcBorders>
            <w:vAlign w:val="center"/>
          </w:tcPr>
          <w:p>
            <w:pPr>
              <w:pStyle w:val="19"/>
            </w:pPr>
            <w:r>
              <w:t>2.70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823"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1643"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5"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1643"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2"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1643"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2" w:type="dxa"/>
            <w:tcBorders>
              <w:left w:val="single" w:sz="6" w:space="0" w:color="000000"/>
              <w:right w:val="single" w:sz="6" w:space="0" w:color="000000"/>
            </w:tcBorders>
            <w:vAlign w:val="center"/>
          </w:tcPr>
          <w:p>
            <w:pPr>
              <w:pStyle w:val="23"/>
            </w:pPr>
            <w:r>
              <w:t>8.00</w:t>
            </w:r>
          </w:p>
        </w:tc>
        <w:tc>
          <w:tcPr>
            <w:tcW w:w="2381" w:type="dxa"/>
            <w:tcBorders>
              <w:left w:val="single" w:sz="6" w:space="0" w:color="000000"/>
              <w:right w:val="single" w:sz="6" w:space="0" w:color="000000"/>
            </w:tcBorders>
            <w:vAlign w:val="center"/>
          </w:tcPr>
          <w:p>
            <w:pPr>
              <w:pStyle w:val="23"/>
            </w:pPr>
            <w:r>
              <w:t>8.00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1643"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2"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2"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2"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唐山市丰南区信访局本级2023年单位预算信息公开情况说明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w:t>
      </w:r>
      <w:r>
        <w:rPr>
          <w:rFonts w:ascii="Times New Roman" w:eastAsia="方正仿宋_GBK" w:cs="Times New Roman" w:hAnsi="Times New Roman"/>
          <w:color w:val="000000"/>
          <w:sz w:val="28"/>
        </w:rPr>
        <w:t>中华人民共和国</w:t>
      </w:r>
      <w:r>
        <w:rPr>
          <w:rFonts w:ascii="Times New Roman" w:eastAsia="方正仿宋_GBK" w:cs="Times New Roman" w:hAnsi="Times New Roman"/>
          <w:b w:val="0"/>
          <w:color w:val="000000"/>
          <w:sz w:val="28"/>
        </w:rPr>
        <w:t>预算法》、《地方预决算公开操作规程》和《关于进一步推进预算公开工作的实施意见》规定，现将唐山市丰南区信访局本级2023年单位预算公开如下：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33"/>
      </w:pPr>
      <w:r>
        <w:t>(一) 研究提出全区信访工作思路，拟订信访工作方针政策。</w:t>
      </w:r>
    </w:p>
    <w:p>
      <w:pPr>
        <w:pStyle w:val="33"/>
      </w:pPr>
      <w:r>
        <w:t>(二)办理人民群众来信，接待群众来访，受理群众网上投诉，查办信访案件，负责人民群众建议征集工作。</w:t>
      </w:r>
    </w:p>
    <w:p>
      <w:pPr>
        <w:pStyle w:val="33"/>
      </w:pPr>
      <w:r>
        <w:t>(三)调查研究和综合分析全区信访形势及信访工作状况，总结推广各地各部门信访工作经验，提出改进和加强信访工作的意见和建议。</w:t>
      </w:r>
    </w:p>
    <w:p>
      <w:pPr>
        <w:pStyle w:val="33"/>
      </w:pPr>
      <w:r>
        <w:t>(四)参与组织、协调、指导全区社会治安综合治理和维护社会政治稳定工作，协助保障国家、省、市和区重大政治活动顺利进行，参与处理影响社会政治稳定的突发性、群体性事件。</w:t>
      </w:r>
    </w:p>
    <w:p>
      <w:pPr>
        <w:pStyle w:val="33"/>
      </w:pPr>
      <w:r>
        <w:t>(五)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pStyle w:val="33"/>
      </w:pPr>
      <w:r>
        <w:t>(六)协助国家信访局、省、市信访局处理属地群众进京、赴省、去市上访工作，综合协调处理跨地区、跨部门、跨行业的重要信访问题，协助公安机关维护区委、区政府机关正常工作秩序。</w:t>
      </w:r>
    </w:p>
    <w:p>
      <w:pPr>
        <w:pStyle w:val="33"/>
      </w:pPr>
      <w:r>
        <w:t>(七) 负责省、市、区级领导和区直部门领导公开接访和包联案件的组织协调工作。</w:t>
      </w:r>
    </w:p>
    <w:p>
      <w:pPr>
        <w:pStyle w:val="33"/>
      </w:pPr>
      <w:r>
        <w:t>(八) 承担唐山市丰南区信访工作联席会议的日常工作，督促落实联席会议决定的事项。</w:t>
      </w:r>
    </w:p>
    <w:p>
      <w:pPr>
        <w:pStyle w:val="33"/>
      </w:pPr>
      <w:r>
        <w:t>（九）完成区委、区政府以及国家、省、市信访局交办的其他任务。</w:t>
      </w:r>
    </w:p>
    <w:p>
      <w:pPr>
        <w:pStyle w:val="33"/>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唐山市丰南区信访局本级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26"/>
      </w:pPr>
      <w:r>
        <w:t>（一）收入说明</w:t>
      </w:r>
    </w:p>
    <w:p>
      <w:pPr>
        <w:pStyle w:val="26"/>
      </w:pPr>
      <w:r>
        <w:rPr>
          <w:rFonts w:hint="eastAsia"/>
          <w:lang w:eastAsia="zh-CN"/>
        </w:rPr>
        <w:t>反映本部门当年全部收入。</w:t>
      </w:r>
      <w:r>
        <w:t>2023年部门预算收入713.58万元，其中：一般公共预算拨款</w:t>
      </w:r>
      <w:r>
        <w:rPr>
          <w:rFonts w:hint="eastAsia"/>
          <w:lang w:eastAsia="zh-CN"/>
        </w:rPr>
        <w:t>收入</w:t>
      </w:r>
      <w:r>
        <w:t>713.58万元，基金预算</w:t>
      </w:r>
      <w:r>
        <w:rPr>
          <w:rFonts w:hint="eastAsia"/>
          <w:lang w:eastAsia="zh-CN"/>
        </w:rPr>
        <w:t>收入</w:t>
      </w:r>
      <w:r>
        <w:t>0万元，国有资本经营预算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0万元</w:t>
      </w:r>
      <w:r>
        <w:rPr>
          <w:rFonts w:hint="eastAsia"/>
          <w:lang w:eastAsia="zh-CN"/>
        </w:rPr>
        <w:t>，</w:t>
      </w:r>
      <w:r>
        <w:t>上年结转结余0万元。</w:t>
      </w:r>
    </w:p>
    <w:p>
      <w:pPr>
        <w:pStyle w:val="26"/>
      </w:pPr>
      <w:r>
        <w:t>（二）支出说明</w:t>
      </w:r>
    </w:p>
    <w:p>
      <w:pPr>
        <w:pStyle w:val="26"/>
      </w:pPr>
      <w:r>
        <w:t>收支预算总表支出栏、基本支出表、项目支出表按经济分类和支出功能分类科目编制，反映2023年度部门预算中支出预算的总体情况。2023年部门预算支出713.58万元，其中基本支出443.58万元，包括人员经费406.11万元和日常公用经费37.47万元，项目支出270万元</w:t>
      </w:r>
      <w:r>
        <w:rPr>
          <w:rFonts w:hint="eastAsia"/>
          <w:lang w:eastAsia="zh-CN"/>
        </w:rPr>
        <w:t>，</w:t>
      </w:r>
      <w:r>
        <w:t>主要为信访工作岗位经费（劳务费）、信访维稳工作经费等</w:t>
      </w:r>
      <w:r>
        <w:rPr>
          <w:rFonts w:ascii="等线" w:eastAsia="等线" w:hAnsi="等线" w:hint="eastAsia"/>
          <w:lang w:eastAsia="zh-CN"/>
        </w:rPr>
        <w:t>。</w:t>
      </w:r>
    </w:p>
    <w:p>
      <w:pPr>
        <w:pStyle w:val="26"/>
      </w:pPr>
      <w:r>
        <w:t>（三）比上年增减情况</w:t>
      </w:r>
    </w:p>
    <w:p>
      <w:pPr>
        <w:pStyle w:val="26"/>
      </w:pPr>
      <w:r>
        <w:rPr>
          <w:rFonts w:cs="仿宋" w:hint="eastAsia"/>
        </w:rPr>
        <w:t>202</w:t>
      </w:r>
      <w:r>
        <w:rPr>
          <w:rFonts w:cs="仿宋" w:hint="eastAsia"/>
          <w:lang w:eastAsia="zh-CN"/>
        </w:rPr>
        <w:t>3</w:t>
      </w:r>
      <w:r>
        <w:rPr>
          <w:rFonts w:cs="仿宋" w:hint="eastAsia"/>
        </w:rPr>
        <w:t>年预算收支安排713.58万元，较202</w:t>
      </w:r>
      <w:r>
        <w:rPr>
          <w:rFonts w:cs="仿宋" w:hint="eastAsia"/>
          <w:lang w:eastAsia="zh-CN"/>
        </w:rPr>
        <w:t>2</w:t>
      </w:r>
      <w:r>
        <w:rPr>
          <w:rFonts w:cs="仿宋" w:hint="eastAsia"/>
        </w:rPr>
        <w:t>年预算增加24.21万元，其中：基本支出增加</w:t>
      </w:r>
      <w:r>
        <w:rPr>
          <w:rFonts w:cs="仿宋" w:hint="eastAsia"/>
          <w:lang w:eastAsia="zh-CN"/>
        </w:rPr>
        <w:t>71.51</w:t>
      </w:r>
      <w:r>
        <w:rPr>
          <w:rFonts w:cs="仿宋" w:hint="eastAsia"/>
        </w:rPr>
        <w:t>万元，主要为增加人员经费</w:t>
      </w:r>
      <w:r>
        <w:rPr>
          <w:rFonts w:cs="仿宋" w:hint="eastAsia"/>
          <w:lang w:eastAsia="zh-CN"/>
        </w:rPr>
        <w:t>支出71.78</w:t>
      </w:r>
      <w:r>
        <w:rPr>
          <w:rFonts w:cs="仿宋" w:hint="eastAsia"/>
        </w:rPr>
        <w:t>万元，减少日常公用经费</w:t>
      </w:r>
      <w:r>
        <w:rPr>
          <w:rFonts w:cs="仿宋" w:hint="eastAsia"/>
          <w:lang w:eastAsia="zh-CN"/>
        </w:rPr>
        <w:t>支出0.27</w:t>
      </w:r>
      <w:r>
        <w:rPr>
          <w:rFonts w:cs="仿宋" w:hint="eastAsia"/>
        </w:rPr>
        <w:t>万元</w:t>
      </w:r>
      <w:r>
        <w:rPr>
          <w:rFonts w:cs="仿宋" w:hint="eastAsia"/>
          <w:lang w:eastAsia="zh-CN"/>
        </w:rPr>
        <w:t>；</w:t>
      </w:r>
      <w:r>
        <w:rPr>
          <w:rFonts w:cs="仿宋" w:hint="eastAsia"/>
        </w:rPr>
        <w:t>项目支出减少47.3万元，主要为减少</w:t>
      </w:r>
      <w:r>
        <w:rPr>
          <w:rFonts w:cs="仿宋" w:hint="eastAsia"/>
          <w:lang w:bidi="ar-SA"/>
        </w:rPr>
        <w:t>区社会治理综合服务中心改造经费</w:t>
      </w:r>
      <w:r>
        <w:rPr>
          <w:rFonts w:cs="仿宋" w:hint="eastAsia"/>
          <w:lang w:eastAsia="zh-CN"/>
        </w:rPr>
        <w:t>支出</w:t>
      </w:r>
      <w:r>
        <w:rPr>
          <w:rFonts w:cs="仿宋"/>
          <w:lang w:eastAsia="zh-CN"/>
        </w:rPr>
        <w:t>41.3</w:t>
      </w:r>
      <w:r>
        <w:rPr>
          <w:rFonts w:cs="仿宋" w:hint="eastAsia"/>
        </w:rPr>
        <w:t>万元，</w:t>
      </w:r>
      <w:r>
        <w:rPr>
          <w:rFonts w:cs="仿宋"/>
        </w:rPr>
        <w:t>增加信访</w:t>
      </w:r>
      <w:r>
        <w:rPr>
          <w:rFonts w:cs="仿宋" w:hint="eastAsia"/>
        </w:rPr>
        <w:t>工作岗位经费（劳务费）</w:t>
      </w:r>
      <w:r>
        <w:rPr>
          <w:rFonts w:cs="仿宋" w:hint="eastAsia"/>
          <w:lang w:eastAsia="zh-CN"/>
        </w:rPr>
        <w:t>支出</w:t>
      </w:r>
      <w:r>
        <w:rPr>
          <w:rFonts w:cs="仿宋"/>
          <w:lang w:eastAsia="zh-CN"/>
        </w:rPr>
        <w:t>4</w:t>
      </w:r>
      <w:r>
        <w:rPr>
          <w:rFonts w:cs="仿宋" w:hint="eastAsia"/>
        </w:rPr>
        <w:t>万元，减少</w:t>
      </w:r>
      <w:r>
        <w:rPr>
          <w:rFonts w:cs="仿宋"/>
        </w:rPr>
        <w:t>信访维稳</w:t>
      </w:r>
      <w:r>
        <w:rPr>
          <w:rFonts w:cs="仿宋" w:hint="eastAsia"/>
        </w:rPr>
        <w:t>工作经费</w:t>
      </w:r>
      <w:r>
        <w:rPr>
          <w:rFonts w:cs="仿宋" w:hint="eastAsia"/>
          <w:lang w:eastAsia="zh-CN"/>
        </w:rPr>
        <w:t>支出</w:t>
      </w:r>
      <w:r>
        <w:rPr>
          <w:rFonts w:cs="仿宋"/>
        </w:rPr>
        <w:t>9</w:t>
      </w:r>
      <w:r>
        <w:rPr>
          <w:rFonts w:cs="仿宋" w:hint="eastAsia"/>
        </w:rPr>
        <w:t>万元</w:t>
      </w:r>
      <w:r>
        <w:rPr>
          <w:rFonts w:cs="仿宋"/>
        </w:rPr>
        <w:t>，减少群众工作中心经费1万元。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35"/>
      </w:pPr>
      <w:r>
        <w:t>2023年机关运行经费共计安排37.47万元，主要包括用于保证机关正常运转的办公费、邮电费、委托业务费、办公设备购置费、公务用车运行维护费、工会费、福利费、移动通讯补贴、交通补贴、网络维修（护）费、离退休干部报刊费用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6"/>
      </w:pPr>
      <w:r>
        <w:t>2023年单位“三公”经费预算安排8万元，比2022年增加0万元。具体增减情况为：</w:t>
      </w:r>
    </w:p>
    <w:p>
      <w:pPr>
        <w:pStyle w:val="36"/>
      </w:pPr>
      <w:r>
        <w:t>（一）公务用车购置及运行费8万元，比2022年增加0万元，无增减变化。</w:t>
      </w:r>
    </w:p>
    <w:p>
      <w:pPr>
        <w:pStyle w:val="36"/>
      </w:pPr>
      <w:r>
        <w:t>（二）公务接待费0万元，比2022年增加0万元，无增减变化。</w:t>
      </w:r>
    </w:p>
    <w:p>
      <w:pPr>
        <w:pStyle w:val="36"/>
      </w:pPr>
      <w:r>
        <w:t>（三）因公出国（境）费0万元，比2022年增加0万元，无增减变化。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numPr>
          <w:ilvl w:val="0"/>
          <w:numId w:val="1"/>
        </w:numPr>
        <w:rPr>
          <w:rFonts w:ascii="方正仿宋_GBK" w:eastAsia="方正仿宋_GBK" w:cs="方正仿宋_GBK" w:hAnsi="方正仿宋_GBK"/>
          <w:b/>
          <w:color w:val="000000"/>
          <w:sz w:val="28"/>
        </w:rPr>
      </w:pPr>
      <w:r>
        <w:rPr>
          <w:rFonts w:ascii="方正仿宋_GBK" w:eastAsia="方正仿宋_GBK" w:cs="方正仿宋_GBK" w:hAnsi="方正仿宋_GBK"/>
          <w:b/>
          <w:color w:val="000000"/>
          <w:sz w:val="28"/>
        </w:rPr>
        <w:t>解决特殊疑难信访问题专项资金绩效目标表</w:t>
      </w:r>
    </w:p>
    <w:p>
      <w:pPr>
        <w:ind w:firstLine="0"/>
        <w:rPr>
          <w:rFonts w:ascii="方正仿宋_GBK" w:eastAsia="方正仿宋_GBK" w:cs="方正仿宋_GBK" w:hAnsi="方正仿宋_GBK"/>
          <w:b/>
          <w:color w:val="000000"/>
          <w:sz w:val="28"/>
        </w:rPr>
      </w:pP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865"/>
        </w:trPr>
        <w:tc>
          <w:tcPr>
            <w:tcW w:w="1417" w:type="dxa"/>
            <w:tcBorders>
              <w:bottom w:val="single" w:sz="6" w:space="0" w:color="FFFFFF"/>
              <w:tl2br w:val="nil"/>
              <w:tr2bl w:val="nil"/>
            </w:tcBorders>
            <w:vAlign w:val="center"/>
          </w:tcPr>
          <w:p>
            <w:pPr>
              <w:pStyle w:val="18"/>
            </w:pPr>
            <w:r>
              <w:t>绩效目标</w:t>
            </w:r>
          </w:p>
        </w:tc>
        <w:tc>
          <w:tcPr>
            <w:tcW w:w="12756" w:type="dxa"/>
            <w:tcBorders>
              <w:bottom w:val="single" w:sz="6" w:space="0" w:color="FFFFFF"/>
              <w:tl2br w:val="nil"/>
              <w:tr2bl w:val="nil"/>
            </w:tcBorders>
            <w:vAlign w:val="center"/>
          </w:tcPr>
          <w:p>
            <w:pPr>
              <w:pStyle w:val="20"/>
            </w:pPr>
            <w:r>
              <w:t>1.2023年投入100万元，对找不到解决主体、积累时间久远，难以化解和解决的“无头案、钉子案、骨头案”特殊疑难信访个案实现息诉罢访，对生活困难无其他救济渠道的信访人，帮助解决困难。</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679"/>
          <w:tblHeader/>
        </w:trPr>
        <w:tc>
          <w:tcPr>
            <w:tcW w:w="1417" w:type="dxa"/>
            <w:tcBorders>
              <w:tl2br w:val="nil"/>
              <w:tr2bl w:val="nil"/>
            </w:tcBorders>
            <w:vAlign w:val="center"/>
          </w:tcPr>
          <w:p>
            <w:pPr>
              <w:pStyle w:val="18"/>
            </w:pPr>
            <w:r>
              <w:t>一级指标</w:t>
            </w:r>
          </w:p>
        </w:tc>
        <w:tc>
          <w:tcPr>
            <w:tcW w:w="2268" w:type="dxa"/>
            <w:tcBorders>
              <w:tl2br w:val="nil"/>
              <w:tr2bl w:val="nil"/>
            </w:tcBorders>
            <w:vAlign w:val="center"/>
          </w:tcPr>
          <w:p>
            <w:pPr>
              <w:pStyle w:val="18"/>
            </w:pPr>
            <w:r>
              <w:t>二级指标</w:t>
            </w:r>
          </w:p>
        </w:tc>
        <w:tc>
          <w:tcPr>
            <w:tcW w:w="2835" w:type="dxa"/>
            <w:tcBorders>
              <w:tl2br w:val="nil"/>
              <w:tr2bl w:val="nil"/>
            </w:tcBorders>
            <w:vAlign w:val="center"/>
          </w:tcPr>
          <w:p>
            <w:pPr>
              <w:pStyle w:val="18"/>
            </w:pPr>
            <w:r>
              <w:t>三级指标</w:t>
            </w:r>
          </w:p>
        </w:tc>
        <w:tc>
          <w:tcPr>
            <w:tcW w:w="2835" w:type="dxa"/>
            <w:tcBorders>
              <w:tl2br w:val="nil"/>
              <w:tr2bl w:val="nil"/>
            </w:tcBorders>
            <w:vAlign w:val="center"/>
          </w:tcPr>
          <w:p>
            <w:pPr>
              <w:pStyle w:val="18"/>
            </w:pPr>
            <w:r>
              <w:t>绩效指标描述</w:t>
            </w:r>
          </w:p>
        </w:tc>
        <w:tc>
          <w:tcPr>
            <w:tcW w:w="2551" w:type="dxa"/>
            <w:tcBorders>
              <w:tl2br w:val="nil"/>
              <w:tr2bl w:val="nil"/>
            </w:tcBorders>
            <w:vAlign w:val="center"/>
          </w:tcPr>
          <w:p>
            <w:pPr>
              <w:pStyle w:val="18"/>
            </w:pPr>
            <w:r>
              <w:t>指标值</w:t>
            </w:r>
          </w:p>
        </w:tc>
        <w:tc>
          <w:tcPr>
            <w:tcW w:w="2268" w:type="dxa"/>
            <w:tcBorders>
              <w:tl2br w:val="nil"/>
              <w:tr2bl w:val="nil"/>
            </w:tcBorders>
            <w:vAlign w:val="center"/>
          </w:tcPr>
          <w:p>
            <w:pPr>
              <w:pStyle w:val="18"/>
            </w:pPr>
            <w:r>
              <w:t>指标值确定依据</w:t>
            </w:r>
          </w:p>
        </w:tc>
      </w:tr>
      <w:tr>
        <w:trPr>
          <w:trHeight w:val="567"/>
        </w:trPr>
        <w:tc>
          <w:tcPr>
            <w:tcW w:w="1417" w:type="dxa"/>
            <w:vMerge w:val="restart"/>
            <w:tcBorders>
              <w:tl2br w:val="nil"/>
              <w:tr2bl w:val="nil"/>
            </w:tcBorders>
            <w:vAlign w:val="center"/>
          </w:tcPr>
          <w:p>
            <w:pPr>
              <w:pStyle w:val="21"/>
            </w:pPr>
            <w:r>
              <w:t>产出指标</w:t>
            </w:r>
          </w:p>
        </w:tc>
        <w:tc>
          <w:tcPr>
            <w:tcW w:w="2268" w:type="dxa"/>
            <w:tcBorders>
              <w:tl2br w:val="nil"/>
              <w:tr2bl w:val="nil"/>
            </w:tcBorders>
            <w:vAlign w:val="center"/>
          </w:tcPr>
          <w:p>
            <w:pPr>
              <w:pStyle w:val="20"/>
            </w:pPr>
            <w:r>
              <w:t>数量指标</w:t>
            </w:r>
          </w:p>
        </w:tc>
        <w:tc>
          <w:tcPr>
            <w:tcW w:w="2835" w:type="dxa"/>
            <w:tcBorders>
              <w:tl2br w:val="nil"/>
              <w:tr2bl w:val="nil"/>
            </w:tcBorders>
            <w:vAlign w:val="center"/>
          </w:tcPr>
          <w:p>
            <w:pPr>
              <w:pStyle w:val="20"/>
            </w:pPr>
            <w:r>
              <w:t>政策知晓率</w:t>
            </w:r>
          </w:p>
        </w:tc>
        <w:tc>
          <w:tcPr>
            <w:tcW w:w="2835" w:type="dxa"/>
            <w:tcBorders>
              <w:tl2br w:val="nil"/>
              <w:tr2bl w:val="nil"/>
            </w:tcBorders>
            <w:vAlign w:val="center"/>
          </w:tcPr>
          <w:p>
            <w:pPr>
              <w:pStyle w:val="20"/>
            </w:pPr>
            <w:r>
              <w:t>信访疑难案件补助资金群众知晓比例</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时效指标</w:t>
            </w:r>
          </w:p>
        </w:tc>
        <w:tc>
          <w:tcPr>
            <w:tcW w:w="2835" w:type="dxa"/>
            <w:tcBorders>
              <w:tl2br w:val="nil"/>
              <w:tr2bl w:val="nil"/>
            </w:tcBorders>
            <w:vAlign w:val="center"/>
          </w:tcPr>
          <w:p>
            <w:pPr>
              <w:pStyle w:val="20"/>
            </w:pPr>
            <w:r>
              <w:t>按期答复率</w:t>
            </w:r>
          </w:p>
        </w:tc>
        <w:tc>
          <w:tcPr>
            <w:tcW w:w="2835" w:type="dxa"/>
            <w:tcBorders>
              <w:tl2br w:val="nil"/>
              <w:tr2bl w:val="nil"/>
            </w:tcBorders>
            <w:vAlign w:val="center"/>
          </w:tcPr>
          <w:p>
            <w:pPr>
              <w:pStyle w:val="20"/>
            </w:pPr>
            <w:r>
              <w:t>按期答复的比例</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质量指标</w:t>
            </w:r>
          </w:p>
        </w:tc>
        <w:tc>
          <w:tcPr>
            <w:tcW w:w="2835" w:type="dxa"/>
            <w:tcBorders>
              <w:tl2br w:val="nil"/>
              <w:tr2bl w:val="nil"/>
            </w:tcBorders>
            <w:vAlign w:val="center"/>
          </w:tcPr>
          <w:p>
            <w:pPr>
              <w:pStyle w:val="20"/>
            </w:pPr>
            <w:r>
              <w:t>及时受理率</w:t>
            </w:r>
          </w:p>
        </w:tc>
        <w:tc>
          <w:tcPr>
            <w:tcW w:w="2835" w:type="dxa"/>
            <w:tcBorders>
              <w:tl2br w:val="nil"/>
              <w:tr2bl w:val="nil"/>
            </w:tcBorders>
            <w:vAlign w:val="center"/>
          </w:tcPr>
          <w:p>
            <w:pPr>
              <w:pStyle w:val="20"/>
            </w:pPr>
            <w:r>
              <w:t>及时受理案件比例</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成本指标</w:t>
            </w:r>
          </w:p>
        </w:tc>
        <w:tc>
          <w:tcPr>
            <w:tcW w:w="2835" w:type="dxa"/>
            <w:tcBorders>
              <w:tl2br w:val="nil"/>
              <w:tr2bl w:val="nil"/>
            </w:tcBorders>
            <w:vAlign w:val="center"/>
          </w:tcPr>
          <w:p>
            <w:pPr>
              <w:pStyle w:val="20"/>
            </w:pPr>
            <w:r>
              <w:t>补助资金发放率</w:t>
            </w:r>
          </w:p>
        </w:tc>
        <w:tc>
          <w:tcPr>
            <w:tcW w:w="2835" w:type="dxa"/>
            <w:tcBorders>
              <w:tl2br w:val="nil"/>
              <w:tr2bl w:val="nil"/>
            </w:tcBorders>
            <w:vAlign w:val="center"/>
          </w:tcPr>
          <w:p>
            <w:pPr>
              <w:pStyle w:val="20"/>
            </w:pPr>
            <w:r>
              <w:t>发放补助资金的比例</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vMerge w:val="restart"/>
            <w:tcBorders>
              <w:tl2br w:val="nil"/>
              <w:tr2bl w:val="nil"/>
            </w:tcBorders>
            <w:vAlign w:val="center"/>
          </w:tcPr>
          <w:p>
            <w:pPr>
              <w:pStyle w:val="21"/>
            </w:pPr>
            <w:r>
              <w:t>效益指标</w:t>
            </w: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信访救助率</w:t>
            </w:r>
          </w:p>
        </w:tc>
        <w:tc>
          <w:tcPr>
            <w:tcW w:w="2835" w:type="dxa"/>
            <w:tcBorders>
              <w:tl2br w:val="nil"/>
              <w:tr2bl w:val="nil"/>
            </w:tcBorders>
            <w:vAlign w:val="center"/>
          </w:tcPr>
          <w:p>
            <w:pPr>
              <w:pStyle w:val="20"/>
            </w:pPr>
            <w:r>
              <w:t>已救助人数占应救助人数的比率</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信访息访率</w:t>
            </w:r>
          </w:p>
        </w:tc>
        <w:tc>
          <w:tcPr>
            <w:tcW w:w="2835" w:type="dxa"/>
            <w:tcBorders>
              <w:tl2br w:val="nil"/>
              <w:tr2bl w:val="nil"/>
            </w:tcBorders>
            <w:vAlign w:val="center"/>
          </w:tcPr>
          <w:p>
            <w:pPr>
              <w:pStyle w:val="20"/>
            </w:pPr>
            <w:r>
              <w:t>所救济信访人的息诉罢访数量与总救济信访人数量的比率</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tcBorders>
              <w:tl2br w:val="nil"/>
              <w:tr2bl w:val="nil"/>
            </w:tcBorders>
            <w:vAlign w:val="center"/>
          </w:tcPr>
          <w:p>
            <w:pPr>
              <w:pStyle w:val="21"/>
            </w:pPr>
            <w:r>
              <w:t>满意度指标</w:t>
            </w:r>
          </w:p>
        </w:tc>
        <w:tc>
          <w:tcPr>
            <w:tcW w:w="2268" w:type="dxa"/>
            <w:tcBorders>
              <w:tl2br w:val="nil"/>
              <w:tr2bl w:val="nil"/>
            </w:tcBorders>
            <w:vAlign w:val="center"/>
          </w:tcPr>
          <w:p>
            <w:pPr>
              <w:pStyle w:val="20"/>
            </w:pPr>
            <w:r>
              <w:t>服务对象满意度指标</w:t>
            </w:r>
          </w:p>
        </w:tc>
        <w:tc>
          <w:tcPr>
            <w:tcW w:w="2835" w:type="dxa"/>
            <w:tcBorders>
              <w:tl2br w:val="nil"/>
              <w:tr2bl w:val="nil"/>
            </w:tcBorders>
            <w:vAlign w:val="center"/>
          </w:tcPr>
          <w:p>
            <w:pPr>
              <w:pStyle w:val="20"/>
            </w:pPr>
            <w:r>
              <w:t>群众满意率</w:t>
            </w:r>
          </w:p>
        </w:tc>
        <w:tc>
          <w:tcPr>
            <w:tcW w:w="2835" w:type="dxa"/>
            <w:tcBorders>
              <w:tl2br w:val="nil"/>
              <w:tr2bl w:val="nil"/>
            </w:tcBorders>
            <w:vAlign w:val="center"/>
          </w:tcPr>
          <w:p>
            <w:pPr>
              <w:pStyle w:val="20"/>
            </w:pPr>
            <w:r>
              <w:t>群众对此项工作开展效果的满意度</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bl>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bookmarkStart w:id="1" w:name="_GoBack"/>
      <w:bookmarkEnd w:id="1"/>
    </w:p>
    <w:p>
      <w:pPr>
        <w:spacing w:before="0" w:after="0"/>
        <w:ind w:firstLine="560"/>
        <w:jc w:val="left"/>
        <w:outlineLvl w:val="9"/>
        <w:rPr>
          <w:rFonts w:ascii="方正仿宋_GBK" w:eastAsia="方正仿宋_GBK" w:cs="方正仿宋_GBK" w:hAnsi="方正仿宋_GBK"/>
          <w:b/>
          <w:color w:val="000000"/>
          <w:sz w:val="28"/>
        </w:rPr>
      </w:pPr>
      <w:r>
        <w:rPr>
          <w:rFonts w:ascii="方正仿宋_GBK" w:eastAsia="方正仿宋_GBK" w:cs="方正仿宋_GBK" w:hAnsi="方正仿宋_GBK"/>
          <w:b/>
          <w:color w:val="000000"/>
          <w:sz w:val="28"/>
        </w:rPr>
        <w:t>2、群众工作中心经费绩效目标表</w:t>
      </w:r>
    </w:p>
    <w:p>
      <w:pPr>
        <w:spacing w:before="0" w:after="0"/>
        <w:ind w:firstLine="560"/>
        <w:jc w:val="left"/>
        <w:outlineLvl w:val="9"/>
        <w:rPr>
          <w:rFonts w:ascii="方正仿宋_GBK" w:eastAsia="方正仿宋_GBK" w:cs="方正仿宋_GBK" w:hAnsi="方正仿宋_GBK"/>
          <w:b/>
          <w:color w:val="000000"/>
          <w:sz w:val="28"/>
        </w:rPr>
      </w:pP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865"/>
        </w:trPr>
        <w:tc>
          <w:tcPr>
            <w:tcW w:w="1417" w:type="dxa"/>
            <w:tcBorders>
              <w:bottom w:val="single" w:sz="6" w:space="0" w:color="FFFFFF"/>
              <w:tl2br w:val="nil"/>
              <w:tr2bl w:val="nil"/>
            </w:tcBorders>
            <w:vAlign w:val="center"/>
          </w:tcPr>
          <w:p>
            <w:pPr>
              <w:pStyle w:val="18"/>
            </w:pPr>
            <w:r>
              <w:t>绩效目标</w:t>
            </w:r>
          </w:p>
        </w:tc>
        <w:tc>
          <w:tcPr>
            <w:tcW w:w="12756" w:type="dxa"/>
            <w:tcBorders>
              <w:bottom w:val="single" w:sz="6" w:space="0" w:color="FFFFFF"/>
              <w:tl2br w:val="nil"/>
              <w:tr2bl w:val="nil"/>
            </w:tcBorders>
            <w:vAlign w:val="center"/>
          </w:tcPr>
          <w:p>
            <w:pPr>
              <w:pStyle w:val="20"/>
            </w:pPr>
            <w:r>
              <w:t>1.2023年投入12万元，确保区群众工作中心正常运转，充分发挥律师在维护群众合法权益、化解矛盾、促进社会和谐稳定中的重要作用，集中解决群众问题，把问题解决在县级以下，减少群众越级访，维护全区和谐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679"/>
          <w:tblHeader/>
        </w:trPr>
        <w:tc>
          <w:tcPr>
            <w:tcW w:w="1417" w:type="dxa"/>
            <w:tcBorders>
              <w:tl2br w:val="nil"/>
              <w:tr2bl w:val="nil"/>
            </w:tcBorders>
            <w:vAlign w:val="center"/>
          </w:tcPr>
          <w:p>
            <w:pPr>
              <w:pStyle w:val="18"/>
            </w:pPr>
            <w:r>
              <w:t>一级指标</w:t>
            </w:r>
          </w:p>
        </w:tc>
        <w:tc>
          <w:tcPr>
            <w:tcW w:w="2268" w:type="dxa"/>
            <w:tcBorders>
              <w:tl2br w:val="nil"/>
              <w:tr2bl w:val="nil"/>
            </w:tcBorders>
            <w:vAlign w:val="center"/>
          </w:tcPr>
          <w:p>
            <w:pPr>
              <w:pStyle w:val="18"/>
            </w:pPr>
            <w:r>
              <w:t>二级指标</w:t>
            </w:r>
          </w:p>
        </w:tc>
        <w:tc>
          <w:tcPr>
            <w:tcW w:w="2835" w:type="dxa"/>
            <w:tcBorders>
              <w:tl2br w:val="nil"/>
              <w:tr2bl w:val="nil"/>
            </w:tcBorders>
            <w:vAlign w:val="center"/>
          </w:tcPr>
          <w:p>
            <w:pPr>
              <w:pStyle w:val="18"/>
            </w:pPr>
            <w:r>
              <w:t>三级指标</w:t>
            </w:r>
          </w:p>
        </w:tc>
        <w:tc>
          <w:tcPr>
            <w:tcW w:w="2835" w:type="dxa"/>
            <w:tcBorders>
              <w:tl2br w:val="nil"/>
              <w:tr2bl w:val="nil"/>
            </w:tcBorders>
            <w:vAlign w:val="center"/>
          </w:tcPr>
          <w:p>
            <w:pPr>
              <w:pStyle w:val="18"/>
            </w:pPr>
            <w:r>
              <w:t>绩效指标描述</w:t>
            </w:r>
          </w:p>
        </w:tc>
        <w:tc>
          <w:tcPr>
            <w:tcW w:w="2551" w:type="dxa"/>
            <w:tcBorders>
              <w:tl2br w:val="nil"/>
              <w:tr2bl w:val="nil"/>
            </w:tcBorders>
            <w:vAlign w:val="center"/>
          </w:tcPr>
          <w:p>
            <w:pPr>
              <w:pStyle w:val="18"/>
            </w:pPr>
            <w:r>
              <w:t>指标值</w:t>
            </w:r>
          </w:p>
        </w:tc>
        <w:tc>
          <w:tcPr>
            <w:tcW w:w="2268" w:type="dxa"/>
            <w:tcBorders>
              <w:tl2br w:val="nil"/>
              <w:tr2bl w:val="nil"/>
            </w:tcBorders>
            <w:vAlign w:val="center"/>
          </w:tcPr>
          <w:p>
            <w:pPr>
              <w:pStyle w:val="18"/>
            </w:pPr>
            <w:r>
              <w:t>指标值确定依据</w:t>
            </w:r>
          </w:p>
        </w:tc>
      </w:tr>
      <w:tr>
        <w:trPr>
          <w:trHeight w:val="567"/>
        </w:trPr>
        <w:tc>
          <w:tcPr>
            <w:tcW w:w="1417" w:type="dxa"/>
            <w:vMerge w:val="restart"/>
            <w:tcBorders>
              <w:tl2br w:val="nil"/>
              <w:tr2bl w:val="nil"/>
            </w:tcBorders>
            <w:vAlign w:val="center"/>
          </w:tcPr>
          <w:p>
            <w:pPr>
              <w:pStyle w:val="21"/>
            </w:pPr>
            <w:r>
              <w:t>产出指标</w:t>
            </w:r>
          </w:p>
        </w:tc>
        <w:tc>
          <w:tcPr>
            <w:tcW w:w="2268" w:type="dxa"/>
            <w:tcBorders>
              <w:tl2br w:val="nil"/>
              <w:tr2bl w:val="nil"/>
            </w:tcBorders>
            <w:vAlign w:val="center"/>
          </w:tcPr>
          <w:p>
            <w:pPr>
              <w:pStyle w:val="20"/>
            </w:pPr>
            <w:r>
              <w:t>数量指标</w:t>
            </w:r>
          </w:p>
        </w:tc>
        <w:tc>
          <w:tcPr>
            <w:tcW w:w="2835" w:type="dxa"/>
            <w:tcBorders>
              <w:tl2br w:val="nil"/>
              <w:tr2bl w:val="nil"/>
            </w:tcBorders>
            <w:vAlign w:val="center"/>
          </w:tcPr>
          <w:p>
            <w:pPr>
              <w:pStyle w:val="20"/>
            </w:pPr>
            <w:r>
              <w:t>矛盾纠纷排查率</w:t>
            </w:r>
          </w:p>
        </w:tc>
        <w:tc>
          <w:tcPr>
            <w:tcW w:w="2835" w:type="dxa"/>
            <w:tcBorders>
              <w:tl2br w:val="nil"/>
              <w:tr2bl w:val="nil"/>
            </w:tcBorders>
            <w:vAlign w:val="center"/>
          </w:tcPr>
          <w:p>
            <w:pPr>
              <w:pStyle w:val="20"/>
            </w:pPr>
            <w:r>
              <w:t>矛盾纠纷排查数量与矛盾纠纷总量的比率</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质量指标</w:t>
            </w:r>
          </w:p>
        </w:tc>
        <w:tc>
          <w:tcPr>
            <w:tcW w:w="2835" w:type="dxa"/>
            <w:tcBorders>
              <w:tl2br w:val="nil"/>
              <w:tr2bl w:val="nil"/>
            </w:tcBorders>
            <w:vAlign w:val="center"/>
          </w:tcPr>
          <w:p>
            <w:pPr>
              <w:pStyle w:val="20"/>
            </w:pPr>
            <w:r>
              <w:t>矛盾纠纷依法转处率</w:t>
            </w:r>
          </w:p>
        </w:tc>
        <w:tc>
          <w:tcPr>
            <w:tcW w:w="2835" w:type="dxa"/>
            <w:tcBorders>
              <w:tl2br w:val="nil"/>
              <w:tr2bl w:val="nil"/>
            </w:tcBorders>
            <w:vAlign w:val="center"/>
          </w:tcPr>
          <w:p>
            <w:pPr>
              <w:pStyle w:val="20"/>
            </w:pPr>
            <w:r>
              <w:t>转处矛盾纠纷的比例</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时效指标</w:t>
            </w:r>
          </w:p>
        </w:tc>
        <w:tc>
          <w:tcPr>
            <w:tcW w:w="2835" w:type="dxa"/>
            <w:tcBorders>
              <w:tl2br w:val="nil"/>
              <w:tr2bl w:val="nil"/>
            </w:tcBorders>
            <w:vAlign w:val="center"/>
          </w:tcPr>
          <w:p>
            <w:pPr>
              <w:pStyle w:val="20"/>
            </w:pPr>
            <w:r>
              <w:t>及时受理率</w:t>
            </w:r>
          </w:p>
        </w:tc>
        <w:tc>
          <w:tcPr>
            <w:tcW w:w="2835" w:type="dxa"/>
            <w:tcBorders>
              <w:tl2br w:val="nil"/>
              <w:tr2bl w:val="nil"/>
            </w:tcBorders>
            <w:vAlign w:val="center"/>
          </w:tcPr>
          <w:p>
            <w:pPr>
              <w:pStyle w:val="20"/>
            </w:pPr>
            <w:r>
              <w:t>及时受理案件比例</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成本指标</w:t>
            </w:r>
          </w:p>
        </w:tc>
        <w:tc>
          <w:tcPr>
            <w:tcW w:w="2835" w:type="dxa"/>
            <w:tcBorders>
              <w:tl2br w:val="nil"/>
              <w:tr2bl w:val="nil"/>
            </w:tcBorders>
            <w:vAlign w:val="center"/>
          </w:tcPr>
          <w:p>
            <w:pPr>
              <w:pStyle w:val="20"/>
            </w:pPr>
            <w:r>
              <w:t>资金支出进度</w:t>
            </w:r>
          </w:p>
        </w:tc>
        <w:tc>
          <w:tcPr>
            <w:tcW w:w="2835" w:type="dxa"/>
            <w:tcBorders>
              <w:tl2br w:val="nil"/>
              <w:tr2bl w:val="nil"/>
            </w:tcBorders>
            <w:vAlign w:val="center"/>
          </w:tcPr>
          <w:p>
            <w:pPr>
              <w:pStyle w:val="20"/>
            </w:pPr>
            <w:r>
              <w:t>资金支出进度占计划进度的比率</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tcBorders>
              <w:tl2br w:val="nil"/>
              <w:tr2bl w:val="nil"/>
            </w:tcBorders>
            <w:vAlign w:val="center"/>
          </w:tcPr>
          <w:p>
            <w:pPr>
              <w:pStyle w:val="21"/>
            </w:pPr>
            <w:r>
              <w:t>效益指标</w:t>
            </w: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矛盾纠纷化解率</w:t>
            </w:r>
          </w:p>
        </w:tc>
        <w:tc>
          <w:tcPr>
            <w:tcW w:w="2835" w:type="dxa"/>
            <w:tcBorders>
              <w:tl2br w:val="nil"/>
              <w:tr2bl w:val="nil"/>
            </w:tcBorders>
            <w:vAlign w:val="center"/>
          </w:tcPr>
          <w:p>
            <w:pPr>
              <w:pStyle w:val="20"/>
            </w:pPr>
            <w:r>
              <w:t>矛盾纠纷化解数量与矛盾纠纷总数量的比率</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tcBorders>
              <w:tl2br w:val="nil"/>
              <w:tr2bl w:val="nil"/>
            </w:tcBorders>
            <w:vAlign w:val="center"/>
          </w:tcPr>
          <w:p>
            <w:pPr>
              <w:pStyle w:val="21"/>
            </w:pPr>
            <w:r>
              <w:t>满意度指标</w:t>
            </w:r>
          </w:p>
        </w:tc>
        <w:tc>
          <w:tcPr>
            <w:tcW w:w="2268" w:type="dxa"/>
            <w:tcBorders>
              <w:tl2br w:val="nil"/>
              <w:tr2bl w:val="nil"/>
            </w:tcBorders>
            <w:vAlign w:val="center"/>
          </w:tcPr>
          <w:p>
            <w:pPr>
              <w:pStyle w:val="20"/>
            </w:pPr>
            <w:r>
              <w:t>服务对象满意度指标</w:t>
            </w:r>
          </w:p>
        </w:tc>
        <w:tc>
          <w:tcPr>
            <w:tcW w:w="2835" w:type="dxa"/>
            <w:tcBorders>
              <w:tl2br w:val="nil"/>
              <w:tr2bl w:val="nil"/>
            </w:tcBorders>
            <w:vAlign w:val="center"/>
          </w:tcPr>
          <w:p>
            <w:pPr>
              <w:pStyle w:val="20"/>
            </w:pPr>
            <w:r>
              <w:t>群众满意率</w:t>
            </w:r>
          </w:p>
        </w:tc>
        <w:tc>
          <w:tcPr>
            <w:tcW w:w="2835" w:type="dxa"/>
            <w:tcBorders>
              <w:tl2br w:val="nil"/>
              <w:tr2bl w:val="nil"/>
            </w:tcBorders>
            <w:vAlign w:val="center"/>
          </w:tcPr>
          <w:p>
            <w:pPr>
              <w:pStyle w:val="20"/>
            </w:pPr>
            <w:r>
              <w:t>群众对此项工作开展效果的满意度</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bl>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r>
        <w:rPr>
          <w:rFonts w:ascii="方正仿宋_GBK" w:eastAsia="方正仿宋_GBK" w:cs="方正仿宋_GBK" w:hAnsi="方正仿宋_GBK"/>
          <w:b/>
          <w:color w:val="000000"/>
          <w:sz w:val="28"/>
        </w:rPr>
        <w:t>3、信访工作岗位经费（劳务费）绩效目标表</w:t>
      </w:r>
    </w:p>
    <w:p>
      <w:pPr>
        <w:spacing w:before="0" w:after="0"/>
        <w:ind w:firstLine="560"/>
        <w:jc w:val="left"/>
        <w:outlineLvl w:val="9"/>
      </w:pP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865"/>
        </w:trPr>
        <w:tc>
          <w:tcPr>
            <w:tcW w:w="1417" w:type="dxa"/>
            <w:tcBorders>
              <w:bottom w:val="single" w:sz="6" w:space="0" w:color="FFFFFF"/>
              <w:tl2br w:val="nil"/>
              <w:tr2bl w:val="nil"/>
            </w:tcBorders>
            <w:vAlign w:val="center"/>
          </w:tcPr>
          <w:p>
            <w:pPr>
              <w:pStyle w:val="18"/>
            </w:pPr>
            <w:r>
              <w:t>绩效目标</w:t>
            </w:r>
          </w:p>
        </w:tc>
        <w:tc>
          <w:tcPr>
            <w:tcW w:w="12756" w:type="dxa"/>
            <w:tcBorders>
              <w:bottom w:val="single" w:sz="6" w:space="0" w:color="FFFFFF"/>
              <w:tl2br w:val="nil"/>
              <w:tr2bl w:val="nil"/>
            </w:tcBorders>
            <w:vAlign w:val="center"/>
          </w:tcPr>
          <w:p>
            <w:pPr>
              <w:pStyle w:val="20"/>
            </w:pPr>
            <w:r>
              <w:t>1.我单位实有在岗劳务派遣人员15人，每月及时发放工资、缴纳社保缴费，保证该类人员工资待遇。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679"/>
          <w:tblHeader/>
        </w:trPr>
        <w:tc>
          <w:tcPr>
            <w:tcW w:w="1417" w:type="dxa"/>
            <w:tcBorders>
              <w:tl2br w:val="nil"/>
              <w:tr2bl w:val="nil"/>
            </w:tcBorders>
            <w:vAlign w:val="center"/>
          </w:tcPr>
          <w:p>
            <w:pPr>
              <w:pStyle w:val="18"/>
            </w:pPr>
            <w:r>
              <w:t>一级指标</w:t>
            </w:r>
          </w:p>
        </w:tc>
        <w:tc>
          <w:tcPr>
            <w:tcW w:w="2268" w:type="dxa"/>
            <w:tcBorders>
              <w:tl2br w:val="nil"/>
              <w:tr2bl w:val="nil"/>
            </w:tcBorders>
            <w:vAlign w:val="center"/>
          </w:tcPr>
          <w:p>
            <w:pPr>
              <w:pStyle w:val="18"/>
            </w:pPr>
            <w:r>
              <w:t>二级指标</w:t>
            </w:r>
          </w:p>
        </w:tc>
        <w:tc>
          <w:tcPr>
            <w:tcW w:w="2835" w:type="dxa"/>
            <w:tcBorders>
              <w:tl2br w:val="nil"/>
              <w:tr2bl w:val="nil"/>
            </w:tcBorders>
            <w:vAlign w:val="center"/>
          </w:tcPr>
          <w:p>
            <w:pPr>
              <w:pStyle w:val="18"/>
            </w:pPr>
            <w:r>
              <w:t>三级指标</w:t>
            </w:r>
          </w:p>
        </w:tc>
        <w:tc>
          <w:tcPr>
            <w:tcW w:w="2835" w:type="dxa"/>
            <w:tcBorders>
              <w:tl2br w:val="nil"/>
              <w:tr2bl w:val="nil"/>
            </w:tcBorders>
            <w:vAlign w:val="center"/>
          </w:tcPr>
          <w:p>
            <w:pPr>
              <w:pStyle w:val="18"/>
            </w:pPr>
            <w:r>
              <w:t>绩效指标描述</w:t>
            </w:r>
          </w:p>
        </w:tc>
        <w:tc>
          <w:tcPr>
            <w:tcW w:w="2551" w:type="dxa"/>
            <w:tcBorders>
              <w:tl2br w:val="nil"/>
              <w:tr2bl w:val="nil"/>
            </w:tcBorders>
            <w:vAlign w:val="center"/>
          </w:tcPr>
          <w:p>
            <w:pPr>
              <w:pStyle w:val="18"/>
            </w:pPr>
            <w:r>
              <w:t>指标值</w:t>
            </w:r>
          </w:p>
        </w:tc>
        <w:tc>
          <w:tcPr>
            <w:tcW w:w="2268" w:type="dxa"/>
            <w:tcBorders>
              <w:tl2br w:val="nil"/>
              <w:tr2bl w:val="nil"/>
            </w:tcBorders>
            <w:vAlign w:val="center"/>
          </w:tcPr>
          <w:p>
            <w:pPr>
              <w:pStyle w:val="18"/>
            </w:pPr>
            <w:r>
              <w:t>指标值确定依据</w:t>
            </w:r>
          </w:p>
        </w:tc>
      </w:tr>
      <w:tr>
        <w:trPr>
          <w:trHeight w:val="567"/>
        </w:trPr>
        <w:tc>
          <w:tcPr>
            <w:tcW w:w="1417" w:type="dxa"/>
            <w:vMerge w:val="restart"/>
            <w:tcBorders>
              <w:tl2br w:val="nil"/>
              <w:tr2bl w:val="nil"/>
            </w:tcBorders>
            <w:vAlign w:val="center"/>
          </w:tcPr>
          <w:p>
            <w:pPr>
              <w:pStyle w:val="21"/>
            </w:pPr>
            <w:r>
              <w:t>产出指标</w:t>
            </w:r>
          </w:p>
        </w:tc>
        <w:tc>
          <w:tcPr>
            <w:tcW w:w="2268" w:type="dxa"/>
            <w:tcBorders>
              <w:tl2br w:val="nil"/>
              <w:tr2bl w:val="nil"/>
            </w:tcBorders>
            <w:vAlign w:val="center"/>
          </w:tcPr>
          <w:p>
            <w:pPr>
              <w:pStyle w:val="20"/>
            </w:pPr>
            <w:r>
              <w:t>数量指标</w:t>
            </w:r>
          </w:p>
        </w:tc>
        <w:tc>
          <w:tcPr>
            <w:tcW w:w="2835" w:type="dxa"/>
            <w:tcBorders>
              <w:tl2br w:val="nil"/>
              <w:tr2bl w:val="nil"/>
            </w:tcBorders>
            <w:vAlign w:val="center"/>
          </w:tcPr>
          <w:p>
            <w:pPr>
              <w:pStyle w:val="20"/>
            </w:pPr>
            <w:r>
              <w:t>劳务派遣人员数量</w:t>
            </w:r>
          </w:p>
        </w:tc>
        <w:tc>
          <w:tcPr>
            <w:tcW w:w="2835" w:type="dxa"/>
            <w:tcBorders>
              <w:tl2br w:val="nil"/>
              <w:tr2bl w:val="nil"/>
            </w:tcBorders>
            <w:vAlign w:val="center"/>
          </w:tcPr>
          <w:p>
            <w:pPr>
              <w:pStyle w:val="20"/>
            </w:pPr>
            <w:r>
              <w:t>聘用的劳务派遣人数</w:t>
            </w:r>
          </w:p>
        </w:tc>
        <w:tc>
          <w:tcPr>
            <w:tcW w:w="2551" w:type="dxa"/>
            <w:tcBorders>
              <w:tl2br w:val="nil"/>
              <w:tr2bl w:val="nil"/>
            </w:tcBorders>
            <w:vAlign w:val="center"/>
          </w:tcPr>
          <w:p>
            <w:pPr>
              <w:pStyle w:val="20"/>
            </w:pPr>
            <w:r>
              <w:t>≥12人</w:t>
            </w:r>
          </w:p>
        </w:tc>
        <w:tc>
          <w:tcPr>
            <w:tcW w:w="2268" w:type="dxa"/>
            <w:tcBorders>
              <w:tl2br w:val="nil"/>
              <w:tr2bl w:val="nil"/>
            </w:tcBorders>
            <w:vAlign w:val="center"/>
          </w:tcPr>
          <w:p>
            <w:pPr>
              <w:pStyle w:val="20"/>
            </w:pPr>
            <w:r>
              <w:t>聘用合同</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成本指标</w:t>
            </w:r>
          </w:p>
        </w:tc>
        <w:tc>
          <w:tcPr>
            <w:tcW w:w="2835" w:type="dxa"/>
            <w:tcBorders>
              <w:tl2br w:val="nil"/>
              <w:tr2bl w:val="nil"/>
            </w:tcBorders>
            <w:vAlign w:val="center"/>
          </w:tcPr>
          <w:p>
            <w:pPr>
              <w:pStyle w:val="20"/>
            </w:pPr>
            <w:r>
              <w:t>预算资金成本</w:t>
            </w:r>
          </w:p>
        </w:tc>
        <w:tc>
          <w:tcPr>
            <w:tcW w:w="2835" w:type="dxa"/>
            <w:tcBorders>
              <w:tl2br w:val="nil"/>
              <w:tr2bl w:val="nil"/>
            </w:tcBorders>
            <w:vAlign w:val="center"/>
          </w:tcPr>
          <w:p>
            <w:pPr>
              <w:pStyle w:val="20"/>
            </w:pPr>
            <w:r>
              <w:t>预算资金成本</w:t>
            </w:r>
          </w:p>
        </w:tc>
        <w:tc>
          <w:tcPr>
            <w:tcW w:w="2551" w:type="dxa"/>
            <w:tcBorders>
              <w:tl2br w:val="nil"/>
              <w:tr2bl w:val="nil"/>
            </w:tcBorders>
            <w:vAlign w:val="center"/>
          </w:tcPr>
          <w:p>
            <w:pPr>
              <w:pStyle w:val="20"/>
            </w:pPr>
            <w:r>
              <w:t>≤77万元</w:t>
            </w:r>
          </w:p>
        </w:tc>
        <w:tc>
          <w:tcPr>
            <w:tcW w:w="2268" w:type="dxa"/>
            <w:tcBorders>
              <w:tl2br w:val="nil"/>
              <w:tr2bl w:val="nil"/>
            </w:tcBorders>
            <w:vAlign w:val="center"/>
          </w:tcPr>
          <w:p>
            <w:pPr>
              <w:pStyle w:val="20"/>
            </w:pPr>
            <w:r>
              <w:t>预算资金支出情况</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时效指标</w:t>
            </w:r>
          </w:p>
        </w:tc>
        <w:tc>
          <w:tcPr>
            <w:tcW w:w="2835" w:type="dxa"/>
            <w:tcBorders>
              <w:tl2br w:val="nil"/>
              <w:tr2bl w:val="nil"/>
            </w:tcBorders>
            <w:vAlign w:val="center"/>
          </w:tcPr>
          <w:p>
            <w:pPr>
              <w:pStyle w:val="20"/>
            </w:pPr>
            <w:r>
              <w:t>工资发放及时率</w:t>
            </w:r>
          </w:p>
        </w:tc>
        <w:tc>
          <w:tcPr>
            <w:tcW w:w="2835" w:type="dxa"/>
            <w:tcBorders>
              <w:tl2br w:val="nil"/>
              <w:tr2bl w:val="nil"/>
            </w:tcBorders>
            <w:vAlign w:val="center"/>
          </w:tcPr>
          <w:p>
            <w:pPr>
              <w:pStyle w:val="20"/>
            </w:pPr>
            <w:r>
              <w:t>工资发放的及时程度</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工资发放情况</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质量指标</w:t>
            </w:r>
          </w:p>
        </w:tc>
        <w:tc>
          <w:tcPr>
            <w:tcW w:w="2835" w:type="dxa"/>
            <w:tcBorders>
              <w:tl2br w:val="nil"/>
              <w:tr2bl w:val="nil"/>
            </w:tcBorders>
            <w:vAlign w:val="center"/>
          </w:tcPr>
          <w:p>
            <w:pPr>
              <w:pStyle w:val="20"/>
            </w:pPr>
            <w:r>
              <w:t>工资发放准确率</w:t>
            </w:r>
          </w:p>
        </w:tc>
        <w:tc>
          <w:tcPr>
            <w:tcW w:w="2835" w:type="dxa"/>
            <w:tcBorders>
              <w:tl2br w:val="nil"/>
              <w:tr2bl w:val="nil"/>
            </w:tcBorders>
            <w:vAlign w:val="center"/>
          </w:tcPr>
          <w:p>
            <w:pPr>
              <w:pStyle w:val="20"/>
            </w:pPr>
            <w:r>
              <w:t>工资发放的准确程度</w:t>
            </w:r>
          </w:p>
        </w:tc>
        <w:tc>
          <w:tcPr>
            <w:tcW w:w="2551" w:type="dxa"/>
            <w:tcBorders>
              <w:tl2br w:val="nil"/>
              <w:tr2bl w:val="nil"/>
            </w:tcBorders>
            <w:vAlign w:val="center"/>
          </w:tcPr>
          <w:p>
            <w:pPr>
              <w:pStyle w:val="20"/>
            </w:pPr>
            <w:r>
              <w:t>100%</w:t>
            </w:r>
          </w:p>
        </w:tc>
        <w:tc>
          <w:tcPr>
            <w:tcW w:w="2268" w:type="dxa"/>
            <w:tcBorders>
              <w:tl2br w:val="nil"/>
              <w:tr2bl w:val="nil"/>
            </w:tcBorders>
            <w:vAlign w:val="center"/>
          </w:tcPr>
          <w:p>
            <w:pPr>
              <w:pStyle w:val="20"/>
            </w:pPr>
            <w:r>
              <w:t>工资发放情况</w:t>
            </w:r>
          </w:p>
        </w:tc>
      </w:tr>
      <w:tr>
        <w:trPr>
          <w:trHeight w:val="567"/>
        </w:trPr>
        <w:tc>
          <w:tcPr>
            <w:tcW w:w="1417" w:type="dxa"/>
            <w:vMerge w:val="restart"/>
            <w:tcBorders>
              <w:tl2br w:val="nil"/>
              <w:tr2bl w:val="nil"/>
            </w:tcBorders>
            <w:vAlign w:val="center"/>
          </w:tcPr>
          <w:p>
            <w:pPr>
              <w:pStyle w:val="21"/>
            </w:pPr>
            <w:r>
              <w:t>效益指标</w:t>
            </w: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项目良性运行率</w:t>
            </w:r>
          </w:p>
        </w:tc>
        <w:tc>
          <w:tcPr>
            <w:tcW w:w="2835" w:type="dxa"/>
            <w:tcBorders>
              <w:tl2br w:val="nil"/>
              <w:tr2bl w:val="nil"/>
            </w:tcBorders>
            <w:vAlign w:val="center"/>
          </w:tcPr>
          <w:p>
            <w:pPr>
              <w:pStyle w:val="20"/>
            </w:pPr>
            <w:r>
              <w:t>项目良性运行的比率</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单位运转情况</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工作完成率</w:t>
            </w:r>
          </w:p>
        </w:tc>
        <w:tc>
          <w:tcPr>
            <w:tcW w:w="2835" w:type="dxa"/>
            <w:tcBorders>
              <w:tl2br w:val="nil"/>
              <w:tr2bl w:val="nil"/>
            </w:tcBorders>
            <w:vAlign w:val="center"/>
          </w:tcPr>
          <w:p>
            <w:pPr>
              <w:pStyle w:val="20"/>
            </w:pPr>
            <w:r>
              <w:t>日常工作任务完成的比率</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单位运转情况</w:t>
            </w:r>
          </w:p>
        </w:tc>
      </w:tr>
      <w:tr>
        <w:trPr>
          <w:trHeight w:val="567"/>
        </w:trPr>
        <w:tc>
          <w:tcPr>
            <w:tcW w:w="1417" w:type="dxa"/>
            <w:tcBorders>
              <w:tl2br w:val="nil"/>
              <w:tr2bl w:val="nil"/>
            </w:tcBorders>
            <w:vAlign w:val="center"/>
          </w:tcPr>
          <w:p>
            <w:pPr>
              <w:pStyle w:val="21"/>
            </w:pPr>
            <w:r>
              <w:t>满意度指标</w:t>
            </w:r>
          </w:p>
        </w:tc>
        <w:tc>
          <w:tcPr>
            <w:tcW w:w="2268" w:type="dxa"/>
            <w:tcBorders>
              <w:tl2br w:val="nil"/>
              <w:tr2bl w:val="nil"/>
            </w:tcBorders>
            <w:vAlign w:val="center"/>
          </w:tcPr>
          <w:p>
            <w:pPr>
              <w:pStyle w:val="20"/>
            </w:pPr>
            <w:r>
              <w:t>服务对象满意度指标</w:t>
            </w:r>
          </w:p>
        </w:tc>
        <w:tc>
          <w:tcPr>
            <w:tcW w:w="2835" w:type="dxa"/>
            <w:tcBorders>
              <w:tl2br w:val="nil"/>
              <w:tr2bl w:val="nil"/>
            </w:tcBorders>
            <w:vAlign w:val="center"/>
          </w:tcPr>
          <w:p>
            <w:pPr>
              <w:pStyle w:val="20"/>
            </w:pPr>
            <w:r>
              <w:t>劳务派遣人员满意度</w:t>
            </w:r>
          </w:p>
        </w:tc>
        <w:tc>
          <w:tcPr>
            <w:tcW w:w="2835" w:type="dxa"/>
            <w:tcBorders>
              <w:tl2br w:val="nil"/>
              <w:tr2bl w:val="nil"/>
            </w:tcBorders>
            <w:vAlign w:val="center"/>
          </w:tcPr>
          <w:p>
            <w:pPr>
              <w:pStyle w:val="20"/>
            </w:pPr>
            <w:r>
              <w:t>劳务派遣人员对工资待遇的满意度</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调查问卷</w:t>
            </w:r>
          </w:p>
        </w:tc>
      </w:tr>
    </w:tbl>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p>
    <w:p>
      <w:pPr>
        <w:spacing w:before="0" w:after="0"/>
        <w:ind w:firstLine="560"/>
        <w:jc w:val="left"/>
        <w:outlineLvl w:val="9"/>
        <w:rPr>
          <w:rFonts w:ascii="方正仿宋_GBK" w:eastAsia="方正仿宋_GBK" w:cs="方正仿宋_GBK" w:hAnsi="方正仿宋_GBK"/>
          <w:b/>
          <w:color w:val="000000"/>
          <w:sz w:val="28"/>
        </w:rPr>
      </w:pPr>
      <w:r>
        <w:rPr>
          <w:rFonts w:ascii="方正仿宋_GBK" w:eastAsia="方正仿宋_GBK" w:cs="方正仿宋_GBK" w:hAnsi="方正仿宋_GBK"/>
          <w:b/>
          <w:color w:val="000000"/>
          <w:sz w:val="28"/>
        </w:rPr>
        <w:t>4、信访维稳工作经费绩效目标表</w:t>
      </w:r>
    </w:p>
    <w:p>
      <w:pPr>
        <w:spacing w:before="0" w:after="0"/>
        <w:ind w:firstLine="560"/>
        <w:jc w:val="left"/>
        <w:outlineLvl w:val="9"/>
        <w:rPr>
          <w:rFonts w:ascii="方正仿宋_GBK" w:eastAsia="方正仿宋_GBK" w:cs="方正仿宋_GBK" w:hAnsi="方正仿宋_GBK"/>
          <w:b/>
          <w:color w:val="000000"/>
          <w:sz w:val="28"/>
        </w:rPr>
      </w:pP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865"/>
        </w:trPr>
        <w:tc>
          <w:tcPr>
            <w:tcW w:w="1417" w:type="dxa"/>
            <w:tcBorders>
              <w:bottom w:val="single" w:sz="6" w:space="0" w:color="FFFFFF"/>
              <w:tl2br w:val="nil"/>
              <w:tr2bl w:val="nil"/>
            </w:tcBorders>
            <w:vAlign w:val="center"/>
          </w:tcPr>
          <w:p>
            <w:pPr>
              <w:pStyle w:val="18"/>
            </w:pPr>
            <w:r>
              <w:t>绩效目标</w:t>
            </w:r>
          </w:p>
        </w:tc>
        <w:tc>
          <w:tcPr>
            <w:tcW w:w="12756" w:type="dxa"/>
            <w:tcBorders>
              <w:bottom w:val="single" w:sz="6" w:space="0" w:color="FFFFFF"/>
              <w:tl2br w:val="nil"/>
              <w:tr2bl w:val="nil"/>
            </w:tcBorders>
            <w:vAlign w:val="center"/>
          </w:tcPr>
          <w:p>
            <w:pPr>
              <w:pStyle w:val="20"/>
            </w:pPr>
            <w:r>
              <w:t>1.2023年投入81万元，用于长期驻京、赴省值班，暑假北戴河值班，日常安保任务及重大节日、敏感期期间增派值班力量，劝返、应急处置、信息沟通和协调联动等工作，维护社会稳定。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679"/>
          <w:tblHeader/>
        </w:trPr>
        <w:tc>
          <w:tcPr>
            <w:tcW w:w="1417" w:type="dxa"/>
            <w:tcBorders>
              <w:tl2br w:val="nil"/>
              <w:tr2bl w:val="nil"/>
            </w:tcBorders>
            <w:vAlign w:val="center"/>
          </w:tcPr>
          <w:p>
            <w:pPr>
              <w:pStyle w:val="18"/>
            </w:pPr>
            <w:r>
              <w:t>一级指标</w:t>
            </w:r>
          </w:p>
        </w:tc>
        <w:tc>
          <w:tcPr>
            <w:tcW w:w="2268" w:type="dxa"/>
            <w:tcBorders>
              <w:tl2br w:val="nil"/>
              <w:tr2bl w:val="nil"/>
            </w:tcBorders>
            <w:vAlign w:val="center"/>
          </w:tcPr>
          <w:p>
            <w:pPr>
              <w:pStyle w:val="18"/>
            </w:pPr>
            <w:r>
              <w:t>二级指标</w:t>
            </w:r>
          </w:p>
        </w:tc>
        <w:tc>
          <w:tcPr>
            <w:tcW w:w="2835" w:type="dxa"/>
            <w:tcBorders>
              <w:tl2br w:val="nil"/>
              <w:tr2bl w:val="nil"/>
            </w:tcBorders>
            <w:vAlign w:val="center"/>
          </w:tcPr>
          <w:p>
            <w:pPr>
              <w:pStyle w:val="18"/>
            </w:pPr>
            <w:r>
              <w:t>三级指标</w:t>
            </w:r>
          </w:p>
        </w:tc>
        <w:tc>
          <w:tcPr>
            <w:tcW w:w="2835" w:type="dxa"/>
            <w:tcBorders>
              <w:tl2br w:val="nil"/>
              <w:tr2bl w:val="nil"/>
            </w:tcBorders>
            <w:vAlign w:val="center"/>
          </w:tcPr>
          <w:p>
            <w:pPr>
              <w:pStyle w:val="18"/>
            </w:pPr>
            <w:r>
              <w:t>绩效指标描述</w:t>
            </w:r>
          </w:p>
        </w:tc>
        <w:tc>
          <w:tcPr>
            <w:tcW w:w="2551" w:type="dxa"/>
            <w:tcBorders>
              <w:tl2br w:val="nil"/>
              <w:tr2bl w:val="nil"/>
            </w:tcBorders>
            <w:vAlign w:val="center"/>
          </w:tcPr>
          <w:p>
            <w:pPr>
              <w:pStyle w:val="18"/>
            </w:pPr>
            <w:r>
              <w:t>指标值</w:t>
            </w:r>
          </w:p>
        </w:tc>
        <w:tc>
          <w:tcPr>
            <w:tcW w:w="2268" w:type="dxa"/>
            <w:tcBorders>
              <w:tl2br w:val="nil"/>
              <w:tr2bl w:val="nil"/>
            </w:tcBorders>
            <w:vAlign w:val="center"/>
          </w:tcPr>
          <w:p>
            <w:pPr>
              <w:pStyle w:val="18"/>
            </w:pPr>
            <w:r>
              <w:t>指标值确定依据</w:t>
            </w:r>
          </w:p>
        </w:tc>
      </w:tr>
      <w:tr>
        <w:trPr>
          <w:trHeight w:val="567"/>
        </w:trPr>
        <w:tc>
          <w:tcPr>
            <w:tcW w:w="1417" w:type="dxa"/>
            <w:vMerge w:val="restart"/>
            <w:tcBorders>
              <w:tl2br w:val="nil"/>
              <w:tr2bl w:val="nil"/>
            </w:tcBorders>
            <w:vAlign w:val="center"/>
          </w:tcPr>
          <w:p>
            <w:pPr>
              <w:pStyle w:val="21"/>
            </w:pPr>
            <w:r>
              <w:t>产出指标</w:t>
            </w:r>
          </w:p>
        </w:tc>
        <w:tc>
          <w:tcPr>
            <w:tcW w:w="2268" w:type="dxa"/>
            <w:tcBorders>
              <w:tl2br w:val="nil"/>
              <w:tr2bl w:val="nil"/>
            </w:tcBorders>
            <w:vAlign w:val="center"/>
          </w:tcPr>
          <w:p>
            <w:pPr>
              <w:pStyle w:val="20"/>
            </w:pPr>
            <w:r>
              <w:t>数量指标</w:t>
            </w:r>
          </w:p>
        </w:tc>
        <w:tc>
          <w:tcPr>
            <w:tcW w:w="2835" w:type="dxa"/>
            <w:tcBorders>
              <w:tl2br w:val="nil"/>
              <w:tr2bl w:val="nil"/>
            </w:tcBorders>
            <w:vAlign w:val="center"/>
          </w:tcPr>
          <w:p>
            <w:pPr>
              <w:pStyle w:val="20"/>
            </w:pPr>
            <w:r>
              <w:t>不稳定群体或人员受理率</w:t>
            </w:r>
          </w:p>
        </w:tc>
        <w:tc>
          <w:tcPr>
            <w:tcW w:w="2835" w:type="dxa"/>
            <w:tcBorders>
              <w:tl2br w:val="nil"/>
              <w:tr2bl w:val="nil"/>
            </w:tcBorders>
            <w:vAlign w:val="center"/>
          </w:tcPr>
          <w:p>
            <w:pPr>
              <w:pStyle w:val="20"/>
            </w:pPr>
            <w:r>
              <w:t>受理矛盾纠纷的比例</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质量指标</w:t>
            </w:r>
          </w:p>
        </w:tc>
        <w:tc>
          <w:tcPr>
            <w:tcW w:w="2835" w:type="dxa"/>
            <w:tcBorders>
              <w:tl2br w:val="nil"/>
              <w:tr2bl w:val="nil"/>
            </w:tcBorders>
            <w:vAlign w:val="center"/>
          </w:tcPr>
          <w:p>
            <w:pPr>
              <w:pStyle w:val="20"/>
            </w:pPr>
            <w:r>
              <w:t>不稳定群体调解率</w:t>
            </w:r>
          </w:p>
        </w:tc>
        <w:tc>
          <w:tcPr>
            <w:tcW w:w="2835" w:type="dxa"/>
            <w:tcBorders>
              <w:tl2br w:val="nil"/>
              <w:tr2bl w:val="nil"/>
            </w:tcBorders>
            <w:vAlign w:val="center"/>
          </w:tcPr>
          <w:p>
            <w:pPr>
              <w:pStyle w:val="20"/>
            </w:pPr>
            <w:r>
              <w:t>已调解的数量占全部不稳定群体的比率</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时效指标</w:t>
            </w:r>
          </w:p>
        </w:tc>
        <w:tc>
          <w:tcPr>
            <w:tcW w:w="2835" w:type="dxa"/>
            <w:tcBorders>
              <w:tl2br w:val="nil"/>
              <w:tr2bl w:val="nil"/>
            </w:tcBorders>
            <w:vAlign w:val="center"/>
          </w:tcPr>
          <w:p>
            <w:pPr>
              <w:pStyle w:val="20"/>
            </w:pPr>
            <w:r>
              <w:t>突发问题应急处置率</w:t>
            </w:r>
          </w:p>
        </w:tc>
        <w:tc>
          <w:tcPr>
            <w:tcW w:w="2835" w:type="dxa"/>
            <w:tcBorders>
              <w:tl2br w:val="nil"/>
              <w:tr2bl w:val="nil"/>
            </w:tcBorders>
            <w:vAlign w:val="center"/>
          </w:tcPr>
          <w:p>
            <w:pPr>
              <w:pStyle w:val="20"/>
            </w:pPr>
            <w:r>
              <w:t>突发问题应急处置数量占全部突发问题总量的比率</w:t>
            </w:r>
          </w:p>
        </w:tc>
        <w:tc>
          <w:tcPr>
            <w:tcW w:w="2551" w:type="dxa"/>
            <w:tcBorders>
              <w:tl2br w:val="nil"/>
              <w:tr2bl w:val="nil"/>
            </w:tcBorders>
            <w:vAlign w:val="center"/>
          </w:tcPr>
          <w:p>
            <w:pPr>
              <w:pStyle w:val="20"/>
            </w:pPr>
            <w:r>
              <w:t>≥90%</w:t>
            </w:r>
          </w:p>
        </w:tc>
        <w:tc>
          <w:tcPr>
            <w:tcW w:w="2268" w:type="dxa"/>
            <w:tcBorders>
              <w:tl2br w:val="nil"/>
              <w:tr2bl w:val="nil"/>
            </w:tcBorders>
            <w:vAlign w:val="center"/>
          </w:tcPr>
          <w:p>
            <w:pPr>
              <w:pStyle w:val="20"/>
            </w:pPr>
            <w:r>
              <w:t>工作预计测算</w:t>
            </w:r>
          </w:p>
        </w:tc>
      </w:tr>
      <w:tr>
        <w:trPr>
          <w:trHeight w:val="567"/>
        </w:trPr>
        <w:tc>
          <w:tcPr>
            <w:tcW w:w="1417" w:type="dxa"/>
            <w:vMerge/>
            <w:tcBorders>
              <w:tl2br w:val="nil"/>
              <w:tr2bl w:val="nil"/>
            </w:tcBorders>
            <w:vAlign w:val="center"/>
          </w:tcPr>
          <w:p/>
        </w:tc>
        <w:tc>
          <w:tcPr>
            <w:tcW w:w="2268" w:type="dxa"/>
            <w:tcBorders>
              <w:tl2br w:val="nil"/>
              <w:tr2bl w:val="nil"/>
            </w:tcBorders>
            <w:vAlign w:val="center"/>
          </w:tcPr>
          <w:p>
            <w:pPr>
              <w:pStyle w:val="20"/>
            </w:pPr>
            <w:r>
              <w:t>成本指标</w:t>
            </w:r>
          </w:p>
        </w:tc>
        <w:tc>
          <w:tcPr>
            <w:tcW w:w="2835" w:type="dxa"/>
            <w:tcBorders>
              <w:tl2br w:val="nil"/>
              <w:tr2bl w:val="nil"/>
            </w:tcBorders>
            <w:vAlign w:val="center"/>
          </w:tcPr>
          <w:p>
            <w:pPr>
              <w:pStyle w:val="20"/>
            </w:pPr>
            <w:r>
              <w:t>资金支出进度</w:t>
            </w:r>
          </w:p>
        </w:tc>
        <w:tc>
          <w:tcPr>
            <w:tcW w:w="2835" w:type="dxa"/>
            <w:tcBorders>
              <w:tl2br w:val="nil"/>
              <w:tr2bl w:val="nil"/>
            </w:tcBorders>
            <w:vAlign w:val="center"/>
          </w:tcPr>
          <w:p>
            <w:pPr>
              <w:pStyle w:val="20"/>
            </w:pPr>
            <w:r>
              <w:t>资金支出进度占计划进度的比率</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tcBorders>
              <w:tl2br w:val="nil"/>
              <w:tr2bl w:val="nil"/>
            </w:tcBorders>
            <w:vAlign w:val="center"/>
          </w:tcPr>
          <w:p>
            <w:pPr>
              <w:pStyle w:val="21"/>
            </w:pPr>
            <w:r>
              <w:t>效益指标</w:t>
            </w:r>
          </w:p>
        </w:tc>
        <w:tc>
          <w:tcPr>
            <w:tcW w:w="2268" w:type="dxa"/>
            <w:tcBorders>
              <w:tl2br w:val="nil"/>
              <w:tr2bl w:val="nil"/>
            </w:tcBorders>
            <w:vAlign w:val="center"/>
          </w:tcPr>
          <w:p>
            <w:pPr>
              <w:pStyle w:val="20"/>
            </w:pPr>
            <w:r>
              <w:t>社会效益指标</w:t>
            </w:r>
          </w:p>
        </w:tc>
        <w:tc>
          <w:tcPr>
            <w:tcW w:w="2835" w:type="dxa"/>
            <w:tcBorders>
              <w:tl2br w:val="nil"/>
              <w:tr2bl w:val="nil"/>
            </w:tcBorders>
            <w:vAlign w:val="center"/>
          </w:tcPr>
          <w:p>
            <w:pPr>
              <w:pStyle w:val="20"/>
            </w:pPr>
            <w:r>
              <w:t>安保活动圆满完成率</w:t>
            </w:r>
          </w:p>
        </w:tc>
        <w:tc>
          <w:tcPr>
            <w:tcW w:w="2835" w:type="dxa"/>
            <w:tcBorders>
              <w:tl2br w:val="nil"/>
              <w:tr2bl w:val="nil"/>
            </w:tcBorders>
            <w:vAlign w:val="center"/>
          </w:tcPr>
          <w:p>
            <w:pPr>
              <w:pStyle w:val="20"/>
            </w:pPr>
            <w:r>
              <w:t>圆满完成的安保活动数量占全部安保活动梳理的比例</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r>
        <w:trPr>
          <w:trHeight w:val="567"/>
        </w:trPr>
        <w:tc>
          <w:tcPr>
            <w:tcW w:w="1417" w:type="dxa"/>
            <w:tcBorders>
              <w:tl2br w:val="nil"/>
              <w:tr2bl w:val="nil"/>
            </w:tcBorders>
            <w:vAlign w:val="center"/>
          </w:tcPr>
          <w:p>
            <w:pPr>
              <w:pStyle w:val="21"/>
            </w:pPr>
            <w:r>
              <w:t>满意度指标</w:t>
            </w:r>
          </w:p>
        </w:tc>
        <w:tc>
          <w:tcPr>
            <w:tcW w:w="2268" w:type="dxa"/>
            <w:tcBorders>
              <w:tl2br w:val="nil"/>
              <w:tr2bl w:val="nil"/>
            </w:tcBorders>
            <w:vAlign w:val="center"/>
          </w:tcPr>
          <w:p>
            <w:pPr>
              <w:pStyle w:val="20"/>
            </w:pPr>
            <w:r>
              <w:t>服务对象满意度指标</w:t>
            </w:r>
          </w:p>
        </w:tc>
        <w:tc>
          <w:tcPr>
            <w:tcW w:w="2835" w:type="dxa"/>
            <w:tcBorders>
              <w:tl2br w:val="nil"/>
              <w:tr2bl w:val="nil"/>
            </w:tcBorders>
            <w:vAlign w:val="center"/>
          </w:tcPr>
          <w:p>
            <w:pPr>
              <w:pStyle w:val="20"/>
            </w:pPr>
            <w:r>
              <w:t>群众满意率</w:t>
            </w:r>
          </w:p>
        </w:tc>
        <w:tc>
          <w:tcPr>
            <w:tcW w:w="2835" w:type="dxa"/>
            <w:tcBorders>
              <w:tl2br w:val="nil"/>
              <w:tr2bl w:val="nil"/>
            </w:tcBorders>
            <w:vAlign w:val="center"/>
          </w:tcPr>
          <w:p>
            <w:pPr>
              <w:pStyle w:val="20"/>
            </w:pPr>
            <w:r>
              <w:t>群众对此项工作开展效果的满意度</w:t>
            </w:r>
          </w:p>
        </w:tc>
        <w:tc>
          <w:tcPr>
            <w:tcW w:w="2551" w:type="dxa"/>
            <w:tcBorders>
              <w:tl2br w:val="nil"/>
              <w:tr2bl w:val="nil"/>
            </w:tcBorders>
            <w:vAlign w:val="center"/>
          </w:tcPr>
          <w:p>
            <w:pPr>
              <w:pStyle w:val="20"/>
            </w:pPr>
            <w:r>
              <w:t>≥80%</w:t>
            </w:r>
          </w:p>
        </w:tc>
        <w:tc>
          <w:tcPr>
            <w:tcW w:w="2268" w:type="dxa"/>
            <w:tcBorders>
              <w:tl2br w:val="nil"/>
              <w:tr2bl w:val="nil"/>
            </w:tcBorders>
            <w:vAlign w:val="center"/>
          </w:tcPr>
          <w:p>
            <w:pPr>
              <w:pStyle w:val="20"/>
            </w:pPr>
            <w:r>
              <w:t>工作预计测算</w:t>
            </w:r>
          </w:p>
        </w:tc>
      </w:tr>
    </w:tbl>
    <w:p>
      <w:pPr>
        <w:spacing w:before="0" w:after="0"/>
        <w:ind w:firstLine="560"/>
        <w:jc w:val="left"/>
        <w:outlineLvl w:val="9"/>
        <w:rPr>
          <w:rFonts w:ascii="方正仿宋_GBK" w:eastAsia="方正仿宋_GBK" w:cs="方正仿宋_GBK" w:hAnsi="方正仿宋_GBK"/>
          <w:b/>
          <w:color w:val="000000"/>
          <w:sz w:val="28"/>
        </w:rPr>
      </w:pPr>
    </w:p>
    <w:p>
      <w:pPr>
        <w:spacing w:before="10" w:after="10" w:line="240" w:lineRule="auto"/>
        <w:ind w:firstLine="640"/>
        <w:jc w:val="left"/>
        <w:outlineLvl w:val="2"/>
        <w:rPr>
          <w:rFonts w:ascii="黑体" w:eastAsia="黑体" w:cs="黑体" w:hAnsi="黑体"/>
          <w:color w:val="000000"/>
          <w:sz w:val="32"/>
        </w:rPr>
      </w:pPr>
    </w:p>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2023年，唐山市丰南区信访局本级安排政府采购预算0.00万元。具体内容见下表。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3"/>
        <w:gridCol w:w="923"/>
        <w:gridCol w:w="923"/>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304001唐山市丰南区信访局本级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line="500" w:lineRule="exact"/>
        <w:ind w:firstLine="560"/>
      </w:pPr>
      <w:r>
        <w:rPr>
          <w:rFonts w:ascii="Times New Roman" w:eastAsia="方正仿宋_GBK" w:cs="Times New Roman" w:hAnsi="Times New Roman"/>
          <w:b w:val="0"/>
          <w:color w:val="000000"/>
          <w:sz w:val="28"/>
        </w:rPr>
        <w:t>唐山市丰南区信访局（含所属单位）上年末固定资产金额为415.32万元（详见下表）。本年度拟购置固定资产总额为2.70万元，</w:t>
      </w:r>
      <w:r>
        <w:rPr>
          <w:rFonts w:eastAsia="方正仿宋_GBK" w:cs="Times New Roman" w:hint="eastAsia"/>
          <w:color w:val="000000"/>
          <w:sz w:val="28"/>
          <w:lang w:eastAsia="zh-CN"/>
        </w:rPr>
        <w:t>未达到政府采购限额</w:t>
      </w:r>
      <w:r>
        <w:rPr>
          <w:rFonts w:ascii="Times New Roman" w:eastAsia="方正仿宋_GBK" w:cs="Times New Roman" w:hAnsi="Times New Roman"/>
          <w:b w:val="0"/>
          <w:color w:val="000000"/>
          <w:sz w:val="28"/>
        </w:rPr>
        <w:t>。</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tblpPr w:leftFromText="144" w:rightFromText="144" w:vertAnchor="text" w:horzAnchor="page" w:tblpX="1693" w:tblpY="287"/>
        <w:tblOverlap w:val="never"/>
        <w:tblW w:w="13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68"/>
        <w:gridCol w:w="2568"/>
        <w:gridCol w:w="6312"/>
      </w:tblGrid>
      <w:tr>
        <w:trPr>
          <w:tblHeader/>
        </w:trPr>
        <w:tc>
          <w:tcPr>
            <w:tcW w:w="4268" w:type="dxa"/>
            <w:tcBorders>
              <w:top w:val="single" w:sz="6" w:space="0" w:color="FFFFFF"/>
              <w:left w:val="single" w:sz="6" w:space="0" w:color="FFFFFF"/>
              <w:right w:val="single" w:sz="6" w:space="0" w:color="FFFFFF"/>
            </w:tcBorders>
            <w:vAlign w:val="center"/>
          </w:tcPr>
          <w:p>
            <w:pPr>
              <w:pStyle w:val="17"/>
            </w:pPr>
            <w:r>
              <w:t>304001唐山市丰南区信访局本级</w:t>
            </w:r>
          </w:p>
        </w:tc>
        <w:tc>
          <w:tcPr>
            <w:tcW w:w="8880"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4268" w:type="dxa"/>
            <w:vAlign w:val="center"/>
          </w:tcPr>
          <w:p>
            <w:pPr>
              <w:pStyle w:val="18"/>
            </w:pPr>
            <w:r>
              <w:t>项   目</w:t>
            </w:r>
          </w:p>
        </w:tc>
        <w:tc>
          <w:tcPr>
            <w:tcW w:w="2568" w:type="dxa"/>
            <w:tcBorders>
              <w:left w:val="single" w:sz="6" w:space="0" w:color="000000"/>
              <w:right w:val="single" w:sz="6" w:space="0" w:color="000000"/>
            </w:tcBorders>
            <w:vAlign w:val="center"/>
          </w:tcPr>
          <w:p>
            <w:pPr>
              <w:pStyle w:val="18"/>
            </w:pPr>
            <w:r>
              <w:t>数量</w:t>
            </w:r>
          </w:p>
        </w:tc>
        <w:tc>
          <w:tcPr>
            <w:tcW w:w="6312" w:type="dxa"/>
            <w:vAlign w:val="center"/>
          </w:tcPr>
          <w:p>
            <w:pPr>
              <w:pStyle w:val="18"/>
            </w:pPr>
            <w:r>
              <w:t>价值（金额单位：万元）</w:t>
            </w:r>
          </w:p>
        </w:tc>
      </w:tr>
      <w:tr>
        <w:tc>
          <w:tcPr>
            <w:tcW w:w="4268" w:type="dxa"/>
            <w:vAlign w:val="center"/>
          </w:tcPr>
          <w:p>
            <w:pPr>
              <w:pStyle w:val="20"/>
              <w:jc w:val="center"/>
            </w:pPr>
            <w:r>
              <w:t>资产总额</w:t>
            </w:r>
          </w:p>
        </w:tc>
        <w:tc>
          <w:tcPr>
            <w:tcW w:w="2568" w:type="dxa"/>
            <w:tcBorders>
              <w:left w:val="single" w:sz="6" w:space="0" w:color="000000"/>
              <w:right w:val="single" w:sz="6" w:space="0" w:color="000000"/>
            </w:tcBorders>
            <w:vAlign w:val="center"/>
          </w:tcPr>
          <w:p>
            <w:pPr>
              <w:pStyle w:val="21"/>
            </w:pPr>
          </w:p>
        </w:tc>
        <w:tc>
          <w:tcPr>
            <w:tcW w:w="6312" w:type="dxa"/>
            <w:vAlign w:val="center"/>
          </w:tcPr>
          <w:p>
            <w:pPr>
              <w:pStyle w:val="19"/>
              <w:jc w:val="center"/>
            </w:pPr>
            <w:r>
              <w:t>415.32</w:t>
            </w:r>
          </w:p>
        </w:tc>
      </w:tr>
      <w:tr>
        <w:tc>
          <w:tcPr>
            <w:tcW w:w="4268" w:type="dxa"/>
            <w:vAlign w:val="center"/>
          </w:tcPr>
          <w:p>
            <w:pPr>
              <w:pStyle w:val="20"/>
              <w:jc w:val="center"/>
            </w:pPr>
            <w:r>
              <w:t>1、房屋（平方米）</w:t>
            </w:r>
          </w:p>
        </w:tc>
        <w:tc>
          <w:tcPr>
            <w:tcW w:w="2568" w:type="dxa"/>
            <w:tcBorders>
              <w:left w:val="single" w:sz="6" w:space="0" w:color="000000"/>
              <w:right w:val="single" w:sz="6" w:space="0" w:color="000000"/>
            </w:tcBorders>
            <w:vAlign w:val="center"/>
          </w:tcPr>
          <w:p>
            <w:pPr>
              <w:pStyle w:val="21"/>
            </w:pPr>
          </w:p>
        </w:tc>
        <w:tc>
          <w:tcPr>
            <w:tcW w:w="6312" w:type="dxa"/>
            <w:vAlign w:val="center"/>
          </w:tcPr>
          <w:p>
            <w:pPr>
              <w:pStyle w:val="19"/>
              <w:jc w:val="center"/>
            </w:pPr>
            <w:r>
              <w:t>217.21</w:t>
            </w:r>
          </w:p>
        </w:tc>
      </w:tr>
      <w:tr>
        <w:tc>
          <w:tcPr>
            <w:tcW w:w="4268" w:type="dxa"/>
            <w:vAlign w:val="center"/>
          </w:tcPr>
          <w:p>
            <w:pPr>
              <w:pStyle w:val="20"/>
              <w:jc w:val="center"/>
            </w:pPr>
            <w:r>
              <w:t>其中：办公用房（平方米）</w:t>
            </w:r>
          </w:p>
        </w:tc>
        <w:tc>
          <w:tcPr>
            <w:tcW w:w="2568" w:type="dxa"/>
            <w:tcBorders>
              <w:left w:val="single" w:sz="6" w:space="0" w:color="000000"/>
              <w:right w:val="single" w:sz="6" w:space="0" w:color="000000"/>
            </w:tcBorders>
            <w:vAlign w:val="center"/>
          </w:tcPr>
          <w:p>
            <w:pPr>
              <w:pStyle w:val="21"/>
            </w:pPr>
          </w:p>
        </w:tc>
        <w:tc>
          <w:tcPr>
            <w:tcW w:w="6312" w:type="dxa"/>
            <w:vAlign w:val="center"/>
          </w:tcPr>
          <w:p>
            <w:pPr>
              <w:pStyle w:val="19"/>
              <w:jc w:val="center"/>
            </w:pPr>
          </w:p>
        </w:tc>
      </w:tr>
      <w:tr>
        <w:tc>
          <w:tcPr>
            <w:tcW w:w="4268" w:type="dxa"/>
            <w:vAlign w:val="center"/>
          </w:tcPr>
          <w:p>
            <w:pPr>
              <w:pStyle w:val="20"/>
              <w:jc w:val="center"/>
            </w:pPr>
            <w:r>
              <w:t>2、车辆（台、辆）</w:t>
            </w:r>
          </w:p>
        </w:tc>
        <w:tc>
          <w:tcPr>
            <w:tcW w:w="2568" w:type="dxa"/>
            <w:tcBorders>
              <w:left w:val="single" w:sz="6" w:space="0" w:color="000000"/>
              <w:right w:val="single" w:sz="6" w:space="0" w:color="000000"/>
            </w:tcBorders>
            <w:vAlign w:val="center"/>
          </w:tcPr>
          <w:p>
            <w:pPr>
              <w:pStyle w:val="21"/>
            </w:pPr>
            <w:r>
              <w:t>2</w:t>
            </w:r>
          </w:p>
        </w:tc>
        <w:tc>
          <w:tcPr>
            <w:tcW w:w="6312" w:type="dxa"/>
            <w:vAlign w:val="center"/>
          </w:tcPr>
          <w:p>
            <w:pPr>
              <w:pStyle w:val="19"/>
              <w:jc w:val="center"/>
            </w:pPr>
            <w:r>
              <w:t>27.40</w:t>
            </w:r>
          </w:p>
        </w:tc>
      </w:tr>
      <w:tr>
        <w:tc>
          <w:tcPr>
            <w:tcW w:w="4268" w:type="dxa"/>
            <w:vAlign w:val="center"/>
          </w:tcPr>
          <w:p>
            <w:pPr>
              <w:pStyle w:val="20"/>
              <w:jc w:val="center"/>
            </w:pPr>
            <w:r>
              <w:t>3、单价在20万元以上的设备</w:t>
            </w:r>
          </w:p>
        </w:tc>
        <w:tc>
          <w:tcPr>
            <w:tcW w:w="2568" w:type="dxa"/>
            <w:tcBorders>
              <w:left w:val="single" w:sz="6" w:space="0" w:color="000000"/>
              <w:right w:val="single" w:sz="6" w:space="0" w:color="000000"/>
            </w:tcBorders>
            <w:vAlign w:val="center"/>
          </w:tcPr>
          <w:p>
            <w:pPr>
              <w:pStyle w:val="21"/>
            </w:pPr>
          </w:p>
        </w:tc>
        <w:tc>
          <w:tcPr>
            <w:tcW w:w="6312" w:type="dxa"/>
            <w:vAlign w:val="center"/>
          </w:tcPr>
          <w:p>
            <w:pPr>
              <w:pStyle w:val="19"/>
              <w:jc w:val="center"/>
            </w:pPr>
          </w:p>
        </w:tc>
      </w:tr>
      <w:tr>
        <w:tc>
          <w:tcPr>
            <w:tcW w:w="4268" w:type="dxa"/>
            <w:vAlign w:val="center"/>
          </w:tcPr>
          <w:p>
            <w:pPr>
              <w:pStyle w:val="20"/>
              <w:jc w:val="center"/>
            </w:pPr>
            <w:r>
              <w:t>4、其他固定资产</w:t>
            </w:r>
          </w:p>
        </w:tc>
        <w:tc>
          <w:tcPr>
            <w:tcW w:w="2568" w:type="dxa"/>
            <w:tcBorders>
              <w:left w:val="single" w:sz="6" w:space="0" w:color="000000"/>
              <w:right w:val="single" w:sz="6" w:space="0" w:color="000000"/>
            </w:tcBorders>
            <w:vAlign w:val="center"/>
          </w:tcPr>
          <w:p>
            <w:pPr>
              <w:pStyle w:val="21"/>
            </w:pPr>
          </w:p>
        </w:tc>
        <w:tc>
          <w:tcPr>
            <w:tcW w:w="6312" w:type="dxa"/>
            <w:vAlign w:val="center"/>
          </w:tcPr>
          <w:p>
            <w:pPr>
              <w:pStyle w:val="19"/>
              <w:jc w:val="center"/>
            </w:pPr>
            <w:r>
              <w:t>170.71</w:t>
            </w:r>
          </w:p>
        </w:tc>
      </w:tr>
    </w:tbl>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68B7A83"/>
    <w:multiLevelType w:val="hybridMultilevel"/>
    <w:tmpl w:val="00000000"/>
    <w:lvl w:ilvl="0">
      <w:start w:val="1"/>
      <w:numFmt w:val="decimal"/>
      <w:lvlRestart w:val="0"/>
      <w:lvlText w:val="%1、"/>
      <w:lvlJc w:val="left"/>
      <w:pPr>
        <w:ind w:left="1045" w:hanging="405"/>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71AC45A8-11D5-40F4-9BC4-398428C43A1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67</TotalTime>
  <Application>Yozo_Office27021597764231179</Application>
  <Pages>23</Pages>
  <Words>0</Words>
  <Characters>7599</Characters>
  <Lines>0</Lines>
  <Paragraphs>163</Paragraphs>
  <CharactersWithSpaces>10132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2023-02-02T09:21:47Z</dcterms:created>
  <dcterms:modified xsi:type="dcterms:W3CDTF">2024-10-22T02:19:29Z</dcterms:modified>
</cp:coreProperties>
</file>