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42</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42</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43</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43</w:t>
      </w:r>
      <w:r>
        <w:fldChar w:fldCharType="end"/>
      </w:r>
      <w:r>
        <w:fldChar w:fldCharType="end"/>
      </w:r>
    </w:p>
    <w:p>
      <w:r>
        <w:fldChar w:fldCharType="end"/>
      </w:r>
    </w:p>
    <w:p>
      <w:pPr>
        <w:pStyle w:val="5"/>
        <w:tabs>
          <w:tab w:val="right" w:leader="dot" w:pos="14562"/>
        </w:tabs>
        <w:rPr>
          <w:i/>
        </w:rPr>
      </w:pPr>
      <w:r>
        <w:rPr>
          <w:i/>
        </w:rPr>
        <w:fldChar w:fldCharType="begin"/>
      </w:r>
      <w:r>
        <w:rPr>
          <w:i/>
        </w:rPr>
        <w:instrText xml:space="preserve">TOC \o "4-4" \h \z \u</w:instrText>
      </w:r>
      <w:r>
        <w:rPr>
          <w:i/>
        </w:rPr>
        <w:fldChar w:fldCharType="separate"/>
      </w:r>
      <w:r>
        <w:fldChar w:fldCharType="begin"/>
      </w:r>
      <w:r>
        <w:instrText xml:space="preserve"> HYPERLINK \l "_Toc_4_4_0000000019" </w:instrText>
      </w:r>
      <w:r>
        <w:fldChar w:fldCharType="separate"/>
      </w:r>
      <w:r>
        <w:fldChar w:fldCharType="end"/>
      </w:r>
    </w:p>
    <w:p>
      <w:pPr>
        <w:rPr>
          <w:i/>
        </w:rPr>
        <w:sectPr>
          <w:pgSz w:w="16840" w:h="11900" w:orient="landscape"/>
          <w:pgMar w:top="1587" w:right="1134" w:bottom="1361" w:left="1134" w:header="720" w:footer="720" w:gutter="0"/>
          <w:pgNumType w:start="1"/>
          <w:cols w:space="720" w:num="1"/>
        </w:sectPr>
      </w:pPr>
      <w:r>
        <w:rPr>
          <w:i/>
        </w:rP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418唐山市丰南区青年路街道办事处</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3747.46</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144.97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96.39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3413.40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92.70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3747.46</w:t>
            </w:r>
          </w:p>
        </w:tc>
        <w:tc>
          <w:tcPr>
            <w:tcW w:w="4535" w:type="dxa"/>
            <w:vAlign w:val="center"/>
          </w:tcPr>
          <w:p>
            <w:pPr>
              <w:pStyle w:val="18"/>
            </w:pPr>
            <w:r>
              <w:t>本年支出合计</w:t>
            </w:r>
          </w:p>
        </w:tc>
        <w:tc>
          <w:tcPr>
            <w:tcW w:w="2126" w:type="dxa"/>
            <w:vAlign w:val="center"/>
          </w:tcPr>
          <w:p>
            <w:pPr>
              <w:pStyle w:val="19"/>
            </w:pPr>
            <w:r>
              <w:t>3747.46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3747.46</w:t>
            </w:r>
          </w:p>
        </w:tc>
        <w:tc>
          <w:tcPr>
            <w:tcW w:w="4535" w:type="dxa"/>
            <w:vAlign w:val="center"/>
          </w:tcPr>
          <w:p>
            <w:pPr>
              <w:pStyle w:val="18"/>
            </w:pPr>
            <w:r>
              <w:t>支出总计</w:t>
            </w:r>
          </w:p>
        </w:tc>
        <w:tc>
          <w:tcPr>
            <w:tcW w:w="2126" w:type="dxa"/>
            <w:vAlign w:val="center"/>
          </w:tcPr>
          <w:p>
            <w:pPr>
              <w:pStyle w:val="19"/>
            </w:pPr>
            <w:r>
              <w:t>3747.46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418唐山市丰南区青年路街道办事处</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3747.46</w:t>
            </w:r>
          </w:p>
        </w:tc>
        <w:tc>
          <w:tcPr>
            <w:tcW w:w="1134" w:type="dxa"/>
            <w:vAlign w:val="center"/>
          </w:tcPr>
          <w:p>
            <w:pPr>
              <w:pStyle w:val="19"/>
            </w:pPr>
            <w:r>
              <w:t>3747.46</w:t>
            </w:r>
          </w:p>
        </w:tc>
        <w:tc>
          <w:tcPr>
            <w:tcW w:w="1134" w:type="dxa"/>
            <w:vAlign w:val="center"/>
          </w:tcPr>
          <w:p>
            <w:pPr>
              <w:pStyle w:val="19"/>
            </w:pPr>
            <w:r>
              <w:t>3747.46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144.97</w:t>
            </w:r>
          </w:p>
        </w:tc>
        <w:tc>
          <w:tcPr>
            <w:tcW w:w="1134" w:type="dxa"/>
            <w:vAlign w:val="center"/>
          </w:tcPr>
          <w:p>
            <w:pPr>
              <w:pStyle w:val="15"/>
            </w:pPr>
            <w:r>
              <w:t>144.97</w:t>
            </w:r>
          </w:p>
        </w:tc>
        <w:tc>
          <w:tcPr>
            <w:tcW w:w="1134" w:type="dxa"/>
            <w:vAlign w:val="center"/>
          </w:tcPr>
          <w:p>
            <w:pPr>
              <w:pStyle w:val="15"/>
            </w:pPr>
            <w:r>
              <w:t>144.97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140.79</w:t>
            </w:r>
          </w:p>
        </w:tc>
        <w:tc>
          <w:tcPr>
            <w:tcW w:w="1134" w:type="dxa"/>
            <w:vAlign w:val="center"/>
          </w:tcPr>
          <w:p>
            <w:pPr>
              <w:pStyle w:val="15"/>
            </w:pPr>
            <w:r>
              <w:t>140.79</w:t>
            </w:r>
          </w:p>
        </w:tc>
        <w:tc>
          <w:tcPr>
            <w:tcW w:w="1134" w:type="dxa"/>
            <w:vAlign w:val="center"/>
          </w:tcPr>
          <w:p>
            <w:pPr>
              <w:pStyle w:val="15"/>
            </w:pPr>
            <w:r>
              <w:t>140.79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26.27</w:t>
            </w:r>
          </w:p>
        </w:tc>
        <w:tc>
          <w:tcPr>
            <w:tcW w:w="1134" w:type="dxa"/>
            <w:vAlign w:val="center"/>
          </w:tcPr>
          <w:p>
            <w:pPr>
              <w:pStyle w:val="15"/>
            </w:pPr>
            <w:r>
              <w:t>26.27</w:t>
            </w:r>
          </w:p>
        </w:tc>
        <w:tc>
          <w:tcPr>
            <w:tcW w:w="1134" w:type="dxa"/>
            <w:vAlign w:val="center"/>
          </w:tcPr>
          <w:p>
            <w:pPr>
              <w:pStyle w:val="15"/>
            </w:pPr>
            <w:r>
              <w:t>26.27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114.52</w:t>
            </w:r>
          </w:p>
        </w:tc>
        <w:tc>
          <w:tcPr>
            <w:tcW w:w="1134" w:type="dxa"/>
            <w:vAlign w:val="center"/>
          </w:tcPr>
          <w:p>
            <w:pPr>
              <w:pStyle w:val="15"/>
            </w:pPr>
            <w:r>
              <w:t>114.52</w:t>
            </w:r>
          </w:p>
        </w:tc>
        <w:tc>
          <w:tcPr>
            <w:tcW w:w="1134" w:type="dxa"/>
            <w:vAlign w:val="center"/>
          </w:tcPr>
          <w:p>
            <w:pPr>
              <w:pStyle w:val="15"/>
            </w:pPr>
            <w:r>
              <w:t>114.52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20807</w:t>
            </w:r>
          </w:p>
        </w:tc>
        <w:tc>
          <w:tcPr>
            <w:tcW w:w="1559" w:type="dxa"/>
            <w:vAlign w:val="center"/>
          </w:tcPr>
          <w:p>
            <w:pPr>
              <w:pStyle w:val="16"/>
            </w:pPr>
            <w:r>
              <w:t>就业补助</w:t>
            </w:r>
          </w:p>
        </w:tc>
        <w:tc>
          <w:tcPr>
            <w:tcW w:w="1134" w:type="dxa"/>
            <w:vAlign w:val="center"/>
          </w:tcPr>
          <w:p>
            <w:pPr>
              <w:pStyle w:val="15"/>
            </w:pPr>
            <w:r>
              <w:t>4.18</w:t>
            </w:r>
          </w:p>
        </w:tc>
        <w:tc>
          <w:tcPr>
            <w:tcW w:w="1134" w:type="dxa"/>
            <w:vAlign w:val="center"/>
          </w:tcPr>
          <w:p>
            <w:pPr>
              <w:pStyle w:val="15"/>
            </w:pPr>
            <w:r>
              <w:t>4.18</w:t>
            </w:r>
          </w:p>
        </w:tc>
        <w:tc>
          <w:tcPr>
            <w:tcW w:w="1134" w:type="dxa"/>
            <w:vAlign w:val="center"/>
          </w:tcPr>
          <w:p>
            <w:pPr>
              <w:pStyle w:val="15"/>
            </w:pPr>
            <w:r>
              <w:t>4.18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2080711</w:t>
            </w:r>
          </w:p>
        </w:tc>
        <w:tc>
          <w:tcPr>
            <w:tcW w:w="1559" w:type="dxa"/>
            <w:vAlign w:val="center"/>
          </w:tcPr>
          <w:p>
            <w:pPr>
              <w:pStyle w:val="16"/>
            </w:pPr>
            <w:r>
              <w:t>就业见习补贴</w:t>
            </w:r>
          </w:p>
        </w:tc>
        <w:tc>
          <w:tcPr>
            <w:tcW w:w="1134" w:type="dxa"/>
            <w:vAlign w:val="center"/>
          </w:tcPr>
          <w:p>
            <w:pPr>
              <w:pStyle w:val="15"/>
            </w:pPr>
            <w:r>
              <w:t>4.18</w:t>
            </w:r>
          </w:p>
        </w:tc>
        <w:tc>
          <w:tcPr>
            <w:tcW w:w="1134" w:type="dxa"/>
            <w:vAlign w:val="center"/>
          </w:tcPr>
          <w:p>
            <w:pPr>
              <w:pStyle w:val="15"/>
            </w:pPr>
            <w:r>
              <w:t>4.18</w:t>
            </w:r>
          </w:p>
        </w:tc>
        <w:tc>
          <w:tcPr>
            <w:tcW w:w="1134" w:type="dxa"/>
            <w:vAlign w:val="center"/>
          </w:tcPr>
          <w:p>
            <w:pPr>
              <w:pStyle w:val="15"/>
            </w:pPr>
            <w:r>
              <w:t>4.18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96.39</w:t>
            </w:r>
          </w:p>
        </w:tc>
        <w:tc>
          <w:tcPr>
            <w:tcW w:w="1134" w:type="dxa"/>
            <w:vAlign w:val="center"/>
          </w:tcPr>
          <w:p>
            <w:pPr>
              <w:pStyle w:val="15"/>
            </w:pPr>
            <w:r>
              <w:t>96.39</w:t>
            </w:r>
          </w:p>
        </w:tc>
        <w:tc>
          <w:tcPr>
            <w:tcW w:w="1134" w:type="dxa"/>
            <w:vAlign w:val="center"/>
          </w:tcPr>
          <w:p>
            <w:pPr>
              <w:pStyle w:val="15"/>
            </w:pPr>
            <w:r>
              <w:t>96.39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96.39</w:t>
            </w:r>
          </w:p>
        </w:tc>
        <w:tc>
          <w:tcPr>
            <w:tcW w:w="1134" w:type="dxa"/>
            <w:vAlign w:val="center"/>
          </w:tcPr>
          <w:p>
            <w:pPr>
              <w:pStyle w:val="15"/>
            </w:pPr>
            <w:r>
              <w:t>96.39</w:t>
            </w:r>
          </w:p>
        </w:tc>
        <w:tc>
          <w:tcPr>
            <w:tcW w:w="1134" w:type="dxa"/>
            <w:vAlign w:val="center"/>
          </w:tcPr>
          <w:p>
            <w:pPr>
              <w:pStyle w:val="15"/>
            </w:pPr>
            <w:r>
              <w:t>96.39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43.43</w:t>
            </w:r>
          </w:p>
        </w:tc>
        <w:tc>
          <w:tcPr>
            <w:tcW w:w="1134" w:type="dxa"/>
            <w:vAlign w:val="center"/>
          </w:tcPr>
          <w:p>
            <w:pPr>
              <w:pStyle w:val="15"/>
            </w:pPr>
            <w:r>
              <w:t>43.43</w:t>
            </w:r>
          </w:p>
        </w:tc>
        <w:tc>
          <w:tcPr>
            <w:tcW w:w="1134" w:type="dxa"/>
            <w:vAlign w:val="center"/>
          </w:tcPr>
          <w:p>
            <w:pPr>
              <w:pStyle w:val="15"/>
            </w:pPr>
            <w:r>
              <w:t>43.43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2101103</w:t>
            </w:r>
          </w:p>
        </w:tc>
        <w:tc>
          <w:tcPr>
            <w:tcW w:w="1559" w:type="dxa"/>
            <w:vAlign w:val="center"/>
          </w:tcPr>
          <w:p>
            <w:pPr>
              <w:pStyle w:val="16"/>
            </w:pPr>
            <w:r>
              <w:t>公务员医疗补助</w:t>
            </w:r>
          </w:p>
        </w:tc>
        <w:tc>
          <w:tcPr>
            <w:tcW w:w="1134" w:type="dxa"/>
            <w:vAlign w:val="center"/>
          </w:tcPr>
          <w:p>
            <w:pPr>
              <w:pStyle w:val="15"/>
            </w:pPr>
            <w:r>
              <w:t>52.96</w:t>
            </w:r>
          </w:p>
        </w:tc>
        <w:tc>
          <w:tcPr>
            <w:tcW w:w="1134" w:type="dxa"/>
            <w:vAlign w:val="center"/>
          </w:tcPr>
          <w:p>
            <w:pPr>
              <w:pStyle w:val="15"/>
            </w:pPr>
            <w:r>
              <w:t>52.96</w:t>
            </w:r>
          </w:p>
        </w:tc>
        <w:tc>
          <w:tcPr>
            <w:tcW w:w="1134" w:type="dxa"/>
            <w:vAlign w:val="center"/>
          </w:tcPr>
          <w:p>
            <w:pPr>
              <w:pStyle w:val="15"/>
            </w:pPr>
            <w:r>
              <w:t>52.96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3413.40</w:t>
            </w:r>
          </w:p>
        </w:tc>
        <w:tc>
          <w:tcPr>
            <w:tcW w:w="1134" w:type="dxa"/>
            <w:vAlign w:val="center"/>
          </w:tcPr>
          <w:p>
            <w:pPr>
              <w:pStyle w:val="15"/>
            </w:pPr>
            <w:r>
              <w:t>3413.40</w:t>
            </w:r>
          </w:p>
        </w:tc>
        <w:tc>
          <w:tcPr>
            <w:tcW w:w="1134" w:type="dxa"/>
            <w:vAlign w:val="center"/>
          </w:tcPr>
          <w:p>
            <w:pPr>
              <w:pStyle w:val="15"/>
            </w:pPr>
            <w:r>
              <w:t>3413.40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21201</w:t>
            </w:r>
          </w:p>
        </w:tc>
        <w:tc>
          <w:tcPr>
            <w:tcW w:w="1559" w:type="dxa"/>
            <w:vAlign w:val="center"/>
          </w:tcPr>
          <w:p>
            <w:pPr>
              <w:pStyle w:val="16"/>
            </w:pPr>
            <w:r>
              <w:t>城乡社区管理事务</w:t>
            </w:r>
          </w:p>
        </w:tc>
        <w:tc>
          <w:tcPr>
            <w:tcW w:w="1134" w:type="dxa"/>
            <w:vAlign w:val="center"/>
          </w:tcPr>
          <w:p>
            <w:pPr>
              <w:pStyle w:val="15"/>
            </w:pPr>
            <w:r>
              <w:t>3413.40</w:t>
            </w:r>
          </w:p>
        </w:tc>
        <w:tc>
          <w:tcPr>
            <w:tcW w:w="1134" w:type="dxa"/>
            <w:vAlign w:val="center"/>
          </w:tcPr>
          <w:p>
            <w:pPr>
              <w:pStyle w:val="15"/>
            </w:pPr>
            <w:r>
              <w:t>3413.40</w:t>
            </w:r>
          </w:p>
        </w:tc>
        <w:tc>
          <w:tcPr>
            <w:tcW w:w="1134" w:type="dxa"/>
            <w:vAlign w:val="center"/>
          </w:tcPr>
          <w:p>
            <w:pPr>
              <w:pStyle w:val="15"/>
            </w:pPr>
            <w:r>
              <w:t>3413.40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2120101</w:t>
            </w:r>
          </w:p>
        </w:tc>
        <w:tc>
          <w:tcPr>
            <w:tcW w:w="1559" w:type="dxa"/>
            <w:vAlign w:val="center"/>
          </w:tcPr>
          <w:p>
            <w:pPr>
              <w:pStyle w:val="16"/>
            </w:pPr>
            <w:r>
              <w:t>行政运行</w:t>
            </w:r>
          </w:p>
        </w:tc>
        <w:tc>
          <w:tcPr>
            <w:tcW w:w="1134" w:type="dxa"/>
            <w:vAlign w:val="center"/>
          </w:tcPr>
          <w:p>
            <w:pPr>
              <w:pStyle w:val="15"/>
            </w:pPr>
            <w:r>
              <w:t>932.20</w:t>
            </w:r>
          </w:p>
        </w:tc>
        <w:tc>
          <w:tcPr>
            <w:tcW w:w="1134" w:type="dxa"/>
            <w:vAlign w:val="center"/>
          </w:tcPr>
          <w:p>
            <w:pPr>
              <w:pStyle w:val="15"/>
            </w:pPr>
            <w:r>
              <w:t>932.20</w:t>
            </w:r>
          </w:p>
        </w:tc>
        <w:tc>
          <w:tcPr>
            <w:tcW w:w="1134" w:type="dxa"/>
            <w:vAlign w:val="center"/>
          </w:tcPr>
          <w:p>
            <w:pPr>
              <w:pStyle w:val="15"/>
            </w:pPr>
            <w:r>
              <w:t>932.20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2120102</w:t>
            </w:r>
          </w:p>
        </w:tc>
        <w:tc>
          <w:tcPr>
            <w:tcW w:w="1559" w:type="dxa"/>
            <w:vAlign w:val="center"/>
          </w:tcPr>
          <w:p>
            <w:pPr>
              <w:pStyle w:val="16"/>
            </w:pPr>
            <w:r>
              <w:t>一般行政管理事务</w:t>
            </w:r>
          </w:p>
        </w:tc>
        <w:tc>
          <w:tcPr>
            <w:tcW w:w="1134" w:type="dxa"/>
            <w:vAlign w:val="center"/>
          </w:tcPr>
          <w:p>
            <w:pPr>
              <w:pStyle w:val="15"/>
            </w:pPr>
            <w:r>
              <w:t>2481.20</w:t>
            </w:r>
          </w:p>
        </w:tc>
        <w:tc>
          <w:tcPr>
            <w:tcW w:w="1134" w:type="dxa"/>
            <w:vAlign w:val="center"/>
          </w:tcPr>
          <w:p>
            <w:pPr>
              <w:pStyle w:val="15"/>
            </w:pPr>
            <w:r>
              <w:t>2481.20</w:t>
            </w:r>
          </w:p>
        </w:tc>
        <w:tc>
          <w:tcPr>
            <w:tcW w:w="1134" w:type="dxa"/>
            <w:vAlign w:val="center"/>
          </w:tcPr>
          <w:p>
            <w:pPr>
              <w:pStyle w:val="15"/>
            </w:pPr>
            <w:r>
              <w:t>2481.20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92.70</w:t>
            </w:r>
          </w:p>
        </w:tc>
        <w:tc>
          <w:tcPr>
            <w:tcW w:w="1134" w:type="dxa"/>
            <w:vAlign w:val="center"/>
          </w:tcPr>
          <w:p>
            <w:pPr>
              <w:pStyle w:val="15"/>
            </w:pPr>
            <w:r>
              <w:t>92.70</w:t>
            </w:r>
          </w:p>
        </w:tc>
        <w:tc>
          <w:tcPr>
            <w:tcW w:w="1134" w:type="dxa"/>
            <w:vAlign w:val="center"/>
          </w:tcPr>
          <w:p>
            <w:pPr>
              <w:pStyle w:val="15"/>
            </w:pPr>
            <w:r>
              <w:t>92.70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92.70</w:t>
            </w:r>
          </w:p>
        </w:tc>
        <w:tc>
          <w:tcPr>
            <w:tcW w:w="1134" w:type="dxa"/>
            <w:vAlign w:val="center"/>
          </w:tcPr>
          <w:p>
            <w:pPr>
              <w:pStyle w:val="15"/>
            </w:pPr>
            <w:r>
              <w:t>92.70</w:t>
            </w:r>
          </w:p>
        </w:tc>
        <w:tc>
          <w:tcPr>
            <w:tcW w:w="1134" w:type="dxa"/>
            <w:vAlign w:val="center"/>
          </w:tcPr>
          <w:p>
            <w:pPr>
              <w:pStyle w:val="15"/>
            </w:pPr>
            <w:r>
              <w:t>92.70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92.70</w:t>
            </w:r>
          </w:p>
        </w:tc>
        <w:tc>
          <w:tcPr>
            <w:tcW w:w="1134" w:type="dxa"/>
            <w:vAlign w:val="center"/>
          </w:tcPr>
          <w:p>
            <w:pPr>
              <w:pStyle w:val="15"/>
            </w:pPr>
            <w:r>
              <w:t>92.70</w:t>
            </w:r>
          </w:p>
        </w:tc>
        <w:tc>
          <w:tcPr>
            <w:tcW w:w="1134" w:type="dxa"/>
            <w:vAlign w:val="center"/>
          </w:tcPr>
          <w:p>
            <w:pPr>
              <w:pStyle w:val="15"/>
            </w:pPr>
            <w:r>
              <w:t>92.70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418唐山市丰南区青年路街道办事处</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3747.46</w:t>
            </w:r>
          </w:p>
        </w:tc>
        <w:tc>
          <w:tcPr>
            <w:tcW w:w="1361" w:type="dxa"/>
            <w:vAlign w:val="center"/>
          </w:tcPr>
          <w:p>
            <w:pPr>
              <w:pStyle w:val="19"/>
            </w:pPr>
            <w:r>
              <w:t>1262.08</w:t>
            </w:r>
          </w:p>
        </w:tc>
        <w:tc>
          <w:tcPr>
            <w:tcW w:w="1361" w:type="dxa"/>
            <w:vAlign w:val="center"/>
          </w:tcPr>
          <w:p>
            <w:pPr>
              <w:pStyle w:val="19"/>
            </w:pPr>
            <w:r>
              <w:t>2485.38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144.97</w:t>
            </w:r>
          </w:p>
        </w:tc>
        <w:tc>
          <w:tcPr>
            <w:tcW w:w="1361" w:type="dxa"/>
            <w:vAlign w:val="center"/>
          </w:tcPr>
          <w:p>
            <w:pPr>
              <w:pStyle w:val="15"/>
            </w:pPr>
            <w:r>
              <w:t>140.79</w:t>
            </w:r>
          </w:p>
        </w:tc>
        <w:tc>
          <w:tcPr>
            <w:tcW w:w="1361" w:type="dxa"/>
            <w:vAlign w:val="center"/>
          </w:tcPr>
          <w:p>
            <w:pPr>
              <w:pStyle w:val="15"/>
            </w:pPr>
            <w:r>
              <w:t>4.18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140.79</w:t>
            </w:r>
          </w:p>
        </w:tc>
        <w:tc>
          <w:tcPr>
            <w:tcW w:w="1361" w:type="dxa"/>
            <w:vAlign w:val="center"/>
          </w:tcPr>
          <w:p>
            <w:pPr>
              <w:pStyle w:val="15"/>
            </w:pPr>
            <w:r>
              <w:t>140.79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26.27</w:t>
            </w:r>
          </w:p>
        </w:tc>
        <w:tc>
          <w:tcPr>
            <w:tcW w:w="1361" w:type="dxa"/>
            <w:vAlign w:val="center"/>
          </w:tcPr>
          <w:p>
            <w:pPr>
              <w:pStyle w:val="15"/>
            </w:pPr>
            <w:r>
              <w:t>26.27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114.52</w:t>
            </w:r>
          </w:p>
        </w:tc>
        <w:tc>
          <w:tcPr>
            <w:tcW w:w="1361" w:type="dxa"/>
            <w:vAlign w:val="center"/>
          </w:tcPr>
          <w:p>
            <w:pPr>
              <w:pStyle w:val="15"/>
            </w:pPr>
            <w:r>
              <w:t>114.52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20807</w:t>
            </w:r>
          </w:p>
        </w:tc>
        <w:tc>
          <w:tcPr>
            <w:tcW w:w="4535" w:type="dxa"/>
            <w:vAlign w:val="center"/>
          </w:tcPr>
          <w:p>
            <w:pPr>
              <w:pStyle w:val="16"/>
            </w:pPr>
            <w:r>
              <w:t>就业补助</w:t>
            </w:r>
          </w:p>
        </w:tc>
        <w:tc>
          <w:tcPr>
            <w:tcW w:w="1361" w:type="dxa"/>
            <w:vAlign w:val="center"/>
          </w:tcPr>
          <w:p>
            <w:pPr>
              <w:pStyle w:val="15"/>
            </w:pPr>
            <w:r>
              <w:t>4.18</w:t>
            </w:r>
          </w:p>
        </w:tc>
        <w:tc>
          <w:tcPr>
            <w:tcW w:w="1361" w:type="dxa"/>
            <w:vAlign w:val="center"/>
          </w:tcPr>
          <w:p>
            <w:pPr>
              <w:pStyle w:val="15"/>
            </w:pPr>
          </w:p>
        </w:tc>
        <w:tc>
          <w:tcPr>
            <w:tcW w:w="1361" w:type="dxa"/>
            <w:vAlign w:val="center"/>
          </w:tcPr>
          <w:p>
            <w:pPr>
              <w:pStyle w:val="15"/>
            </w:pPr>
            <w:r>
              <w:t>4.18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2080711</w:t>
            </w:r>
          </w:p>
        </w:tc>
        <w:tc>
          <w:tcPr>
            <w:tcW w:w="4535" w:type="dxa"/>
            <w:vAlign w:val="center"/>
          </w:tcPr>
          <w:p>
            <w:pPr>
              <w:pStyle w:val="16"/>
            </w:pPr>
            <w:r>
              <w:t>就业见习补贴</w:t>
            </w:r>
          </w:p>
        </w:tc>
        <w:tc>
          <w:tcPr>
            <w:tcW w:w="1361" w:type="dxa"/>
            <w:vAlign w:val="center"/>
          </w:tcPr>
          <w:p>
            <w:pPr>
              <w:pStyle w:val="15"/>
            </w:pPr>
            <w:r>
              <w:t>4.18</w:t>
            </w:r>
          </w:p>
        </w:tc>
        <w:tc>
          <w:tcPr>
            <w:tcW w:w="1361" w:type="dxa"/>
            <w:vAlign w:val="center"/>
          </w:tcPr>
          <w:p>
            <w:pPr>
              <w:pStyle w:val="15"/>
            </w:pPr>
          </w:p>
        </w:tc>
        <w:tc>
          <w:tcPr>
            <w:tcW w:w="1361" w:type="dxa"/>
            <w:vAlign w:val="center"/>
          </w:tcPr>
          <w:p>
            <w:pPr>
              <w:pStyle w:val="15"/>
            </w:pPr>
            <w:r>
              <w:t>4.18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96.39</w:t>
            </w:r>
          </w:p>
        </w:tc>
        <w:tc>
          <w:tcPr>
            <w:tcW w:w="1361" w:type="dxa"/>
            <w:vAlign w:val="center"/>
          </w:tcPr>
          <w:p>
            <w:pPr>
              <w:pStyle w:val="15"/>
            </w:pPr>
            <w:r>
              <w:t>96.39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96.39</w:t>
            </w:r>
          </w:p>
        </w:tc>
        <w:tc>
          <w:tcPr>
            <w:tcW w:w="1361" w:type="dxa"/>
            <w:vAlign w:val="center"/>
          </w:tcPr>
          <w:p>
            <w:pPr>
              <w:pStyle w:val="15"/>
            </w:pPr>
            <w:r>
              <w:t>96.39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43.43</w:t>
            </w:r>
          </w:p>
        </w:tc>
        <w:tc>
          <w:tcPr>
            <w:tcW w:w="1361" w:type="dxa"/>
            <w:vAlign w:val="center"/>
          </w:tcPr>
          <w:p>
            <w:pPr>
              <w:pStyle w:val="15"/>
            </w:pPr>
            <w:r>
              <w:t>43.43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2101103</w:t>
            </w:r>
          </w:p>
        </w:tc>
        <w:tc>
          <w:tcPr>
            <w:tcW w:w="4535" w:type="dxa"/>
            <w:vAlign w:val="center"/>
          </w:tcPr>
          <w:p>
            <w:pPr>
              <w:pStyle w:val="16"/>
            </w:pPr>
            <w:r>
              <w:t>公务员医疗补助</w:t>
            </w:r>
          </w:p>
        </w:tc>
        <w:tc>
          <w:tcPr>
            <w:tcW w:w="1361" w:type="dxa"/>
            <w:vAlign w:val="center"/>
          </w:tcPr>
          <w:p>
            <w:pPr>
              <w:pStyle w:val="15"/>
            </w:pPr>
            <w:r>
              <w:t>52.96</w:t>
            </w:r>
          </w:p>
        </w:tc>
        <w:tc>
          <w:tcPr>
            <w:tcW w:w="1361" w:type="dxa"/>
            <w:vAlign w:val="center"/>
          </w:tcPr>
          <w:p>
            <w:pPr>
              <w:pStyle w:val="15"/>
            </w:pPr>
            <w:r>
              <w:t>52.96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212</w:t>
            </w:r>
          </w:p>
        </w:tc>
        <w:tc>
          <w:tcPr>
            <w:tcW w:w="4535" w:type="dxa"/>
            <w:vAlign w:val="center"/>
          </w:tcPr>
          <w:p>
            <w:pPr>
              <w:pStyle w:val="16"/>
            </w:pPr>
            <w:r>
              <w:t>城乡社区支出</w:t>
            </w:r>
          </w:p>
        </w:tc>
        <w:tc>
          <w:tcPr>
            <w:tcW w:w="1361" w:type="dxa"/>
            <w:vAlign w:val="center"/>
          </w:tcPr>
          <w:p>
            <w:pPr>
              <w:pStyle w:val="15"/>
            </w:pPr>
            <w:r>
              <w:t>3413.40</w:t>
            </w:r>
          </w:p>
        </w:tc>
        <w:tc>
          <w:tcPr>
            <w:tcW w:w="1361" w:type="dxa"/>
            <w:vAlign w:val="center"/>
          </w:tcPr>
          <w:p>
            <w:pPr>
              <w:pStyle w:val="15"/>
            </w:pPr>
            <w:r>
              <w:t>932.20</w:t>
            </w:r>
          </w:p>
        </w:tc>
        <w:tc>
          <w:tcPr>
            <w:tcW w:w="1361" w:type="dxa"/>
            <w:vAlign w:val="center"/>
          </w:tcPr>
          <w:p>
            <w:pPr>
              <w:pStyle w:val="15"/>
            </w:pPr>
            <w:r>
              <w:t>2481.20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21201</w:t>
            </w:r>
          </w:p>
        </w:tc>
        <w:tc>
          <w:tcPr>
            <w:tcW w:w="4535" w:type="dxa"/>
            <w:vAlign w:val="center"/>
          </w:tcPr>
          <w:p>
            <w:pPr>
              <w:pStyle w:val="16"/>
            </w:pPr>
            <w:r>
              <w:t>城乡社区管理事务</w:t>
            </w:r>
          </w:p>
        </w:tc>
        <w:tc>
          <w:tcPr>
            <w:tcW w:w="1361" w:type="dxa"/>
            <w:vAlign w:val="center"/>
          </w:tcPr>
          <w:p>
            <w:pPr>
              <w:pStyle w:val="15"/>
            </w:pPr>
            <w:r>
              <w:t>3413.40</w:t>
            </w:r>
          </w:p>
        </w:tc>
        <w:tc>
          <w:tcPr>
            <w:tcW w:w="1361" w:type="dxa"/>
            <w:vAlign w:val="center"/>
          </w:tcPr>
          <w:p>
            <w:pPr>
              <w:pStyle w:val="15"/>
            </w:pPr>
            <w:r>
              <w:t>932.20</w:t>
            </w:r>
          </w:p>
        </w:tc>
        <w:tc>
          <w:tcPr>
            <w:tcW w:w="1361" w:type="dxa"/>
            <w:vAlign w:val="center"/>
          </w:tcPr>
          <w:p>
            <w:pPr>
              <w:pStyle w:val="15"/>
            </w:pPr>
            <w:r>
              <w:t>2481.20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2120101</w:t>
            </w:r>
          </w:p>
        </w:tc>
        <w:tc>
          <w:tcPr>
            <w:tcW w:w="4535" w:type="dxa"/>
            <w:vAlign w:val="center"/>
          </w:tcPr>
          <w:p>
            <w:pPr>
              <w:pStyle w:val="16"/>
            </w:pPr>
            <w:r>
              <w:t>行政运行</w:t>
            </w:r>
          </w:p>
        </w:tc>
        <w:tc>
          <w:tcPr>
            <w:tcW w:w="1361" w:type="dxa"/>
            <w:vAlign w:val="center"/>
          </w:tcPr>
          <w:p>
            <w:pPr>
              <w:pStyle w:val="15"/>
            </w:pPr>
            <w:r>
              <w:t>932.20</w:t>
            </w:r>
          </w:p>
        </w:tc>
        <w:tc>
          <w:tcPr>
            <w:tcW w:w="1361" w:type="dxa"/>
            <w:vAlign w:val="center"/>
          </w:tcPr>
          <w:p>
            <w:pPr>
              <w:pStyle w:val="15"/>
            </w:pPr>
            <w:r>
              <w:t>932.20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2120102</w:t>
            </w:r>
          </w:p>
        </w:tc>
        <w:tc>
          <w:tcPr>
            <w:tcW w:w="4535" w:type="dxa"/>
            <w:vAlign w:val="center"/>
          </w:tcPr>
          <w:p>
            <w:pPr>
              <w:pStyle w:val="16"/>
            </w:pPr>
            <w:r>
              <w:t>一般行政管理事务</w:t>
            </w:r>
          </w:p>
        </w:tc>
        <w:tc>
          <w:tcPr>
            <w:tcW w:w="1361" w:type="dxa"/>
            <w:vAlign w:val="center"/>
          </w:tcPr>
          <w:p>
            <w:pPr>
              <w:pStyle w:val="15"/>
            </w:pPr>
            <w:r>
              <w:t>2481.20</w:t>
            </w:r>
          </w:p>
        </w:tc>
        <w:tc>
          <w:tcPr>
            <w:tcW w:w="1361" w:type="dxa"/>
            <w:vAlign w:val="center"/>
          </w:tcPr>
          <w:p>
            <w:pPr>
              <w:pStyle w:val="15"/>
            </w:pPr>
          </w:p>
        </w:tc>
        <w:tc>
          <w:tcPr>
            <w:tcW w:w="1361" w:type="dxa"/>
            <w:vAlign w:val="center"/>
          </w:tcPr>
          <w:p>
            <w:pPr>
              <w:pStyle w:val="15"/>
            </w:pPr>
            <w:r>
              <w:t>2481.20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92.70</w:t>
            </w:r>
          </w:p>
        </w:tc>
        <w:tc>
          <w:tcPr>
            <w:tcW w:w="1361" w:type="dxa"/>
            <w:vAlign w:val="center"/>
          </w:tcPr>
          <w:p>
            <w:pPr>
              <w:pStyle w:val="15"/>
            </w:pPr>
            <w:r>
              <w:t>92.70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92.70</w:t>
            </w:r>
          </w:p>
        </w:tc>
        <w:tc>
          <w:tcPr>
            <w:tcW w:w="1361" w:type="dxa"/>
            <w:vAlign w:val="center"/>
          </w:tcPr>
          <w:p>
            <w:pPr>
              <w:pStyle w:val="15"/>
            </w:pPr>
            <w:r>
              <w:t>92.70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92.70</w:t>
            </w:r>
          </w:p>
        </w:tc>
        <w:tc>
          <w:tcPr>
            <w:tcW w:w="1361" w:type="dxa"/>
            <w:vAlign w:val="center"/>
          </w:tcPr>
          <w:p>
            <w:pPr>
              <w:pStyle w:val="15"/>
            </w:pPr>
            <w:r>
              <w:t>92.70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418唐山市丰南区青年路街道办事处</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3747.46</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144.97</w:t>
            </w:r>
          </w:p>
        </w:tc>
        <w:tc>
          <w:tcPr>
            <w:tcW w:w="1474" w:type="dxa"/>
            <w:vAlign w:val="center"/>
          </w:tcPr>
          <w:p>
            <w:pPr>
              <w:pStyle w:val="15"/>
            </w:pPr>
            <w:r>
              <w:t>144.97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96.39</w:t>
            </w:r>
          </w:p>
        </w:tc>
        <w:tc>
          <w:tcPr>
            <w:tcW w:w="1474" w:type="dxa"/>
            <w:vAlign w:val="center"/>
          </w:tcPr>
          <w:p>
            <w:pPr>
              <w:pStyle w:val="15"/>
            </w:pPr>
            <w:r>
              <w:t>96.39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3413.40</w:t>
            </w:r>
          </w:p>
        </w:tc>
        <w:tc>
          <w:tcPr>
            <w:tcW w:w="1474" w:type="dxa"/>
            <w:vAlign w:val="center"/>
          </w:tcPr>
          <w:p>
            <w:pPr>
              <w:pStyle w:val="15"/>
            </w:pPr>
            <w:r>
              <w:t>3413.40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92.70</w:t>
            </w:r>
          </w:p>
        </w:tc>
        <w:tc>
          <w:tcPr>
            <w:tcW w:w="1474" w:type="dxa"/>
            <w:vAlign w:val="center"/>
          </w:tcPr>
          <w:p>
            <w:pPr>
              <w:pStyle w:val="15"/>
            </w:pPr>
            <w:r>
              <w:t>92.70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3747.46</w:t>
            </w:r>
          </w:p>
        </w:tc>
        <w:tc>
          <w:tcPr>
            <w:tcW w:w="3402" w:type="dxa"/>
            <w:vAlign w:val="center"/>
          </w:tcPr>
          <w:p>
            <w:pPr>
              <w:pStyle w:val="18"/>
            </w:pPr>
            <w:r>
              <w:t>本年支出合计</w:t>
            </w:r>
          </w:p>
        </w:tc>
        <w:tc>
          <w:tcPr>
            <w:tcW w:w="1474" w:type="dxa"/>
            <w:vAlign w:val="center"/>
          </w:tcPr>
          <w:p>
            <w:pPr>
              <w:pStyle w:val="19"/>
            </w:pPr>
            <w:r>
              <w:t>3747.46</w:t>
            </w:r>
          </w:p>
        </w:tc>
        <w:tc>
          <w:tcPr>
            <w:tcW w:w="1474" w:type="dxa"/>
            <w:vAlign w:val="center"/>
          </w:tcPr>
          <w:p>
            <w:pPr>
              <w:pStyle w:val="19"/>
            </w:pPr>
            <w:r>
              <w:t>3747.46</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3747.46</w:t>
            </w:r>
          </w:p>
        </w:tc>
        <w:tc>
          <w:tcPr>
            <w:tcW w:w="3402" w:type="dxa"/>
            <w:vAlign w:val="center"/>
          </w:tcPr>
          <w:p>
            <w:pPr>
              <w:pStyle w:val="18"/>
            </w:pPr>
            <w:r>
              <w:t>支出总计</w:t>
            </w:r>
          </w:p>
        </w:tc>
        <w:tc>
          <w:tcPr>
            <w:tcW w:w="1474" w:type="dxa"/>
            <w:vAlign w:val="center"/>
          </w:tcPr>
          <w:p>
            <w:pPr>
              <w:pStyle w:val="19"/>
            </w:pPr>
            <w:r>
              <w:t>3747.46</w:t>
            </w:r>
          </w:p>
        </w:tc>
        <w:tc>
          <w:tcPr>
            <w:tcW w:w="1474" w:type="dxa"/>
            <w:vAlign w:val="center"/>
          </w:tcPr>
          <w:p>
            <w:pPr>
              <w:pStyle w:val="19"/>
            </w:pPr>
            <w:r>
              <w:t>3747.46</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418唐山市丰南区青年路街道办事处</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3747.46</w:t>
            </w:r>
          </w:p>
        </w:tc>
        <w:tc>
          <w:tcPr>
            <w:tcW w:w="2551" w:type="dxa"/>
            <w:vAlign w:val="center"/>
          </w:tcPr>
          <w:p>
            <w:pPr>
              <w:pStyle w:val="19"/>
            </w:pPr>
            <w:r>
              <w:t>1262.08</w:t>
            </w:r>
          </w:p>
        </w:tc>
        <w:tc>
          <w:tcPr>
            <w:tcW w:w="2551" w:type="dxa"/>
            <w:vAlign w:val="center"/>
          </w:tcPr>
          <w:p>
            <w:pPr>
              <w:pStyle w:val="19"/>
            </w:pPr>
            <w:r>
              <w:t>2485.38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144.97</w:t>
            </w:r>
          </w:p>
        </w:tc>
        <w:tc>
          <w:tcPr>
            <w:tcW w:w="2551" w:type="dxa"/>
            <w:vAlign w:val="center"/>
          </w:tcPr>
          <w:p>
            <w:pPr>
              <w:pStyle w:val="15"/>
            </w:pPr>
            <w:r>
              <w:t>140.79</w:t>
            </w:r>
          </w:p>
        </w:tc>
        <w:tc>
          <w:tcPr>
            <w:tcW w:w="2551" w:type="dxa"/>
            <w:vAlign w:val="center"/>
          </w:tcPr>
          <w:p>
            <w:pPr>
              <w:pStyle w:val="15"/>
            </w:pPr>
            <w:r>
              <w:t>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140.79</w:t>
            </w:r>
          </w:p>
        </w:tc>
        <w:tc>
          <w:tcPr>
            <w:tcW w:w="2551" w:type="dxa"/>
            <w:vAlign w:val="center"/>
          </w:tcPr>
          <w:p>
            <w:pPr>
              <w:pStyle w:val="15"/>
            </w:pPr>
            <w:r>
              <w:t>140.79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26.27</w:t>
            </w:r>
          </w:p>
        </w:tc>
        <w:tc>
          <w:tcPr>
            <w:tcW w:w="2551" w:type="dxa"/>
            <w:vAlign w:val="center"/>
          </w:tcPr>
          <w:p>
            <w:pPr>
              <w:pStyle w:val="15"/>
            </w:pPr>
            <w:r>
              <w:t>26.27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114.52</w:t>
            </w:r>
          </w:p>
        </w:tc>
        <w:tc>
          <w:tcPr>
            <w:tcW w:w="2551" w:type="dxa"/>
            <w:vAlign w:val="center"/>
          </w:tcPr>
          <w:p>
            <w:pPr>
              <w:pStyle w:val="15"/>
            </w:pPr>
            <w:r>
              <w:t>114.52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20807</w:t>
            </w:r>
          </w:p>
        </w:tc>
        <w:tc>
          <w:tcPr>
            <w:tcW w:w="4535" w:type="dxa"/>
            <w:vAlign w:val="center"/>
          </w:tcPr>
          <w:p>
            <w:pPr>
              <w:pStyle w:val="16"/>
            </w:pPr>
            <w:r>
              <w:t>就业补助</w:t>
            </w:r>
          </w:p>
        </w:tc>
        <w:tc>
          <w:tcPr>
            <w:tcW w:w="2551" w:type="dxa"/>
            <w:vAlign w:val="center"/>
          </w:tcPr>
          <w:p>
            <w:pPr>
              <w:pStyle w:val="15"/>
            </w:pPr>
            <w:r>
              <w:t>4.18</w:t>
            </w:r>
          </w:p>
        </w:tc>
        <w:tc>
          <w:tcPr>
            <w:tcW w:w="2551" w:type="dxa"/>
            <w:vAlign w:val="center"/>
          </w:tcPr>
          <w:p>
            <w:pPr>
              <w:pStyle w:val="15"/>
            </w:pPr>
          </w:p>
        </w:tc>
        <w:tc>
          <w:tcPr>
            <w:tcW w:w="2551" w:type="dxa"/>
            <w:vAlign w:val="center"/>
          </w:tcPr>
          <w:p>
            <w:pPr>
              <w:pStyle w:val="15"/>
            </w:pPr>
            <w:r>
              <w:t>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2080711</w:t>
            </w:r>
          </w:p>
        </w:tc>
        <w:tc>
          <w:tcPr>
            <w:tcW w:w="4535" w:type="dxa"/>
            <w:vAlign w:val="center"/>
          </w:tcPr>
          <w:p>
            <w:pPr>
              <w:pStyle w:val="16"/>
            </w:pPr>
            <w:r>
              <w:t>就业见习补贴</w:t>
            </w:r>
          </w:p>
        </w:tc>
        <w:tc>
          <w:tcPr>
            <w:tcW w:w="2551" w:type="dxa"/>
            <w:vAlign w:val="center"/>
          </w:tcPr>
          <w:p>
            <w:pPr>
              <w:pStyle w:val="15"/>
            </w:pPr>
            <w:r>
              <w:t>4.18</w:t>
            </w:r>
          </w:p>
        </w:tc>
        <w:tc>
          <w:tcPr>
            <w:tcW w:w="2551" w:type="dxa"/>
            <w:vAlign w:val="center"/>
          </w:tcPr>
          <w:p>
            <w:pPr>
              <w:pStyle w:val="15"/>
            </w:pPr>
          </w:p>
        </w:tc>
        <w:tc>
          <w:tcPr>
            <w:tcW w:w="2551" w:type="dxa"/>
            <w:vAlign w:val="center"/>
          </w:tcPr>
          <w:p>
            <w:pPr>
              <w:pStyle w:val="15"/>
            </w:pPr>
            <w:r>
              <w:t>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96.39</w:t>
            </w:r>
          </w:p>
        </w:tc>
        <w:tc>
          <w:tcPr>
            <w:tcW w:w="2551" w:type="dxa"/>
            <w:vAlign w:val="center"/>
          </w:tcPr>
          <w:p>
            <w:pPr>
              <w:pStyle w:val="15"/>
            </w:pPr>
            <w:r>
              <w:t>96.39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96.39</w:t>
            </w:r>
          </w:p>
        </w:tc>
        <w:tc>
          <w:tcPr>
            <w:tcW w:w="2551" w:type="dxa"/>
            <w:vAlign w:val="center"/>
          </w:tcPr>
          <w:p>
            <w:pPr>
              <w:pStyle w:val="15"/>
            </w:pPr>
            <w:r>
              <w:t>96.39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43.43</w:t>
            </w:r>
          </w:p>
        </w:tc>
        <w:tc>
          <w:tcPr>
            <w:tcW w:w="2551" w:type="dxa"/>
            <w:vAlign w:val="center"/>
          </w:tcPr>
          <w:p>
            <w:pPr>
              <w:pStyle w:val="15"/>
            </w:pPr>
            <w:r>
              <w:t>43.43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5"/>
            </w:pPr>
            <w:r>
              <w:t>52.96</w:t>
            </w:r>
          </w:p>
        </w:tc>
        <w:tc>
          <w:tcPr>
            <w:tcW w:w="2551" w:type="dxa"/>
            <w:vAlign w:val="center"/>
          </w:tcPr>
          <w:p>
            <w:pPr>
              <w:pStyle w:val="15"/>
            </w:pPr>
            <w:r>
              <w:t>52.96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3413.40</w:t>
            </w:r>
          </w:p>
        </w:tc>
        <w:tc>
          <w:tcPr>
            <w:tcW w:w="2551" w:type="dxa"/>
            <w:vAlign w:val="center"/>
          </w:tcPr>
          <w:p>
            <w:pPr>
              <w:pStyle w:val="15"/>
            </w:pPr>
            <w:r>
              <w:t>932.20</w:t>
            </w:r>
          </w:p>
        </w:tc>
        <w:tc>
          <w:tcPr>
            <w:tcW w:w="2551" w:type="dxa"/>
            <w:vAlign w:val="center"/>
          </w:tcPr>
          <w:p>
            <w:pPr>
              <w:pStyle w:val="15"/>
            </w:pPr>
            <w:r>
              <w:t>2481.20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21201</w:t>
            </w:r>
          </w:p>
        </w:tc>
        <w:tc>
          <w:tcPr>
            <w:tcW w:w="4535" w:type="dxa"/>
            <w:vAlign w:val="center"/>
          </w:tcPr>
          <w:p>
            <w:pPr>
              <w:pStyle w:val="16"/>
            </w:pPr>
            <w:r>
              <w:t>城乡社区管理事务</w:t>
            </w:r>
          </w:p>
        </w:tc>
        <w:tc>
          <w:tcPr>
            <w:tcW w:w="2551" w:type="dxa"/>
            <w:vAlign w:val="center"/>
          </w:tcPr>
          <w:p>
            <w:pPr>
              <w:pStyle w:val="15"/>
            </w:pPr>
            <w:r>
              <w:t>3413.40</w:t>
            </w:r>
          </w:p>
        </w:tc>
        <w:tc>
          <w:tcPr>
            <w:tcW w:w="2551" w:type="dxa"/>
            <w:vAlign w:val="center"/>
          </w:tcPr>
          <w:p>
            <w:pPr>
              <w:pStyle w:val="15"/>
            </w:pPr>
            <w:r>
              <w:t>932.20</w:t>
            </w:r>
          </w:p>
        </w:tc>
        <w:tc>
          <w:tcPr>
            <w:tcW w:w="2551" w:type="dxa"/>
            <w:vAlign w:val="center"/>
          </w:tcPr>
          <w:p>
            <w:pPr>
              <w:pStyle w:val="15"/>
            </w:pPr>
            <w:r>
              <w:t>2481.20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2120101</w:t>
            </w:r>
          </w:p>
        </w:tc>
        <w:tc>
          <w:tcPr>
            <w:tcW w:w="4535" w:type="dxa"/>
            <w:vAlign w:val="center"/>
          </w:tcPr>
          <w:p>
            <w:pPr>
              <w:pStyle w:val="16"/>
            </w:pPr>
            <w:r>
              <w:t>行政运行</w:t>
            </w:r>
          </w:p>
        </w:tc>
        <w:tc>
          <w:tcPr>
            <w:tcW w:w="2551" w:type="dxa"/>
            <w:vAlign w:val="center"/>
          </w:tcPr>
          <w:p>
            <w:pPr>
              <w:pStyle w:val="15"/>
            </w:pPr>
            <w:r>
              <w:t>932.20</w:t>
            </w:r>
          </w:p>
        </w:tc>
        <w:tc>
          <w:tcPr>
            <w:tcW w:w="2551" w:type="dxa"/>
            <w:vAlign w:val="center"/>
          </w:tcPr>
          <w:p>
            <w:pPr>
              <w:pStyle w:val="15"/>
            </w:pPr>
            <w:r>
              <w:t>932.20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2120102</w:t>
            </w:r>
          </w:p>
        </w:tc>
        <w:tc>
          <w:tcPr>
            <w:tcW w:w="4535" w:type="dxa"/>
            <w:vAlign w:val="center"/>
          </w:tcPr>
          <w:p>
            <w:pPr>
              <w:pStyle w:val="16"/>
            </w:pPr>
            <w:r>
              <w:t>一般行政管理事务</w:t>
            </w:r>
          </w:p>
        </w:tc>
        <w:tc>
          <w:tcPr>
            <w:tcW w:w="2551" w:type="dxa"/>
            <w:vAlign w:val="center"/>
          </w:tcPr>
          <w:p>
            <w:pPr>
              <w:pStyle w:val="15"/>
            </w:pPr>
            <w:r>
              <w:t>2481.20</w:t>
            </w:r>
          </w:p>
        </w:tc>
        <w:tc>
          <w:tcPr>
            <w:tcW w:w="2551" w:type="dxa"/>
            <w:vAlign w:val="center"/>
          </w:tcPr>
          <w:p>
            <w:pPr>
              <w:pStyle w:val="15"/>
            </w:pPr>
          </w:p>
        </w:tc>
        <w:tc>
          <w:tcPr>
            <w:tcW w:w="2551" w:type="dxa"/>
            <w:vAlign w:val="center"/>
          </w:tcPr>
          <w:p>
            <w:pPr>
              <w:pStyle w:val="15"/>
            </w:pPr>
            <w:r>
              <w:t>2481.20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92.70</w:t>
            </w:r>
          </w:p>
        </w:tc>
        <w:tc>
          <w:tcPr>
            <w:tcW w:w="2551" w:type="dxa"/>
            <w:vAlign w:val="center"/>
          </w:tcPr>
          <w:p>
            <w:pPr>
              <w:pStyle w:val="15"/>
            </w:pPr>
            <w:r>
              <w:t>92.70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92.70</w:t>
            </w:r>
          </w:p>
        </w:tc>
        <w:tc>
          <w:tcPr>
            <w:tcW w:w="2551" w:type="dxa"/>
            <w:vAlign w:val="center"/>
          </w:tcPr>
          <w:p>
            <w:pPr>
              <w:pStyle w:val="15"/>
            </w:pPr>
            <w:r>
              <w:t>92.70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92.70</w:t>
            </w:r>
          </w:p>
        </w:tc>
        <w:tc>
          <w:tcPr>
            <w:tcW w:w="2551" w:type="dxa"/>
            <w:vAlign w:val="center"/>
          </w:tcPr>
          <w:p>
            <w:pPr>
              <w:pStyle w:val="15"/>
            </w:pPr>
            <w:r>
              <w:t>92.70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418唐山市丰南区青年路街道办事处</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1262.08</w:t>
            </w:r>
          </w:p>
        </w:tc>
        <w:tc>
          <w:tcPr>
            <w:tcW w:w="2551" w:type="dxa"/>
            <w:vAlign w:val="center"/>
          </w:tcPr>
          <w:p>
            <w:pPr>
              <w:pStyle w:val="19"/>
            </w:pPr>
            <w:r>
              <w:t>1170.26</w:t>
            </w:r>
          </w:p>
        </w:tc>
        <w:tc>
          <w:tcPr>
            <w:tcW w:w="2551" w:type="dxa"/>
            <w:vAlign w:val="center"/>
          </w:tcPr>
          <w:p>
            <w:pPr>
              <w:pStyle w:val="19"/>
            </w:pPr>
            <w:r>
              <w:t>91.82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1143.76</w:t>
            </w:r>
          </w:p>
        </w:tc>
        <w:tc>
          <w:tcPr>
            <w:tcW w:w="2551" w:type="dxa"/>
            <w:vAlign w:val="center"/>
          </w:tcPr>
          <w:p>
            <w:pPr>
              <w:pStyle w:val="15"/>
            </w:pPr>
            <w:r>
              <w:t>1143.76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328.12</w:t>
            </w:r>
          </w:p>
        </w:tc>
        <w:tc>
          <w:tcPr>
            <w:tcW w:w="2551" w:type="dxa"/>
            <w:vAlign w:val="center"/>
          </w:tcPr>
          <w:p>
            <w:pPr>
              <w:pStyle w:val="15"/>
            </w:pPr>
            <w:r>
              <w:t>328.12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126.63</w:t>
            </w:r>
          </w:p>
        </w:tc>
        <w:tc>
          <w:tcPr>
            <w:tcW w:w="2551" w:type="dxa"/>
            <w:vAlign w:val="center"/>
          </w:tcPr>
          <w:p>
            <w:pPr>
              <w:pStyle w:val="15"/>
            </w:pPr>
            <w:r>
              <w:t>126.63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40.39</w:t>
            </w:r>
          </w:p>
        </w:tc>
        <w:tc>
          <w:tcPr>
            <w:tcW w:w="2551" w:type="dxa"/>
            <w:vAlign w:val="center"/>
          </w:tcPr>
          <w:p>
            <w:pPr>
              <w:pStyle w:val="15"/>
            </w:pPr>
            <w:r>
              <w:t>40.39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282.44</w:t>
            </w:r>
          </w:p>
        </w:tc>
        <w:tc>
          <w:tcPr>
            <w:tcW w:w="2551" w:type="dxa"/>
            <w:vAlign w:val="center"/>
          </w:tcPr>
          <w:p>
            <w:pPr>
              <w:pStyle w:val="15"/>
            </w:pPr>
            <w:r>
              <w:t>282.44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114.52</w:t>
            </w:r>
          </w:p>
        </w:tc>
        <w:tc>
          <w:tcPr>
            <w:tcW w:w="2551" w:type="dxa"/>
            <w:vAlign w:val="center"/>
          </w:tcPr>
          <w:p>
            <w:pPr>
              <w:pStyle w:val="15"/>
            </w:pPr>
            <w:r>
              <w:t>114.52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43.43</w:t>
            </w:r>
          </w:p>
        </w:tc>
        <w:tc>
          <w:tcPr>
            <w:tcW w:w="2551" w:type="dxa"/>
            <w:vAlign w:val="center"/>
          </w:tcPr>
          <w:p>
            <w:pPr>
              <w:pStyle w:val="15"/>
            </w:pPr>
            <w:r>
              <w:t>43.43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52.96</w:t>
            </w:r>
          </w:p>
        </w:tc>
        <w:tc>
          <w:tcPr>
            <w:tcW w:w="2551" w:type="dxa"/>
            <w:vAlign w:val="center"/>
          </w:tcPr>
          <w:p>
            <w:pPr>
              <w:pStyle w:val="15"/>
            </w:pPr>
            <w:r>
              <w:t>52.96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7.14</w:t>
            </w:r>
          </w:p>
        </w:tc>
        <w:tc>
          <w:tcPr>
            <w:tcW w:w="2551" w:type="dxa"/>
            <w:vAlign w:val="center"/>
          </w:tcPr>
          <w:p>
            <w:pPr>
              <w:pStyle w:val="15"/>
            </w:pPr>
            <w:r>
              <w:t>7.14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92.70</w:t>
            </w:r>
          </w:p>
        </w:tc>
        <w:tc>
          <w:tcPr>
            <w:tcW w:w="2551" w:type="dxa"/>
            <w:vAlign w:val="center"/>
          </w:tcPr>
          <w:p>
            <w:pPr>
              <w:pStyle w:val="15"/>
            </w:pPr>
            <w:r>
              <w:t>92.70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55.43</w:t>
            </w:r>
          </w:p>
        </w:tc>
        <w:tc>
          <w:tcPr>
            <w:tcW w:w="2551" w:type="dxa"/>
            <w:vAlign w:val="center"/>
          </w:tcPr>
          <w:p>
            <w:pPr>
              <w:pStyle w:val="15"/>
            </w:pPr>
            <w:r>
              <w:t>55.43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91.82</w:t>
            </w:r>
          </w:p>
        </w:tc>
        <w:tc>
          <w:tcPr>
            <w:tcW w:w="2551" w:type="dxa"/>
            <w:vAlign w:val="center"/>
          </w:tcPr>
          <w:p>
            <w:pPr>
              <w:pStyle w:val="15"/>
            </w:pPr>
          </w:p>
        </w:tc>
        <w:tc>
          <w:tcPr>
            <w:tcW w:w="2551" w:type="dxa"/>
            <w:vAlign w:val="center"/>
          </w:tcPr>
          <w:p>
            <w:pPr>
              <w:pStyle w:val="15"/>
            </w:pPr>
            <w:r>
              <w:t>91.82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10.52</w:t>
            </w:r>
          </w:p>
        </w:tc>
        <w:tc>
          <w:tcPr>
            <w:tcW w:w="2551" w:type="dxa"/>
            <w:vAlign w:val="center"/>
          </w:tcPr>
          <w:p>
            <w:pPr>
              <w:pStyle w:val="15"/>
            </w:pPr>
          </w:p>
        </w:tc>
        <w:tc>
          <w:tcPr>
            <w:tcW w:w="2551" w:type="dxa"/>
            <w:vAlign w:val="center"/>
          </w:tcPr>
          <w:p>
            <w:pPr>
              <w:pStyle w:val="15"/>
            </w:pPr>
            <w:r>
              <w:t>10.52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1.35</w:t>
            </w:r>
          </w:p>
        </w:tc>
        <w:tc>
          <w:tcPr>
            <w:tcW w:w="2551" w:type="dxa"/>
            <w:vAlign w:val="center"/>
          </w:tcPr>
          <w:p>
            <w:pPr>
              <w:pStyle w:val="15"/>
            </w:pPr>
          </w:p>
        </w:tc>
        <w:tc>
          <w:tcPr>
            <w:tcW w:w="2551" w:type="dxa"/>
            <w:vAlign w:val="center"/>
          </w:tcPr>
          <w:p>
            <w:pPr>
              <w:pStyle w:val="15"/>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6.00</w:t>
            </w:r>
          </w:p>
        </w:tc>
        <w:tc>
          <w:tcPr>
            <w:tcW w:w="2551" w:type="dxa"/>
            <w:vAlign w:val="center"/>
          </w:tcPr>
          <w:p>
            <w:pPr>
              <w:pStyle w:val="15"/>
            </w:pPr>
          </w:p>
        </w:tc>
        <w:tc>
          <w:tcPr>
            <w:tcW w:w="2551"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12.00</w:t>
            </w:r>
          </w:p>
        </w:tc>
        <w:tc>
          <w:tcPr>
            <w:tcW w:w="2551" w:type="dxa"/>
            <w:vAlign w:val="center"/>
          </w:tcPr>
          <w:p>
            <w:pPr>
              <w:pStyle w:val="15"/>
            </w:pPr>
          </w:p>
        </w:tc>
        <w:tc>
          <w:tcPr>
            <w:tcW w:w="2551"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19.46</w:t>
            </w:r>
          </w:p>
        </w:tc>
        <w:tc>
          <w:tcPr>
            <w:tcW w:w="2551" w:type="dxa"/>
            <w:vAlign w:val="center"/>
          </w:tcPr>
          <w:p>
            <w:pPr>
              <w:pStyle w:val="15"/>
            </w:pPr>
          </w:p>
        </w:tc>
        <w:tc>
          <w:tcPr>
            <w:tcW w:w="2551" w:type="dxa"/>
            <w:vAlign w:val="center"/>
          </w:tcPr>
          <w:p>
            <w:pPr>
              <w:pStyle w:val="15"/>
            </w:pPr>
            <w:r>
              <w:t>19.46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0.20</w:t>
            </w:r>
          </w:p>
        </w:tc>
        <w:tc>
          <w:tcPr>
            <w:tcW w:w="2551" w:type="dxa"/>
            <w:vAlign w:val="center"/>
          </w:tcPr>
          <w:p>
            <w:pPr>
              <w:pStyle w:val="15"/>
            </w:pPr>
          </w:p>
        </w:tc>
        <w:tc>
          <w:tcPr>
            <w:tcW w:w="2551"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3.00</w:t>
            </w:r>
          </w:p>
        </w:tc>
        <w:tc>
          <w:tcPr>
            <w:tcW w:w="2551" w:type="dxa"/>
            <w:vAlign w:val="center"/>
          </w:tcPr>
          <w:p>
            <w:pPr>
              <w:pStyle w:val="15"/>
            </w:pPr>
          </w:p>
        </w:tc>
        <w:tc>
          <w:tcPr>
            <w:tcW w:w="2551"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14.15</w:t>
            </w:r>
          </w:p>
        </w:tc>
        <w:tc>
          <w:tcPr>
            <w:tcW w:w="2551" w:type="dxa"/>
            <w:vAlign w:val="center"/>
          </w:tcPr>
          <w:p>
            <w:pPr>
              <w:pStyle w:val="15"/>
            </w:pPr>
          </w:p>
        </w:tc>
        <w:tc>
          <w:tcPr>
            <w:tcW w:w="2551" w:type="dxa"/>
            <w:vAlign w:val="center"/>
          </w:tcPr>
          <w:p>
            <w:pPr>
              <w:pStyle w:val="15"/>
            </w:pPr>
            <w:r>
              <w:t>14.15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7.83</w:t>
            </w:r>
          </w:p>
        </w:tc>
        <w:tc>
          <w:tcPr>
            <w:tcW w:w="2551" w:type="dxa"/>
            <w:vAlign w:val="center"/>
          </w:tcPr>
          <w:p>
            <w:pPr>
              <w:pStyle w:val="15"/>
            </w:pPr>
          </w:p>
        </w:tc>
        <w:tc>
          <w:tcPr>
            <w:tcW w:w="2551" w:type="dxa"/>
            <w:vAlign w:val="center"/>
          </w:tcPr>
          <w:p>
            <w:pPr>
              <w:pStyle w:val="15"/>
            </w:pPr>
            <w:r>
              <w:t>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2.50</w:t>
            </w:r>
          </w:p>
        </w:tc>
        <w:tc>
          <w:tcPr>
            <w:tcW w:w="2551" w:type="dxa"/>
            <w:vAlign w:val="center"/>
          </w:tcPr>
          <w:p>
            <w:pPr>
              <w:pStyle w:val="15"/>
            </w:pPr>
          </w:p>
        </w:tc>
        <w:tc>
          <w:tcPr>
            <w:tcW w:w="2551"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14.00</w:t>
            </w:r>
          </w:p>
        </w:tc>
        <w:tc>
          <w:tcPr>
            <w:tcW w:w="2551" w:type="dxa"/>
            <w:vAlign w:val="center"/>
          </w:tcPr>
          <w:p>
            <w:pPr>
              <w:pStyle w:val="15"/>
            </w:pPr>
          </w:p>
        </w:tc>
        <w:tc>
          <w:tcPr>
            <w:tcW w:w="2551" w:type="dxa"/>
            <w:vAlign w:val="center"/>
          </w:tcPr>
          <w:p>
            <w:pPr>
              <w:pStyle w:val="15"/>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0.81</w:t>
            </w:r>
          </w:p>
        </w:tc>
        <w:tc>
          <w:tcPr>
            <w:tcW w:w="2551" w:type="dxa"/>
            <w:vAlign w:val="center"/>
          </w:tcPr>
          <w:p>
            <w:pPr>
              <w:pStyle w:val="15"/>
            </w:pPr>
          </w:p>
        </w:tc>
        <w:tc>
          <w:tcPr>
            <w:tcW w:w="2551" w:type="dxa"/>
            <w:vAlign w:val="center"/>
          </w:tcPr>
          <w:p>
            <w:pPr>
              <w:pStyle w:val="15"/>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26.50</w:t>
            </w:r>
          </w:p>
        </w:tc>
        <w:tc>
          <w:tcPr>
            <w:tcW w:w="2551" w:type="dxa"/>
            <w:vAlign w:val="center"/>
          </w:tcPr>
          <w:p>
            <w:pPr>
              <w:pStyle w:val="15"/>
            </w:pPr>
            <w:r>
              <w:t>26.50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26.27</w:t>
            </w:r>
          </w:p>
        </w:tc>
        <w:tc>
          <w:tcPr>
            <w:tcW w:w="2551" w:type="dxa"/>
            <w:vAlign w:val="center"/>
          </w:tcPr>
          <w:p>
            <w:pPr>
              <w:pStyle w:val="15"/>
            </w:pPr>
            <w:r>
              <w:t>26.27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0.23</w:t>
            </w:r>
          </w:p>
        </w:tc>
        <w:tc>
          <w:tcPr>
            <w:tcW w:w="2551" w:type="dxa"/>
            <w:vAlign w:val="center"/>
          </w:tcPr>
          <w:p>
            <w:pPr>
              <w:pStyle w:val="15"/>
            </w:pPr>
            <w:r>
              <w:t>0.23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418唐山市丰南区青年路街道办事处</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418唐山市丰南区青年路街道办事处</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418唐山市丰南区青年路街道办事处</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pPr>
            <w:r>
              <w:t>2.50</w:t>
            </w:r>
          </w:p>
        </w:tc>
        <w:tc>
          <w:tcPr>
            <w:tcW w:w="2381" w:type="dxa"/>
            <w:vAlign w:val="center"/>
          </w:tcPr>
          <w:p>
            <w:pPr>
              <w:pStyle w:val="19"/>
            </w:pPr>
            <w:r>
              <w:t>2.50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2" w:type="dxa"/>
            <w:vAlign w:val="center"/>
          </w:tcPr>
          <w:p>
            <w:pPr>
              <w:pStyle w:val="15"/>
            </w:pPr>
            <w:r>
              <w:t>2.50</w:t>
            </w:r>
          </w:p>
        </w:tc>
        <w:tc>
          <w:tcPr>
            <w:tcW w:w="2381" w:type="dxa"/>
            <w:vAlign w:val="center"/>
          </w:tcPr>
          <w:p>
            <w:pPr>
              <w:pStyle w:val="15"/>
            </w:pPr>
            <w:r>
              <w:t>2.50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二、公务用车购置及维护费</w:t>
            </w:r>
          </w:p>
        </w:tc>
        <w:tc>
          <w:tcPr>
            <w:tcW w:w="2382" w:type="dxa"/>
            <w:vAlign w:val="center"/>
          </w:tcPr>
          <w:p>
            <w:pPr>
              <w:pStyle w:val="15"/>
            </w:pPr>
            <w:r>
              <w:t>2.50</w:t>
            </w:r>
          </w:p>
        </w:tc>
        <w:tc>
          <w:tcPr>
            <w:tcW w:w="2381" w:type="dxa"/>
            <w:vAlign w:val="center"/>
          </w:tcPr>
          <w:p>
            <w:pPr>
              <w:pStyle w:val="15"/>
            </w:pPr>
            <w:r>
              <w:t>2.50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 xml:space="preserve">          公务用车运行维护费</w:t>
            </w:r>
          </w:p>
        </w:tc>
        <w:tc>
          <w:tcPr>
            <w:tcW w:w="2382" w:type="dxa"/>
            <w:vAlign w:val="center"/>
          </w:tcPr>
          <w:p>
            <w:pPr>
              <w:pStyle w:val="15"/>
            </w:pPr>
            <w:r>
              <w:t>2.50</w:t>
            </w:r>
          </w:p>
        </w:tc>
        <w:tc>
          <w:tcPr>
            <w:tcW w:w="2381" w:type="dxa"/>
            <w:vAlign w:val="center"/>
          </w:tcPr>
          <w:p>
            <w:pPr>
              <w:pStyle w:val="15"/>
            </w:pPr>
            <w:r>
              <w:t>2.50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三、公务接待费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唐山市丰南区青年路街道办事处2023年部门预算信息公开情况说明</w:t>
      </w:r>
    </w:p>
    <w:p>
      <w:pPr>
        <w:jc w:val="center"/>
      </w:pPr>
      <w:r>
        <w:rPr>
          <w:rFonts w:ascii="方正小标宋_GBK" w:hAnsi="方正小标宋_GBK" w:eastAsia="方正小标宋_GBK" w:cs="方正小标宋_GBK"/>
          <w:color w:val="000000"/>
          <w:sz w:val="44"/>
        </w:rPr>
        <w:t>唐山市丰南区青年路街道办事处2023年部门预算信息公开情况说明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按照《预算法》、《地方预决算公开操作规程》和《关于进一步推进预算公开工作的实施意见》规定，现将唐山市丰南区青年路街道办事处2023年部门预算公开如下：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t>（一）宣传贯彻执行党的路线方针政策和党中央、上级党组织的决议。贯彻执行法律、法规、规章和上级人民代表大会及其常务委员会决议及上级政府的决定、命令，依法管理辖区公共事务。</w:t>
      </w:r>
    </w:p>
    <w:p>
      <w:pPr>
        <w:pStyle w:val="21"/>
      </w:pPr>
      <w:r>
        <w:t xml:space="preserve">（二）讨论幵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 </w:t>
      </w:r>
    </w:p>
    <w:p>
      <w:pPr>
        <w:pStyle w:val="21"/>
      </w:pPr>
      <w:r>
        <w:t>（三）</w:t>
      </w:r>
      <w:r>
        <w:tab/>
      </w:r>
      <w:r>
        <w:t xml:space="preserve">负责办理上级人大常委会交办的监督、选举以及其他工作，做好人大代表工作，联系选民、反映群众意见和要求。 </w:t>
      </w:r>
    </w:p>
    <w:p>
      <w:pPr>
        <w:pStyle w:val="21"/>
      </w:pPr>
      <w:r>
        <w:t>（四）</w:t>
      </w:r>
      <w:r>
        <w:tab/>
      </w:r>
      <w:r>
        <w:t xml:space="preserve">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 </w:t>
      </w:r>
    </w:p>
    <w:p>
      <w:pPr>
        <w:pStyle w:val="21"/>
      </w:pPr>
      <w:r>
        <w:t>（五）</w:t>
      </w:r>
      <w:r>
        <w:tab/>
      </w:r>
      <w:r>
        <w:t xml:space="preserve">街道党工委领导群团组织，加强指导和规范，支持和保证群团组织依照国家法律法规以及各自章程履行职责。坚持党管武装的根本原则和制度，协调各方力量，对街道人民武装工作实行统一领导。 </w:t>
      </w:r>
    </w:p>
    <w:p>
      <w:pPr>
        <w:pStyle w:val="21"/>
      </w:pPr>
      <w:r>
        <w:t>（六）</w:t>
      </w:r>
      <w:r>
        <w:tab/>
      </w:r>
      <w:r>
        <w:t xml:space="preserve">指导居民委员会等基层群众性自治组织建设，健全自治平台。组织动员社区居民、单位和社会力量参与社区治理，整合辖区内社会力量，形成社区共治合力，为社区发展服务。对社区工作者队伍进行教育管理。 </w:t>
      </w:r>
    </w:p>
    <w:p>
      <w:pPr>
        <w:pStyle w:val="21"/>
      </w:pPr>
      <w:r>
        <w:t>（七）</w:t>
      </w:r>
      <w:r>
        <w:tab/>
      </w:r>
      <w:r>
        <w:t>按照管理权限，对街道机关及所属单位干部进行教育、培训、选拔、考核和监督，对上级政府职能部门派出机构的工作考核和主要负责同志任免提出意见。</w:t>
      </w:r>
    </w:p>
    <w:p>
      <w:pPr>
        <w:pStyle w:val="21"/>
      </w:pPr>
      <w:r>
        <w:t xml:space="preserve">（八）组织维护辖区安全稳定，协调推动社会治安综合治理, 做好应急管理、民族宗教工作，承担民兵预备役、征兵、退役军人服务、拥军优属、防范邪教等工作。 </w:t>
      </w:r>
    </w:p>
    <w:p>
      <w:pPr>
        <w:pStyle w:val="21"/>
      </w:pPr>
      <w:r>
        <w:t>（九）</w:t>
      </w:r>
      <w:r>
        <w:tab/>
      </w:r>
      <w:r>
        <w:t xml:space="preserve">组织开展群众性文化、体育、科普活动，开展法治宣传和社会公德教育，推动社区公益事业发展。维护老年人、妇女、未成年人、残疾人等合法权益。 </w:t>
      </w:r>
    </w:p>
    <w:p>
      <w:pPr>
        <w:pStyle w:val="21"/>
      </w:pPr>
      <w:r>
        <w:t>（十）</w:t>
      </w:r>
      <w:r>
        <w:tab/>
      </w:r>
      <w:r>
        <w:t xml:space="preserve">参与辖区设施规划、建设和验收，综合管理、统筹调度和考核督办涉及辖区的公共事务，按照有关规定统筹使用下沉到街道社区的人财物等资源。 </w:t>
      </w:r>
    </w:p>
    <w:p>
      <w:pPr>
        <w:pStyle w:val="21"/>
      </w:pPr>
      <w:r>
        <w:t>（十一）承办上级党委、人大、政府交办的其他事项。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唐山市丰南区青年路街道办事处本级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按照预算管理有关规定，目前我省部门预算的编制实行综合预算管理，即全部收入和支出都反映在预算中。唐山市丰南区青年路街道办事处机关及所属事业单位的收支包含在部门预算中。</w:t>
      </w:r>
    </w:p>
    <w:p>
      <w:pPr>
        <w:pStyle w:val="22"/>
      </w:pPr>
      <w:r>
        <w:t>（一）收入说明</w:t>
      </w:r>
    </w:p>
    <w:p>
      <w:pPr>
        <w:pStyle w:val="22"/>
      </w:pPr>
      <w:r>
        <w:rPr>
          <w:rFonts w:hint="eastAsia"/>
          <w:lang w:eastAsia="zh-CN"/>
        </w:rPr>
        <w:t>反映本部门当年全部收入。</w:t>
      </w:r>
      <w:r>
        <w:t>2023年部门预算收入3747.46万元，其中：一般公共预算拨款3747.46万元，政府性基金预算拨款0万元，国有资本经营预算拨款0万元，财政专户核拨0万元，单位资金0万元。</w:t>
      </w:r>
    </w:p>
    <w:p>
      <w:pPr>
        <w:pStyle w:val="22"/>
      </w:pPr>
      <w:r>
        <w:t>（二）支出说明</w:t>
      </w:r>
    </w:p>
    <w:p>
      <w:pPr>
        <w:pStyle w:val="22"/>
      </w:pPr>
      <w:r>
        <w:rPr>
          <w:rFonts w:hint="eastAsia"/>
          <w:lang w:eastAsia="zh-CN"/>
        </w:rPr>
        <w:t>收支预算总表支出栏、基本支出表、项目支出表按经济分类和支出功能分类科目编制，反映</w:t>
      </w:r>
      <w:r>
        <w:rPr>
          <w:rFonts w:hint="eastAsia"/>
          <w:lang w:val="en-US" w:eastAsia="zh-CN"/>
        </w:rPr>
        <w:t>2023年度部门预算中支出预算的总体情况。</w:t>
      </w:r>
      <w:r>
        <w:t>2023年部门预算支出3747.46万元，其中</w:t>
      </w:r>
      <w:r>
        <w:rPr>
          <w:rFonts w:hint="eastAsia"/>
          <w:lang w:eastAsia="zh-CN"/>
        </w:rPr>
        <w:t>基本支出1262.08万元，包括</w:t>
      </w:r>
      <w:r>
        <w:t>人员经费1170.26万元</w:t>
      </w:r>
      <w:r>
        <w:rPr>
          <w:rFonts w:hint="eastAsia"/>
          <w:lang w:eastAsia="zh-CN"/>
        </w:rPr>
        <w:t>和</w:t>
      </w:r>
      <w:r>
        <w:t>日常公用经费91.82万元</w:t>
      </w:r>
      <w:r>
        <w:rPr>
          <w:rFonts w:hint="eastAsia"/>
          <w:lang w:eastAsia="zh-CN"/>
        </w:rPr>
        <w:t>；</w:t>
      </w:r>
      <w:r>
        <w:t>项目支出2485.38万元</w:t>
      </w:r>
      <w:r>
        <w:rPr>
          <w:rFonts w:hint="eastAsia"/>
          <w:lang w:eastAsia="zh-CN"/>
        </w:rPr>
        <w:t>，主要为劳务派遣人员劳务费、劳务外包经费、</w:t>
      </w:r>
      <w:r>
        <w:t>社区工作者薪酬</w:t>
      </w:r>
      <w:r>
        <w:rPr>
          <w:rFonts w:hint="eastAsia"/>
          <w:lang w:eastAsia="zh-CN"/>
        </w:rPr>
        <w:t>、</w:t>
      </w:r>
      <w:r>
        <w:t>退役军人公益性岗位安置费用</w:t>
      </w:r>
      <w:r>
        <w:rPr>
          <w:rFonts w:hint="eastAsia"/>
          <w:lang w:eastAsia="zh-CN"/>
        </w:rPr>
        <w:t>、</w:t>
      </w:r>
      <w:r>
        <w:t>卫健小组长经费。</w:t>
      </w:r>
    </w:p>
    <w:p>
      <w:pPr>
        <w:pStyle w:val="22"/>
      </w:pPr>
      <w:r>
        <w:t>（三）比上年增减情况</w:t>
      </w:r>
    </w:p>
    <w:p>
      <w:pPr>
        <w:pStyle w:val="22"/>
      </w:pPr>
      <w:r>
        <w:t>2023年部门预算</w:t>
      </w:r>
      <w:r>
        <w:rPr>
          <w:rFonts w:hint="eastAsia"/>
          <w:lang w:eastAsia="zh-CN"/>
        </w:rPr>
        <w:t>收支安排</w:t>
      </w:r>
      <w:r>
        <w:t>3747.46</w:t>
      </w:r>
      <w:r>
        <w:rPr>
          <w:rFonts w:hint="eastAsia"/>
          <w:lang w:eastAsia="zh-CN"/>
        </w:rPr>
        <w:t>万元，</w:t>
      </w:r>
      <w:r>
        <w:t>较2022年</w:t>
      </w:r>
      <w:r>
        <w:rPr>
          <w:rFonts w:hint="eastAsia"/>
          <w:lang w:eastAsia="zh-CN"/>
        </w:rPr>
        <w:t>预算</w:t>
      </w:r>
      <w:r>
        <w:t>增加326.13万元，其中</w:t>
      </w:r>
      <w:r>
        <w:rPr>
          <w:rFonts w:hint="eastAsia"/>
          <w:lang w:eastAsia="zh-CN"/>
        </w:rPr>
        <w:t>：基本支出增加263.58万元，主要为增加人员经费支出；</w:t>
      </w:r>
      <w:r>
        <w:t>项目</w:t>
      </w:r>
      <w:r>
        <w:rPr>
          <w:rFonts w:hint="eastAsia"/>
          <w:lang w:eastAsia="zh-CN"/>
        </w:rPr>
        <w:t>支出</w:t>
      </w:r>
      <w:r>
        <w:t>增加62.55万元</w:t>
      </w:r>
      <w:r>
        <w:rPr>
          <w:rFonts w:hint="eastAsia"/>
          <w:lang w:eastAsia="zh-CN"/>
        </w:rPr>
        <w:t>，主要为劳务派遣人员劳务费、劳务外包经费、</w:t>
      </w:r>
      <w:r>
        <w:t>退役军人公益性岗位安置费用</w:t>
      </w:r>
      <w:r>
        <w:rPr>
          <w:rFonts w:hint="eastAsia"/>
          <w:lang w:eastAsia="zh-CN"/>
        </w:rPr>
        <w:t>、就业见习补贴</w:t>
      </w:r>
      <w:bookmarkStart w:id="18" w:name="_GoBack"/>
      <w:bookmarkEnd w:id="18"/>
      <w:r>
        <w:t>。</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3"/>
      </w:pPr>
      <w:r>
        <w:t>2023年机关运行经费共计安排91.82万元，主要包括用于保证机关正常运转的办公费、邮电费、差旅费、日常维修费、办公用房水电费、办公用房取暖费、公务用车运行维护费、工会费、福利费、移动通讯补贴、交通补贴、退休福利费及退休干部报刊费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2023年部门“三公”经费预算安排2.5万元，与2022年相比无增减变化。具体增减情况为：</w:t>
      </w:r>
    </w:p>
    <w:p>
      <w:pPr>
        <w:pStyle w:val="24"/>
      </w:pPr>
      <w:r>
        <w:t>（一）公务用车购置及运行</w:t>
      </w:r>
      <w:r>
        <w:rPr>
          <w:rFonts w:hint="eastAsia"/>
          <w:lang w:val="en-US" w:eastAsia="zh-CN"/>
        </w:rPr>
        <w:t>维护费0</w:t>
      </w:r>
      <w:r>
        <w:t>万元，</w:t>
      </w:r>
      <w:r>
        <w:rPr>
          <w:rFonts w:hint="eastAsia"/>
          <w:lang w:eastAsia="zh-CN"/>
        </w:rPr>
        <w:t>其中</w:t>
      </w:r>
      <w:r>
        <w:t>公务用车购置</w:t>
      </w:r>
      <w:r>
        <w:rPr>
          <w:rFonts w:hint="eastAsia"/>
          <w:lang w:val="en-US" w:eastAsia="zh-CN"/>
        </w:rPr>
        <w:t>0万元、公务用车运行维护费0万元，均</w:t>
      </w:r>
      <w:r>
        <w:t>与2022年相比无增减变化。</w:t>
      </w:r>
    </w:p>
    <w:p>
      <w:pPr>
        <w:pStyle w:val="24"/>
      </w:pPr>
      <w:r>
        <w:t>（二）公务接待费0万元，与2022年相比无增减变化。</w:t>
      </w:r>
    </w:p>
    <w:p>
      <w:pPr>
        <w:pStyle w:val="24"/>
      </w:pPr>
      <w:r>
        <w:t>（三）因公出国（境）费0万元，与2022年相比无增减变化。</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5"/>
      </w:pPr>
      <w:r>
        <w:t>紧紧围绕习近平总书记在二十大报告中提出的“增进民生福祉，提高人民生活品质”目标，把群众呼声作为“第一信号”，把群众需求作为“第一要素”，把群众利益作为“第一考虑”，把群众满意作为“第一标准”，采取更多惠民生、暖民心举措，不断实现人民对美好生活的向往。</w:t>
      </w:r>
    </w:p>
    <w:p>
      <w:pPr>
        <w:spacing w:line="500" w:lineRule="exact"/>
        <w:ind w:firstLine="560"/>
      </w:pPr>
      <w:r>
        <w:rPr>
          <w:rFonts w:eastAsia="方正仿宋_GBK"/>
          <w:color w:val="000000"/>
          <w:sz w:val="28"/>
        </w:rPr>
        <w:t>（二）分项绩效目标</w:t>
      </w:r>
    </w:p>
    <w:p>
      <w:pPr>
        <w:pStyle w:val="26"/>
      </w:pPr>
      <w:r>
        <w:t>（一）保障日常工作顺利开展和机关事务的基本运转</w:t>
      </w:r>
    </w:p>
    <w:p>
      <w:pPr>
        <w:pStyle w:val="26"/>
      </w:pPr>
      <w:r>
        <w:t>1、绩效目标：确保机关各项工作正常运转。</w:t>
      </w:r>
    </w:p>
    <w:p>
      <w:pPr>
        <w:pStyle w:val="26"/>
      </w:pPr>
      <w:r>
        <w:t>绩效指标：工作完成率，指标值为＞90%</w:t>
      </w:r>
    </w:p>
    <w:p>
      <w:pPr>
        <w:pStyle w:val="26"/>
      </w:pPr>
      <w:r>
        <w:t>2、绩效目标： 完成区妇联交办的各项工作任务。</w:t>
      </w:r>
    </w:p>
    <w:p>
      <w:pPr>
        <w:pStyle w:val="26"/>
      </w:pPr>
      <w:r>
        <w:t>绩效指标：工作完成率，指标值为＞90%</w:t>
      </w:r>
    </w:p>
    <w:p>
      <w:pPr>
        <w:pStyle w:val="26"/>
      </w:pPr>
      <w:r>
        <w:t>3、绩效目标： 完成街道党工委和上级团组织交办的各项工作。</w:t>
      </w:r>
    </w:p>
    <w:p>
      <w:pPr>
        <w:pStyle w:val="26"/>
      </w:pPr>
      <w:r>
        <w:t>绩效指标：工作完成率，指标值为＞90%</w:t>
      </w:r>
    </w:p>
    <w:p>
      <w:pPr>
        <w:pStyle w:val="26"/>
      </w:pPr>
      <w:r>
        <w:t>4、绩效目标：增进职工、社区、街道间联系，增强组织凝聚力和职工的向心力</w:t>
      </w:r>
    </w:p>
    <w:p>
      <w:pPr>
        <w:pStyle w:val="26"/>
      </w:pPr>
      <w:r>
        <w:t>绩效指标：职工满意度，指标值为＞90%</w:t>
      </w:r>
    </w:p>
    <w:p>
      <w:pPr>
        <w:pStyle w:val="26"/>
      </w:pPr>
      <w:r>
        <w:t>5、绩效目标：完成资产管理各项工作。</w:t>
      </w:r>
    </w:p>
    <w:p>
      <w:pPr>
        <w:pStyle w:val="26"/>
      </w:pPr>
      <w:r>
        <w:t>绩效指标：工作完成率，指标值为＞90%</w:t>
      </w:r>
    </w:p>
    <w:p>
      <w:pPr>
        <w:pStyle w:val="26"/>
      </w:pPr>
      <w:r>
        <w:t>6、绩效目标：完成市级、区级党建示范点建设任务，率先建成幸福家园全域示范街道。</w:t>
      </w:r>
    </w:p>
    <w:p>
      <w:pPr>
        <w:pStyle w:val="26"/>
      </w:pPr>
      <w:r>
        <w:t>绩效指标：工作完成率，指标值为＞90%</w:t>
      </w:r>
    </w:p>
    <w:p>
      <w:pPr>
        <w:pStyle w:val="26"/>
      </w:pPr>
      <w:r>
        <w:t>7、绩效目标：发展党员，培养人才，选优配强基层组织队伍</w:t>
      </w:r>
    </w:p>
    <w:p>
      <w:pPr>
        <w:pStyle w:val="26"/>
      </w:pPr>
      <w:r>
        <w:t>绩效指标：干部培训完成次数，指标值为3次</w:t>
      </w:r>
    </w:p>
    <w:p>
      <w:pPr>
        <w:pStyle w:val="26"/>
      </w:pPr>
      <w:r>
        <w:t>8、绩效目标：宣传国防法规政策。</w:t>
      </w:r>
    </w:p>
    <w:p>
      <w:pPr>
        <w:pStyle w:val="26"/>
      </w:pPr>
      <w:r>
        <w:t>绩效指标：国防知识及相关法律法规知晓率，指标值为＞80%</w:t>
      </w:r>
    </w:p>
    <w:p>
      <w:pPr>
        <w:pStyle w:val="26"/>
      </w:pPr>
      <w:r>
        <w:t>9、绩效目标：提高党员干部拒腐防变能力，减少违法违纪案件发生</w:t>
      </w:r>
    </w:p>
    <w:p>
      <w:pPr>
        <w:pStyle w:val="26"/>
      </w:pPr>
      <w:r>
        <w:t>绩效指标：年度内违法违纪案件发生数量，指标值为＜5次</w:t>
      </w:r>
    </w:p>
    <w:p>
      <w:pPr>
        <w:pStyle w:val="26"/>
      </w:pPr>
      <w:r>
        <w:t>10、绩效目标：提高居民的整体素质。</w:t>
      </w:r>
    </w:p>
    <w:p>
      <w:pPr>
        <w:pStyle w:val="26"/>
      </w:pPr>
      <w:r>
        <w:t>绩效指标：提升辖区居民文明素质程度，指标值为明显提升。</w:t>
      </w:r>
    </w:p>
    <w:p>
      <w:pPr>
        <w:pStyle w:val="26"/>
      </w:pPr>
      <w:r>
        <w:t>（二）繁荣群众文化生活，创建安全文明社区，确保社会综合治理各项工作顺利完成，维护社会的和谐和稳定。</w:t>
      </w:r>
    </w:p>
    <w:p>
      <w:pPr>
        <w:pStyle w:val="26"/>
      </w:pPr>
      <w:r>
        <w:t>11、绩效目标：文体队扶持</w:t>
      </w:r>
    </w:p>
    <w:p>
      <w:pPr>
        <w:pStyle w:val="26"/>
      </w:pPr>
      <w:r>
        <w:t>绩效指标：文艺品牌团队数量，指标值为≥4个</w:t>
      </w:r>
    </w:p>
    <w:p>
      <w:pPr>
        <w:pStyle w:val="26"/>
      </w:pPr>
      <w:r>
        <w:t>12、绩效目标：信访案件稳控到位，及时办理，无非法访和越级访</w:t>
      </w:r>
    </w:p>
    <w:p>
      <w:pPr>
        <w:pStyle w:val="26"/>
      </w:pPr>
      <w:r>
        <w:t>绩效指标：信访事项办理率，指标值为＞70%</w:t>
      </w:r>
    </w:p>
    <w:p>
      <w:pPr>
        <w:pStyle w:val="26"/>
      </w:pPr>
      <w:r>
        <w:t>13、绩效目标：扫黑除恶宣传活动到位</w:t>
      </w:r>
    </w:p>
    <w:p>
      <w:pPr>
        <w:pStyle w:val="26"/>
      </w:pPr>
      <w:r>
        <w:t>绩效指标：宣传活动区域覆盖率，指标值为＞70%</w:t>
      </w:r>
    </w:p>
    <w:p>
      <w:pPr>
        <w:pStyle w:val="26"/>
      </w:pPr>
      <w:r>
        <w:t>14、绩效目标：基层平安创建</w:t>
      </w:r>
    </w:p>
    <w:p>
      <w:pPr>
        <w:pStyle w:val="26"/>
      </w:pPr>
      <w:r>
        <w:t>绩效指标：“八无”社区创建完成率，指标值为＞40%</w:t>
      </w:r>
    </w:p>
    <w:p>
      <w:pPr>
        <w:pStyle w:val="26"/>
      </w:pPr>
      <w:r>
        <w:t>15、绩效目标：组织抵制毒品、参与禁毒等主题宣传教育活动</w:t>
      </w:r>
    </w:p>
    <w:p>
      <w:pPr>
        <w:pStyle w:val="26"/>
      </w:pPr>
      <w:r>
        <w:t>绩效指标：对禁毒人员的宣教效果，指标值为效果明显。</w:t>
      </w:r>
    </w:p>
    <w:p>
      <w:pPr>
        <w:pStyle w:val="26"/>
      </w:pPr>
      <w:r>
        <w:t>16、绩效目标：综治智能化建设</w:t>
      </w:r>
    </w:p>
    <w:p>
      <w:pPr>
        <w:pStyle w:val="26"/>
      </w:pPr>
      <w:r>
        <w:t>绩效指标：街居两级综治中心建成率，指标值为＞80%</w:t>
      </w:r>
    </w:p>
    <w:p>
      <w:pPr>
        <w:pStyle w:val="26"/>
      </w:pPr>
      <w:r>
        <w:t>17、绩效目标：促进失业人员再就业</w:t>
      </w:r>
    </w:p>
    <w:p>
      <w:pPr>
        <w:pStyle w:val="26"/>
      </w:pPr>
      <w:r>
        <w:t>绩效指标：实现就业率，指标值为＞70%</w:t>
      </w:r>
    </w:p>
    <w:p>
      <w:pPr>
        <w:pStyle w:val="26"/>
      </w:pPr>
      <w:r>
        <w:t>18、绩效目标：积极开展弱势群体各项社会救助工作</w:t>
      </w:r>
    </w:p>
    <w:p>
      <w:pPr>
        <w:pStyle w:val="26"/>
      </w:pPr>
      <w:r>
        <w:t>绩效指标：城乡居民低保保障率，指标值为＞90%</w:t>
      </w:r>
    </w:p>
    <w:p>
      <w:pPr>
        <w:pStyle w:val="26"/>
      </w:pPr>
      <w:r>
        <w:t>19、绩效目标：不断提高普法宣传和法制教育工作的质量和实效，提高广大群众遵纪守法和依法维权的自觉性。</w:t>
      </w:r>
    </w:p>
    <w:p>
      <w:pPr>
        <w:pStyle w:val="26"/>
      </w:pPr>
      <w:r>
        <w:t>绩效指标：法律服务群众满意度，指标值为＞80%</w:t>
      </w:r>
    </w:p>
    <w:p>
      <w:pPr>
        <w:pStyle w:val="26"/>
      </w:pPr>
      <w:r>
        <w:t>20、绩效目标：打造公平公正的社会环境</w:t>
      </w:r>
    </w:p>
    <w:p>
      <w:pPr>
        <w:pStyle w:val="26"/>
      </w:pPr>
      <w:r>
        <w:t>绩效指标：文明规范执法，指标值为=100%</w:t>
      </w:r>
    </w:p>
    <w:p>
      <w:pPr>
        <w:pStyle w:val="26"/>
      </w:pPr>
      <w:r>
        <w:t>21、绩效目标：协助做好退役军人政策落实情况，优抚服务工作到位。</w:t>
      </w:r>
    </w:p>
    <w:p>
      <w:pPr>
        <w:pStyle w:val="26"/>
      </w:pPr>
      <w:r>
        <w:t>绩效指标：优抚服务完成率，指标值为=100%</w:t>
      </w:r>
    </w:p>
    <w:p>
      <w:pPr>
        <w:pStyle w:val="26"/>
      </w:pPr>
      <w:r>
        <w:t>（三）协调、强化公共功能，实现城市功能完善、运转高效、环境优美、结构合理、社会文明的现代化目标。保证城市的长期、稳定、协调发展和良性运行。保证城市发展计划的实施，促进社会与居民的健康发展。</w:t>
      </w:r>
    </w:p>
    <w:p>
      <w:pPr>
        <w:pStyle w:val="26"/>
      </w:pPr>
      <w:r>
        <w:t>22、绩效目标：做好国家级文明城市及其他重大活动的迎创工作</w:t>
      </w:r>
    </w:p>
    <w:p>
      <w:pPr>
        <w:pStyle w:val="26"/>
      </w:pPr>
      <w:r>
        <w:t>绩效指标：评审标准达标率，指标值为=100%</w:t>
      </w:r>
    </w:p>
    <w:p>
      <w:pPr>
        <w:pStyle w:val="26"/>
      </w:pPr>
      <w:r>
        <w:t>23、绩效目标：督导检查街道辖区内环保工作，发现、纠正、督促消除各类破坏生态环境事件发生。</w:t>
      </w:r>
    </w:p>
    <w:p>
      <w:pPr>
        <w:pStyle w:val="26"/>
      </w:pPr>
      <w:r>
        <w:t>绩效指标：检查覆盖率，指标值为＞70%</w:t>
      </w:r>
    </w:p>
    <w:p>
      <w:pPr>
        <w:pStyle w:val="26"/>
      </w:pPr>
      <w:r>
        <w:t>24、绩效目标：开展健康知识宣传、垃圾分类宣传等活动提高居民环境保护意识</w:t>
      </w:r>
    </w:p>
    <w:p>
      <w:pPr>
        <w:pStyle w:val="26"/>
      </w:pPr>
      <w:r>
        <w:t>绩效指标：宣传活动开展数量，指标值为＞4次</w:t>
      </w:r>
    </w:p>
    <w:p>
      <w:pPr>
        <w:pStyle w:val="26"/>
      </w:pPr>
      <w:r>
        <w:t>25、绩效目标：做好防汛工作，保证辖区安全度过汛期</w:t>
      </w:r>
    </w:p>
    <w:p>
      <w:pPr>
        <w:pStyle w:val="26"/>
      </w:pPr>
      <w:r>
        <w:t>绩效指标：辖区安全度过汛期未发生事故，指标值为0</w:t>
      </w:r>
    </w:p>
    <w:p>
      <w:pPr>
        <w:pStyle w:val="26"/>
      </w:pPr>
      <w:r>
        <w:t>26、绩效目标：做好安全隐患排查整改等工作，保障辖区居民生命财产安全和社会稳定。</w:t>
      </w:r>
    </w:p>
    <w:p>
      <w:pPr>
        <w:pStyle w:val="26"/>
      </w:pPr>
      <w:r>
        <w:t>绩效指标：安全隐患排查覆盖率，指标值为＞70%</w:t>
      </w:r>
    </w:p>
    <w:p>
      <w:pPr>
        <w:pStyle w:val="26"/>
      </w:pPr>
      <w:r>
        <w:t>27、绩效目标：切实做好食品药品安全协助工作，保障辖区居民身体健康和生命安全</w:t>
      </w:r>
    </w:p>
    <w:p>
      <w:pPr>
        <w:pStyle w:val="26"/>
      </w:pPr>
      <w:r>
        <w:t>绩效指标：食药安全事故发生率降低幅度，指标值为＞30%</w:t>
      </w:r>
    </w:p>
    <w:p>
      <w:pPr>
        <w:pStyle w:val="26"/>
      </w:pPr>
      <w:r>
        <w:t>28、绩效目标：建立健全计生家庭户奖励扶助体系，推动特扶家庭帮扶工作全面开展。</w:t>
      </w:r>
    </w:p>
    <w:p>
      <w:pPr>
        <w:pStyle w:val="26"/>
      </w:pPr>
      <w:r>
        <w:t>绩效指标：计划生育家庭特别扶助政策落实率，指标值为100%</w:t>
      </w:r>
    </w:p>
    <w:p>
      <w:pPr>
        <w:pStyle w:val="26"/>
      </w:pPr>
      <w:r>
        <w:t>29、绩效目标：为居民提供证照办理服务更加快捷高效。</w:t>
      </w:r>
    </w:p>
    <w:p>
      <w:pPr>
        <w:pStyle w:val="26"/>
      </w:pPr>
      <w:r>
        <w:t>绩效指标：市场准入审批群众满意度，指标值为＞70%</w:t>
      </w:r>
    </w:p>
    <w:p>
      <w:pPr>
        <w:pStyle w:val="26"/>
      </w:pPr>
      <w:r>
        <w:t>（四）面向社区居民，提供便民、利民服务</w:t>
      </w:r>
    </w:p>
    <w:p>
      <w:pPr>
        <w:pStyle w:val="26"/>
      </w:pPr>
      <w:r>
        <w:t>30、绩效目标：提高街道社区居民管理信息化、数字化水平</w:t>
      </w:r>
    </w:p>
    <w:p>
      <w:pPr>
        <w:pStyle w:val="26"/>
      </w:pPr>
      <w:r>
        <w:t>绩效指标：保障现有网格化系统功能完善及正常运行率，指标值为＞80%</w:t>
      </w:r>
    </w:p>
    <w:p>
      <w:pPr>
        <w:pStyle w:val="26"/>
      </w:pPr>
      <w:r>
        <w:t>31、绩效目标：提高社区工作人员专业化、职业化水平，提升服务能力。</w:t>
      </w:r>
    </w:p>
    <w:p>
      <w:pPr>
        <w:pStyle w:val="26"/>
      </w:pPr>
      <w:r>
        <w:t>绩效指标：培训次数，指标值为＞6次</w:t>
      </w:r>
    </w:p>
    <w:p>
      <w:pPr>
        <w:pStyle w:val="26"/>
      </w:pPr>
      <w:r>
        <w:t>32、绩效目标：发展社区公益事业和社区福利事业，切实为广大群众做好事、做实事。</w:t>
      </w:r>
    </w:p>
    <w:p>
      <w:pPr>
        <w:pStyle w:val="26"/>
      </w:pPr>
      <w:r>
        <w:t>绩效指标：社区居民满意率，指标值为≥70%</w:t>
      </w:r>
    </w:p>
    <w:p>
      <w:pPr>
        <w:pStyle w:val="26"/>
      </w:pPr>
      <w:r>
        <w:t>33、绩效目标：及时全面、保质保量完成各项统计调查任务</w:t>
      </w:r>
    </w:p>
    <w:p>
      <w:pPr>
        <w:pStyle w:val="26"/>
      </w:pPr>
      <w:r>
        <w:t>绩效指标：统计数据收集准确性，指标值为＞95%</w:t>
      </w:r>
    </w:p>
    <w:p>
      <w:pPr>
        <w:pStyle w:val="26"/>
      </w:pPr>
      <w:r>
        <w:t>（五）加强代表之家、联络站建设，为代表履职搭建平台</w:t>
      </w:r>
    </w:p>
    <w:p>
      <w:pPr>
        <w:pStyle w:val="26"/>
      </w:pPr>
      <w:r>
        <w:t>34、绩效目标：为代表履职搭建平台，发挥人大代表的桥梁纽带作用，集中反映民意，促进依法履职，高标准建设“五星级”代表之家、联络站。</w:t>
      </w:r>
    </w:p>
    <w:p>
      <w:pPr>
        <w:pStyle w:val="26"/>
      </w:pPr>
      <w:r>
        <w:t>绩效指标：家站建设打造提升数，指标值为≥1个。</w:t>
      </w:r>
    </w:p>
    <w:p>
      <w:pPr>
        <w:spacing w:line="500" w:lineRule="exact"/>
        <w:ind w:firstLine="560"/>
      </w:pPr>
      <w:r>
        <w:rPr>
          <w:rFonts w:eastAsia="方正仿宋_GBK"/>
          <w:color w:val="000000"/>
          <w:sz w:val="28"/>
        </w:rPr>
        <w:t>（三）工作保障措施</w:t>
      </w:r>
    </w:p>
    <w:p>
      <w:pPr>
        <w:pStyle w:val="27"/>
      </w:pPr>
      <w:r>
        <w:t>（一）</w:t>
      </w:r>
      <w:r>
        <w:tab/>
      </w:r>
      <w:r>
        <w:t>完善制度建设。根据本部门实际工作部署情况，制定预算资金绩效管理制度、财政资金管理办法等，为全年预算绩效目标的实现奠定制度基础。</w:t>
      </w:r>
    </w:p>
    <w:p>
      <w:pPr>
        <w:pStyle w:val="27"/>
      </w:pPr>
      <w:r>
        <w:t>（二）</w:t>
      </w:r>
      <w:r>
        <w:tab/>
      </w:r>
      <w:r>
        <w:t>加强支出管理。采取优化支出结构、编细编实预算、加快履行资金支出手续、尽快启动项目、及时支付资金、按规定及时下达资金等多种措施，确保支出进度达标</w:t>
      </w:r>
    </w:p>
    <w:p>
      <w:pPr>
        <w:pStyle w:val="27"/>
      </w:pPr>
      <w:r>
        <w:t>（三）</w:t>
      </w:r>
      <w:r>
        <w:tab/>
      </w:r>
      <w:r>
        <w:t>加强绩效运行监控。按上级要求，积极开展绩效运行监控，发现问题及时采取措施，确保绩效目标如期保质实现。</w:t>
      </w:r>
    </w:p>
    <w:p>
      <w:pPr>
        <w:pStyle w:val="27"/>
      </w:pPr>
      <w:r>
        <w:t>（四）做好绩效自评。按要求开展上年度部门预算绩效自评和重点评价工作，对评价中发现的问题及时整改，调整优化支出结构，提高财政资金使用效益。</w:t>
      </w:r>
    </w:p>
    <w:p>
      <w:pPr>
        <w:pStyle w:val="27"/>
      </w:pPr>
      <w:r>
        <w:t>（五）规范财务资产管理。积极完善财务管理制度，严格审批程序，加强固定资产登记、使用和报废处置管理，做到支出合理，物尽其用。</w:t>
      </w:r>
    </w:p>
    <w:p>
      <w:pPr>
        <w:pStyle w:val="27"/>
      </w:pPr>
      <w: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7"/>
      </w:pPr>
      <w:r>
        <w:t>（七）加强宣传培训调研等。加强人员培训，提高本部门职工业务素质；加强调研，提出优化财政资金配置、提高资金使用效益的意见建议；加大宣传力度，强化预算绩效管理意识，促进预算绩效管理水平进一步提升。</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1、就业见习补贴绩效目标表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1.加大就业见习组织力度，落实完善就业见习政策，帮助高校毕业生等青年增强岗位实践经验，提升就业竞争力，促进市场化社会化就业。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足额发放见习岗位人员基本生活补助</w:t>
            </w:r>
          </w:p>
        </w:tc>
        <w:tc>
          <w:tcPr>
            <w:tcW w:w="2835" w:type="dxa"/>
            <w:vAlign w:val="center"/>
          </w:tcPr>
          <w:p>
            <w:pPr>
              <w:pStyle w:val="16"/>
            </w:pPr>
            <w:r>
              <w:t>足额发放见习岗位人员基本生活补助</w:t>
            </w:r>
          </w:p>
        </w:tc>
        <w:tc>
          <w:tcPr>
            <w:tcW w:w="2551" w:type="dxa"/>
            <w:vAlign w:val="center"/>
          </w:tcPr>
          <w:p>
            <w:pPr>
              <w:pStyle w:val="16"/>
            </w:pPr>
            <w:r>
              <w:t>足额发放</w:t>
            </w:r>
          </w:p>
        </w:tc>
        <w:tc>
          <w:tcPr>
            <w:tcW w:w="2268" w:type="dxa"/>
            <w:vAlign w:val="center"/>
          </w:tcPr>
          <w:p>
            <w:pPr>
              <w:pStyle w:val="16"/>
            </w:pPr>
            <w:r>
              <w:t>丰人社通字[2022]15号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工资发放覆盖率</w:t>
            </w:r>
          </w:p>
        </w:tc>
        <w:tc>
          <w:tcPr>
            <w:tcW w:w="2835" w:type="dxa"/>
            <w:vAlign w:val="center"/>
          </w:tcPr>
          <w:p>
            <w:pPr>
              <w:pStyle w:val="16"/>
            </w:pPr>
            <w:r>
              <w:t>已发人数/应发人数*100%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工资发放及时率</w:t>
            </w:r>
          </w:p>
        </w:tc>
        <w:tc>
          <w:tcPr>
            <w:tcW w:w="2835" w:type="dxa"/>
            <w:vAlign w:val="center"/>
          </w:tcPr>
          <w:p>
            <w:pPr>
              <w:pStyle w:val="16"/>
            </w:pPr>
            <w:r>
              <w:t>实际发放时间/规定发放时间*100%</w:t>
            </w:r>
          </w:p>
        </w:tc>
        <w:tc>
          <w:tcPr>
            <w:tcW w:w="2551" w:type="dxa"/>
            <w:vAlign w:val="center"/>
          </w:tcPr>
          <w:p>
            <w:pPr>
              <w:pStyle w:val="16"/>
            </w:pPr>
            <w:r>
              <w:t>100%</w:t>
            </w:r>
          </w:p>
        </w:tc>
        <w:tc>
          <w:tcPr>
            <w:tcW w:w="2268" w:type="dxa"/>
            <w:vAlign w:val="center"/>
          </w:tcPr>
          <w:p>
            <w:pPr>
              <w:pStyle w:val="16"/>
            </w:pPr>
            <w:r>
              <w:t>丰人社通字[2022]15号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工资人均发放标准</w:t>
            </w:r>
          </w:p>
        </w:tc>
        <w:tc>
          <w:tcPr>
            <w:tcW w:w="2835" w:type="dxa"/>
            <w:vAlign w:val="center"/>
          </w:tcPr>
          <w:p>
            <w:pPr>
              <w:pStyle w:val="16"/>
            </w:pPr>
            <w:r>
              <w:t>工资人均发放标准</w:t>
            </w:r>
          </w:p>
        </w:tc>
        <w:tc>
          <w:tcPr>
            <w:tcW w:w="2551" w:type="dxa"/>
            <w:vAlign w:val="center"/>
          </w:tcPr>
          <w:p>
            <w:pPr>
              <w:pStyle w:val="16"/>
            </w:pPr>
            <w:r>
              <w:t>1900元</w:t>
            </w:r>
          </w:p>
        </w:tc>
        <w:tc>
          <w:tcPr>
            <w:tcW w:w="2268" w:type="dxa"/>
            <w:vAlign w:val="center"/>
          </w:tcPr>
          <w:p>
            <w:pPr>
              <w:pStyle w:val="16"/>
            </w:pPr>
            <w:r>
              <w:t>丰人社通字[2022]15号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帮助高校毕业等青年增强岗位实践经验、提升就业竞争力</w:t>
            </w:r>
          </w:p>
        </w:tc>
        <w:tc>
          <w:tcPr>
            <w:tcW w:w="2835" w:type="dxa"/>
            <w:vAlign w:val="center"/>
          </w:tcPr>
          <w:p>
            <w:pPr>
              <w:pStyle w:val="16"/>
            </w:pPr>
            <w:r>
              <w:t>帮助高校毕业等青年增强岗位实践经验、提升就业竞争力</w:t>
            </w:r>
          </w:p>
        </w:tc>
        <w:tc>
          <w:tcPr>
            <w:tcW w:w="2551" w:type="dxa"/>
            <w:vAlign w:val="center"/>
          </w:tcPr>
          <w:p>
            <w:pPr>
              <w:pStyle w:val="16"/>
            </w:pPr>
            <w:r>
              <w:t>效果明显</w:t>
            </w:r>
          </w:p>
        </w:tc>
        <w:tc>
          <w:tcPr>
            <w:tcW w:w="2268" w:type="dxa"/>
            <w:vAlign w:val="center"/>
          </w:tcPr>
          <w:p>
            <w:pPr>
              <w:pStyle w:val="16"/>
            </w:pPr>
            <w:r>
              <w:t>丰人社通字[2022]15号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促进市场化社会化就业</w:t>
            </w:r>
          </w:p>
        </w:tc>
        <w:tc>
          <w:tcPr>
            <w:tcW w:w="2835" w:type="dxa"/>
            <w:vAlign w:val="center"/>
          </w:tcPr>
          <w:p>
            <w:pPr>
              <w:pStyle w:val="16"/>
            </w:pPr>
            <w:r>
              <w:t>促进市场化社会化就业</w:t>
            </w:r>
          </w:p>
        </w:tc>
        <w:tc>
          <w:tcPr>
            <w:tcW w:w="2551" w:type="dxa"/>
            <w:vAlign w:val="center"/>
          </w:tcPr>
          <w:p>
            <w:pPr>
              <w:pStyle w:val="16"/>
            </w:pPr>
            <w:r>
              <w:t>效果明显</w:t>
            </w:r>
          </w:p>
        </w:tc>
        <w:tc>
          <w:tcPr>
            <w:tcW w:w="2268" w:type="dxa"/>
            <w:vAlign w:val="center"/>
          </w:tcPr>
          <w:p>
            <w:pPr>
              <w:pStyle w:val="16"/>
            </w:pPr>
            <w:r>
              <w:t>丰人社通字[2022]15号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工资发放人群满意度</w:t>
            </w:r>
          </w:p>
        </w:tc>
        <w:tc>
          <w:tcPr>
            <w:tcW w:w="2835" w:type="dxa"/>
            <w:vAlign w:val="center"/>
          </w:tcPr>
          <w:p>
            <w:pPr>
              <w:pStyle w:val="16"/>
            </w:pPr>
            <w:r>
              <w:t>工资发放人群满意度</w:t>
            </w:r>
          </w:p>
        </w:tc>
        <w:tc>
          <w:tcPr>
            <w:tcW w:w="2551" w:type="dxa"/>
            <w:vAlign w:val="center"/>
          </w:tcPr>
          <w:p>
            <w:pPr>
              <w:pStyle w:val="16"/>
            </w:pPr>
            <w:r>
              <w:t>显著提高</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2、就业生活补贴（区级垫付）绩效目标表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1.加大就业见习组织力度，落实完善就业见习政策，帮助高校毕业生等青年增强岗位实践经验，提升就业竞争力，促进市场化社会化就业。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足额发放见习岗位人员基本生活补助</w:t>
            </w:r>
          </w:p>
        </w:tc>
        <w:tc>
          <w:tcPr>
            <w:tcW w:w="2835" w:type="dxa"/>
            <w:vAlign w:val="center"/>
          </w:tcPr>
          <w:p>
            <w:pPr>
              <w:pStyle w:val="16"/>
            </w:pPr>
            <w:r>
              <w:t>足额发放见习岗位人员基本生活补助</w:t>
            </w:r>
          </w:p>
        </w:tc>
        <w:tc>
          <w:tcPr>
            <w:tcW w:w="2551" w:type="dxa"/>
            <w:vAlign w:val="center"/>
          </w:tcPr>
          <w:p>
            <w:pPr>
              <w:pStyle w:val="16"/>
            </w:pPr>
            <w:r>
              <w:t>足额发放</w:t>
            </w:r>
          </w:p>
        </w:tc>
        <w:tc>
          <w:tcPr>
            <w:tcW w:w="2268" w:type="dxa"/>
            <w:vAlign w:val="center"/>
          </w:tcPr>
          <w:p>
            <w:pPr>
              <w:pStyle w:val="16"/>
            </w:pPr>
            <w:r>
              <w:t>丰人社通字[2022]15号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工资发放覆盖率</w:t>
            </w:r>
          </w:p>
        </w:tc>
        <w:tc>
          <w:tcPr>
            <w:tcW w:w="2835" w:type="dxa"/>
            <w:vAlign w:val="center"/>
          </w:tcPr>
          <w:p>
            <w:pPr>
              <w:pStyle w:val="16"/>
            </w:pPr>
            <w:r>
              <w:t>已发人数/应发人数*100%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工资发放及时率</w:t>
            </w:r>
          </w:p>
        </w:tc>
        <w:tc>
          <w:tcPr>
            <w:tcW w:w="2835" w:type="dxa"/>
            <w:vAlign w:val="center"/>
          </w:tcPr>
          <w:p>
            <w:pPr>
              <w:pStyle w:val="16"/>
            </w:pPr>
            <w:r>
              <w:t>实际发放时间/规定发放时间*100%</w:t>
            </w:r>
          </w:p>
        </w:tc>
        <w:tc>
          <w:tcPr>
            <w:tcW w:w="2551" w:type="dxa"/>
            <w:vAlign w:val="center"/>
          </w:tcPr>
          <w:p>
            <w:pPr>
              <w:pStyle w:val="16"/>
            </w:pPr>
            <w:r>
              <w:t>100%</w:t>
            </w:r>
          </w:p>
        </w:tc>
        <w:tc>
          <w:tcPr>
            <w:tcW w:w="2268" w:type="dxa"/>
            <w:vAlign w:val="center"/>
          </w:tcPr>
          <w:p>
            <w:pPr>
              <w:pStyle w:val="16"/>
            </w:pPr>
            <w:r>
              <w:t>丰人社通字[2022]15号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工资人均发放标准</w:t>
            </w:r>
          </w:p>
        </w:tc>
        <w:tc>
          <w:tcPr>
            <w:tcW w:w="2835" w:type="dxa"/>
            <w:vAlign w:val="center"/>
          </w:tcPr>
          <w:p>
            <w:pPr>
              <w:pStyle w:val="16"/>
            </w:pPr>
            <w:r>
              <w:t>工资人均发放标准</w:t>
            </w:r>
          </w:p>
        </w:tc>
        <w:tc>
          <w:tcPr>
            <w:tcW w:w="2551" w:type="dxa"/>
            <w:vAlign w:val="center"/>
          </w:tcPr>
          <w:p>
            <w:pPr>
              <w:pStyle w:val="16"/>
            </w:pPr>
            <w:r>
              <w:t>1900元</w:t>
            </w:r>
          </w:p>
        </w:tc>
        <w:tc>
          <w:tcPr>
            <w:tcW w:w="2268" w:type="dxa"/>
            <w:vAlign w:val="center"/>
          </w:tcPr>
          <w:p>
            <w:pPr>
              <w:pStyle w:val="16"/>
            </w:pPr>
            <w:r>
              <w:t>丰人社通字[2022]15号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帮助高校毕业等青年增强岗位实践经验、提升就业竞争力</w:t>
            </w:r>
          </w:p>
        </w:tc>
        <w:tc>
          <w:tcPr>
            <w:tcW w:w="2835" w:type="dxa"/>
            <w:vAlign w:val="center"/>
          </w:tcPr>
          <w:p>
            <w:pPr>
              <w:pStyle w:val="16"/>
            </w:pPr>
            <w:r>
              <w:t>帮助高校毕业等青年增强岗位实践经验、提升就业竞争力</w:t>
            </w:r>
          </w:p>
        </w:tc>
        <w:tc>
          <w:tcPr>
            <w:tcW w:w="2551" w:type="dxa"/>
            <w:vAlign w:val="center"/>
          </w:tcPr>
          <w:p>
            <w:pPr>
              <w:pStyle w:val="16"/>
            </w:pPr>
            <w:r>
              <w:t>效果明显</w:t>
            </w:r>
          </w:p>
        </w:tc>
        <w:tc>
          <w:tcPr>
            <w:tcW w:w="2268" w:type="dxa"/>
            <w:vAlign w:val="center"/>
          </w:tcPr>
          <w:p>
            <w:pPr>
              <w:pStyle w:val="16"/>
            </w:pPr>
            <w:r>
              <w:t>丰人社通字[2022]15号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促进市场化社会化就业</w:t>
            </w:r>
          </w:p>
        </w:tc>
        <w:tc>
          <w:tcPr>
            <w:tcW w:w="2835" w:type="dxa"/>
            <w:vAlign w:val="center"/>
          </w:tcPr>
          <w:p>
            <w:pPr>
              <w:pStyle w:val="16"/>
            </w:pPr>
            <w:r>
              <w:t>促进市场化社会化就业</w:t>
            </w:r>
          </w:p>
        </w:tc>
        <w:tc>
          <w:tcPr>
            <w:tcW w:w="2551" w:type="dxa"/>
            <w:vAlign w:val="center"/>
          </w:tcPr>
          <w:p>
            <w:pPr>
              <w:pStyle w:val="16"/>
            </w:pPr>
            <w:r>
              <w:t>效果明显</w:t>
            </w:r>
          </w:p>
        </w:tc>
        <w:tc>
          <w:tcPr>
            <w:tcW w:w="2268" w:type="dxa"/>
            <w:vAlign w:val="center"/>
          </w:tcPr>
          <w:p>
            <w:pPr>
              <w:pStyle w:val="16"/>
            </w:pPr>
            <w:r>
              <w:t>丰人社通字[2022]15号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工资发放人群满意度</w:t>
            </w:r>
          </w:p>
        </w:tc>
        <w:tc>
          <w:tcPr>
            <w:tcW w:w="2835" w:type="dxa"/>
            <w:vAlign w:val="center"/>
          </w:tcPr>
          <w:p>
            <w:pPr>
              <w:pStyle w:val="16"/>
            </w:pPr>
            <w:r>
              <w:t>工资发放人群满意度</w:t>
            </w:r>
          </w:p>
        </w:tc>
        <w:tc>
          <w:tcPr>
            <w:tcW w:w="2551" w:type="dxa"/>
            <w:vAlign w:val="center"/>
          </w:tcPr>
          <w:p>
            <w:pPr>
              <w:pStyle w:val="16"/>
            </w:pPr>
            <w:r>
              <w:t>显著提高</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3、劳务派遣人员费用（劳务费）绩效目标表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1.按照文件精神落实劳务派遣人员的工资保险待遇，调动工作积极性，保障街道社区工作的正常开展。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工资发放人数</w:t>
            </w:r>
          </w:p>
        </w:tc>
        <w:tc>
          <w:tcPr>
            <w:tcW w:w="2835" w:type="dxa"/>
            <w:vAlign w:val="center"/>
          </w:tcPr>
          <w:p>
            <w:pPr>
              <w:pStyle w:val="16"/>
            </w:pPr>
            <w:r>
              <w:t>工资发放人数</w:t>
            </w:r>
          </w:p>
        </w:tc>
        <w:tc>
          <w:tcPr>
            <w:tcW w:w="2551" w:type="dxa"/>
            <w:vAlign w:val="center"/>
          </w:tcPr>
          <w:p>
            <w:pPr>
              <w:pStyle w:val="16"/>
            </w:pPr>
            <w:r>
              <w:t>80人</w:t>
            </w:r>
          </w:p>
        </w:tc>
        <w:tc>
          <w:tcPr>
            <w:tcW w:w="2268" w:type="dxa"/>
            <w:vAlign w:val="center"/>
          </w:tcPr>
          <w:p>
            <w:pPr>
              <w:pStyle w:val="16"/>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工资发放覆盖率</w:t>
            </w:r>
          </w:p>
        </w:tc>
        <w:tc>
          <w:tcPr>
            <w:tcW w:w="2835" w:type="dxa"/>
            <w:vAlign w:val="center"/>
          </w:tcPr>
          <w:p>
            <w:pPr>
              <w:pStyle w:val="16"/>
            </w:pPr>
            <w:r>
              <w:t>已发人数/应发人数*100%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工资发放及时率</w:t>
            </w:r>
          </w:p>
        </w:tc>
        <w:tc>
          <w:tcPr>
            <w:tcW w:w="2835" w:type="dxa"/>
            <w:vAlign w:val="center"/>
          </w:tcPr>
          <w:p>
            <w:pPr>
              <w:pStyle w:val="16"/>
            </w:pPr>
            <w:r>
              <w:t>实际发放时间/规定发放时间*100%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预算资金完成率</w:t>
            </w:r>
          </w:p>
        </w:tc>
        <w:tc>
          <w:tcPr>
            <w:tcW w:w="2835" w:type="dxa"/>
            <w:vAlign w:val="center"/>
          </w:tcPr>
          <w:p>
            <w:pPr>
              <w:pStyle w:val="16"/>
            </w:pPr>
            <w:r>
              <w:t>预算资金完成率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就业政策落实</w:t>
            </w:r>
          </w:p>
        </w:tc>
        <w:tc>
          <w:tcPr>
            <w:tcW w:w="2835" w:type="dxa"/>
            <w:vAlign w:val="center"/>
          </w:tcPr>
          <w:p>
            <w:pPr>
              <w:pStyle w:val="16"/>
            </w:pPr>
            <w:r>
              <w:t>各项就业政策落实到位</w:t>
            </w:r>
          </w:p>
        </w:tc>
        <w:tc>
          <w:tcPr>
            <w:tcW w:w="2551" w:type="dxa"/>
            <w:vAlign w:val="center"/>
          </w:tcPr>
          <w:p>
            <w:pPr>
              <w:pStyle w:val="16"/>
            </w:pPr>
            <w:r>
              <w:t>80人</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保障工作正常运行</w:t>
            </w:r>
          </w:p>
        </w:tc>
        <w:tc>
          <w:tcPr>
            <w:tcW w:w="2835" w:type="dxa"/>
            <w:vAlign w:val="center"/>
          </w:tcPr>
          <w:p>
            <w:pPr>
              <w:pStyle w:val="16"/>
            </w:pPr>
            <w:r>
              <w:t>保障工作正常运行</w:t>
            </w:r>
          </w:p>
        </w:tc>
        <w:tc>
          <w:tcPr>
            <w:tcW w:w="2551" w:type="dxa"/>
            <w:vAlign w:val="center"/>
          </w:tcPr>
          <w:p>
            <w:pPr>
              <w:pStyle w:val="16"/>
            </w:pPr>
            <w:r>
              <w:t>工作正常运行</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工资发放人群满意度</w:t>
            </w:r>
          </w:p>
        </w:tc>
        <w:tc>
          <w:tcPr>
            <w:tcW w:w="2835" w:type="dxa"/>
            <w:vAlign w:val="center"/>
          </w:tcPr>
          <w:p>
            <w:pPr>
              <w:pStyle w:val="16"/>
            </w:pPr>
            <w:r>
              <w:t>工资发放人群满意度</w:t>
            </w:r>
          </w:p>
        </w:tc>
        <w:tc>
          <w:tcPr>
            <w:tcW w:w="2551" w:type="dxa"/>
            <w:vAlign w:val="center"/>
          </w:tcPr>
          <w:p>
            <w:pPr>
              <w:pStyle w:val="16"/>
            </w:pPr>
            <w:r>
              <w:t>显著提高</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4、老旧小区卫生清扫保洁及绿化养护费绩效目标表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1.保持小区卫生环境整洁舒适，为辖区居民创造良好卫生环境，创造文明、卫生、宜居社区。</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无物业小区数量</w:t>
            </w:r>
          </w:p>
        </w:tc>
        <w:tc>
          <w:tcPr>
            <w:tcW w:w="2835" w:type="dxa"/>
            <w:vAlign w:val="center"/>
          </w:tcPr>
          <w:p>
            <w:pPr>
              <w:pStyle w:val="16"/>
            </w:pPr>
            <w:r>
              <w:t>无物业的老旧小区数量</w:t>
            </w:r>
          </w:p>
        </w:tc>
        <w:tc>
          <w:tcPr>
            <w:tcW w:w="2551" w:type="dxa"/>
            <w:vAlign w:val="center"/>
          </w:tcPr>
          <w:p>
            <w:pPr>
              <w:pStyle w:val="16"/>
            </w:pPr>
            <w:r>
              <w:t>100个</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达到合同规定清扫和绿化标准</w:t>
            </w:r>
          </w:p>
        </w:tc>
        <w:tc>
          <w:tcPr>
            <w:tcW w:w="2835" w:type="dxa"/>
            <w:vAlign w:val="center"/>
          </w:tcPr>
          <w:p>
            <w:pPr>
              <w:pStyle w:val="16"/>
            </w:pPr>
            <w:r>
              <w:t>达到合同规定清扫和绿化标准的比例</w:t>
            </w:r>
          </w:p>
        </w:tc>
        <w:tc>
          <w:tcPr>
            <w:tcW w:w="2551" w:type="dxa"/>
            <w:vAlign w:val="center"/>
          </w:tcPr>
          <w:p>
            <w:pPr>
              <w:pStyle w:val="16"/>
            </w:pPr>
            <w:r>
              <w:t>100%</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工作完成及时率</w:t>
            </w:r>
          </w:p>
        </w:tc>
        <w:tc>
          <w:tcPr>
            <w:tcW w:w="2835" w:type="dxa"/>
            <w:vAlign w:val="center"/>
          </w:tcPr>
          <w:p>
            <w:pPr>
              <w:pStyle w:val="16"/>
            </w:pPr>
            <w:r>
              <w:t>清扫和绿化工作完成及时的比例</w:t>
            </w:r>
          </w:p>
        </w:tc>
        <w:tc>
          <w:tcPr>
            <w:tcW w:w="2551" w:type="dxa"/>
            <w:vAlign w:val="center"/>
          </w:tcPr>
          <w:p>
            <w:pPr>
              <w:pStyle w:val="16"/>
            </w:pPr>
            <w:r>
              <w:t>100%</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预算资金完成率</w:t>
            </w:r>
          </w:p>
        </w:tc>
        <w:tc>
          <w:tcPr>
            <w:tcW w:w="2835" w:type="dxa"/>
            <w:vAlign w:val="center"/>
          </w:tcPr>
          <w:p>
            <w:pPr>
              <w:pStyle w:val="16"/>
            </w:pPr>
            <w:r>
              <w:t>预算资金完成率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生态效益指标</w:t>
            </w:r>
          </w:p>
        </w:tc>
        <w:tc>
          <w:tcPr>
            <w:tcW w:w="2835" w:type="dxa"/>
            <w:vAlign w:val="center"/>
          </w:tcPr>
          <w:p>
            <w:pPr>
              <w:pStyle w:val="16"/>
            </w:pPr>
            <w:r>
              <w:t>环境整洁、绿化完好率</w:t>
            </w:r>
          </w:p>
        </w:tc>
        <w:tc>
          <w:tcPr>
            <w:tcW w:w="2835" w:type="dxa"/>
            <w:vAlign w:val="center"/>
          </w:tcPr>
          <w:p>
            <w:pPr>
              <w:pStyle w:val="16"/>
            </w:pPr>
            <w:r>
              <w:t>环境整洁、绿化完好的比例</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环境卫生提高程度</w:t>
            </w:r>
          </w:p>
        </w:tc>
        <w:tc>
          <w:tcPr>
            <w:tcW w:w="2835" w:type="dxa"/>
            <w:vAlign w:val="center"/>
          </w:tcPr>
          <w:p>
            <w:pPr>
              <w:pStyle w:val="16"/>
            </w:pPr>
            <w:r>
              <w:t>环境卫生提高程度</w:t>
            </w:r>
          </w:p>
        </w:tc>
        <w:tc>
          <w:tcPr>
            <w:tcW w:w="2551" w:type="dxa"/>
            <w:vAlign w:val="center"/>
          </w:tcPr>
          <w:p>
            <w:pPr>
              <w:pStyle w:val="16"/>
            </w:pPr>
            <w:r>
              <w:t>明显提高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居民满意率</w:t>
            </w:r>
          </w:p>
        </w:tc>
        <w:tc>
          <w:tcPr>
            <w:tcW w:w="2835" w:type="dxa"/>
            <w:vAlign w:val="center"/>
          </w:tcPr>
          <w:p>
            <w:pPr>
              <w:pStyle w:val="16"/>
            </w:pPr>
            <w:r>
              <w:t>居民对环境满意的比例</w:t>
            </w:r>
          </w:p>
        </w:tc>
        <w:tc>
          <w:tcPr>
            <w:tcW w:w="2551" w:type="dxa"/>
            <w:vAlign w:val="center"/>
          </w:tcPr>
          <w:p>
            <w:pPr>
              <w:pStyle w:val="16"/>
            </w:pPr>
            <w:r>
              <w:t>≥90%</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5、青年路街道办事处办公楼修缮工程质保金绩效目标表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1.加固楼顶，更新电路，及墙面修复等，确保工作环境安全。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工程量完成率</w:t>
            </w:r>
          </w:p>
        </w:tc>
        <w:tc>
          <w:tcPr>
            <w:tcW w:w="2835" w:type="dxa"/>
            <w:vAlign w:val="center"/>
          </w:tcPr>
          <w:p>
            <w:pPr>
              <w:pStyle w:val="16"/>
            </w:pPr>
            <w:r>
              <w:t>实际完成/计划完成*100%</w:t>
            </w:r>
          </w:p>
        </w:tc>
        <w:tc>
          <w:tcPr>
            <w:tcW w:w="2551" w:type="dxa"/>
            <w:vAlign w:val="center"/>
          </w:tcPr>
          <w:p>
            <w:pPr>
              <w:pStyle w:val="16"/>
            </w:pPr>
            <w:r>
              <w:t>100%</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工程质量达标率</w:t>
            </w:r>
          </w:p>
        </w:tc>
        <w:tc>
          <w:tcPr>
            <w:tcW w:w="2835" w:type="dxa"/>
            <w:vAlign w:val="center"/>
          </w:tcPr>
          <w:p>
            <w:pPr>
              <w:pStyle w:val="16"/>
            </w:pPr>
            <w:r>
              <w:t>维修工程质量达到约定要求的比例</w:t>
            </w:r>
          </w:p>
        </w:tc>
        <w:tc>
          <w:tcPr>
            <w:tcW w:w="2551" w:type="dxa"/>
            <w:vAlign w:val="center"/>
          </w:tcPr>
          <w:p>
            <w:pPr>
              <w:pStyle w:val="16"/>
            </w:pPr>
            <w:r>
              <w:t>100%</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工程完成及时率</w:t>
            </w:r>
          </w:p>
        </w:tc>
        <w:tc>
          <w:tcPr>
            <w:tcW w:w="2835" w:type="dxa"/>
            <w:vAlign w:val="center"/>
          </w:tcPr>
          <w:p>
            <w:pPr>
              <w:pStyle w:val="16"/>
            </w:pPr>
            <w:r>
              <w:t>工程完成及时情况</w:t>
            </w:r>
          </w:p>
        </w:tc>
        <w:tc>
          <w:tcPr>
            <w:tcW w:w="2551" w:type="dxa"/>
            <w:vAlign w:val="center"/>
          </w:tcPr>
          <w:p>
            <w:pPr>
              <w:pStyle w:val="16"/>
            </w:pPr>
            <w:r>
              <w:t>100%</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预算资金完成率</w:t>
            </w:r>
          </w:p>
        </w:tc>
        <w:tc>
          <w:tcPr>
            <w:tcW w:w="2835" w:type="dxa"/>
            <w:vAlign w:val="center"/>
          </w:tcPr>
          <w:p>
            <w:pPr>
              <w:pStyle w:val="16"/>
            </w:pPr>
            <w:r>
              <w:t>预算资金完成率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提升工作人员办公效率</w:t>
            </w:r>
          </w:p>
        </w:tc>
        <w:tc>
          <w:tcPr>
            <w:tcW w:w="2835" w:type="dxa"/>
            <w:vAlign w:val="center"/>
          </w:tcPr>
          <w:p>
            <w:pPr>
              <w:pStyle w:val="16"/>
            </w:pPr>
            <w:r>
              <w:t>是否能提升工作人员办公效率</w:t>
            </w:r>
          </w:p>
        </w:tc>
        <w:tc>
          <w:tcPr>
            <w:tcW w:w="2551" w:type="dxa"/>
            <w:vAlign w:val="center"/>
          </w:tcPr>
          <w:p>
            <w:pPr>
              <w:pStyle w:val="16"/>
            </w:pPr>
            <w:r>
              <w:t>明显提升</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工作人员满意度</w:t>
            </w:r>
          </w:p>
        </w:tc>
        <w:tc>
          <w:tcPr>
            <w:tcW w:w="2835" w:type="dxa"/>
            <w:vAlign w:val="center"/>
          </w:tcPr>
          <w:p>
            <w:pPr>
              <w:pStyle w:val="16"/>
            </w:pPr>
            <w:r>
              <w:t>满意的人数占调查人数之比</w:t>
            </w:r>
          </w:p>
        </w:tc>
        <w:tc>
          <w:tcPr>
            <w:tcW w:w="2551" w:type="dxa"/>
            <w:vAlign w:val="center"/>
          </w:tcPr>
          <w:p>
            <w:pPr>
              <w:pStyle w:val="16"/>
            </w:pPr>
            <w:r>
              <w:t>≥80%</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6、涉疫垃圾清运费绩效目标表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1.维护社会稳定，优化居住环境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所辖小区个数</w:t>
            </w:r>
          </w:p>
        </w:tc>
        <w:tc>
          <w:tcPr>
            <w:tcW w:w="2835" w:type="dxa"/>
            <w:vAlign w:val="center"/>
          </w:tcPr>
          <w:p>
            <w:pPr>
              <w:pStyle w:val="16"/>
            </w:pPr>
            <w:r>
              <w:t>所辖小区个数</w:t>
            </w:r>
          </w:p>
        </w:tc>
        <w:tc>
          <w:tcPr>
            <w:tcW w:w="2551" w:type="dxa"/>
            <w:vAlign w:val="center"/>
          </w:tcPr>
          <w:p>
            <w:pPr>
              <w:pStyle w:val="16"/>
            </w:pPr>
            <w:r>
              <w:t>149个</w:t>
            </w:r>
          </w:p>
        </w:tc>
        <w:tc>
          <w:tcPr>
            <w:tcW w:w="2268" w:type="dxa"/>
            <w:vAlign w:val="center"/>
          </w:tcPr>
          <w:p>
            <w:pPr>
              <w:pStyle w:val="16"/>
            </w:pPr>
            <w:r>
              <w:t>根据青街办呈[2022]39号文件领导批示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涉疫垃圾清理合格率</w:t>
            </w:r>
          </w:p>
        </w:tc>
        <w:tc>
          <w:tcPr>
            <w:tcW w:w="2835" w:type="dxa"/>
            <w:vAlign w:val="center"/>
          </w:tcPr>
          <w:p>
            <w:pPr>
              <w:pStyle w:val="16"/>
            </w:pPr>
            <w:r>
              <w:t>涉疫垃圾清理合格的比例</w:t>
            </w:r>
          </w:p>
        </w:tc>
        <w:tc>
          <w:tcPr>
            <w:tcW w:w="2551" w:type="dxa"/>
            <w:vAlign w:val="center"/>
          </w:tcPr>
          <w:p>
            <w:pPr>
              <w:pStyle w:val="16"/>
            </w:pPr>
            <w:r>
              <w:t>100%</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涉疫垃圾清理及时率</w:t>
            </w:r>
          </w:p>
        </w:tc>
        <w:tc>
          <w:tcPr>
            <w:tcW w:w="2835" w:type="dxa"/>
            <w:vAlign w:val="center"/>
          </w:tcPr>
          <w:p>
            <w:pPr>
              <w:pStyle w:val="16"/>
            </w:pPr>
            <w:r>
              <w:t>涉疫垃圾及时清理的比例</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预算资金完成率</w:t>
            </w:r>
          </w:p>
        </w:tc>
        <w:tc>
          <w:tcPr>
            <w:tcW w:w="2835" w:type="dxa"/>
            <w:vAlign w:val="center"/>
          </w:tcPr>
          <w:p>
            <w:pPr>
              <w:pStyle w:val="16"/>
            </w:pPr>
            <w:r>
              <w:t>预算资金完成率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作用明显</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优化居住环境</w:t>
            </w:r>
          </w:p>
        </w:tc>
        <w:tc>
          <w:tcPr>
            <w:tcW w:w="2835" w:type="dxa"/>
            <w:vAlign w:val="center"/>
          </w:tcPr>
          <w:p>
            <w:pPr>
              <w:pStyle w:val="16"/>
            </w:pPr>
            <w:r>
              <w:t>优化居住环境</w:t>
            </w:r>
          </w:p>
        </w:tc>
        <w:tc>
          <w:tcPr>
            <w:tcW w:w="2551" w:type="dxa"/>
            <w:vAlign w:val="center"/>
          </w:tcPr>
          <w:p>
            <w:pPr>
              <w:pStyle w:val="16"/>
            </w:pPr>
            <w:r>
              <w:t>作用明显</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居民满意度</w:t>
            </w:r>
          </w:p>
        </w:tc>
        <w:tc>
          <w:tcPr>
            <w:tcW w:w="2835" w:type="dxa"/>
            <w:vAlign w:val="center"/>
          </w:tcPr>
          <w:p>
            <w:pPr>
              <w:pStyle w:val="16"/>
            </w:pPr>
            <w:r>
              <w:t>居民对涉疫垃圾清运工作满意的比例</w:t>
            </w:r>
          </w:p>
        </w:tc>
        <w:tc>
          <w:tcPr>
            <w:tcW w:w="2551" w:type="dxa"/>
            <w:vAlign w:val="center"/>
          </w:tcPr>
          <w:p>
            <w:pPr>
              <w:pStyle w:val="16"/>
            </w:pPr>
            <w:r>
              <w:t>≥80%</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7、社区工作人员外包经费绩效目标表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1.落实劳务外包人员的工资保险待遇，充实社区工作力量，保障各项工作正常运转，缓解街道及社区繁重的工作任务压力。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劳务外包人员数量</w:t>
            </w:r>
          </w:p>
        </w:tc>
        <w:tc>
          <w:tcPr>
            <w:tcW w:w="2835" w:type="dxa"/>
            <w:vAlign w:val="center"/>
          </w:tcPr>
          <w:p>
            <w:pPr>
              <w:pStyle w:val="16"/>
            </w:pPr>
            <w:r>
              <w:t>劳务外包人员数量</w:t>
            </w:r>
          </w:p>
        </w:tc>
        <w:tc>
          <w:tcPr>
            <w:tcW w:w="2551" w:type="dxa"/>
            <w:vAlign w:val="center"/>
          </w:tcPr>
          <w:p>
            <w:pPr>
              <w:pStyle w:val="16"/>
            </w:pPr>
            <w:r>
              <w:t>53人</w:t>
            </w:r>
          </w:p>
        </w:tc>
        <w:tc>
          <w:tcPr>
            <w:tcW w:w="2268" w:type="dxa"/>
            <w:vAlign w:val="center"/>
          </w:tcPr>
          <w:p>
            <w:pPr>
              <w:pStyle w:val="16"/>
            </w:pPr>
            <w:r>
              <w:t>根据青街办呈[2022]39号文件领导批示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费用拨付准确率</w:t>
            </w:r>
          </w:p>
        </w:tc>
        <w:tc>
          <w:tcPr>
            <w:tcW w:w="2835" w:type="dxa"/>
            <w:vAlign w:val="center"/>
          </w:tcPr>
          <w:p>
            <w:pPr>
              <w:pStyle w:val="16"/>
            </w:pPr>
            <w:r>
              <w:t>费用拨付准确次数/费用拨付总次数*100%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费用拨付及时率</w:t>
            </w:r>
          </w:p>
        </w:tc>
        <w:tc>
          <w:tcPr>
            <w:tcW w:w="2835" w:type="dxa"/>
            <w:vAlign w:val="center"/>
          </w:tcPr>
          <w:p>
            <w:pPr>
              <w:pStyle w:val="16"/>
            </w:pPr>
            <w:r>
              <w:t>费用实际拨付时间/规定发放时间*100%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工资人均发放标准</w:t>
            </w:r>
          </w:p>
        </w:tc>
        <w:tc>
          <w:tcPr>
            <w:tcW w:w="2835" w:type="dxa"/>
            <w:vAlign w:val="center"/>
          </w:tcPr>
          <w:p>
            <w:pPr>
              <w:pStyle w:val="16"/>
            </w:pPr>
            <w:r>
              <w:t>工资人均发放标准</w:t>
            </w:r>
          </w:p>
        </w:tc>
        <w:tc>
          <w:tcPr>
            <w:tcW w:w="2551" w:type="dxa"/>
            <w:vAlign w:val="center"/>
          </w:tcPr>
          <w:p>
            <w:pPr>
              <w:pStyle w:val="16"/>
            </w:pPr>
            <w:r>
              <w:t>2660元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保障工作正常运转</w:t>
            </w:r>
          </w:p>
        </w:tc>
        <w:tc>
          <w:tcPr>
            <w:tcW w:w="2835" w:type="dxa"/>
            <w:vAlign w:val="center"/>
          </w:tcPr>
          <w:p>
            <w:pPr>
              <w:pStyle w:val="16"/>
            </w:pPr>
            <w:r>
              <w:t>保障各项工作正常运转</w:t>
            </w:r>
          </w:p>
        </w:tc>
        <w:tc>
          <w:tcPr>
            <w:tcW w:w="2551" w:type="dxa"/>
            <w:vAlign w:val="center"/>
          </w:tcPr>
          <w:p>
            <w:pPr>
              <w:pStyle w:val="16"/>
            </w:pPr>
            <w:r>
              <w:t>各项工作正常运转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缓解街道及社区繁重的工作任务压力</w:t>
            </w:r>
          </w:p>
        </w:tc>
        <w:tc>
          <w:tcPr>
            <w:tcW w:w="2835" w:type="dxa"/>
            <w:vAlign w:val="center"/>
          </w:tcPr>
          <w:p>
            <w:pPr>
              <w:pStyle w:val="16"/>
            </w:pPr>
            <w:r>
              <w:t>缓解街道及社区繁重的工作任务压力</w:t>
            </w:r>
          </w:p>
        </w:tc>
        <w:tc>
          <w:tcPr>
            <w:tcW w:w="2551" w:type="dxa"/>
            <w:vAlign w:val="center"/>
          </w:tcPr>
          <w:p>
            <w:pPr>
              <w:pStyle w:val="16"/>
            </w:pPr>
            <w:r>
              <w:t>一定程度上缓解工作任务压力</w:t>
            </w:r>
          </w:p>
        </w:tc>
        <w:tc>
          <w:tcPr>
            <w:tcW w:w="2268" w:type="dxa"/>
            <w:vAlign w:val="center"/>
          </w:tcPr>
          <w:p>
            <w:pPr>
              <w:pStyle w:val="16"/>
            </w:pPr>
            <w:r>
              <w:t>根据青街办呈[2022]39号文件领导批示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工资发放人群满意度</w:t>
            </w:r>
          </w:p>
        </w:tc>
        <w:tc>
          <w:tcPr>
            <w:tcW w:w="2835" w:type="dxa"/>
            <w:vAlign w:val="center"/>
          </w:tcPr>
          <w:p>
            <w:pPr>
              <w:pStyle w:val="16"/>
            </w:pPr>
            <w:r>
              <w:t>工资发放人群满意度</w:t>
            </w:r>
          </w:p>
        </w:tc>
        <w:tc>
          <w:tcPr>
            <w:tcW w:w="2551" w:type="dxa"/>
            <w:vAlign w:val="center"/>
          </w:tcPr>
          <w:p>
            <w:pPr>
              <w:pStyle w:val="16"/>
            </w:pPr>
            <w:r>
              <w:t>显著提高</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8、社区工作者体检费绩效目标表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1.保障社区工作者身体健康，提高社区工作效率。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体检人员数量</w:t>
            </w:r>
          </w:p>
        </w:tc>
        <w:tc>
          <w:tcPr>
            <w:tcW w:w="2835" w:type="dxa"/>
            <w:vAlign w:val="center"/>
          </w:tcPr>
          <w:p>
            <w:pPr>
              <w:pStyle w:val="16"/>
            </w:pPr>
            <w:r>
              <w:t>参加体检人员数量</w:t>
            </w:r>
          </w:p>
        </w:tc>
        <w:tc>
          <w:tcPr>
            <w:tcW w:w="2551" w:type="dxa"/>
            <w:vAlign w:val="center"/>
          </w:tcPr>
          <w:p>
            <w:pPr>
              <w:pStyle w:val="16"/>
            </w:pPr>
            <w:r>
              <w:t>126人</w:t>
            </w:r>
          </w:p>
        </w:tc>
        <w:tc>
          <w:tcPr>
            <w:tcW w:w="2268" w:type="dxa"/>
            <w:vAlign w:val="center"/>
          </w:tcPr>
          <w:p>
            <w:pPr>
              <w:pStyle w:val="16"/>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体检覆盖率</w:t>
            </w:r>
          </w:p>
        </w:tc>
        <w:tc>
          <w:tcPr>
            <w:tcW w:w="2835" w:type="dxa"/>
            <w:vAlign w:val="center"/>
          </w:tcPr>
          <w:p>
            <w:pPr>
              <w:pStyle w:val="16"/>
            </w:pPr>
            <w:r>
              <w:t>体检人数/应体检人数*100%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体检及时率</w:t>
            </w:r>
          </w:p>
        </w:tc>
        <w:tc>
          <w:tcPr>
            <w:tcW w:w="2835" w:type="dxa"/>
            <w:vAlign w:val="center"/>
          </w:tcPr>
          <w:p>
            <w:pPr>
              <w:pStyle w:val="16"/>
            </w:pPr>
            <w:r>
              <w:t>实际体检时间/规定体检时间*100%</w:t>
            </w:r>
          </w:p>
        </w:tc>
        <w:tc>
          <w:tcPr>
            <w:tcW w:w="2551" w:type="dxa"/>
            <w:vAlign w:val="center"/>
          </w:tcPr>
          <w:p>
            <w:pPr>
              <w:pStyle w:val="16"/>
            </w:pPr>
            <w:r>
              <w:t>100%</w:t>
            </w:r>
          </w:p>
        </w:tc>
        <w:tc>
          <w:tcPr>
            <w:tcW w:w="2268" w:type="dxa"/>
            <w:vAlign w:val="center"/>
          </w:tcPr>
          <w:p>
            <w:pPr>
              <w:pStyle w:val="16"/>
            </w:pPr>
            <w:r>
              <w:t>《河北省社区工作者管理办法(试行)》及丰南区医保局规定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预算资金完成率</w:t>
            </w:r>
          </w:p>
        </w:tc>
        <w:tc>
          <w:tcPr>
            <w:tcW w:w="2835" w:type="dxa"/>
            <w:vAlign w:val="center"/>
          </w:tcPr>
          <w:p>
            <w:pPr>
              <w:pStyle w:val="16"/>
            </w:pPr>
            <w:r>
              <w:t>预算资金完成率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体检对社区工作者工作积极性的影响</w:t>
            </w:r>
          </w:p>
        </w:tc>
        <w:tc>
          <w:tcPr>
            <w:tcW w:w="2835" w:type="dxa"/>
            <w:vAlign w:val="center"/>
          </w:tcPr>
          <w:p>
            <w:pPr>
              <w:pStyle w:val="16"/>
            </w:pPr>
            <w:r>
              <w:t>体检对社区工作者工作积极性影响情况</w:t>
            </w:r>
          </w:p>
        </w:tc>
        <w:tc>
          <w:tcPr>
            <w:tcW w:w="2551" w:type="dxa"/>
            <w:vAlign w:val="center"/>
          </w:tcPr>
          <w:p>
            <w:pPr>
              <w:pStyle w:val="16"/>
            </w:pPr>
            <w:r>
              <w:t>影响明显</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保障各项工作正常运转</w:t>
            </w:r>
          </w:p>
        </w:tc>
        <w:tc>
          <w:tcPr>
            <w:tcW w:w="2835" w:type="dxa"/>
            <w:vAlign w:val="center"/>
          </w:tcPr>
          <w:p>
            <w:pPr>
              <w:pStyle w:val="16"/>
            </w:pPr>
            <w:r>
              <w:t>保障各项工作正常运转</w:t>
            </w:r>
          </w:p>
        </w:tc>
        <w:tc>
          <w:tcPr>
            <w:tcW w:w="2551" w:type="dxa"/>
            <w:vAlign w:val="center"/>
          </w:tcPr>
          <w:p>
            <w:pPr>
              <w:pStyle w:val="16"/>
            </w:pPr>
            <w:r>
              <w:t>各项工作正常运转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体检人群满意率</w:t>
            </w:r>
          </w:p>
        </w:tc>
        <w:tc>
          <w:tcPr>
            <w:tcW w:w="2835" w:type="dxa"/>
            <w:vAlign w:val="center"/>
          </w:tcPr>
          <w:p>
            <w:pPr>
              <w:pStyle w:val="16"/>
            </w:pPr>
            <w:r>
              <w:t>参加体检人群对体检满意的比例</w:t>
            </w:r>
          </w:p>
        </w:tc>
        <w:tc>
          <w:tcPr>
            <w:tcW w:w="2551" w:type="dxa"/>
            <w:vAlign w:val="center"/>
          </w:tcPr>
          <w:p>
            <w:pPr>
              <w:pStyle w:val="16"/>
            </w:pPr>
            <w:r>
              <w:t>≥90%</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9、社区工作者薪酬绩效目标表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1.落实社区工作者各种待遇，保障街道社区工作的正常开展。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工资发放人数</w:t>
            </w:r>
          </w:p>
        </w:tc>
        <w:tc>
          <w:tcPr>
            <w:tcW w:w="2835" w:type="dxa"/>
            <w:vAlign w:val="center"/>
          </w:tcPr>
          <w:p>
            <w:pPr>
              <w:pStyle w:val="16"/>
            </w:pPr>
            <w:r>
              <w:t>工资发放人数</w:t>
            </w:r>
          </w:p>
        </w:tc>
        <w:tc>
          <w:tcPr>
            <w:tcW w:w="2551" w:type="dxa"/>
            <w:vAlign w:val="center"/>
          </w:tcPr>
          <w:p>
            <w:pPr>
              <w:pStyle w:val="16"/>
            </w:pPr>
            <w:r>
              <w:t>126人</w:t>
            </w:r>
          </w:p>
        </w:tc>
        <w:tc>
          <w:tcPr>
            <w:tcW w:w="2268" w:type="dxa"/>
            <w:vAlign w:val="center"/>
          </w:tcPr>
          <w:p>
            <w:pPr>
              <w:pStyle w:val="16"/>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工资发放覆盖率</w:t>
            </w:r>
          </w:p>
        </w:tc>
        <w:tc>
          <w:tcPr>
            <w:tcW w:w="2835" w:type="dxa"/>
            <w:vAlign w:val="center"/>
          </w:tcPr>
          <w:p>
            <w:pPr>
              <w:pStyle w:val="16"/>
            </w:pPr>
            <w:r>
              <w:t>已发人数/应发人数*100%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工资发放及时率</w:t>
            </w:r>
          </w:p>
        </w:tc>
        <w:tc>
          <w:tcPr>
            <w:tcW w:w="2835" w:type="dxa"/>
            <w:vAlign w:val="center"/>
          </w:tcPr>
          <w:p>
            <w:pPr>
              <w:pStyle w:val="16"/>
            </w:pPr>
            <w:r>
              <w:t>实际发放时间/规定发放时间*100%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预算资金完成率</w:t>
            </w:r>
          </w:p>
        </w:tc>
        <w:tc>
          <w:tcPr>
            <w:tcW w:w="2835" w:type="dxa"/>
            <w:vAlign w:val="center"/>
          </w:tcPr>
          <w:p>
            <w:pPr>
              <w:pStyle w:val="16"/>
            </w:pPr>
            <w:r>
              <w:t>预算资金完成率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就业政策落实</w:t>
            </w:r>
          </w:p>
        </w:tc>
        <w:tc>
          <w:tcPr>
            <w:tcW w:w="2835" w:type="dxa"/>
            <w:vAlign w:val="center"/>
          </w:tcPr>
          <w:p>
            <w:pPr>
              <w:pStyle w:val="16"/>
            </w:pPr>
            <w:r>
              <w:t>各项就业政策落实到位</w:t>
            </w:r>
          </w:p>
        </w:tc>
        <w:tc>
          <w:tcPr>
            <w:tcW w:w="2551" w:type="dxa"/>
            <w:vAlign w:val="center"/>
          </w:tcPr>
          <w:p>
            <w:pPr>
              <w:pStyle w:val="16"/>
            </w:pPr>
            <w:r>
              <w:t>126人</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保障工作正常运转</w:t>
            </w:r>
          </w:p>
        </w:tc>
        <w:tc>
          <w:tcPr>
            <w:tcW w:w="2835" w:type="dxa"/>
            <w:vAlign w:val="center"/>
          </w:tcPr>
          <w:p>
            <w:pPr>
              <w:pStyle w:val="16"/>
            </w:pPr>
            <w:r>
              <w:t>保障各项工作正常运转</w:t>
            </w:r>
          </w:p>
        </w:tc>
        <w:tc>
          <w:tcPr>
            <w:tcW w:w="2551" w:type="dxa"/>
            <w:vAlign w:val="center"/>
          </w:tcPr>
          <w:p>
            <w:pPr>
              <w:pStyle w:val="16"/>
            </w:pPr>
            <w:r>
              <w:t>各项工作正常运转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工资发放人群满意度</w:t>
            </w:r>
          </w:p>
        </w:tc>
        <w:tc>
          <w:tcPr>
            <w:tcW w:w="2835" w:type="dxa"/>
            <w:vAlign w:val="center"/>
          </w:tcPr>
          <w:p>
            <w:pPr>
              <w:pStyle w:val="16"/>
            </w:pPr>
            <w:r>
              <w:t>工资发放人群满意度</w:t>
            </w:r>
          </w:p>
        </w:tc>
        <w:tc>
          <w:tcPr>
            <w:tcW w:w="2551" w:type="dxa"/>
            <w:vAlign w:val="center"/>
          </w:tcPr>
          <w:p>
            <w:pPr>
              <w:pStyle w:val="16"/>
            </w:pPr>
            <w:r>
              <w:t>显著提高</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10、退役军人公益性岗位安置费用绩效目标表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1.落实退役军人公益性岗位人员的工资及保险待遇，调动工作人员积极性，保障工作的顺利开展。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工资发放人数</w:t>
            </w:r>
          </w:p>
        </w:tc>
        <w:tc>
          <w:tcPr>
            <w:tcW w:w="2835" w:type="dxa"/>
            <w:vAlign w:val="center"/>
          </w:tcPr>
          <w:p>
            <w:pPr>
              <w:pStyle w:val="16"/>
            </w:pPr>
            <w:r>
              <w:t>工资发放人数</w:t>
            </w:r>
          </w:p>
        </w:tc>
        <w:tc>
          <w:tcPr>
            <w:tcW w:w="2551" w:type="dxa"/>
            <w:vAlign w:val="center"/>
          </w:tcPr>
          <w:p>
            <w:pPr>
              <w:pStyle w:val="16"/>
            </w:pPr>
            <w:r>
              <w:t>138人</w:t>
            </w:r>
          </w:p>
        </w:tc>
        <w:tc>
          <w:tcPr>
            <w:tcW w:w="2268" w:type="dxa"/>
            <w:vAlign w:val="center"/>
          </w:tcPr>
          <w:p>
            <w:pPr>
              <w:pStyle w:val="16"/>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工资发放覆盖率</w:t>
            </w:r>
          </w:p>
        </w:tc>
        <w:tc>
          <w:tcPr>
            <w:tcW w:w="2835" w:type="dxa"/>
            <w:vAlign w:val="center"/>
          </w:tcPr>
          <w:p>
            <w:pPr>
              <w:pStyle w:val="16"/>
            </w:pPr>
            <w:r>
              <w:t>已发人数/应发人数*100%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工资发放及时率</w:t>
            </w:r>
          </w:p>
        </w:tc>
        <w:tc>
          <w:tcPr>
            <w:tcW w:w="2835" w:type="dxa"/>
            <w:vAlign w:val="center"/>
          </w:tcPr>
          <w:p>
            <w:pPr>
              <w:pStyle w:val="16"/>
            </w:pPr>
            <w:r>
              <w:t>实际发放时间/规定发放时间*100%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工资人均发放标准</w:t>
            </w:r>
          </w:p>
        </w:tc>
        <w:tc>
          <w:tcPr>
            <w:tcW w:w="2835" w:type="dxa"/>
            <w:vAlign w:val="center"/>
          </w:tcPr>
          <w:p>
            <w:pPr>
              <w:pStyle w:val="16"/>
            </w:pPr>
            <w:r>
              <w:t>工资人均发放标准</w:t>
            </w:r>
          </w:p>
        </w:tc>
        <w:tc>
          <w:tcPr>
            <w:tcW w:w="2551" w:type="dxa"/>
            <w:vAlign w:val="center"/>
          </w:tcPr>
          <w:p>
            <w:pPr>
              <w:pStyle w:val="16"/>
            </w:pPr>
            <w:r>
              <w:t>1900元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就业政策落实</w:t>
            </w:r>
          </w:p>
        </w:tc>
        <w:tc>
          <w:tcPr>
            <w:tcW w:w="2835" w:type="dxa"/>
            <w:vAlign w:val="center"/>
          </w:tcPr>
          <w:p>
            <w:pPr>
              <w:pStyle w:val="16"/>
            </w:pPr>
            <w:r>
              <w:t>各项就业政策落实到位</w:t>
            </w:r>
          </w:p>
        </w:tc>
        <w:tc>
          <w:tcPr>
            <w:tcW w:w="2551" w:type="dxa"/>
            <w:vAlign w:val="center"/>
          </w:tcPr>
          <w:p>
            <w:pPr>
              <w:pStyle w:val="16"/>
            </w:pPr>
            <w:r>
              <w:t>138人</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保障工作正常运转</w:t>
            </w:r>
          </w:p>
        </w:tc>
        <w:tc>
          <w:tcPr>
            <w:tcW w:w="2835" w:type="dxa"/>
            <w:vAlign w:val="center"/>
          </w:tcPr>
          <w:p>
            <w:pPr>
              <w:pStyle w:val="16"/>
            </w:pPr>
            <w:r>
              <w:t>保障各项工作正常运转</w:t>
            </w:r>
          </w:p>
        </w:tc>
        <w:tc>
          <w:tcPr>
            <w:tcW w:w="2551" w:type="dxa"/>
            <w:vAlign w:val="center"/>
          </w:tcPr>
          <w:p>
            <w:pPr>
              <w:pStyle w:val="16"/>
            </w:pPr>
            <w:r>
              <w:t>各项工作正常运转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工资发放人群满意度</w:t>
            </w:r>
          </w:p>
        </w:tc>
        <w:tc>
          <w:tcPr>
            <w:tcW w:w="2835" w:type="dxa"/>
            <w:vAlign w:val="center"/>
          </w:tcPr>
          <w:p>
            <w:pPr>
              <w:pStyle w:val="16"/>
            </w:pPr>
            <w:r>
              <w:t>工资发放人群满意度</w:t>
            </w:r>
          </w:p>
        </w:tc>
        <w:tc>
          <w:tcPr>
            <w:tcW w:w="2551" w:type="dxa"/>
            <w:vAlign w:val="center"/>
          </w:tcPr>
          <w:p>
            <w:pPr>
              <w:pStyle w:val="16"/>
            </w:pPr>
            <w:r>
              <w:t>显著提高</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11、卫健小组长经费绩效目标表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1.按照各社区计划生育小组长人数，每月及时、足额、准确发放工资，提高工作人员的工作积极性。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工资发放人数</w:t>
            </w:r>
          </w:p>
        </w:tc>
        <w:tc>
          <w:tcPr>
            <w:tcW w:w="2835" w:type="dxa"/>
            <w:vAlign w:val="center"/>
          </w:tcPr>
          <w:p>
            <w:pPr>
              <w:pStyle w:val="16"/>
            </w:pPr>
            <w:r>
              <w:t>工资发放人数</w:t>
            </w:r>
          </w:p>
        </w:tc>
        <w:tc>
          <w:tcPr>
            <w:tcW w:w="2551" w:type="dxa"/>
            <w:vAlign w:val="center"/>
          </w:tcPr>
          <w:p>
            <w:pPr>
              <w:pStyle w:val="16"/>
            </w:pPr>
            <w:r>
              <w:t>134人</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工资发放覆盖率</w:t>
            </w:r>
          </w:p>
        </w:tc>
        <w:tc>
          <w:tcPr>
            <w:tcW w:w="2835" w:type="dxa"/>
            <w:vAlign w:val="center"/>
          </w:tcPr>
          <w:p>
            <w:pPr>
              <w:pStyle w:val="16"/>
            </w:pPr>
            <w:r>
              <w:t>已发人数/应发人数*100%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工资发放及时率</w:t>
            </w:r>
          </w:p>
        </w:tc>
        <w:tc>
          <w:tcPr>
            <w:tcW w:w="2835" w:type="dxa"/>
            <w:vAlign w:val="center"/>
          </w:tcPr>
          <w:p>
            <w:pPr>
              <w:pStyle w:val="16"/>
            </w:pPr>
            <w:r>
              <w:t>实际发放时间/规定发放时间*100%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工资人均发放标准</w:t>
            </w:r>
          </w:p>
        </w:tc>
        <w:tc>
          <w:tcPr>
            <w:tcW w:w="2835" w:type="dxa"/>
            <w:vAlign w:val="center"/>
          </w:tcPr>
          <w:p>
            <w:pPr>
              <w:pStyle w:val="16"/>
            </w:pPr>
            <w:r>
              <w:t>工资人均发放标准</w:t>
            </w:r>
          </w:p>
        </w:tc>
        <w:tc>
          <w:tcPr>
            <w:tcW w:w="2551" w:type="dxa"/>
            <w:vAlign w:val="center"/>
          </w:tcPr>
          <w:p>
            <w:pPr>
              <w:pStyle w:val="16"/>
            </w:pPr>
            <w:r>
              <w:t>1100元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促进工作有效开展</w:t>
            </w:r>
          </w:p>
        </w:tc>
        <w:tc>
          <w:tcPr>
            <w:tcW w:w="2835" w:type="dxa"/>
            <w:vAlign w:val="center"/>
          </w:tcPr>
          <w:p>
            <w:pPr>
              <w:pStyle w:val="16"/>
            </w:pPr>
            <w:r>
              <w:t>促进工作有效开展</w:t>
            </w:r>
          </w:p>
        </w:tc>
        <w:tc>
          <w:tcPr>
            <w:tcW w:w="2551" w:type="dxa"/>
            <w:vAlign w:val="center"/>
          </w:tcPr>
          <w:p>
            <w:pPr>
              <w:pStyle w:val="16"/>
            </w:pPr>
            <w:r>
              <w:t>效果明显</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保障工作正常运行</w:t>
            </w:r>
          </w:p>
        </w:tc>
        <w:tc>
          <w:tcPr>
            <w:tcW w:w="2835" w:type="dxa"/>
            <w:vAlign w:val="center"/>
          </w:tcPr>
          <w:p>
            <w:pPr>
              <w:pStyle w:val="16"/>
            </w:pPr>
            <w:r>
              <w:t>保障工作正常运行</w:t>
            </w:r>
          </w:p>
        </w:tc>
        <w:tc>
          <w:tcPr>
            <w:tcW w:w="2551" w:type="dxa"/>
            <w:vAlign w:val="center"/>
          </w:tcPr>
          <w:p>
            <w:pPr>
              <w:pStyle w:val="16"/>
            </w:pPr>
            <w:r>
              <w:t>工作正常运行</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工资发放人群满意度</w:t>
            </w:r>
          </w:p>
        </w:tc>
        <w:tc>
          <w:tcPr>
            <w:tcW w:w="2835" w:type="dxa"/>
            <w:vAlign w:val="center"/>
          </w:tcPr>
          <w:p>
            <w:pPr>
              <w:pStyle w:val="16"/>
            </w:pPr>
            <w:r>
              <w:t>工资发放人群满意度</w:t>
            </w:r>
          </w:p>
        </w:tc>
        <w:tc>
          <w:tcPr>
            <w:tcW w:w="2551" w:type="dxa"/>
            <w:vAlign w:val="center"/>
          </w:tcPr>
          <w:p>
            <w:pPr>
              <w:pStyle w:val="16"/>
            </w:pPr>
            <w:r>
              <w:t>显著提高</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12、小区卫生清扫保洁及绿化养护人员经费绩效目标表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1.确保小区卫生清扫、绿化养护工作真正落在实处，做到管理到位、责任到位、督导到位，为居民营造整洁、优美的生活环境。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工资发放人数</w:t>
            </w:r>
          </w:p>
        </w:tc>
        <w:tc>
          <w:tcPr>
            <w:tcW w:w="2835" w:type="dxa"/>
            <w:vAlign w:val="center"/>
          </w:tcPr>
          <w:p>
            <w:pPr>
              <w:pStyle w:val="16"/>
            </w:pPr>
            <w:r>
              <w:t>工资发放人数</w:t>
            </w:r>
          </w:p>
        </w:tc>
        <w:tc>
          <w:tcPr>
            <w:tcW w:w="2551" w:type="dxa"/>
            <w:vAlign w:val="center"/>
          </w:tcPr>
          <w:p>
            <w:pPr>
              <w:pStyle w:val="16"/>
            </w:pPr>
            <w:r>
              <w:t>9人</w:t>
            </w:r>
          </w:p>
        </w:tc>
        <w:tc>
          <w:tcPr>
            <w:tcW w:w="2268" w:type="dxa"/>
            <w:vAlign w:val="center"/>
          </w:tcPr>
          <w:p>
            <w:pPr>
              <w:pStyle w:val="16"/>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工资发放覆盖率</w:t>
            </w:r>
          </w:p>
        </w:tc>
        <w:tc>
          <w:tcPr>
            <w:tcW w:w="2835" w:type="dxa"/>
            <w:vAlign w:val="center"/>
          </w:tcPr>
          <w:p>
            <w:pPr>
              <w:pStyle w:val="16"/>
            </w:pPr>
            <w:r>
              <w:t>已发人数/应发人数*100%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工资发放及时率</w:t>
            </w:r>
          </w:p>
        </w:tc>
        <w:tc>
          <w:tcPr>
            <w:tcW w:w="2835" w:type="dxa"/>
            <w:vAlign w:val="center"/>
          </w:tcPr>
          <w:p>
            <w:pPr>
              <w:pStyle w:val="16"/>
            </w:pPr>
            <w:r>
              <w:t>实际发放时间/规定发放时间*100%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工资人均发放标准</w:t>
            </w:r>
          </w:p>
        </w:tc>
        <w:tc>
          <w:tcPr>
            <w:tcW w:w="2835" w:type="dxa"/>
            <w:vAlign w:val="center"/>
          </w:tcPr>
          <w:p>
            <w:pPr>
              <w:pStyle w:val="16"/>
            </w:pPr>
            <w:r>
              <w:t>工资人均发放标准</w:t>
            </w:r>
          </w:p>
        </w:tc>
        <w:tc>
          <w:tcPr>
            <w:tcW w:w="2551" w:type="dxa"/>
            <w:vAlign w:val="center"/>
          </w:tcPr>
          <w:p>
            <w:pPr>
              <w:pStyle w:val="16"/>
            </w:pPr>
            <w:r>
              <w:t>1500元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就业政策落实</w:t>
            </w:r>
          </w:p>
        </w:tc>
        <w:tc>
          <w:tcPr>
            <w:tcW w:w="2835" w:type="dxa"/>
            <w:vAlign w:val="center"/>
          </w:tcPr>
          <w:p>
            <w:pPr>
              <w:pStyle w:val="16"/>
            </w:pPr>
            <w:r>
              <w:t>各项就业政策落实到位</w:t>
            </w:r>
          </w:p>
        </w:tc>
        <w:tc>
          <w:tcPr>
            <w:tcW w:w="2551" w:type="dxa"/>
            <w:vAlign w:val="center"/>
          </w:tcPr>
          <w:p>
            <w:pPr>
              <w:pStyle w:val="16"/>
            </w:pPr>
            <w:r>
              <w:t>9人</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保障工作正常运转</w:t>
            </w:r>
          </w:p>
        </w:tc>
        <w:tc>
          <w:tcPr>
            <w:tcW w:w="2835" w:type="dxa"/>
            <w:vAlign w:val="center"/>
          </w:tcPr>
          <w:p>
            <w:pPr>
              <w:pStyle w:val="16"/>
            </w:pPr>
            <w:r>
              <w:t>保障各项工作正常运转</w:t>
            </w:r>
          </w:p>
        </w:tc>
        <w:tc>
          <w:tcPr>
            <w:tcW w:w="2551" w:type="dxa"/>
            <w:vAlign w:val="center"/>
          </w:tcPr>
          <w:p>
            <w:pPr>
              <w:pStyle w:val="16"/>
            </w:pPr>
            <w:r>
              <w:t>各项工作正常运转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工资发放人群满意度</w:t>
            </w:r>
          </w:p>
        </w:tc>
        <w:tc>
          <w:tcPr>
            <w:tcW w:w="2835" w:type="dxa"/>
            <w:vAlign w:val="center"/>
          </w:tcPr>
          <w:p>
            <w:pPr>
              <w:pStyle w:val="16"/>
            </w:pPr>
            <w:r>
              <w:t>工资发放人群满意度</w:t>
            </w:r>
          </w:p>
        </w:tc>
        <w:tc>
          <w:tcPr>
            <w:tcW w:w="2551" w:type="dxa"/>
            <w:vAlign w:val="center"/>
          </w:tcPr>
          <w:p>
            <w:pPr>
              <w:pStyle w:val="16"/>
            </w:pPr>
            <w:r>
              <w:t>显著提高</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13、信访救助资金绩效目标表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1.信访救助人郑红元息诉罢访，维护社会稳定。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信访救助人数</w:t>
            </w:r>
          </w:p>
        </w:tc>
        <w:tc>
          <w:tcPr>
            <w:tcW w:w="2835" w:type="dxa"/>
            <w:vAlign w:val="center"/>
          </w:tcPr>
          <w:p>
            <w:pPr>
              <w:pStyle w:val="16"/>
            </w:pPr>
            <w:r>
              <w:t>受到信访救助人数</w:t>
            </w:r>
          </w:p>
        </w:tc>
        <w:tc>
          <w:tcPr>
            <w:tcW w:w="2551" w:type="dxa"/>
            <w:vAlign w:val="center"/>
          </w:tcPr>
          <w:p>
            <w:pPr>
              <w:pStyle w:val="16"/>
            </w:pPr>
            <w:r>
              <w:t>1人</w:t>
            </w:r>
          </w:p>
        </w:tc>
        <w:tc>
          <w:tcPr>
            <w:tcW w:w="2268" w:type="dxa"/>
            <w:vAlign w:val="center"/>
          </w:tcPr>
          <w:p>
            <w:pPr>
              <w:pStyle w:val="16"/>
            </w:pPr>
            <w:r>
              <w:t>[2017]18号区信访工作联席会议调度重点信访事项会议纪要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信访救助资金发放覆盖率</w:t>
            </w:r>
          </w:p>
        </w:tc>
        <w:tc>
          <w:tcPr>
            <w:tcW w:w="2835" w:type="dxa"/>
            <w:vAlign w:val="center"/>
          </w:tcPr>
          <w:p>
            <w:pPr>
              <w:pStyle w:val="16"/>
            </w:pPr>
            <w:r>
              <w:t>已发放信访救助资金人数/应发放信访救助资金人数*100%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信访救助资金发放及时率</w:t>
            </w:r>
          </w:p>
        </w:tc>
        <w:tc>
          <w:tcPr>
            <w:tcW w:w="2835" w:type="dxa"/>
            <w:vAlign w:val="center"/>
          </w:tcPr>
          <w:p>
            <w:pPr>
              <w:pStyle w:val="16"/>
            </w:pPr>
            <w:r>
              <w:t>实际发放信访救助资金时间/规定信访救助资金发放时间*100%</w:t>
            </w:r>
          </w:p>
        </w:tc>
        <w:tc>
          <w:tcPr>
            <w:tcW w:w="2551" w:type="dxa"/>
            <w:vAlign w:val="center"/>
          </w:tcPr>
          <w:p>
            <w:pPr>
              <w:pStyle w:val="16"/>
            </w:pPr>
            <w:r>
              <w:t>100%</w:t>
            </w:r>
          </w:p>
        </w:tc>
        <w:tc>
          <w:tcPr>
            <w:tcW w:w="2268" w:type="dxa"/>
            <w:vAlign w:val="center"/>
          </w:tcPr>
          <w:p>
            <w:pPr>
              <w:pStyle w:val="16"/>
            </w:pPr>
            <w:r>
              <w:t>[2017]18号区信访工作联席会议调度重点信访事项会议纪要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信访救助资金发放标准</w:t>
            </w:r>
          </w:p>
        </w:tc>
        <w:tc>
          <w:tcPr>
            <w:tcW w:w="2835" w:type="dxa"/>
            <w:vAlign w:val="center"/>
          </w:tcPr>
          <w:p>
            <w:pPr>
              <w:pStyle w:val="16"/>
            </w:pPr>
            <w:r>
              <w:t>信访救助资金发放标准</w:t>
            </w:r>
          </w:p>
        </w:tc>
        <w:tc>
          <w:tcPr>
            <w:tcW w:w="2551" w:type="dxa"/>
            <w:vAlign w:val="center"/>
          </w:tcPr>
          <w:p>
            <w:pPr>
              <w:pStyle w:val="16"/>
            </w:pPr>
            <w:r>
              <w:t>6.5万元</w:t>
            </w:r>
          </w:p>
        </w:tc>
        <w:tc>
          <w:tcPr>
            <w:tcW w:w="2268" w:type="dxa"/>
            <w:vAlign w:val="center"/>
          </w:tcPr>
          <w:p>
            <w:pPr>
              <w:pStyle w:val="16"/>
            </w:pPr>
            <w:r>
              <w:t>[2017]18号区信访工作联席会议调度重点信访事项会议纪要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救助工作对社会的影响</w:t>
            </w:r>
          </w:p>
        </w:tc>
        <w:tc>
          <w:tcPr>
            <w:tcW w:w="2835" w:type="dxa"/>
            <w:vAlign w:val="center"/>
          </w:tcPr>
          <w:p>
            <w:pPr>
              <w:pStyle w:val="16"/>
            </w:pPr>
            <w:r>
              <w:t>救助工作对社会的影响</w:t>
            </w:r>
          </w:p>
        </w:tc>
        <w:tc>
          <w:tcPr>
            <w:tcW w:w="2551" w:type="dxa"/>
            <w:vAlign w:val="center"/>
          </w:tcPr>
          <w:p>
            <w:pPr>
              <w:pStyle w:val="16"/>
            </w:pPr>
            <w:r>
              <w:t>影响较好</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信访救助人息诉罢访情况</w:t>
            </w:r>
          </w:p>
        </w:tc>
        <w:tc>
          <w:tcPr>
            <w:tcW w:w="2835" w:type="dxa"/>
            <w:vAlign w:val="center"/>
          </w:tcPr>
          <w:p>
            <w:pPr>
              <w:pStyle w:val="16"/>
            </w:pPr>
            <w:r>
              <w:t>信访救助人是否息诉罢访</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信访救助人满意度</w:t>
            </w:r>
          </w:p>
        </w:tc>
        <w:tc>
          <w:tcPr>
            <w:tcW w:w="2835" w:type="dxa"/>
            <w:vAlign w:val="center"/>
          </w:tcPr>
          <w:p>
            <w:pPr>
              <w:pStyle w:val="16"/>
            </w:pPr>
            <w:r>
              <w:t>信访救助人满意度</w:t>
            </w:r>
          </w:p>
        </w:tc>
        <w:tc>
          <w:tcPr>
            <w:tcW w:w="2551" w:type="dxa"/>
            <w:vAlign w:val="center"/>
          </w:tcPr>
          <w:p>
            <w:pPr>
              <w:pStyle w:val="16"/>
            </w:pPr>
            <w:r>
              <w:t>显著提高</w:t>
            </w:r>
          </w:p>
        </w:tc>
        <w:tc>
          <w:tcPr>
            <w:tcW w:w="2268" w:type="dxa"/>
            <w:vAlign w:val="center"/>
          </w:tcPr>
          <w:p>
            <w:pPr>
              <w:pStyle w:val="16"/>
            </w:pPr>
            <w:r>
              <w:t>[2017]18号区信访工作联席会议调度重点信访事项会议纪要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14、信访维稳工作经费绩效目标表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1.积极宣传党的政策及相关法律，确保各敏感期及日常信访稳定，无非访、越级访及进京访发生；及时化解信访案件，陪访到位、劝返及时，切实做好信访人的稳控工作。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不稳定群体或人员排查率</w:t>
            </w:r>
          </w:p>
        </w:tc>
        <w:tc>
          <w:tcPr>
            <w:tcW w:w="2835" w:type="dxa"/>
            <w:vAlign w:val="center"/>
          </w:tcPr>
          <w:p>
            <w:pPr>
              <w:pStyle w:val="16"/>
            </w:pPr>
            <w:r>
              <w:t>矛盾纠纷排查数量与矛盾纠纷总量的比例</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不稳定群体或人员受理率</w:t>
            </w:r>
          </w:p>
        </w:tc>
        <w:tc>
          <w:tcPr>
            <w:tcW w:w="2835" w:type="dxa"/>
            <w:vAlign w:val="center"/>
          </w:tcPr>
          <w:p>
            <w:pPr>
              <w:pStyle w:val="16"/>
            </w:pPr>
            <w:r>
              <w:t>受理矛盾纠纷的比例</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及时解决信访问题</w:t>
            </w:r>
          </w:p>
        </w:tc>
        <w:tc>
          <w:tcPr>
            <w:tcW w:w="2835" w:type="dxa"/>
            <w:vAlign w:val="center"/>
          </w:tcPr>
          <w:p>
            <w:pPr>
              <w:pStyle w:val="16"/>
            </w:pPr>
            <w:r>
              <w:t>及时解决上访人反映问题</w:t>
            </w:r>
          </w:p>
        </w:tc>
        <w:tc>
          <w:tcPr>
            <w:tcW w:w="2551" w:type="dxa"/>
            <w:vAlign w:val="center"/>
          </w:tcPr>
          <w:p>
            <w:pPr>
              <w:pStyle w:val="16"/>
            </w:pPr>
            <w:r>
              <w:t>及时解决</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预算资金完成率</w:t>
            </w:r>
          </w:p>
        </w:tc>
        <w:tc>
          <w:tcPr>
            <w:tcW w:w="2835" w:type="dxa"/>
            <w:vAlign w:val="center"/>
          </w:tcPr>
          <w:p>
            <w:pPr>
              <w:pStyle w:val="16"/>
            </w:pPr>
            <w:r>
              <w:t>预算资金完成率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不稳定群体调解率</w:t>
            </w:r>
          </w:p>
        </w:tc>
        <w:tc>
          <w:tcPr>
            <w:tcW w:w="2835" w:type="dxa"/>
            <w:vAlign w:val="center"/>
          </w:tcPr>
          <w:p>
            <w:pPr>
              <w:pStyle w:val="16"/>
            </w:pPr>
            <w:r>
              <w:t>已调解的数量占全部不稳定群体的比例</w:t>
            </w:r>
          </w:p>
        </w:tc>
        <w:tc>
          <w:tcPr>
            <w:tcW w:w="2551" w:type="dxa"/>
            <w:vAlign w:val="center"/>
          </w:tcPr>
          <w:p>
            <w:pPr>
              <w:pStyle w:val="16"/>
            </w:pPr>
            <w:r>
              <w:t>≥80%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社会稳定提升情况</w:t>
            </w:r>
          </w:p>
        </w:tc>
        <w:tc>
          <w:tcPr>
            <w:tcW w:w="2835" w:type="dxa"/>
            <w:vAlign w:val="center"/>
          </w:tcPr>
          <w:p>
            <w:pPr>
              <w:pStyle w:val="16"/>
            </w:pPr>
            <w:r>
              <w:t>通过隐患排查，社会矛盾降低，社会稳定提升情况</w:t>
            </w:r>
          </w:p>
        </w:tc>
        <w:tc>
          <w:tcPr>
            <w:tcW w:w="2551" w:type="dxa"/>
            <w:vAlign w:val="center"/>
          </w:tcPr>
          <w:p>
            <w:pPr>
              <w:pStyle w:val="16"/>
            </w:pPr>
            <w:r>
              <w:t>明显提升</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信访群众满意率</w:t>
            </w:r>
          </w:p>
        </w:tc>
        <w:tc>
          <w:tcPr>
            <w:tcW w:w="2835" w:type="dxa"/>
            <w:vAlign w:val="center"/>
          </w:tcPr>
          <w:p>
            <w:pPr>
              <w:pStyle w:val="16"/>
            </w:pPr>
            <w:r>
              <w:t>反映信访群众满意的比例</w:t>
            </w:r>
          </w:p>
        </w:tc>
        <w:tc>
          <w:tcPr>
            <w:tcW w:w="2551" w:type="dxa"/>
            <w:vAlign w:val="center"/>
          </w:tcPr>
          <w:p>
            <w:pPr>
              <w:pStyle w:val="16"/>
            </w:pPr>
            <w:r>
              <w:t>≥90%</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15、业务工作经费绩效目标表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1.用于各业务科室日常工作、活动费用，以便更好的完成上级工作任务和工作目标，打造良好的社会环境。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资金到位率</w:t>
            </w:r>
          </w:p>
        </w:tc>
        <w:tc>
          <w:tcPr>
            <w:tcW w:w="2835" w:type="dxa"/>
            <w:vAlign w:val="center"/>
          </w:tcPr>
          <w:p>
            <w:pPr>
              <w:pStyle w:val="16"/>
            </w:pPr>
            <w:r>
              <w:t>业务工作资金到位的比例</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各项工作任务完成率</w:t>
            </w:r>
          </w:p>
        </w:tc>
        <w:tc>
          <w:tcPr>
            <w:tcW w:w="2835" w:type="dxa"/>
            <w:vAlign w:val="center"/>
          </w:tcPr>
          <w:p>
            <w:pPr>
              <w:pStyle w:val="16"/>
            </w:pPr>
            <w:r>
              <w:t>各项工作任务完成的比例</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各项工作任务完成及时率</w:t>
            </w:r>
          </w:p>
        </w:tc>
        <w:tc>
          <w:tcPr>
            <w:tcW w:w="2835" w:type="dxa"/>
            <w:vAlign w:val="center"/>
          </w:tcPr>
          <w:p>
            <w:pPr>
              <w:pStyle w:val="16"/>
            </w:pPr>
            <w:r>
              <w:t>各项工作任务及时完成的比例</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预算资金完成率</w:t>
            </w:r>
          </w:p>
        </w:tc>
        <w:tc>
          <w:tcPr>
            <w:tcW w:w="2835" w:type="dxa"/>
            <w:vAlign w:val="center"/>
          </w:tcPr>
          <w:p>
            <w:pPr>
              <w:pStyle w:val="16"/>
            </w:pPr>
            <w:r>
              <w:t>预算资金完成率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工作任务对形成良好的社会风气影响程度</w:t>
            </w:r>
          </w:p>
        </w:tc>
        <w:tc>
          <w:tcPr>
            <w:tcW w:w="2835" w:type="dxa"/>
            <w:vAlign w:val="center"/>
          </w:tcPr>
          <w:p>
            <w:pPr>
              <w:pStyle w:val="16"/>
            </w:pPr>
            <w:r>
              <w:t>工作任务对形成良好的社会风气是否有影响</w:t>
            </w:r>
          </w:p>
        </w:tc>
        <w:tc>
          <w:tcPr>
            <w:tcW w:w="2551" w:type="dxa"/>
            <w:vAlign w:val="center"/>
          </w:tcPr>
          <w:p>
            <w:pPr>
              <w:pStyle w:val="16"/>
            </w:pPr>
            <w:r>
              <w:t>影响较好</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提升工作人员办公效率</w:t>
            </w:r>
          </w:p>
        </w:tc>
        <w:tc>
          <w:tcPr>
            <w:tcW w:w="2835" w:type="dxa"/>
            <w:vAlign w:val="center"/>
          </w:tcPr>
          <w:p>
            <w:pPr>
              <w:pStyle w:val="16"/>
            </w:pPr>
            <w:r>
              <w:t>能否明显提升工作人员办公效率</w:t>
            </w:r>
          </w:p>
        </w:tc>
        <w:tc>
          <w:tcPr>
            <w:tcW w:w="2551" w:type="dxa"/>
            <w:vAlign w:val="center"/>
          </w:tcPr>
          <w:p>
            <w:pPr>
              <w:pStyle w:val="16"/>
            </w:pPr>
            <w:r>
              <w:t>明显提升</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工作人员满意率</w:t>
            </w:r>
          </w:p>
        </w:tc>
        <w:tc>
          <w:tcPr>
            <w:tcW w:w="2835" w:type="dxa"/>
            <w:vAlign w:val="center"/>
          </w:tcPr>
          <w:p>
            <w:pPr>
              <w:pStyle w:val="16"/>
            </w:pPr>
            <w:r>
              <w:t>工作人员对完成工作任务满意的比例</w:t>
            </w:r>
          </w:p>
        </w:tc>
        <w:tc>
          <w:tcPr>
            <w:tcW w:w="2551" w:type="dxa"/>
            <w:vAlign w:val="center"/>
          </w:tcPr>
          <w:p>
            <w:pPr>
              <w:pStyle w:val="16"/>
            </w:pPr>
            <w:r>
              <w:t>≥85%</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16、增设社区工作人员外包经费绩效目标表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1.落实劳务外包人员的工资保险待遇，调动工作积极性，保障街道社区工作的正常开展。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劳务外包人员数量</w:t>
            </w:r>
          </w:p>
        </w:tc>
        <w:tc>
          <w:tcPr>
            <w:tcW w:w="2835" w:type="dxa"/>
            <w:vAlign w:val="center"/>
          </w:tcPr>
          <w:p>
            <w:pPr>
              <w:pStyle w:val="16"/>
            </w:pPr>
            <w:r>
              <w:t>劳务外包人员数量</w:t>
            </w:r>
          </w:p>
        </w:tc>
        <w:tc>
          <w:tcPr>
            <w:tcW w:w="2551" w:type="dxa"/>
            <w:vAlign w:val="center"/>
          </w:tcPr>
          <w:p>
            <w:pPr>
              <w:pStyle w:val="16"/>
            </w:pPr>
            <w:r>
              <w:t>16人</w:t>
            </w:r>
          </w:p>
        </w:tc>
        <w:tc>
          <w:tcPr>
            <w:tcW w:w="2268" w:type="dxa"/>
            <w:vAlign w:val="center"/>
          </w:tcPr>
          <w:p>
            <w:pPr>
              <w:pStyle w:val="16"/>
            </w:pPr>
            <w:r>
              <w:t>根据《青年路街道办事处关于增加社区工作人员的请示》（青街办呈[2022]37号）领导批复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费用拨付准确率</w:t>
            </w:r>
          </w:p>
        </w:tc>
        <w:tc>
          <w:tcPr>
            <w:tcW w:w="2835" w:type="dxa"/>
            <w:vAlign w:val="center"/>
          </w:tcPr>
          <w:p>
            <w:pPr>
              <w:pStyle w:val="16"/>
            </w:pPr>
            <w:r>
              <w:t>费用拨付准确次数/费用拨付总次数*100%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费用拨付及时率</w:t>
            </w:r>
          </w:p>
        </w:tc>
        <w:tc>
          <w:tcPr>
            <w:tcW w:w="2835" w:type="dxa"/>
            <w:vAlign w:val="center"/>
          </w:tcPr>
          <w:p>
            <w:pPr>
              <w:pStyle w:val="16"/>
            </w:pPr>
            <w:r>
              <w:t>费用实际拨付时间/规定发放时间*100%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工资人均发放标准</w:t>
            </w:r>
          </w:p>
        </w:tc>
        <w:tc>
          <w:tcPr>
            <w:tcW w:w="2835" w:type="dxa"/>
            <w:vAlign w:val="center"/>
          </w:tcPr>
          <w:p>
            <w:pPr>
              <w:pStyle w:val="16"/>
            </w:pPr>
            <w:r>
              <w:t>工资人均发放标准</w:t>
            </w:r>
          </w:p>
        </w:tc>
        <w:tc>
          <w:tcPr>
            <w:tcW w:w="2551" w:type="dxa"/>
            <w:vAlign w:val="center"/>
          </w:tcPr>
          <w:p>
            <w:pPr>
              <w:pStyle w:val="16"/>
            </w:pPr>
            <w:r>
              <w:t>2660元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保障工作正常运转</w:t>
            </w:r>
          </w:p>
        </w:tc>
        <w:tc>
          <w:tcPr>
            <w:tcW w:w="2835" w:type="dxa"/>
            <w:vAlign w:val="center"/>
          </w:tcPr>
          <w:p>
            <w:pPr>
              <w:pStyle w:val="16"/>
            </w:pPr>
            <w:r>
              <w:t>保障各项工作正常运转</w:t>
            </w:r>
          </w:p>
        </w:tc>
        <w:tc>
          <w:tcPr>
            <w:tcW w:w="2551" w:type="dxa"/>
            <w:vAlign w:val="center"/>
          </w:tcPr>
          <w:p>
            <w:pPr>
              <w:pStyle w:val="16"/>
            </w:pPr>
            <w:r>
              <w:t>各项工作正常运转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缓解街道及社区繁重的工作任务压力</w:t>
            </w:r>
          </w:p>
        </w:tc>
        <w:tc>
          <w:tcPr>
            <w:tcW w:w="2835" w:type="dxa"/>
            <w:vAlign w:val="center"/>
          </w:tcPr>
          <w:p>
            <w:pPr>
              <w:pStyle w:val="16"/>
            </w:pPr>
            <w:r>
              <w:t>缓解街道及社区繁重的工作任务压力</w:t>
            </w:r>
          </w:p>
        </w:tc>
        <w:tc>
          <w:tcPr>
            <w:tcW w:w="2551" w:type="dxa"/>
            <w:vAlign w:val="center"/>
          </w:tcPr>
          <w:p>
            <w:pPr>
              <w:pStyle w:val="16"/>
            </w:pPr>
            <w:r>
              <w:t>一定程度上缓解工作任务压力</w:t>
            </w:r>
          </w:p>
        </w:tc>
        <w:tc>
          <w:tcPr>
            <w:tcW w:w="2268" w:type="dxa"/>
            <w:vAlign w:val="center"/>
          </w:tcPr>
          <w:p>
            <w:pPr>
              <w:pStyle w:val="16"/>
            </w:pPr>
            <w:r>
              <w:t>根据《青年路街道办事处关于增加社区工作人员的请示》（青街办呈[2022]37号）领导批复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工资发放人群满意度</w:t>
            </w:r>
          </w:p>
        </w:tc>
        <w:tc>
          <w:tcPr>
            <w:tcW w:w="2835" w:type="dxa"/>
            <w:vAlign w:val="center"/>
          </w:tcPr>
          <w:p>
            <w:pPr>
              <w:pStyle w:val="16"/>
            </w:pPr>
            <w:r>
              <w:t>工资发放人群满意度</w:t>
            </w:r>
          </w:p>
        </w:tc>
        <w:tc>
          <w:tcPr>
            <w:tcW w:w="2551" w:type="dxa"/>
            <w:vAlign w:val="center"/>
          </w:tcPr>
          <w:p>
            <w:pPr>
              <w:pStyle w:val="16"/>
            </w:pPr>
            <w:r>
              <w:t>显著提高</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17、政务服务智能终端设备购置费绩效目标表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1.引导企业群众使用自助终端办理政务服务，不断提升政务服务便利化水平，促进“自助办”“就近办”服务提升。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设备购置数量</w:t>
            </w:r>
          </w:p>
        </w:tc>
        <w:tc>
          <w:tcPr>
            <w:tcW w:w="2835" w:type="dxa"/>
            <w:vAlign w:val="center"/>
          </w:tcPr>
          <w:p>
            <w:pPr>
              <w:pStyle w:val="16"/>
            </w:pPr>
            <w:r>
              <w:t>购买政务服务智能终端设备数量</w:t>
            </w:r>
          </w:p>
        </w:tc>
        <w:tc>
          <w:tcPr>
            <w:tcW w:w="2551" w:type="dxa"/>
            <w:vAlign w:val="center"/>
          </w:tcPr>
          <w:p>
            <w:pPr>
              <w:pStyle w:val="16"/>
            </w:pPr>
            <w:r>
              <w:t>1套</w:t>
            </w:r>
          </w:p>
        </w:tc>
        <w:tc>
          <w:tcPr>
            <w:tcW w:w="2268" w:type="dxa"/>
            <w:vAlign w:val="center"/>
          </w:tcPr>
          <w:p>
            <w:pPr>
              <w:pStyle w:val="16"/>
            </w:pPr>
            <w:r>
              <w:t>根据《唐山市丰南区政务服务管理办公室关于转发&lt;唐山市政务服务管理办公室关于进一步推进政务服务“自助办”“就近办”工作的通知&gt;的通知》（丰政务办[2022]13号）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购置质量合格率</w:t>
            </w:r>
          </w:p>
        </w:tc>
        <w:tc>
          <w:tcPr>
            <w:tcW w:w="2835" w:type="dxa"/>
            <w:vAlign w:val="center"/>
          </w:tcPr>
          <w:p>
            <w:pPr>
              <w:pStyle w:val="16"/>
            </w:pPr>
            <w:r>
              <w:t>购置质量合格的数量占购置总数量的比率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设备到位及时率</w:t>
            </w:r>
          </w:p>
        </w:tc>
        <w:tc>
          <w:tcPr>
            <w:tcW w:w="2835" w:type="dxa"/>
            <w:vAlign w:val="center"/>
          </w:tcPr>
          <w:p>
            <w:pPr>
              <w:pStyle w:val="16"/>
            </w:pPr>
            <w:r>
              <w:t>按照采购方案及时到位的设备*100%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单位购置成本</w:t>
            </w:r>
          </w:p>
        </w:tc>
        <w:tc>
          <w:tcPr>
            <w:tcW w:w="2835" w:type="dxa"/>
            <w:vAlign w:val="center"/>
          </w:tcPr>
          <w:p>
            <w:pPr>
              <w:pStyle w:val="16"/>
            </w:pPr>
            <w:r>
              <w:t>购置总成本与购置数量的比值</w:t>
            </w:r>
          </w:p>
        </w:tc>
        <w:tc>
          <w:tcPr>
            <w:tcW w:w="2551" w:type="dxa"/>
            <w:vAlign w:val="center"/>
          </w:tcPr>
          <w:p>
            <w:pPr>
              <w:pStyle w:val="16"/>
            </w:pPr>
            <w:r>
              <w:t>4.5万元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购置设备利用率</w:t>
            </w:r>
          </w:p>
        </w:tc>
        <w:tc>
          <w:tcPr>
            <w:tcW w:w="2835" w:type="dxa"/>
            <w:vAlign w:val="center"/>
          </w:tcPr>
          <w:p>
            <w:pPr>
              <w:pStyle w:val="16"/>
            </w:pPr>
            <w:r>
              <w:t>本次投入使用设备数量/本次购置设备数量*100%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提升政务服务便利化水平</w:t>
            </w:r>
          </w:p>
        </w:tc>
        <w:tc>
          <w:tcPr>
            <w:tcW w:w="2835" w:type="dxa"/>
            <w:vAlign w:val="center"/>
          </w:tcPr>
          <w:p>
            <w:pPr>
              <w:pStyle w:val="16"/>
            </w:pPr>
            <w:r>
              <w:t>提升政务服务便利化水平</w:t>
            </w:r>
          </w:p>
        </w:tc>
        <w:tc>
          <w:tcPr>
            <w:tcW w:w="2551" w:type="dxa"/>
            <w:vAlign w:val="center"/>
          </w:tcPr>
          <w:p>
            <w:pPr>
              <w:pStyle w:val="16"/>
            </w:pPr>
            <w:r>
              <w:t>效果明显</w:t>
            </w:r>
          </w:p>
        </w:tc>
        <w:tc>
          <w:tcPr>
            <w:tcW w:w="2268" w:type="dxa"/>
            <w:vAlign w:val="center"/>
          </w:tcPr>
          <w:p>
            <w:pPr>
              <w:pStyle w:val="16"/>
            </w:pPr>
            <w:r>
              <w:t>根据《唐山市丰南区政务服务管理办公室关于转发&lt;唐山市政务服务管理办公室关于进一步推进政务服务“自助办”“就近办”工作的通知&gt;的通知》（丰政务办[2022]13号）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用户满意率</w:t>
            </w:r>
          </w:p>
        </w:tc>
        <w:tc>
          <w:tcPr>
            <w:tcW w:w="2835" w:type="dxa"/>
            <w:vAlign w:val="center"/>
          </w:tcPr>
          <w:p>
            <w:pPr>
              <w:pStyle w:val="16"/>
            </w:pPr>
            <w:r>
              <w:t>满意的用户数占调查数之比</w:t>
            </w:r>
          </w:p>
        </w:tc>
        <w:tc>
          <w:tcPr>
            <w:tcW w:w="2551" w:type="dxa"/>
            <w:vAlign w:val="center"/>
          </w:tcPr>
          <w:p>
            <w:pPr>
              <w:pStyle w:val="16"/>
            </w:pPr>
            <w:r>
              <w:t>≥80%</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2023年，唐山市丰南区青年路街道办事处安排政府采购预算292.63万元。具体内容见下表。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418唐山市丰南区青年路街道办事处</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292.63</w:t>
            </w:r>
          </w:p>
        </w:tc>
        <w:tc>
          <w:tcPr>
            <w:tcW w:w="964" w:type="dxa"/>
            <w:vAlign w:val="center"/>
          </w:tcPr>
          <w:p>
            <w:pPr>
              <w:pStyle w:val="19"/>
            </w:pPr>
            <w:r>
              <w:t>292.63</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292.63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唐山市丰南区青年路街道办事处本级小计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292.63</w:t>
            </w:r>
          </w:p>
        </w:tc>
        <w:tc>
          <w:tcPr>
            <w:tcW w:w="964" w:type="dxa"/>
            <w:vAlign w:val="center"/>
          </w:tcPr>
          <w:p>
            <w:pPr>
              <w:pStyle w:val="19"/>
            </w:pPr>
            <w:r>
              <w:t>292.63</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292.63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社区工作人员外包经费</w:t>
            </w:r>
          </w:p>
        </w:tc>
        <w:tc>
          <w:tcPr>
            <w:tcW w:w="964" w:type="dxa"/>
            <w:vAlign w:val="center"/>
          </w:tcPr>
          <w:p>
            <w:pPr>
              <w:pStyle w:val="15"/>
            </w:pPr>
            <w:r>
              <w:t>295.67</w:t>
            </w:r>
          </w:p>
        </w:tc>
        <w:tc>
          <w:tcPr>
            <w:tcW w:w="1134" w:type="dxa"/>
            <w:vAlign w:val="center"/>
          </w:tcPr>
          <w:p>
            <w:pPr>
              <w:pStyle w:val="16"/>
            </w:pPr>
            <w:r>
              <w:t>其他服务</w:t>
            </w:r>
          </w:p>
        </w:tc>
        <w:tc>
          <w:tcPr>
            <w:tcW w:w="1134" w:type="dxa"/>
            <w:vAlign w:val="center"/>
          </w:tcPr>
          <w:p>
            <w:pPr>
              <w:pStyle w:val="16"/>
            </w:pPr>
            <w:r>
              <w:t>C99000000</w:t>
            </w:r>
          </w:p>
        </w:tc>
        <w:tc>
          <w:tcPr>
            <w:tcW w:w="709" w:type="dxa"/>
            <w:vAlign w:val="center"/>
          </w:tcPr>
          <w:p>
            <w:pPr>
              <w:pStyle w:val="17"/>
            </w:pPr>
            <w:r>
              <w:t>笔</w:t>
            </w:r>
          </w:p>
        </w:tc>
        <w:tc>
          <w:tcPr>
            <w:tcW w:w="850" w:type="dxa"/>
            <w:vAlign w:val="center"/>
          </w:tcPr>
          <w:p>
            <w:pPr>
              <w:pStyle w:val="15"/>
            </w:pPr>
            <w:r>
              <w:t>1</w:t>
            </w:r>
          </w:p>
        </w:tc>
        <w:tc>
          <w:tcPr>
            <w:tcW w:w="850" w:type="dxa"/>
            <w:vAlign w:val="center"/>
          </w:tcPr>
          <w:p>
            <w:pPr>
              <w:pStyle w:val="15"/>
            </w:pPr>
            <w:r>
              <w:t>292.63</w:t>
            </w:r>
          </w:p>
        </w:tc>
        <w:tc>
          <w:tcPr>
            <w:tcW w:w="964" w:type="dxa"/>
            <w:vAlign w:val="center"/>
          </w:tcPr>
          <w:p>
            <w:pPr>
              <w:pStyle w:val="15"/>
            </w:pPr>
            <w:r>
              <w:t>292.63</w:t>
            </w:r>
          </w:p>
        </w:tc>
        <w:tc>
          <w:tcPr>
            <w:tcW w:w="964" w:type="dxa"/>
            <w:vAlign w:val="center"/>
          </w:tcPr>
          <w:p>
            <w:pPr>
              <w:pStyle w:val="15"/>
            </w:pPr>
            <w:r>
              <w:t>292.63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292.63</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唐山市丰南区青年路街道办事处（含所属单位）上年末固定资产金额为3195.53万元（详见下表）。本年度拟购置固定资产总额为0.00万元，已按要求列入政府采购预算，详见政府采购预算表。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418唐山市丰南区青年路街道办事处</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3195.53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10303.51</w:t>
            </w:r>
          </w:p>
        </w:tc>
        <w:tc>
          <w:tcPr>
            <w:tcW w:w="2835" w:type="dxa"/>
            <w:vAlign w:val="center"/>
          </w:tcPr>
          <w:p>
            <w:pPr>
              <w:pStyle w:val="15"/>
            </w:pPr>
            <w:r>
              <w:t>2637.07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769.98</w:t>
            </w:r>
          </w:p>
        </w:tc>
        <w:tc>
          <w:tcPr>
            <w:tcW w:w="2835" w:type="dxa"/>
            <w:vAlign w:val="center"/>
          </w:tcPr>
          <w:p>
            <w:pPr>
              <w:pStyle w:val="15"/>
            </w:pPr>
            <w:r>
              <w:t>507.25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r>
              <w:t>1</w:t>
            </w:r>
          </w:p>
        </w:tc>
        <w:tc>
          <w:tcPr>
            <w:tcW w:w="2835" w:type="dxa"/>
            <w:vAlign w:val="center"/>
          </w:tcPr>
          <w:p>
            <w:pPr>
              <w:pStyle w:val="15"/>
            </w:pPr>
            <w:r>
              <w:t>60.10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r>
              <w:t>498.36</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方正仿宋_GBK"/>
          <w:color w:val="000000"/>
          <w:sz w:val="28"/>
          <w:lang w:val="uk-UA"/>
        </w:rPr>
      </w:pPr>
      <w:r>
        <w:rPr>
          <w:rFonts w:eastAsia="方正仿宋_GBK"/>
          <w:color w:val="000000"/>
          <w:sz w:val="28"/>
        </w:rPr>
        <w:t>我部门无其他需要说明的事项</w:t>
      </w:r>
    </w:p>
    <w:p>
      <w:pPr>
        <w:spacing w:line="500" w:lineRule="exact"/>
        <w:ind w:firstLine="560"/>
        <w:rPr>
          <w:rFonts w:eastAsia="方正仿宋_GBK"/>
          <w:color w:val="000000"/>
          <w:sz w:val="28"/>
          <w:lang w:val="uk-UA"/>
        </w:rPr>
      </w:pPr>
    </w:p>
    <w:p>
      <w:pPr>
        <w:spacing w:line="500" w:lineRule="exact"/>
        <w:ind w:firstLine="560"/>
        <w:rPr>
          <w:rFonts w:eastAsia="方正仿宋_GBK"/>
          <w:color w:val="000000"/>
          <w:sz w:val="28"/>
          <w:lang w:val="uk-UA"/>
        </w:rPr>
      </w:pPr>
    </w:p>
    <w:p>
      <w:pPr>
        <w:spacing w:line="500" w:lineRule="exact"/>
        <w:ind w:firstLine="560"/>
        <w:rPr>
          <w:rFonts w:eastAsia="方正仿宋_GBK"/>
          <w:color w:val="000000"/>
          <w:sz w:val="28"/>
          <w:lang w:val="uk-UA"/>
        </w:rPr>
      </w:pPr>
    </w:p>
    <w:p>
      <w:pPr>
        <w:spacing w:line="500" w:lineRule="exact"/>
        <w:ind w:firstLine="560"/>
        <w:rPr>
          <w:rFonts w:eastAsia="方正仿宋_GBK"/>
          <w:color w:val="000000"/>
          <w:sz w:val="28"/>
          <w:lang w:val="uk-UA"/>
        </w:rPr>
      </w:pPr>
    </w:p>
    <w:p>
      <w:pPr>
        <w:spacing w:line="500" w:lineRule="exact"/>
        <w:ind w:firstLine="560"/>
        <w:rPr>
          <w:rFonts w:eastAsia="方正仿宋_GBK"/>
          <w:color w:val="000000"/>
          <w:sz w:val="28"/>
          <w:lang w:val="uk-UA"/>
        </w:rPr>
      </w:pPr>
    </w:p>
    <w:p>
      <w:pPr>
        <w:spacing w:line="500" w:lineRule="exact"/>
        <w:ind w:firstLine="560"/>
        <w:rPr>
          <w:rFonts w:eastAsia="方正仿宋_GBK"/>
          <w:color w:val="000000"/>
          <w:sz w:val="28"/>
          <w:lang w:val="uk-UA"/>
        </w:rPr>
      </w:pPr>
    </w:p>
    <w:p>
      <w:pPr>
        <w:spacing w:line="500" w:lineRule="exact"/>
        <w:ind w:firstLine="560"/>
        <w:rPr>
          <w:rFonts w:eastAsia="方正仿宋_GBK"/>
          <w:color w:val="000000"/>
          <w:sz w:val="28"/>
          <w:lang w:val="uk-UA"/>
        </w:rPr>
      </w:pPr>
    </w:p>
    <w:p>
      <w:pPr>
        <w:spacing w:line="500" w:lineRule="exact"/>
        <w:ind w:firstLine="560"/>
        <w:rPr>
          <w:rFonts w:eastAsia="方正仿宋_GBK"/>
          <w:color w:val="000000"/>
          <w:sz w:val="28"/>
          <w:lang w:val="uk-UA"/>
        </w:rPr>
      </w:pPr>
    </w:p>
    <w:p>
      <w:pPr>
        <w:spacing w:line="500" w:lineRule="exact"/>
        <w:ind w:firstLine="560"/>
        <w:rPr>
          <w:rFonts w:eastAsia="方正仿宋_GBK"/>
          <w:color w:val="000000"/>
          <w:sz w:val="28"/>
          <w:lang w:val="uk-UA"/>
        </w:rPr>
      </w:pPr>
    </w:p>
    <w:p>
      <w:pPr>
        <w:spacing w:line="500" w:lineRule="exact"/>
        <w:ind w:firstLine="560"/>
        <w:rPr>
          <w:rFonts w:eastAsia="方正仿宋_GBK"/>
          <w:color w:val="000000"/>
          <w:sz w:val="28"/>
          <w:lang w:val="uk-UA"/>
        </w:rPr>
      </w:pPr>
    </w:p>
    <w:p>
      <w:pPr>
        <w:spacing w:line="500" w:lineRule="exact"/>
        <w:ind w:firstLine="560"/>
        <w:rPr>
          <w:rFonts w:eastAsia="方正仿宋_GBK"/>
          <w:color w:val="000000"/>
          <w:sz w:val="28"/>
          <w:lang w:val="uk-UA"/>
        </w:rPr>
      </w:pPr>
    </w:p>
    <w:p>
      <w:pPr>
        <w:spacing w:line="500" w:lineRule="exact"/>
        <w:ind w:firstLine="560"/>
        <w:rPr>
          <w:rFonts w:eastAsia="方正仿宋_GBK"/>
          <w:color w:val="000000"/>
          <w:sz w:val="28"/>
          <w:lang w:val="uk-UA"/>
        </w:rPr>
      </w:pPr>
    </w:p>
    <w:p>
      <w:pPr>
        <w:spacing w:line="500" w:lineRule="exact"/>
        <w:ind w:firstLine="560"/>
        <w:rPr>
          <w:rFonts w:eastAsia="方正仿宋_GBK"/>
          <w:color w:val="000000"/>
          <w:sz w:val="28"/>
          <w:lang w:val="uk-UA"/>
        </w:rPr>
      </w:pPr>
    </w:p>
    <w:p>
      <w:pPr>
        <w:spacing w:line="500" w:lineRule="exact"/>
        <w:ind w:firstLine="560"/>
        <w:rPr>
          <w:rFonts w:eastAsia="方正仿宋_GBK"/>
          <w:color w:val="000000"/>
          <w:sz w:val="28"/>
          <w:lang w:val="uk-UA"/>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TljZThlYmZlZDE1NGU3ODUxN2M1YTYzNjkyNjRlNTAifQ=="/>
  </w:docVars>
  <w:rsids>
    <w:rsidRoot w:val="001C7F1A"/>
    <w:rsid w:val="001539ED"/>
    <w:rsid w:val="001C7F1A"/>
    <w:rsid w:val="0064381A"/>
    <w:rsid w:val="008F0E79"/>
    <w:rsid w:val="00AD0219"/>
    <w:rsid w:val="09546010"/>
    <w:rsid w:val="0CCF39D4"/>
    <w:rsid w:val="10AF2C58"/>
    <w:rsid w:val="11194DCD"/>
    <w:rsid w:val="15DA2525"/>
    <w:rsid w:val="192C5720"/>
    <w:rsid w:val="1A3F329F"/>
    <w:rsid w:val="1A985F1D"/>
    <w:rsid w:val="2A821F7F"/>
    <w:rsid w:val="3110205D"/>
    <w:rsid w:val="373D436E"/>
    <w:rsid w:val="3BB3357B"/>
    <w:rsid w:val="43B82D0A"/>
    <w:rsid w:val="4C982E1F"/>
    <w:rsid w:val="54834C53"/>
    <w:rsid w:val="5A1960FE"/>
    <w:rsid w:val="5E880503"/>
    <w:rsid w:val="65891CBD"/>
    <w:rsid w:val="6C5C5F78"/>
    <w:rsid w:val="70595EE2"/>
    <w:rsid w:val="725D3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34"/>
    <w:autoRedefine/>
    <w:unhideWhenUsed/>
    <w:qFormat/>
    <w:uiPriority w:val="99"/>
    <w:pPr>
      <w:tabs>
        <w:tab w:val="center" w:pos="4153"/>
        <w:tab w:val="right" w:pos="8306"/>
      </w:tabs>
      <w:snapToGrid w:val="0"/>
    </w:pPr>
    <w:rPr>
      <w:sz w:val="18"/>
      <w:szCs w:val="18"/>
    </w:rPr>
  </w:style>
  <w:style w:type="paragraph" w:styleId="4">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3">
    <w:name w:val="页眉 字符"/>
    <w:basedOn w:val="10"/>
    <w:link w:val="4"/>
    <w:autoRedefine/>
    <w:qFormat/>
    <w:uiPriority w:val="99"/>
    <w:rPr>
      <w:rFonts w:eastAsia="Times New Roman"/>
      <w:sz w:val="18"/>
      <w:szCs w:val="18"/>
      <w:lang w:eastAsia="uk-UA"/>
    </w:rPr>
  </w:style>
  <w:style w:type="character" w:customStyle="1" w:styleId="34">
    <w:name w:val="页脚 字符"/>
    <w:basedOn w:val="10"/>
    <w:link w:val="3"/>
    <w:autoRedefine/>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4" Type="http://schemas.openxmlformats.org/officeDocument/2006/relationships/fontTable" Target="fontTable.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2023-02-02T10:59:04Z</dcterms:created>
  <dcterms:modified xsi:type="dcterms:W3CDTF">2023-02-02T02:59:04Z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2023-02-02T10:58:50Z</dcterms:created>
  <dcterms:modified xsi:type="dcterms:W3CDTF">2023-02-02T02:58:50Z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2023-02-02T10:58:50Z</dcterms:created>
  <dcterms:modified xsi:type="dcterms:W3CDTF">2023-02-02T02:58:50Z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2023-02-02T10:58:52Z</dcterms:created>
  <dcterms:modified xsi:type="dcterms:W3CDTF">2023-02-02T02:58:52Z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2023-02-02T10:58:53Z</dcterms:created>
  <dcterms:modified xsi:type="dcterms:W3CDTF">2023-02-02T02:58:53Z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2023-02-02T10:58:54Z</dcterms:created>
  <dcterms:modified xsi:type="dcterms:W3CDTF">2023-02-02T02:58:54Z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2023-02-02T10:58:54Z</dcterms:created>
  <dcterms:modified xsi:type="dcterms:W3CDTF">2023-02-02T02:58:54Z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2023-02-02T10:59:04Z</dcterms:created>
  <dcterms:modified xsi:type="dcterms:W3CDTF">2023-02-02T02:59:04Z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2023-02-02T10:59:05Z</dcterms:created>
  <dcterms:modified xsi:type="dcterms:W3CDTF">2023-02-02T02:59:05Z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2023-02-02T10:58:59Z</dcterms:created>
  <dcterms:modified xsi:type="dcterms:W3CDTF">2023-02-02T02:58:59Z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2023-02-02T10:58:52Z</dcterms:created>
  <dcterms:modified xsi:type="dcterms:W3CDTF">2023-02-02T02:58:52Z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2023-02-02T10:59:03Z</dcterms:created>
  <dcterms:modified xsi:type="dcterms:W3CDTF">2023-02-02T02:59:03Z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2023-02-02T10:59:06Z</dcterms:created>
  <dcterms:modified xsi:type="dcterms:W3CDTF">2023-02-02T02:59:06Z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2023-02-02T10:58:46Z</dcterms:created>
  <dcterms:modified xsi:type="dcterms:W3CDTF">2023-02-02T02:58:46Z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2023-02-02T10:58:51Z</dcterms:created>
  <dcterms:modified xsi:type="dcterms:W3CDTF">2023-02-02T02:58:51Z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2023-02-02T10:58:53Z</dcterms:created>
  <dcterms:modified xsi:type="dcterms:W3CDTF">2023-02-02T02:58:53Z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2023-02-02T10:59:03Z</dcterms:created>
  <dcterms:modified xsi:type="dcterms:W3CDTF">2023-02-02T02:59:03Z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2023-02-02T10:59:04Z</dcterms:created>
  <dcterms:modified xsi:type="dcterms:W3CDTF">2023-02-02T02:59:04Z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2023-02-02T10:58:53Z</dcterms:created>
  <dcterms:modified xsi:type="dcterms:W3CDTF">2023-02-02T02:58:53Z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2023-02-02T10:59:05Z</dcterms:created>
  <dcterms:modified xsi:type="dcterms:W3CDTF">2023-02-02T02:59:05Z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2023-02-02T10:59:06Z</dcterms:created>
  <dcterms:modified xsi:type="dcterms:W3CDTF">2023-02-02T02:59:06Z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2023-02-02T10:58:51Z</dcterms:created>
  <dcterms:modified xsi:type="dcterms:W3CDTF">2023-02-02T02:58:51Z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2023-02-02T10:58:51Z</dcterms:created>
  <dcterms:modified xsi:type="dcterms:W3CDTF">2023-02-02T02:58:51Z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2023-02-02T10:58:55Z</dcterms:created>
  <dcterms:modified xsi:type="dcterms:W3CDTF">2023-02-02T02:58:55Z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2023-02-02T10:59:04Z</dcterms:created>
  <dcterms:modified xsi:type="dcterms:W3CDTF">2023-02-02T02:59:04Z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2023-02-02T10:58:51Z</dcterms:created>
  <dcterms:modified xsi:type="dcterms:W3CDTF">2023-02-02T02:58:51Z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2023-02-02T10:59:05Z</dcterms:created>
  <dcterms:modified xsi:type="dcterms:W3CDTF">2023-02-02T02:59:05Z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2023-02-02T10:58:53Z</dcterms:created>
  <dcterms:modified xsi:type="dcterms:W3CDTF">2023-02-02T02:58:53Z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2023-02-02T10:58:53Z</dcterms:created>
  <dcterms:modified xsi:type="dcterms:W3CDTF">2023-02-02T02:58:53Z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2023-02-02T10:59:03Z</dcterms:created>
  <dcterms:modified xsi:type="dcterms:W3CDTF">2023-02-02T02:59:03Z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2023-02-02T10:59:04Z</dcterms:created>
  <dcterms:modified xsi:type="dcterms:W3CDTF">2023-02-02T02:59:04Z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2023-02-02T10:58:52Z</dcterms:created>
  <dcterms:modified xsi:type="dcterms:W3CDTF">2023-02-02T02:58:52Z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2023-02-02T10:59:05Z</dcterms:created>
  <dcterms:modified xsi:type="dcterms:W3CDTF">2023-02-02T02:59:05Z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2023-02-02T10:59:03Z</dcterms:created>
  <dcterms:modified xsi:type="dcterms:W3CDTF">2023-02-02T02:59:03Z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2023-02-02T10:59:05Z</dcterms:created>
  <dcterms:modified xsi:type="dcterms:W3CDTF">2023-02-02T02:59:05Z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2023-02-02T10:58:51Z</dcterms:created>
  <dcterms:modified xsi:type="dcterms:W3CDTF">2023-02-02T02:58:51Z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2023-02-02T10:58:54Z</dcterms:created>
  <dcterms:modified xsi:type="dcterms:W3CDTF">2023-02-02T02:58:54Z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2023-02-02T10:59:06Z</dcterms:created>
  <dcterms:modified xsi:type="dcterms:W3CDTF">2023-02-02T02:59:06Z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2023-02-02T10:59:03Z</dcterms:created>
  <dcterms:modified xsi:type="dcterms:W3CDTF">2023-02-02T02:59:03Z</dcterms:modified>
</cp:coreProperties>
</file>

<file path=customXml/itemProps1.xml><?xml version="1.0" encoding="utf-8"?>
<ds:datastoreItem xmlns:ds="http://schemas.openxmlformats.org/officeDocument/2006/customXml" ds:itemID="{69242141-07D6-4479-8CAC-C83BD429B881}">
  <ds:schemaRefs/>
</ds:datastoreItem>
</file>

<file path=customXml/itemProps10.xml><?xml version="1.0" encoding="utf-8"?>
<ds:datastoreItem xmlns:ds="http://schemas.openxmlformats.org/officeDocument/2006/customXml" ds:itemID="{47B10A63-705D-4153-AB8F-1654386414A6}">
  <ds:schemaRefs/>
</ds:datastoreItem>
</file>

<file path=customXml/itemProps11.xml><?xml version="1.0" encoding="utf-8"?>
<ds:datastoreItem xmlns:ds="http://schemas.openxmlformats.org/officeDocument/2006/customXml" ds:itemID="{B73B83A8-9DF7-402C-8256-97B5F010AD08}">
  <ds:schemaRefs/>
</ds:datastoreItem>
</file>

<file path=customXml/itemProps12.xml><?xml version="1.0" encoding="utf-8"?>
<ds:datastoreItem xmlns:ds="http://schemas.openxmlformats.org/officeDocument/2006/customXml" ds:itemID="{E827F5A9-554F-494F-B999-5F2099A079F6}">
  <ds:schemaRefs/>
</ds:datastoreItem>
</file>

<file path=customXml/itemProps13.xml><?xml version="1.0" encoding="utf-8"?>
<ds:datastoreItem xmlns:ds="http://schemas.openxmlformats.org/officeDocument/2006/customXml" ds:itemID="{22075F72-C502-4215-8131-8D8E1B13BB4A}">
  <ds:schemaRefs/>
</ds:datastoreItem>
</file>

<file path=customXml/itemProps14.xml><?xml version="1.0" encoding="utf-8"?>
<ds:datastoreItem xmlns:ds="http://schemas.openxmlformats.org/officeDocument/2006/customXml" ds:itemID="{CD30B35C-54FD-4032-88C4-3DFB63529B70}">
  <ds:schemaRefs/>
</ds:datastoreItem>
</file>

<file path=customXml/itemProps15.xml><?xml version="1.0" encoding="utf-8"?>
<ds:datastoreItem xmlns:ds="http://schemas.openxmlformats.org/officeDocument/2006/customXml" ds:itemID="{D401E372-3D5C-49F4-986F-8034035768AF}">
  <ds:schemaRefs/>
</ds:datastoreItem>
</file>

<file path=customXml/itemProps16.xml><?xml version="1.0" encoding="utf-8"?>
<ds:datastoreItem xmlns:ds="http://schemas.openxmlformats.org/officeDocument/2006/customXml" ds:itemID="{6EBC2418-D079-497D-A6E7-7F611602BD1E}">
  <ds:schemaRefs/>
</ds:datastoreItem>
</file>

<file path=customXml/itemProps17.xml><?xml version="1.0" encoding="utf-8"?>
<ds:datastoreItem xmlns:ds="http://schemas.openxmlformats.org/officeDocument/2006/customXml" ds:itemID="{215DC285-6182-48DF-8373-1558CBB803DD}">
  <ds:schemaRefs/>
</ds:datastoreItem>
</file>

<file path=customXml/itemProps18.xml><?xml version="1.0" encoding="utf-8"?>
<ds:datastoreItem xmlns:ds="http://schemas.openxmlformats.org/officeDocument/2006/customXml" ds:itemID="{7F9602AA-8ACB-440F-8C38-AC8EE5E9B20A}">
  <ds:schemaRefs/>
</ds:datastoreItem>
</file>

<file path=customXml/itemProps19.xml><?xml version="1.0" encoding="utf-8"?>
<ds:datastoreItem xmlns:ds="http://schemas.openxmlformats.org/officeDocument/2006/customXml" ds:itemID="{2B821B8F-F062-4703-9304-88CBC5D25DA4}">
  <ds:schemaRefs/>
</ds:datastoreItem>
</file>

<file path=customXml/itemProps2.xml><?xml version="1.0" encoding="utf-8"?>
<ds:datastoreItem xmlns:ds="http://schemas.openxmlformats.org/officeDocument/2006/customXml" ds:itemID="{3225E42A-6219-4DE7-B86D-08C199B81C31}">
  <ds:schemaRefs/>
</ds:datastoreItem>
</file>

<file path=customXml/itemProps20.xml><?xml version="1.0" encoding="utf-8"?>
<ds:datastoreItem xmlns:ds="http://schemas.openxmlformats.org/officeDocument/2006/customXml" ds:itemID="{4487F7C7-6727-4763-9E80-346ED6A2091F}">
  <ds:schemaRefs/>
</ds:datastoreItem>
</file>

<file path=customXml/itemProps21.xml><?xml version="1.0" encoding="utf-8"?>
<ds:datastoreItem xmlns:ds="http://schemas.openxmlformats.org/officeDocument/2006/customXml" ds:itemID="{F5E030E4-655D-4504-B9E5-D653A08DB7E5}">
  <ds:schemaRefs/>
</ds:datastoreItem>
</file>

<file path=customXml/itemProps22.xml><?xml version="1.0" encoding="utf-8"?>
<ds:datastoreItem xmlns:ds="http://schemas.openxmlformats.org/officeDocument/2006/customXml" ds:itemID="{BAA0CA82-472F-4913-8BB7-F653EEDDBE71}">
  <ds:schemaRefs/>
</ds:datastoreItem>
</file>

<file path=customXml/itemProps23.xml><?xml version="1.0" encoding="utf-8"?>
<ds:datastoreItem xmlns:ds="http://schemas.openxmlformats.org/officeDocument/2006/customXml" ds:itemID="{85DA8A89-92E7-4EC4-9537-5A6832690358}">
  <ds:schemaRefs/>
</ds:datastoreItem>
</file>

<file path=customXml/itemProps24.xml><?xml version="1.0" encoding="utf-8"?>
<ds:datastoreItem xmlns:ds="http://schemas.openxmlformats.org/officeDocument/2006/customXml" ds:itemID="{DE3EA4CF-F270-41AB-9B02-59F21B435868}">
  <ds:schemaRefs/>
</ds:datastoreItem>
</file>

<file path=customXml/itemProps25.xml><?xml version="1.0" encoding="utf-8"?>
<ds:datastoreItem xmlns:ds="http://schemas.openxmlformats.org/officeDocument/2006/customXml" ds:itemID="{8B271A31-511A-40C4-83BF-9901FCCE4099}">
  <ds:schemaRefs/>
</ds:datastoreItem>
</file>

<file path=customXml/itemProps26.xml><?xml version="1.0" encoding="utf-8"?>
<ds:datastoreItem xmlns:ds="http://schemas.openxmlformats.org/officeDocument/2006/customXml" ds:itemID="{BFD0701E-730B-42FA-9E3F-7E535B33C80A}">
  <ds:schemaRefs/>
</ds:datastoreItem>
</file>

<file path=customXml/itemProps27.xml><?xml version="1.0" encoding="utf-8"?>
<ds:datastoreItem xmlns:ds="http://schemas.openxmlformats.org/officeDocument/2006/customXml" ds:itemID="{874E255D-BA51-47FE-B9ED-65291535F19C}">
  <ds:schemaRefs/>
</ds:datastoreItem>
</file>

<file path=customXml/itemProps28.xml><?xml version="1.0" encoding="utf-8"?>
<ds:datastoreItem xmlns:ds="http://schemas.openxmlformats.org/officeDocument/2006/customXml" ds:itemID="{B619BCA8-D3B1-4748-B8B2-F6848F8AF93E}">
  <ds:schemaRefs/>
</ds:datastoreItem>
</file>

<file path=customXml/itemProps29.xml><?xml version="1.0" encoding="utf-8"?>
<ds:datastoreItem xmlns:ds="http://schemas.openxmlformats.org/officeDocument/2006/customXml" ds:itemID="{A87037FD-C4C7-4453-98E0-BA2BB083B67B}">
  <ds:schemaRefs/>
</ds:datastoreItem>
</file>

<file path=customXml/itemProps3.xml><?xml version="1.0" encoding="utf-8"?>
<ds:datastoreItem xmlns:ds="http://schemas.openxmlformats.org/officeDocument/2006/customXml" ds:itemID="{CE9949A7-B482-4A75-8743-65D718DF2CF1}">
  <ds:schemaRefs/>
</ds:datastoreItem>
</file>

<file path=customXml/itemProps30.xml><?xml version="1.0" encoding="utf-8"?>
<ds:datastoreItem xmlns:ds="http://schemas.openxmlformats.org/officeDocument/2006/customXml" ds:itemID="{A3B62DD8-812A-44C6-A317-CF43777335A4}">
  <ds:schemaRefs/>
</ds:datastoreItem>
</file>

<file path=customXml/itemProps31.xml><?xml version="1.0" encoding="utf-8"?>
<ds:datastoreItem xmlns:ds="http://schemas.openxmlformats.org/officeDocument/2006/customXml" ds:itemID="{02D3BA88-155E-43B5-BFA5-E10298E1C1F3}">
  <ds:schemaRefs/>
</ds:datastoreItem>
</file>

<file path=customXml/itemProps32.xml><?xml version="1.0" encoding="utf-8"?>
<ds:datastoreItem xmlns:ds="http://schemas.openxmlformats.org/officeDocument/2006/customXml" ds:itemID="{60E01DCE-E717-47F6-A20B-F67978430A0B}">
  <ds:schemaRefs/>
</ds:datastoreItem>
</file>

<file path=customXml/itemProps33.xml><?xml version="1.0" encoding="utf-8"?>
<ds:datastoreItem xmlns:ds="http://schemas.openxmlformats.org/officeDocument/2006/customXml" ds:itemID="{F2B143BD-69AF-470A-A4C5-87C014D682BD}">
  <ds:schemaRefs/>
</ds:datastoreItem>
</file>

<file path=customXml/itemProps34.xml><?xml version="1.0" encoding="utf-8"?>
<ds:datastoreItem xmlns:ds="http://schemas.openxmlformats.org/officeDocument/2006/customXml" ds:itemID="{0F910D98-0648-4DA3-AB83-45EEFC45004C}">
  <ds:schemaRefs/>
</ds:datastoreItem>
</file>

<file path=customXml/itemProps35.xml><?xml version="1.0" encoding="utf-8"?>
<ds:datastoreItem xmlns:ds="http://schemas.openxmlformats.org/officeDocument/2006/customXml" ds:itemID="{2E6B3833-AA58-4B32-B363-59477DEE984E}">
  <ds:schemaRefs/>
</ds:datastoreItem>
</file>

<file path=customXml/itemProps36.xml><?xml version="1.0" encoding="utf-8"?>
<ds:datastoreItem xmlns:ds="http://schemas.openxmlformats.org/officeDocument/2006/customXml" ds:itemID="{76489EA5-3853-4284-96A8-D0FE1AB75B04}">
  <ds:schemaRefs/>
</ds:datastoreItem>
</file>

<file path=customXml/itemProps37.xml><?xml version="1.0" encoding="utf-8"?>
<ds:datastoreItem xmlns:ds="http://schemas.openxmlformats.org/officeDocument/2006/customXml" ds:itemID="{FB197DBE-89F5-4261-A7D8-718F03644FAB}">
  <ds:schemaRefs/>
</ds:datastoreItem>
</file>

<file path=customXml/itemProps38.xml><?xml version="1.0" encoding="utf-8"?>
<ds:datastoreItem xmlns:ds="http://schemas.openxmlformats.org/officeDocument/2006/customXml" ds:itemID="{071204C4-53ED-4D3D-BA76-C6D6E996FD35}">
  <ds:schemaRefs/>
</ds:datastoreItem>
</file>

<file path=customXml/itemProps39.xml><?xml version="1.0" encoding="utf-8"?>
<ds:datastoreItem xmlns:ds="http://schemas.openxmlformats.org/officeDocument/2006/customXml" ds:itemID="{08B604C8-1C4D-4620-B9DC-EF52645E8CCC}">
  <ds:schemaRefs/>
</ds:datastoreItem>
</file>

<file path=customXml/itemProps4.xml><?xml version="1.0" encoding="utf-8"?>
<ds:datastoreItem xmlns:ds="http://schemas.openxmlformats.org/officeDocument/2006/customXml" ds:itemID="{FD97E4DB-BE98-41A6-A4A3-5DC8DEFF7D1D}">
  <ds:schemaRefs/>
</ds:datastoreItem>
</file>

<file path=customXml/itemProps40.xml><?xml version="1.0" encoding="utf-8"?>
<ds:datastoreItem xmlns:ds="http://schemas.openxmlformats.org/officeDocument/2006/customXml" ds:itemID="{21323BF3-0A56-4F9B-8E44-2DDFF677E07D}">
  <ds:schemaRefs/>
</ds:datastoreItem>
</file>

<file path=customXml/itemProps41.xml><?xml version="1.0" encoding="utf-8"?>
<ds:datastoreItem xmlns:ds="http://schemas.openxmlformats.org/officeDocument/2006/customXml" ds:itemID="{97862AC9-3EB5-4EBC-9465-CD72DBBC974D}">
  <ds:schemaRefs/>
</ds:datastoreItem>
</file>

<file path=customXml/itemProps42.xml><?xml version="1.0" encoding="utf-8"?>
<ds:datastoreItem xmlns:ds="http://schemas.openxmlformats.org/officeDocument/2006/customXml" ds:itemID="{439AD300-58E7-4F38-841C-B262FC5A76F6}">
  <ds:schemaRefs/>
</ds:datastoreItem>
</file>

<file path=customXml/itemProps43.xml><?xml version="1.0" encoding="utf-8"?>
<ds:datastoreItem xmlns:ds="http://schemas.openxmlformats.org/officeDocument/2006/customXml" ds:itemID="{CEF9931D-E6F6-4EAC-A9F9-6F189C55EFAD}">
  <ds:schemaRefs/>
</ds:datastoreItem>
</file>

<file path=customXml/itemProps44.xml><?xml version="1.0" encoding="utf-8"?>
<ds:datastoreItem xmlns:ds="http://schemas.openxmlformats.org/officeDocument/2006/customXml" ds:itemID="{BE3BD842-5D52-4F5B-8D5B-15BEF5B4EE52}">
  <ds:schemaRefs/>
</ds:datastoreItem>
</file>

<file path=customXml/itemProps45.xml><?xml version="1.0" encoding="utf-8"?>
<ds:datastoreItem xmlns:ds="http://schemas.openxmlformats.org/officeDocument/2006/customXml" ds:itemID="{6564A1A0-5D2C-4C4C-B28F-E2333069678A}">
  <ds:schemaRefs/>
</ds:datastoreItem>
</file>

<file path=customXml/itemProps46.xml><?xml version="1.0" encoding="utf-8"?>
<ds:datastoreItem xmlns:ds="http://schemas.openxmlformats.org/officeDocument/2006/customXml" ds:itemID="{580B5834-F579-4C20-98F8-EAF02C17C992}">
  <ds:schemaRefs/>
</ds:datastoreItem>
</file>

<file path=customXml/itemProps47.xml><?xml version="1.0" encoding="utf-8"?>
<ds:datastoreItem xmlns:ds="http://schemas.openxmlformats.org/officeDocument/2006/customXml" ds:itemID="{DE0035D0-CD39-409B-B42F-B7B5DA82DCF2}">
  <ds:schemaRefs/>
</ds:datastoreItem>
</file>

<file path=customXml/itemProps48.xml><?xml version="1.0" encoding="utf-8"?>
<ds:datastoreItem xmlns:ds="http://schemas.openxmlformats.org/officeDocument/2006/customXml" ds:itemID="{7C6FA865-52F1-4CB6-A0C8-D48B70F1B039}">
  <ds:schemaRefs/>
</ds:datastoreItem>
</file>

<file path=customXml/itemProps49.xml><?xml version="1.0" encoding="utf-8"?>
<ds:datastoreItem xmlns:ds="http://schemas.openxmlformats.org/officeDocument/2006/customXml" ds:itemID="{A4B284C8-BD5C-48C2-AC1C-CD8C6652C82B}">
  <ds:schemaRefs/>
</ds:datastoreItem>
</file>

<file path=customXml/itemProps5.xml><?xml version="1.0" encoding="utf-8"?>
<ds:datastoreItem xmlns:ds="http://schemas.openxmlformats.org/officeDocument/2006/customXml" ds:itemID="{33914380-1850-4358-9E4B-E0F4B63D4143}">
  <ds:schemaRefs/>
</ds:datastoreItem>
</file>

<file path=customXml/itemProps50.xml><?xml version="1.0" encoding="utf-8"?>
<ds:datastoreItem xmlns:ds="http://schemas.openxmlformats.org/officeDocument/2006/customXml" ds:itemID="{488102FD-909C-4101-A2E0-87B95C415359}">
  <ds:schemaRefs/>
</ds:datastoreItem>
</file>

<file path=customXml/itemProps51.xml><?xml version="1.0" encoding="utf-8"?>
<ds:datastoreItem xmlns:ds="http://schemas.openxmlformats.org/officeDocument/2006/customXml" ds:itemID="{72CEB3EF-426E-4BE0-9D88-E48850943F82}">
  <ds:schemaRefs/>
</ds:datastoreItem>
</file>

<file path=customXml/itemProps52.xml><?xml version="1.0" encoding="utf-8"?>
<ds:datastoreItem xmlns:ds="http://schemas.openxmlformats.org/officeDocument/2006/customXml" ds:itemID="{48A34E84-49AA-4AE2-ACB9-153EB0A57EA0}">
  <ds:schemaRefs/>
</ds:datastoreItem>
</file>

<file path=customXml/itemProps53.xml><?xml version="1.0" encoding="utf-8"?>
<ds:datastoreItem xmlns:ds="http://schemas.openxmlformats.org/officeDocument/2006/customXml" ds:itemID="{1E8E4B1B-F77C-4576-9ED8-E7221C38154F}">
  <ds:schemaRefs/>
</ds:datastoreItem>
</file>

<file path=customXml/itemProps54.xml><?xml version="1.0" encoding="utf-8"?>
<ds:datastoreItem xmlns:ds="http://schemas.openxmlformats.org/officeDocument/2006/customXml" ds:itemID="{3A428DEC-41CE-4C8D-8A9D-2C52E6FD694B}">
  <ds:schemaRefs/>
</ds:datastoreItem>
</file>

<file path=customXml/itemProps55.xml><?xml version="1.0" encoding="utf-8"?>
<ds:datastoreItem xmlns:ds="http://schemas.openxmlformats.org/officeDocument/2006/customXml" ds:itemID="{43081707-9897-4202-8777-DBC5F470F877}">
  <ds:schemaRefs/>
</ds:datastoreItem>
</file>

<file path=customXml/itemProps56.xml><?xml version="1.0" encoding="utf-8"?>
<ds:datastoreItem xmlns:ds="http://schemas.openxmlformats.org/officeDocument/2006/customXml" ds:itemID="{81DB7A47-3A59-4D39-B691-13FCB0546F2B}">
  <ds:schemaRefs/>
</ds:datastoreItem>
</file>

<file path=customXml/itemProps57.xml><?xml version="1.0" encoding="utf-8"?>
<ds:datastoreItem xmlns:ds="http://schemas.openxmlformats.org/officeDocument/2006/customXml" ds:itemID="{C32A2B96-7218-43A8-BB8C-21FD890BBF7A}">
  <ds:schemaRefs/>
</ds:datastoreItem>
</file>

<file path=customXml/itemProps58.xml><?xml version="1.0" encoding="utf-8"?>
<ds:datastoreItem xmlns:ds="http://schemas.openxmlformats.org/officeDocument/2006/customXml" ds:itemID="{DED7FFC2-D6B7-49F2-9440-058545FCB9F3}">
  <ds:schemaRefs/>
</ds:datastoreItem>
</file>

<file path=customXml/itemProps59.xml><?xml version="1.0" encoding="utf-8"?>
<ds:datastoreItem xmlns:ds="http://schemas.openxmlformats.org/officeDocument/2006/customXml" ds:itemID="{CD8D8932-4992-450E-A61B-97A093E387E7}">
  <ds:schemaRefs/>
</ds:datastoreItem>
</file>

<file path=customXml/itemProps6.xml><?xml version="1.0" encoding="utf-8"?>
<ds:datastoreItem xmlns:ds="http://schemas.openxmlformats.org/officeDocument/2006/customXml" ds:itemID="{689AF787-0504-4459-87A2-EF45265135A1}">
  <ds:schemaRefs/>
</ds:datastoreItem>
</file>

<file path=customXml/itemProps60.xml><?xml version="1.0" encoding="utf-8"?>
<ds:datastoreItem xmlns:ds="http://schemas.openxmlformats.org/officeDocument/2006/customXml" ds:itemID="{DE776D5F-253D-40AD-861F-087150E86DD5}">
  <ds:schemaRefs/>
</ds:datastoreItem>
</file>

<file path=customXml/itemProps61.xml><?xml version="1.0" encoding="utf-8"?>
<ds:datastoreItem xmlns:ds="http://schemas.openxmlformats.org/officeDocument/2006/customXml" ds:itemID="{07585F1D-A877-4A67-8A1E-E6760E065BAE}">
  <ds:schemaRefs/>
</ds:datastoreItem>
</file>

<file path=customXml/itemProps62.xml><?xml version="1.0" encoding="utf-8"?>
<ds:datastoreItem xmlns:ds="http://schemas.openxmlformats.org/officeDocument/2006/customXml" ds:itemID="{8C26E5ED-75E6-4C7E-8719-B2A1A143AB48}">
  <ds:schemaRefs/>
</ds:datastoreItem>
</file>

<file path=customXml/itemProps63.xml><?xml version="1.0" encoding="utf-8"?>
<ds:datastoreItem xmlns:ds="http://schemas.openxmlformats.org/officeDocument/2006/customXml" ds:itemID="{BB0D2365-C1CB-42F4-9ABF-E10A2381AF66}">
  <ds:schemaRefs/>
</ds:datastoreItem>
</file>

<file path=customXml/itemProps64.xml><?xml version="1.0" encoding="utf-8"?>
<ds:datastoreItem xmlns:ds="http://schemas.openxmlformats.org/officeDocument/2006/customXml" ds:itemID="{A5EDD075-116F-46E4-A541-4B8E93C77A5A}">
  <ds:schemaRefs/>
</ds:datastoreItem>
</file>

<file path=customXml/itemProps65.xml><?xml version="1.0" encoding="utf-8"?>
<ds:datastoreItem xmlns:ds="http://schemas.openxmlformats.org/officeDocument/2006/customXml" ds:itemID="{F5A0FECE-F3BF-4CC7-A0CB-67C738D21170}">
  <ds:schemaRefs/>
</ds:datastoreItem>
</file>

<file path=customXml/itemProps66.xml><?xml version="1.0" encoding="utf-8"?>
<ds:datastoreItem xmlns:ds="http://schemas.openxmlformats.org/officeDocument/2006/customXml" ds:itemID="{622E6D85-310E-4E4D-B7CB-068BC30EF714}">
  <ds:schemaRefs/>
</ds:datastoreItem>
</file>

<file path=customXml/itemProps67.xml><?xml version="1.0" encoding="utf-8"?>
<ds:datastoreItem xmlns:ds="http://schemas.openxmlformats.org/officeDocument/2006/customXml" ds:itemID="{48C886DA-3CFF-4651-A2F3-28AF60E86795}">
  <ds:schemaRefs/>
</ds:datastoreItem>
</file>

<file path=customXml/itemProps68.xml><?xml version="1.0" encoding="utf-8"?>
<ds:datastoreItem xmlns:ds="http://schemas.openxmlformats.org/officeDocument/2006/customXml" ds:itemID="{F35B4A03-740D-48BF-97BE-E13D93155C47}">
  <ds:schemaRefs/>
</ds:datastoreItem>
</file>

<file path=customXml/itemProps69.xml><?xml version="1.0" encoding="utf-8"?>
<ds:datastoreItem xmlns:ds="http://schemas.openxmlformats.org/officeDocument/2006/customXml" ds:itemID="{D6B7E19E-E769-4219-9264-06DDB97AE803}">
  <ds:schemaRefs/>
</ds:datastoreItem>
</file>

<file path=customXml/itemProps7.xml><?xml version="1.0" encoding="utf-8"?>
<ds:datastoreItem xmlns:ds="http://schemas.openxmlformats.org/officeDocument/2006/customXml" ds:itemID="{C89CE9EA-33C5-4900-80AA-4B6E5F773256}">
  <ds:schemaRefs/>
</ds:datastoreItem>
</file>

<file path=customXml/itemProps70.xml><?xml version="1.0" encoding="utf-8"?>
<ds:datastoreItem xmlns:ds="http://schemas.openxmlformats.org/officeDocument/2006/customXml" ds:itemID="{B1C8DD03-10BB-443C-91E8-C991EEDE5910}">
  <ds:schemaRefs/>
</ds:datastoreItem>
</file>

<file path=customXml/itemProps71.xml><?xml version="1.0" encoding="utf-8"?>
<ds:datastoreItem xmlns:ds="http://schemas.openxmlformats.org/officeDocument/2006/customXml" ds:itemID="{6848D64B-A74F-460D-A48F-C57747D6E07E}">
  <ds:schemaRefs/>
</ds:datastoreItem>
</file>

<file path=customXml/itemProps72.xml><?xml version="1.0" encoding="utf-8"?>
<ds:datastoreItem xmlns:ds="http://schemas.openxmlformats.org/officeDocument/2006/customXml" ds:itemID="{1A30101A-28AE-4C97-8FAC-0C5C5BA730DB}">
  <ds:schemaRefs/>
</ds:datastoreItem>
</file>

<file path=customXml/itemProps73.xml><?xml version="1.0" encoding="utf-8"?>
<ds:datastoreItem xmlns:ds="http://schemas.openxmlformats.org/officeDocument/2006/customXml" ds:itemID="{5ABCD807-0EFE-4C23-B16F-EBD5E428FE7E}">
  <ds:schemaRefs/>
</ds:datastoreItem>
</file>

<file path=customXml/itemProps74.xml><?xml version="1.0" encoding="utf-8"?>
<ds:datastoreItem xmlns:ds="http://schemas.openxmlformats.org/officeDocument/2006/customXml" ds:itemID="{4C5E6AA0-F153-47EE-8830-478D0012BEDE}">
  <ds:schemaRefs/>
</ds:datastoreItem>
</file>

<file path=customXml/itemProps75.xml><?xml version="1.0" encoding="utf-8"?>
<ds:datastoreItem xmlns:ds="http://schemas.openxmlformats.org/officeDocument/2006/customXml" ds:itemID="{20763E6B-E4A2-4EB7-B9A1-35835E38101D}">
  <ds:schemaRefs/>
</ds:datastoreItem>
</file>

<file path=customXml/itemProps76.xml><?xml version="1.0" encoding="utf-8"?>
<ds:datastoreItem xmlns:ds="http://schemas.openxmlformats.org/officeDocument/2006/customXml" ds:itemID="{570E4C58-E4EA-4C16-B4EC-3389CE60AE7A}">
  <ds:schemaRefs/>
</ds:datastoreItem>
</file>

<file path=customXml/itemProps77.xml><?xml version="1.0" encoding="utf-8"?>
<ds:datastoreItem xmlns:ds="http://schemas.openxmlformats.org/officeDocument/2006/customXml" ds:itemID="{3DADD865-EA2F-424F-A664-87977BF91A5A}">
  <ds:schemaRefs/>
</ds:datastoreItem>
</file>

<file path=customXml/itemProps78.xml><?xml version="1.0" encoding="utf-8"?>
<ds:datastoreItem xmlns:ds="http://schemas.openxmlformats.org/officeDocument/2006/customXml" ds:itemID="{D348499F-CE1E-4103-84E6-A1372A5D1A85}">
  <ds:schemaRefs/>
</ds:datastoreItem>
</file>

<file path=customXml/itemProps8.xml><?xml version="1.0" encoding="utf-8"?>
<ds:datastoreItem xmlns:ds="http://schemas.openxmlformats.org/officeDocument/2006/customXml" ds:itemID="{0948801F-EE61-413D-BF0B-E70E1812C9CC}">
  <ds:schemaRefs/>
</ds:datastoreItem>
</file>

<file path=customXml/itemProps9.xml><?xml version="1.0" encoding="utf-8"?>
<ds:datastoreItem xmlns:ds="http://schemas.openxmlformats.org/officeDocument/2006/customXml" ds:itemID="{C2DA7B7A-8560-434E-B3C8-CA61F1DEAC2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14395</Words>
  <Characters>16663</Characters>
  <Lines>150</Lines>
  <Paragraphs>42</Paragraphs>
  <TotalTime>0</TotalTime>
  <ScaleCrop>false</ScaleCrop>
  <LinksUpToDate>false</LinksUpToDate>
  <CharactersWithSpaces>16852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2023-02-02T10:59:00Z</dcterms:created>
  <dc:creator>Administrator.USER-20200528VB</dc:creator>
  <cp:lastModifiedBy>Administrator</cp:lastModifiedBy>
  <dcterms:modified xsi:type="dcterms:W3CDTF">2024-10-21T02:57:23Z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49C5A4C8FB69404D995C9823C8185B1F</vt:lpwstr>
  </property>
</Properties>
</file>