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2023</w:t>
      </w:r>
      <w:r>
        <w:rPr>
          <w:rFonts w:hint="eastAsia" w:ascii="黑体" w:hAnsi="黑体" w:eastAsia="黑体" w:cs="黑体"/>
          <w:b/>
          <w:bCs/>
          <w:color w:val="000000"/>
          <w:sz w:val="44"/>
          <w:szCs w:val="44"/>
        </w:rPr>
        <w:t>年部门预算信息公开目录</w:t>
      </w:r>
    </w:p>
    <w:p>
      <w:pPr>
        <w:jc w:val="center"/>
        <w:rPr>
          <w:rFonts w:eastAsia="Times New Roman"/>
        </w:rPr>
      </w:pPr>
    </w:p>
    <w:p>
      <w:pPr>
        <w:jc w:val="center"/>
        <w:rPr>
          <w:rFonts w:eastAsia="Times New Roman"/>
        </w:rPr>
      </w:pPr>
      <w:r>
        <w:rPr>
          <w:rFonts w:hint="eastAsia" w:ascii="黑体" w:hAnsi="黑体" w:eastAsia="黑体" w:cs="黑体"/>
          <w:b/>
          <w:bCs/>
          <w:color w:val="000000"/>
          <w:sz w:val="30"/>
          <w:szCs w:val="30"/>
        </w:rPr>
        <w:t>第一部分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rPr>
        <w:t>部门预算</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r>
        <w:rPr>
          <w:rFonts w:hint="eastAsia" w:ascii="黑体" w:hAnsi="黑体" w:eastAsia="黑体" w:cs="黑体"/>
          <w:b/>
          <w:bCs/>
          <w:color w:val="000000"/>
          <w:sz w:val="30"/>
          <w:szCs w:val="30"/>
        </w:rPr>
        <w:t>第二部分</w:t>
      </w:r>
      <w:r>
        <w:rPr>
          <w:rFonts w:ascii="黑体" w:hAnsi="黑体" w:eastAsia="黑体" w:cs="黑体"/>
          <w:b/>
          <w:bCs/>
          <w:color w:val="000000"/>
          <w:sz w:val="30"/>
          <w:szCs w:val="30"/>
        </w:rPr>
        <w:t xml:space="preserve">  </w:t>
      </w:r>
      <w:r>
        <w:rPr>
          <w:rFonts w:hint="eastAsia" w:ascii="黑体" w:hAnsi="黑体" w:eastAsia="黑体" w:cs="黑体"/>
          <w:b/>
          <w:bCs/>
          <w:color w:val="000000"/>
          <w:sz w:val="30"/>
          <w:szCs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cs="方正仿宋_GBK"/>
        </w:rPr>
        <w:t>一、中国人民政治协商会议唐山市丰南区委员会办公室本级收支预算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szCs w:val="72"/>
        </w:rPr>
        <w:t>第一部分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696.64</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pPr>
            <w:r>
              <w:t>506.52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696.64</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696.64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696.64</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696.64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696.64</w:t>
            </w:r>
          </w:p>
        </w:tc>
        <w:tc>
          <w:tcPr>
            <w:tcW w:w="1134" w:type="dxa"/>
            <w:vAlign w:val="center"/>
          </w:tcPr>
          <w:p>
            <w:pPr>
              <w:pStyle w:val="17"/>
            </w:pPr>
            <w:r>
              <w:t>696.64</w:t>
            </w:r>
          </w:p>
        </w:tc>
        <w:tc>
          <w:tcPr>
            <w:tcW w:w="1134" w:type="dxa"/>
            <w:vAlign w:val="center"/>
          </w:tcPr>
          <w:p>
            <w:pPr>
              <w:pStyle w:val="17"/>
            </w:pPr>
            <w:r>
              <w:t>696.64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rPr>
                <w:rFonts w:cs="Times New Roman"/>
              </w:rPr>
            </w:pPr>
            <w:r>
              <w:rPr>
                <w:rFonts w:hint="eastAsia"/>
              </w:rPr>
              <w:t>一般公共服务支出</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rPr>
                <w:rFonts w:cs="Times New Roman"/>
              </w:rPr>
            </w:pPr>
            <w:r>
              <w:rPr>
                <w:rFonts w:hint="eastAsia"/>
              </w:rPr>
              <w:t>政协事务</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rPr>
                <w:rFonts w:cs="Times New Roman"/>
              </w:rPr>
            </w:pPr>
            <w:r>
              <w:rPr>
                <w:rFonts w:hint="eastAsia"/>
              </w:rPr>
              <w:t>行政运行</w:t>
            </w:r>
          </w:p>
        </w:tc>
        <w:tc>
          <w:tcPr>
            <w:tcW w:w="1134" w:type="dxa"/>
            <w:vAlign w:val="center"/>
          </w:tcPr>
          <w:p>
            <w:pPr>
              <w:pStyle w:val="13"/>
            </w:pPr>
            <w:r>
              <w:t>426.52</w:t>
            </w:r>
          </w:p>
        </w:tc>
        <w:tc>
          <w:tcPr>
            <w:tcW w:w="1134" w:type="dxa"/>
            <w:vAlign w:val="center"/>
          </w:tcPr>
          <w:p>
            <w:pPr>
              <w:pStyle w:val="13"/>
            </w:pPr>
            <w:r>
              <w:t>426.52</w:t>
            </w:r>
          </w:p>
        </w:tc>
        <w:tc>
          <w:tcPr>
            <w:tcW w:w="1134" w:type="dxa"/>
            <w:vAlign w:val="center"/>
          </w:tcPr>
          <w:p>
            <w:pPr>
              <w:pStyle w:val="13"/>
            </w:pPr>
            <w:r>
              <w:t>426.52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2010204</w:t>
            </w:r>
          </w:p>
        </w:tc>
        <w:tc>
          <w:tcPr>
            <w:tcW w:w="1559" w:type="dxa"/>
            <w:vAlign w:val="center"/>
          </w:tcPr>
          <w:p>
            <w:pPr>
              <w:pStyle w:val="14"/>
              <w:rPr>
                <w:rFonts w:cs="Times New Roman"/>
              </w:rPr>
            </w:pPr>
            <w:r>
              <w:rPr>
                <w:rFonts w:hint="eastAsia"/>
              </w:rPr>
              <w:t>政协会议</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2010205</w:t>
            </w:r>
          </w:p>
        </w:tc>
        <w:tc>
          <w:tcPr>
            <w:tcW w:w="1559" w:type="dxa"/>
            <w:vAlign w:val="center"/>
          </w:tcPr>
          <w:p>
            <w:pPr>
              <w:pStyle w:val="14"/>
              <w:rPr>
                <w:rFonts w:cs="Times New Roman"/>
              </w:rPr>
            </w:pPr>
            <w:r>
              <w:rPr>
                <w:rFonts w:hint="eastAsia"/>
              </w:rPr>
              <w:t>委员视察</w:t>
            </w:r>
          </w:p>
        </w:tc>
        <w:tc>
          <w:tcPr>
            <w:tcW w:w="1134" w:type="dxa"/>
            <w:vAlign w:val="center"/>
          </w:tcPr>
          <w:p>
            <w:pPr>
              <w:pStyle w:val="13"/>
            </w:pPr>
            <w:r>
              <w:t>34.00</w:t>
            </w:r>
          </w:p>
        </w:tc>
        <w:tc>
          <w:tcPr>
            <w:tcW w:w="1134" w:type="dxa"/>
            <w:vAlign w:val="center"/>
          </w:tcPr>
          <w:p>
            <w:pPr>
              <w:pStyle w:val="13"/>
            </w:pPr>
            <w:r>
              <w:t>34.00</w:t>
            </w:r>
          </w:p>
        </w:tc>
        <w:tc>
          <w:tcPr>
            <w:tcW w:w="1134" w:type="dxa"/>
            <w:vAlign w:val="center"/>
          </w:tcPr>
          <w:p>
            <w:pPr>
              <w:pStyle w:val="13"/>
            </w:pPr>
            <w:r>
              <w:t>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rPr>
                <w:rFonts w:cs="Times New Roman"/>
              </w:rPr>
            </w:pPr>
            <w:r>
              <w:rPr>
                <w:rFonts w:hint="eastAsia"/>
              </w:rPr>
              <w:t>其他政协事务支出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rPr>
                <w:rFonts w:cs="Times New Roman"/>
              </w:rPr>
            </w:pPr>
            <w:r>
              <w:rPr>
                <w:rFonts w:hint="eastAsia"/>
              </w:rPr>
              <w:t>社会保障和就业支出</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rPr>
                <w:rFonts w:cs="Times New Roman"/>
              </w:rPr>
            </w:pPr>
            <w:r>
              <w:rPr>
                <w:rFonts w:hint="eastAsia"/>
              </w:rPr>
              <w:t>行政事业单位养老支出</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rPr>
                <w:rFonts w:cs="Times New Roman"/>
              </w:rPr>
            </w:pPr>
            <w:r>
              <w:rPr>
                <w:rFonts w:hint="eastAsia"/>
              </w:rPr>
              <w:t>行政单位离退休</w:t>
            </w:r>
          </w:p>
        </w:tc>
        <w:tc>
          <w:tcPr>
            <w:tcW w:w="1134" w:type="dxa"/>
            <w:vAlign w:val="center"/>
          </w:tcPr>
          <w:p>
            <w:pPr>
              <w:pStyle w:val="13"/>
            </w:pPr>
            <w:r>
              <w:t>56.43</w:t>
            </w:r>
          </w:p>
        </w:tc>
        <w:tc>
          <w:tcPr>
            <w:tcW w:w="1134" w:type="dxa"/>
            <w:vAlign w:val="center"/>
          </w:tcPr>
          <w:p>
            <w:pPr>
              <w:pStyle w:val="13"/>
            </w:pPr>
            <w:r>
              <w:t>56.43</w:t>
            </w:r>
          </w:p>
        </w:tc>
        <w:tc>
          <w:tcPr>
            <w:tcW w:w="1134" w:type="dxa"/>
            <w:vAlign w:val="center"/>
          </w:tcPr>
          <w:p>
            <w:pPr>
              <w:pStyle w:val="13"/>
            </w:pPr>
            <w:r>
              <w:t>56.43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rPr>
                <w:rFonts w:cs="Times New Roman"/>
              </w:rPr>
            </w:pPr>
            <w:r>
              <w:rPr>
                <w:rFonts w:hint="eastAsia"/>
              </w:rPr>
              <w:t>机关事业单位基本养老保险缴费支出</w:t>
            </w:r>
          </w:p>
        </w:tc>
        <w:tc>
          <w:tcPr>
            <w:tcW w:w="1134" w:type="dxa"/>
            <w:vAlign w:val="center"/>
          </w:tcPr>
          <w:p>
            <w:pPr>
              <w:pStyle w:val="13"/>
            </w:pPr>
            <w:r>
              <w:t>47.07</w:t>
            </w:r>
          </w:p>
        </w:tc>
        <w:tc>
          <w:tcPr>
            <w:tcW w:w="1134" w:type="dxa"/>
            <w:vAlign w:val="center"/>
          </w:tcPr>
          <w:p>
            <w:pPr>
              <w:pStyle w:val="13"/>
            </w:pPr>
            <w:r>
              <w:t>47.07</w:t>
            </w:r>
          </w:p>
        </w:tc>
        <w:tc>
          <w:tcPr>
            <w:tcW w:w="1134" w:type="dxa"/>
            <w:vAlign w:val="center"/>
          </w:tcPr>
          <w:p>
            <w:pPr>
              <w:pStyle w:val="13"/>
            </w:pPr>
            <w:r>
              <w:t>47.07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rPr>
                <w:rFonts w:cs="Times New Roman"/>
              </w:rPr>
            </w:pPr>
            <w:r>
              <w:rPr>
                <w:rFonts w:hint="eastAsia"/>
              </w:rPr>
              <w:t>卫生健康支出</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rPr>
                <w:rFonts w:cs="Times New Roman"/>
              </w:rPr>
            </w:pPr>
            <w:r>
              <w:rPr>
                <w:rFonts w:hint="eastAsia"/>
              </w:rPr>
              <w:t>行政事业单位医疗</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rPr>
                <w:rFonts w:cs="Times New Roman"/>
              </w:rPr>
            </w:pPr>
            <w:r>
              <w:rPr>
                <w:rFonts w:hint="eastAsia"/>
              </w:rPr>
              <w:t>行政单位医疗</w:t>
            </w:r>
          </w:p>
        </w:tc>
        <w:tc>
          <w:tcPr>
            <w:tcW w:w="1134" w:type="dxa"/>
            <w:vAlign w:val="center"/>
          </w:tcPr>
          <w:p>
            <w:pPr>
              <w:pStyle w:val="13"/>
            </w:pPr>
            <w:r>
              <w:t>17.83</w:t>
            </w:r>
          </w:p>
        </w:tc>
        <w:tc>
          <w:tcPr>
            <w:tcW w:w="1134" w:type="dxa"/>
            <w:vAlign w:val="center"/>
          </w:tcPr>
          <w:p>
            <w:pPr>
              <w:pStyle w:val="13"/>
            </w:pPr>
            <w:r>
              <w:t>17.83</w:t>
            </w:r>
          </w:p>
        </w:tc>
        <w:tc>
          <w:tcPr>
            <w:tcW w:w="1134" w:type="dxa"/>
            <w:vAlign w:val="center"/>
          </w:tcPr>
          <w:p>
            <w:pPr>
              <w:pStyle w:val="13"/>
            </w:pPr>
            <w:r>
              <w:t>17.83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rPr>
                <w:rFonts w:cs="Times New Roman"/>
              </w:rPr>
            </w:pPr>
            <w:r>
              <w:rPr>
                <w:rFonts w:hint="eastAsia"/>
              </w:rPr>
              <w:t>公务员医疗补助</w:t>
            </w:r>
          </w:p>
        </w:tc>
        <w:tc>
          <w:tcPr>
            <w:tcW w:w="1134" w:type="dxa"/>
            <w:vAlign w:val="center"/>
          </w:tcPr>
          <w:p>
            <w:pPr>
              <w:pStyle w:val="13"/>
            </w:pPr>
            <w:r>
              <w:t>30.97</w:t>
            </w:r>
          </w:p>
        </w:tc>
        <w:tc>
          <w:tcPr>
            <w:tcW w:w="1134" w:type="dxa"/>
            <w:vAlign w:val="center"/>
          </w:tcPr>
          <w:p>
            <w:pPr>
              <w:pStyle w:val="13"/>
            </w:pPr>
            <w:r>
              <w:t>30.97</w:t>
            </w:r>
          </w:p>
        </w:tc>
        <w:tc>
          <w:tcPr>
            <w:tcW w:w="1134" w:type="dxa"/>
            <w:vAlign w:val="center"/>
          </w:tcPr>
          <w:p>
            <w:pPr>
              <w:pStyle w:val="13"/>
            </w:pPr>
            <w:r>
              <w:t>30.97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rPr>
                <w:rFonts w:cs="Times New Roman"/>
              </w:rPr>
            </w:pPr>
            <w:r>
              <w:rPr>
                <w:rFonts w:hint="eastAsia"/>
              </w:rPr>
              <w:t>住房保障支出</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rPr>
                <w:rFonts w:cs="Times New Roman"/>
              </w:rPr>
            </w:pPr>
            <w:r>
              <w:rPr>
                <w:rFonts w:hint="eastAsia"/>
              </w:rPr>
              <w:t>住房改革支出</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rPr>
                <w:rFonts w:cs="Times New Roman"/>
              </w:rPr>
            </w:pPr>
            <w:r>
              <w:rPr>
                <w:rFonts w:hint="eastAsia"/>
              </w:rPr>
              <w:t>住房公积金</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696.64</w:t>
            </w:r>
          </w:p>
        </w:tc>
        <w:tc>
          <w:tcPr>
            <w:tcW w:w="1361" w:type="dxa"/>
            <w:vAlign w:val="center"/>
          </w:tcPr>
          <w:p>
            <w:pPr>
              <w:pStyle w:val="17"/>
            </w:pPr>
            <w:r>
              <w:t>616.64</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1361" w:type="dxa"/>
            <w:vAlign w:val="center"/>
          </w:tcPr>
          <w:p>
            <w:pPr>
              <w:pStyle w:val="13"/>
            </w:pPr>
            <w:r>
              <w:t>506.52</w:t>
            </w:r>
          </w:p>
        </w:tc>
        <w:tc>
          <w:tcPr>
            <w:tcW w:w="1361" w:type="dxa"/>
            <w:vAlign w:val="center"/>
          </w:tcPr>
          <w:p>
            <w:pPr>
              <w:pStyle w:val="13"/>
            </w:pPr>
            <w:r>
              <w:t>426.52</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rPr>
                <w:rFonts w:cs="Times New Roman"/>
              </w:rPr>
            </w:pPr>
            <w:r>
              <w:rPr>
                <w:rFonts w:hint="eastAsia"/>
              </w:rPr>
              <w:t>政协事务</w:t>
            </w:r>
          </w:p>
        </w:tc>
        <w:tc>
          <w:tcPr>
            <w:tcW w:w="1361" w:type="dxa"/>
            <w:vAlign w:val="center"/>
          </w:tcPr>
          <w:p>
            <w:pPr>
              <w:pStyle w:val="13"/>
            </w:pPr>
            <w:r>
              <w:t>506.52</w:t>
            </w:r>
          </w:p>
        </w:tc>
        <w:tc>
          <w:tcPr>
            <w:tcW w:w="1361" w:type="dxa"/>
            <w:vAlign w:val="center"/>
          </w:tcPr>
          <w:p>
            <w:pPr>
              <w:pStyle w:val="13"/>
            </w:pPr>
            <w:r>
              <w:t>426.52</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rPr>
                <w:rFonts w:cs="Times New Roman"/>
              </w:rPr>
            </w:pPr>
            <w:r>
              <w:rPr>
                <w:rFonts w:hint="eastAsia"/>
              </w:rPr>
              <w:t>行政运行</w:t>
            </w:r>
          </w:p>
        </w:tc>
        <w:tc>
          <w:tcPr>
            <w:tcW w:w="1361" w:type="dxa"/>
            <w:vAlign w:val="center"/>
          </w:tcPr>
          <w:p>
            <w:pPr>
              <w:pStyle w:val="13"/>
            </w:pPr>
            <w:r>
              <w:t>426.52</w:t>
            </w:r>
          </w:p>
        </w:tc>
        <w:tc>
          <w:tcPr>
            <w:tcW w:w="1361" w:type="dxa"/>
            <w:vAlign w:val="center"/>
          </w:tcPr>
          <w:p>
            <w:pPr>
              <w:pStyle w:val="13"/>
            </w:pPr>
            <w:r>
              <w:t>426.52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2010204</w:t>
            </w:r>
          </w:p>
        </w:tc>
        <w:tc>
          <w:tcPr>
            <w:tcW w:w="4535" w:type="dxa"/>
            <w:vAlign w:val="center"/>
          </w:tcPr>
          <w:p>
            <w:pPr>
              <w:pStyle w:val="14"/>
              <w:rPr>
                <w:rFonts w:cs="Times New Roman"/>
              </w:rPr>
            </w:pPr>
            <w:r>
              <w:rPr>
                <w:rFonts w:hint="eastAsia"/>
              </w:rPr>
              <w:t>政协会议</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2010205</w:t>
            </w:r>
          </w:p>
        </w:tc>
        <w:tc>
          <w:tcPr>
            <w:tcW w:w="4535" w:type="dxa"/>
            <w:vAlign w:val="center"/>
          </w:tcPr>
          <w:p>
            <w:pPr>
              <w:pStyle w:val="14"/>
              <w:rPr>
                <w:rFonts w:cs="Times New Roman"/>
              </w:rPr>
            </w:pPr>
            <w:r>
              <w:rPr>
                <w:rFonts w:hint="eastAsia"/>
              </w:rPr>
              <w:t>委员视察</w:t>
            </w: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rPr>
                <w:rFonts w:cs="Times New Roman"/>
              </w:rPr>
            </w:pPr>
            <w:r>
              <w:rPr>
                <w:rFonts w:hint="eastAsia"/>
              </w:rPr>
              <w:t>其他政协事务支出</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1361" w:type="dxa"/>
            <w:vAlign w:val="center"/>
          </w:tcPr>
          <w:p>
            <w:pPr>
              <w:pStyle w:val="13"/>
            </w:pPr>
            <w:r>
              <w:t>103.50</w:t>
            </w:r>
          </w:p>
        </w:tc>
        <w:tc>
          <w:tcPr>
            <w:tcW w:w="1361" w:type="dxa"/>
            <w:vAlign w:val="center"/>
          </w:tcPr>
          <w:p>
            <w:pPr>
              <w:pStyle w:val="13"/>
            </w:pPr>
            <w:r>
              <w:t>103.50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1361" w:type="dxa"/>
            <w:vAlign w:val="center"/>
          </w:tcPr>
          <w:p>
            <w:pPr>
              <w:pStyle w:val="13"/>
            </w:pPr>
            <w:r>
              <w:t>103.50</w:t>
            </w:r>
          </w:p>
        </w:tc>
        <w:tc>
          <w:tcPr>
            <w:tcW w:w="1361" w:type="dxa"/>
            <w:vAlign w:val="center"/>
          </w:tcPr>
          <w:p>
            <w:pPr>
              <w:pStyle w:val="13"/>
            </w:pPr>
            <w:r>
              <w:t>103.50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1361" w:type="dxa"/>
            <w:vAlign w:val="center"/>
          </w:tcPr>
          <w:p>
            <w:pPr>
              <w:pStyle w:val="13"/>
            </w:pPr>
            <w:r>
              <w:t>56.43</w:t>
            </w:r>
          </w:p>
        </w:tc>
        <w:tc>
          <w:tcPr>
            <w:tcW w:w="1361" w:type="dxa"/>
            <w:vAlign w:val="center"/>
          </w:tcPr>
          <w:p>
            <w:pPr>
              <w:pStyle w:val="13"/>
            </w:pPr>
            <w:r>
              <w:t>56.43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1361" w:type="dxa"/>
            <w:vAlign w:val="center"/>
          </w:tcPr>
          <w:p>
            <w:pPr>
              <w:pStyle w:val="13"/>
            </w:pPr>
            <w:r>
              <w:t>47.07</w:t>
            </w:r>
          </w:p>
        </w:tc>
        <w:tc>
          <w:tcPr>
            <w:tcW w:w="1361" w:type="dxa"/>
            <w:vAlign w:val="center"/>
          </w:tcPr>
          <w:p>
            <w:pPr>
              <w:pStyle w:val="13"/>
            </w:pPr>
            <w:r>
              <w:t>47.07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1361" w:type="dxa"/>
            <w:vAlign w:val="center"/>
          </w:tcPr>
          <w:p>
            <w:pPr>
              <w:pStyle w:val="13"/>
            </w:pPr>
            <w:r>
              <w:t>48.80</w:t>
            </w:r>
          </w:p>
        </w:tc>
        <w:tc>
          <w:tcPr>
            <w:tcW w:w="1361" w:type="dxa"/>
            <w:vAlign w:val="center"/>
          </w:tcPr>
          <w:p>
            <w:pPr>
              <w:pStyle w:val="13"/>
            </w:pPr>
            <w:r>
              <w:t>48.80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1361" w:type="dxa"/>
            <w:vAlign w:val="center"/>
          </w:tcPr>
          <w:p>
            <w:pPr>
              <w:pStyle w:val="13"/>
            </w:pPr>
            <w:r>
              <w:t>48.80</w:t>
            </w:r>
          </w:p>
        </w:tc>
        <w:tc>
          <w:tcPr>
            <w:tcW w:w="1361" w:type="dxa"/>
            <w:vAlign w:val="center"/>
          </w:tcPr>
          <w:p>
            <w:pPr>
              <w:pStyle w:val="13"/>
            </w:pPr>
            <w:r>
              <w:t>48.80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1361" w:type="dxa"/>
            <w:vAlign w:val="center"/>
          </w:tcPr>
          <w:p>
            <w:pPr>
              <w:pStyle w:val="13"/>
            </w:pPr>
            <w:r>
              <w:t>17.83</w:t>
            </w:r>
          </w:p>
        </w:tc>
        <w:tc>
          <w:tcPr>
            <w:tcW w:w="1361" w:type="dxa"/>
            <w:vAlign w:val="center"/>
          </w:tcPr>
          <w:p>
            <w:pPr>
              <w:pStyle w:val="13"/>
            </w:pPr>
            <w:r>
              <w:t>17.83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1361" w:type="dxa"/>
            <w:vAlign w:val="center"/>
          </w:tcPr>
          <w:p>
            <w:pPr>
              <w:pStyle w:val="13"/>
            </w:pPr>
            <w:r>
              <w:t>30.97</w:t>
            </w:r>
          </w:p>
        </w:tc>
        <w:tc>
          <w:tcPr>
            <w:tcW w:w="1361" w:type="dxa"/>
            <w:vAlign w:val="center"/>
          </w:tcPr>
          <w:p>
            <w:pPr>
              <w:pStyle w:val="13"/>
            </w:pPr>
            <w:r>
              <w:t>30.97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696.64</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pPr>
            <w:r>
              <w:t>506.52</w:t>
            </w:r>
          </w:p>
        </w:tc>
        <w:tc>
          <w:tcPr>
            <w:tcW w:w="1474" w:type="dxa"/>
            <w:vAlign w:val="center"/>
          </w:tcPr>
          <w:p>
            <w:pPr>
              <w:pStyle w:val="13"/>
            </w:pPr>
            <w:r>
              <w:t>506.52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pPr>
            <w:r>
              <w:t>103.50</w:t>
            </w:r>
          </w:p>
        </w:tc>
        <w:tc>
          <w:tcPr>
            <w:tcW w:w="1474" w:type="dxa"/>
            <w:vAlign w:val="center"/>
          </w:tcPr>
          <w:p>
            <w:pPr>
              <w:pStyle w:val="13"/>
            </w:pPr>
            <w:r>
              <w:t>103.50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pPr>
            <w:r>
              <w:t>48.80</w:t>
            </w:r>
          </w:p>
        </w:tc>
        <w:tc>
          <w:tcPr>
            <w:tcW w:w="1474" w:type="dxa"/>
            <w:vAlign w:val="center"/>
          </w:tcPr>
          <w:p>
            <w:pPr>
              <w:pStyle w:val="13"/>
            </w:pPr>
            <w:r>
              <w:t>48.80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pPr>
            <w:r>
              <w:t>37.82</w:t>
            </w:r>
          </w:p>
        </w:tc>
        <w:tc>
          <w:tcPr>
            <w:tcW w:w="1474" w:type="dxa"/>
            <w:vAlign w:val="center"/>
          </w:tcPr>
          <w:p>
            <w:pPr>
              <w:pStyle w:val="13"/>
            </w:pPr>
            <w:r>
              <w:t>37.82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三十一、人行科目</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696.64</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696.64</w:t>
            </w:r>
          </w:p>
        </w:tc>
        <w:tc>
          <w:tcPr>
            <w:tcW w:w="1474" w:type="dxa"/>
            <w:vAlign w:val="center"/>
          </w:tcPr>
          <w:p>
            <w:pPr>
              <w:pStyle w:val="17"/>
            </w:pPr>
            <w:r>
              <w:t>696.64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696.64</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696.64</w:t>
            </w:r>
          </w:p>
        </w:tc>
        <w:tc>
          <w:tcPr>
            <w:tcW w:w="1474" w:type="dxa"/>
            <w:vAlign w:val="center"/>
          </w:tcPr>
          <w:p>
            <w:pPr>
              <w:pStyle w:val="17"/>
            </w:pPr>
            <w:r>
              <w:t>696.64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696.64</w:t>
            </w:r>
          </w:p>
        </w:tc>
        <w:tc>
          <w:tcPr>
            <w:tcW w:w="2551" w:type="dxa"/>
            <w:vAlign w:val="center"/>
          </w:tcPr>
          <w:p>
            <w:pPr>
              <w:pStyle w:val="17"/>
            </w:pPr>
            <w:r>
              <w:t>616.64</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2551" w:type="dxa"/>
            <w:vAlign w:val="center"/>
          </w:tcPr>
          <w:p>
            <w:pPr>
              <w:pStyle w:val="13"/>
            </w:pPr>
            <w:r>
              <w:t>506.52</w:t>
            </w:r>
          </w:p>
        </w:tc>
        <w:tc>
          <w:tcPr>
            <w:tcW w:w="2551" w:type="dxa"/>
            <w:vAlign w:val="center"/>
          </w:tcPr>
          <w:p>
            <w:pPr>
              <w:pStyle w:val="13"/>
            </w:pPr>
            <w:r>
              <w:t>426.52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rPr>
                <w:rFonts w:cs="Times New Roman"/>
              </w:rPr>
            </w:pPr>
            <w:r>
              <w:rPr>
                <w:rFonts w:hint="eastAsia"/>
              </w:rPr>
              <w:t>政协事务</w:t>
            </w:r>
          </w:p>
        </w:tc>
        <w:tc>
          <w:tcPr>
            <w:tcW w:w="2551" w:type="dxa"/>
            <w:vAlign w:val="center"/>
          </w:tcPr>
          <w:p>
            <w:pPr>
              <w:pStyle w:val="13"/>
            </w:pPr>
            <w:r>
              <w:t>506.52</w:t>
            </w:r>
          </w:p>
        </w:tc>
        <w:tc>
          <w:tcPr>
            <w:tcW w:w="2551" w:type="dxa"/>
            <w:vAlign w:val="center"/>
          </w:tcPr>
          <w:p>
            <w:pPr>
              <w:pStyle w:val="13"/>
            </w:pPr>
            <w:r>
              <w:t>426.52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rPr>
                <w:rFonts w:cs="Times New Roman"/>
              </w:rPr>
            </w:pPr>
            <w:r>
              <w:rPr>
                <w:rFonts w:hint="eastAsia"/>
              </w:rPr>
              <w:t>行政运行</w:t>
            </w:r>
          </w:p>
        </w:tc>
        <w:tc>
          <w:tcPr>
            <w:tcW w:w="2551" w:type="dxa"/>
            <w:vAlign w:val="center"/>
          </w:tcPr>
          <w:p>
            <w:pPr>
              <w:pStyle w:val="13"/>
            </w:pPr>
            <w:r>
              <w:t>426.52</w:t>
            </w:r>
          </w:p>
        </w:tc>
        <w:tc>
          <w:tcPr>
            <w:tcW w:w="2551" w:type="dxa"/>
            <w:vAlign w:val="center"/>
          </w:tcPr>
          <w:p>
            <w:pPr>
              <w:pStyle w:val="13"/>
            </w:pPr>
            <w:r>
              <w:t>426.52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2010204</w:t>
            </w:r>
          </w:p>
        </w:tc>
        <w:tc>
          <w:tcPr>
            <w:tcW w:w="4535" w:type="dxa"/>
            <w:vAlign w:val="center"/>
          </w:tcPr>
          <w:p>
            <w:pPr>
              <w:pStyle w:val="14"/>
              <w:rPr>
                <w:rFonts w:cs="Times New Roman"/>
              </w:rPr>
            </w:pPr>
            <w:r>
              <w:rPr>
                <w:rFonts w:hint="eastAsia"/>
              </w:rPr>
              <w:t>政协会议</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2010205</w:t>
            </w:r>
          </w:p>
        </w:tc>
        <w:tc>
          <w:tcPr>
            <w:tcW w:w="4535" w:type="dxa"/>
            <w:vAlign w:val="center"/>
          </w:tcPr>
          <w:p>
            <w:pPr>
              <w:pStyle w:val="14"/>
              <w:rPr>
                <w:rFonts w:cs="Times New Roman"/>
              </w:rPr>
            </w:pPr>
            <w:r>
              <w:rPr>
                <w:rFonts w:hint="eastAsia"/>
              </w:rPr>
              <w:t>委员视察</w:t>
            </w:r>
          </w:p>
        </w:tc>
        <w:tc>
          <w:tcPr>
            <w:tcW w:w="2551" w:type="dxa"/>
            <w:vAlign w:val="center"/>
          </w:tcPr>
          <w:p>
            <w:pPr>
              <w:pStyle w:val="13"/>
            </w:pPr>
            <w:r>
              <w:t>34.00</w:t>
            </w:r>
          </w:p>
        </w:tc>
        <w:tc>
          <w:tcPr>
            <w:tcW w:w="2551" w:type="dxa"/>
            <w:vAlign w:val="center"/>
          </w:tcPr>
          <w:p>
            <w:pPr>
              <w:pStyle w:val="13"/>
            </w:pP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rPr>
                <w:rFonts w:cs="Times New Roman"/>
              </w:rPr>
            </w:pPr>
            <w:r>
              <w:rPr>
                <w:rFonts w:hint="eastAsia"/>
              </w:rPr>
              <w:t>其他政协事务支出</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2551" w:type="dxa"/>
            <w:vAlign w:val="center"/>
          </w:tcPr>
          <w:p>
            <w:pPr>
              <w:pStyle w:val="13"/>
            </w:pPr>
            <w:r>
              <w:t>103.50</w:t>
            </w:r>
          </w:p>
        </w:tc>
        <w:tc>
          <w:tcPr>
            <w:tcW w:w="2551" w:type="dxa"/>
            <w:vAlign w:val="center"/>
          </w:tcPr>
          <w:p>
            <w:pPr>
              <w:pStyle w:val="13"/>
            </w:pPr>
            <w:r>
              <w:t>103.50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2551" w:type="dxa"/>
            <w:vAlign w:val="center"/>
          </w:tcPr>
          <w:p>
            <w:pPr>
              <w:pStyle w:val="13"/>
            </w:pPr>
            <w:r>
              <w:t>103.50</w:t>
            </w:r>
          </w:p>
        </w:tc>
        <w:tc>
          <w:tcPr>
            <w:tcW w:w="2551" w:type="dxa"/>
            <w:vAlign w:val="center"/>
          </w:tcPr>
          <w:p>
            <w:pPr>
              <w:pStyle w:val="13"/>
            </w:pPr>
            <w:r>
              <w:t>103.50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2551" w:type="dxa"/>
            <w:vAlign w:val="center"/>
          </w:tcPr>
          <w:p>
            <w:pPr>
              <w:pStyle w:val="13"/>
            </w:pPr>
            <w:r>
              <w:t>56.43</w:t>
            </w:r>
          </w:p>
        </w:tc>
        <w:tc>
          <w:tcPr>
            <w:tcW w:w="2551" w:type="dxa"/>
            <w:vAlign w:val="center"/>
          </w:tcPr>
          <w:p>
            <w:pPr>
              <w:pStyle w:val="13"/>
            </w:pPr>
            <w:r>
              <w:t>56.43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2551" w:type="dxa"/>
            <w:vAlign w:val="center"/>
          </w:tcPr>
          <w:p>
            <w:pPr>
              <w:pStyle w:val="13"/>
            </w:pPr>
            <w:r>
              <w:t>47.07</w:t>
            </w:r>
          </w:p>
        </w:tc>
        <w:tc>
          <w:tcPr>
            <w:tcW w:w="2551" w:type="dxa"/>
            <w:vAlign w:val="center"/>
          </w:tcPr>
          <w:p>
            <w:pPr>
              <w:pStyle w:val="13"/>
            </w:pPr>
            <w:r>
              <w:t>47.07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2551" w:type="dxa"/>
            <w:vAlign w:val="center"/>
          </w:tcPr>
          <w:p>
            <w:pPr>
              <w:pStyle w:val="13"/>
            </w:pPr>
            <w:r>
              <w:t>48.80</w:t>
            </w:r>
          </w:p>
        </w:tc>
        <w:tc>
          <w:tcPr>
            <w:tcW w:w="2551" w:type="dxa"/>
            <w:vAlign w:val="center"/>
          </w:tcPr>
          <w:p>
            <w:pPr>
              <w:pStyle w:val="13"/>
            </w:pPr>
            <w:r>
              <w:t>48.80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2551" w:type="dxa"/>
            <w:vAlign w:val="center"/>
          </w:tcPr>
          <w:p>
            <w:pPr>
              <w:pStyle w:val="13"/>
            </w:pPr>
            <w:r>
              <w:t>48.80</w:t>
            </w:r>
          </w:p>
        </w:tc>
        <w:tc>
          <w:tcPr>
            <w:tcW w:w="2551" w:type="dxa"/>
            <w:vAlign w:val="center"/>
          </w:tcPr>
          <w:p>
            <w:pPr>
              <w:pStyle w:val="13"/>
            </w:pPr>
            <w:r>
              <w:t>48.80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2551" w:type="dxa"/>
            <w:vAlign w:val="center"/>
          </w:tcPr>
          <w:p>
            <w:pPr>
              <w:pStyle w:val="13"/>
            </w:pPr>
            <w:r>
              <w:t>17.83</w:t>
            </w:r>
          </w:p>
        </w:tc>
        <w:tc>
          <w:tcPr>
            <w:tcW w:w="2551" w:type="dxa"/>
            <w:vAlign w:val="center"/>
          </w:tcPr>
          <w:p>
            <w:pPr>
              <w:pStyle w:val="13"/>
            </w:pPr>
            <w:r>
              <w:t>17.83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2551" w:type="dxa"/>
            <w:vAlign w:val="center"/>
          </w:tcPr>
          <w:p>
            <w:pPr>
              <w:pStyle w:val="13"/>
            </w:pPr>
            <w:r>
              <w:t>30.97</w:t>
            </w:r>
          </w:p>
        </w:tc>
        <w:tc>
          <w:tcPr>
            <w:tcW w:w="2551" w:type="dxa"/>
            <w:vAlign w:val="center"/>
          </w:tcPr>
          <w:p>
            <w:pPr>
              <w:pStyle w:val="13"/>
            </w:pPr>
            <w:r>
              <w:t>30.97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616.64</w:t>
            </w:r>
          </w:p>
        </w:tc>
        <w:tc>
          <w:tcPr>
            <w:tcW w:w="2551" w:type="dxa"/>
            <w:vAlign w:val="center"/>
          </w:tcPr>
          <w:p>
            <w:pPr>
              <w:pStyle w:val="17"/>
            </w:pPr>
            <w:r>
              <w:t>545.60</w:t>
            </w:r>
          </w:p>
        </w:tc>
        <w:tc>
          <w:tcPr>
            <w:tcW w:w="2551" w:type="dxa"/>
            <w:vAlign w:val="center"/>
          </w:tcPr>
          <w:p>
            <w:pPr>
              <w:pStyle w:val="17"/>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rPr>
                <w:rFonts w:cs="Times New Roman"/>
              </w:rPr>
            </w:pPr>
            <w:r>
              <w:rPr>
                <w:rFonts w:hint="eastAsia"/>
              </w:rPr>
              <w:t>工资福利支出</w:t>
            </w:r>
          </w:p>
        </w:tc>
        <w:tc>
          <w:tcPr>
            <w:tcW w:w="2551" w:type="dxa"/>
            <w:vAlign w:val="center"/>
          </w:tcPr>
          <w:p>
            <w:pPr>
              <w:pStyle w:val="13"/>
            </w:pPr>
            <w:r>
              <w:t>483.52</w:t>
            </w:r>
          </w:p>
        </w:tc>
        <w:tc>
          <w:tcPr>
            <w:tcW w:w="2551" w:type="dxa"/>
            <w:vAlign w:val="center"/>
          </w:tcPr>
          <w:p>
            <w:pPr>
              <w:pStyle w:val="13"/>
            </w:pPr>
            <w:r>
              <w:t>483.52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rPr>
                <w:rFonts w:cs="Times New Roman"/>
              </w:rPr>
            </w:pPr>
            <w:r>
              <w:rPr>
                <w:rFonts w:hint="eastAsia"/>
              </w:rPr>
              <w:t>基本工资</w:t>
            </w:r>
          </w:p>
        </w:tc>
        <w:tc>
          <w:tcPr>
            <w:tcW w:w="2551" w:type="dxa"/>
            <w:vAlign w:val="center"/>
          </w:tcPr>
          <w:p>
            <w:pPr>
              <w:pStyle w:val="13"/>
            </w:pPr>
            <w:r>
              <w:t>142.59</w:t>
            </w:r>
          </w:p>
        </w:tc>
        <w:tc>
          <w:tcPr>
            <w:tcW w:w="2551" w:type="dxa"/>
            <w:vAlign w:val="center"/>
          </w:tcPr>
          <w:p>
            <w:pPr>
              <w:pStyle w:val="13"/>
            </w:pPr>
            <w:r>
              <w:t>142.59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rPr>
                <w:rFonts w:cs="Times New Roman"/>
              </w:rPr>
            </w:pPr>
            <w:r>
              <w:rPr>
                <w:rFonts w:hint="eastAsia"/>
              </w:rPr>
              <w:t>津贴补贴</w:t>
            </w:r>
          </w:p>
        </w:tc>
        <w:tc>
          <w:tcPr>
            <w:tcW w:w="2551" w:type="dxa"/>
            <w:vAlign w:val="center"/>
          </w:tcPr>
          <w:p>
            <w:pPr>
              <w:pStyle w:val="13"/>
            </w:pPr>
            <w:r>
              <w:t>99.38</w:t>
            </w:r>
          </w:p>
        </w:tc>
        <w:tc>
          <w:tcPr>
            <w:tcW w:w="2551" w:type="dxa"/>
            <w:vAlign w:val="center"/>
          </w:tcPr>
          <w:p>
            <w:pPr>
              <w:pStyle w:val="13"/>
            </w:pPr>
            <w:r>
              <w:t>99.38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rPr>
                <w:rFonts w:cs="Times New Roman"/>
              </w:rPr>
            </w:pPr>
            <w:r>
              <w:rPr>
                <w:rFonts w:hint="eastAsia"/>
              </w:rPr>
              <w:t>奖金</w:t>
            </w:r>
          </w:p>
        </w:tc>
        <w:tc>
          <w:tcPr>
            <w:tcW w:w="2551" w:type="dxa"/>
            <w:vAlign w:val="center"/>
          </w:tcPr>
          <w:p>
            <w:pPr>
              <w:pStyle w:val="13"/>
            </w:pPr>
            <w:r>
              <w:t>49.45</w:t>
            </w:r>
          </w:p>
        </w:tc>
        <w:tc>
          <w:tcPr>
            <w:tcW w:w="2551" w:type="dxa"/>
            <w:vAlign w:val="center"/>
          </w:tcPr>
          <w:p>
            <w:pPr>
              <w:pStyle w:val="13"/>
            </w:pPr>
            <w:r>
              <w:t>49.45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rPr>
                <w:rFonts w:cs="Times New Roman"/>
              </w:rPr>
            </w:pPr>
            <w:r>
              <w:rPr>
                <w:rFonts w:hint="eastAsia"/>
              </w:rPr>
              <w:t>绩效工资</w:t>
            </w:r>
          </w:p>
        </w:tc>
        <w:tc>
          <w:tcPr>
            <w:tcW w:w="2551" w:type="dxa"/>
            <w:vAlign w:val="center"/>
          </w:tcPr>
          <w:p>
            <w:pPr>
              <w:pStyle w:val="13"/>
            </w:pPr>
            <w:r>
              <w:t>28.02</w:t>
            </w:r>
          </w:p>
        </w:tc>
        <w:tc>
          <w:tcPr>
            <w:tcW w:w="2551" w:type="dxa"/>
            <w:vAlign w:val="center"/>
          </w:tcPr>
          <w:p>
            <w:pPr>
              <w:pStyle w:val="13"/>
            </w:pPr>
            <w:r>
              <w:t>28.02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rPr>
                <w:rFonts w:cs="Times New Roman"/>
              </w:rPr>
            </w:pPr>
            <w:r>
              <w:rPr>
                <w:rFonts w:hint="eastAsia"/>
              </w:rPr>
              <w:t>机关事业单位基本养老保险缴费</w:t>
            </w:r>
          </w:p>
        </w:tc>
        <w:tc>
          <w:tcPr>
            <w:tcW w:w="2551" w:type="dxa"/>
            <w:vAlign w:val="center"/>
          </w:tcPr>
          <w:p>
            <w:pPr>
              <w:pStyle w:val="13"/>
            </w:pPr>
            <w:r>
              <w:t>47.07</w:t>
            </w:r>
          </w:p>
        </w:tc>
        <w:tc>
          <w:tcPr>
            <w:tcW w:w="2551" w:type="dxa"/>
            <w:vAlign w:val="center"/>
          </w:tcPr>
          <w:p>
            <w:pPr>
              <w:pStyle w:val="13"/>
            </w:pPr>
            <w:r>
              <w:t>47.07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rPr>
                <w:rFonts w:cs="Times New Roman"/>
              </w:rPr>
            </w:pPr>
            <w:r>
              <w:rPr>
                <w:rFonts w:hint="eastAsia"/>
              </w:rPr>
              <w:t>职工基本医疗保险缴费</w:t>
            </w:r>
          </w:p>
        </w:tc>
        <w:tc>
          <w:tcPr>
            <w:tcW w:w="2551" w:type="dxa"/>
            <w:vAlign w:val="center"/>
          </w:tcPr>
          <w:p>
            <w:pPr>
              <w:pStyle w:val="13"/>
            </w:pPr>
            <w:r>
              <w:t>17.83</w:t>
            </w:r>
          </w:p>
        </w:tc>
        <w:tc>
          <w:tcPr>
            <w:tcW w:w="2551" w:type="dxa"/>
            <w:vAlign w:val="center"/>
          </w:tcPr>
          <w:p>
            <w:pPr>
              <w:pStyle w:val="13"/>
            </w:pPr>
            <w:r>
              <w:t>17.83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rPr>
                <w:rFonts w:cs="Times New Roman"/>
              </w:rPr>
            </w:pPr>
            <w:r>
              <w:rPr>
                <w:rFonts w:hint="eastAsia"/>
              </w:rPr>
              <w:t>公务员医疗补助缴费</w:t>
            </w:r>
          </w:p>
        </w:tc>
        <w:tc>
          <w:tcPr>
            <w:tcW w:w="2551" w:type="dxa"/>
            <w:vAlign w:val="center"/>
          </w:tcPr>
          <w:p>
            <w:pPr>
              <w:pStyle w:val="13"/>
            </w:pPr>
            <w:r>
              <w:t>30.97</w:t>
            </w:r>
          </w:p>
        </w:tc>
        <w:tc>
          <w:tcPr>
            <w:tcW w:w="2551" w:type="dxa"/>
            <w:vAlign w:val="center"/>
          </w:tcPr>
          <w:p>
            <w:pPr>
              <w:pStyle w:val="13"/>
            </w:pPr>
            <w:r>
              <w:t>30.97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rPr>
                <w:rFonts w:cs="Times New Roman"/>
              </w:rPr>
            </w:pPr>
            <w:r>
              <w:rPr>
                <w:rFonts w:hint="eastAsia"/>
              </w:rPr>
              <w:t>其他社会保障缴费</w:t>
            </w:r>
          </w:p>
        </w:tc>
        <w:tc>
          <w:tcPr>
            <w:tcW w:w="2551" w:type="dxa"/>
            <w:vAlign w:val="center"/>
          </w:tcPr>
          <w:p>
            <w:pPr>
              <w:pStyle w:val="13"/>
            </w:pPr>
            <w:r>
              <w:t>2.96</w:t>
            </w:r>
          </w:p>
        </w:tc>
        <w:tc>
          <w:tcPr>
            <w:tcW w:w="2551" w:type="dxa"/>
            <w:vAlign w:val="center"/>
          </w:tcPr>
          <w:p>
            <w:pPr>
              <w:pStyle w:val="13"/>
            </w:pPr>
            <w:r>
              <w:t>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rPr>
                <w:rFonts w:cs="Times New Roman"/>
              </w:rPr>
            </w:pPr>
            <w:r>
              <w:rPr>
                <w:rFonts w:hint="eastAsia"/>
              </w:rPr>
              <w:t>其他工资福利支出</w:t>
            </w:r>
          </w:p>
        </w:tc>
        <w:tc>
          <w:tcPr>
            <w:tcW w:w="2551" w:type="dxa"/>
            <w:vAlign w:val="center"/>
          </w:tcPr>
          <w:p>
            <w:pPr>
              <w:pStyle w:val="13"/>
            </w:pPr>
            <w:r>
              <w:t>27.43</w:t>
            </w:r>
          </w:p>
        </w:tc>
        <w:tc>
          <w:tcPr>
            <w:tcW w:w="2551" w:type="dxa"/>
            <w:vAlign w:val="center"/>
          </w:tcPr>
          <w:p>
            <w:pPr>
              <w:pStyle w:val="13"/>
            </w:pPr>
            <w:r>
              <w:t>27.43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rPr>
                <w:rFonts w:cs="Times New Roman"/>
              </w:rPr>
            </w:pPr>
            <w:r>
              <w:rPr>
                <w:rFonts w:hint="eastAsia"/>
              </w:rPr>
              <w:t>商品和服务支出</w:t>
            </w:r>
          </w:p>
        </w:tc>
        <w:tc>
          <w:tcPr>
            <w:tcW w:w="2551" w:type="dxa"/>
            <w:vAlign w:val="center"/>
          </w:tcPr>
          <w:p>
            <w:pPr>
              <w:pStyle w:val="13"/>
            </w:pPr>
            <w:r>
              <w:t>71.04</w:t>
            </w:r>
          </w:p>
        </w:tc>
        <w:tc>
          <w:tcPr>
            <w:tcW w:w="2551" w:type="dxa"/>
            <w:vAlign w:val="center"/>
          </w:tcPr>
          <w:p>
            <w:pPr>
              <w:pStyle w:val="13"/>
            </w:pPr>
          </w:p>
        </w:tc>
        <w:tc>
          <w:tcPr>
            <w:tcW w:w="2551" w:type="dxa"/>
            <w:vAlign w:val="center"/>
          </w:tcPr>
          <w:p>
            <w:pPr>
              <w:pStyle w:val="13"/>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rPr>
                <w:rFonts w:cs="Times New Roman"/>
              </w:rPr>
            </w:pPr>
            <w:r>
              <w:rPr>
                <w:rFonts w:hint="eastAsia"/>
              </w:rPr>
              <w:t>办公费</w:t>
            </w:r>
          </w:p>
        </w:tc>
        <w:tc>
          <w:tcPr>
            <w:tcW w:w="2551" w:type="dxa"/>
            <w:vAlign w:val="center"/>
          </w:tcPr>
          <w:p>
            <w:pPr>
              <w:pStyle w:val="13"/>
            </w:pPr>
            <w:r>
              <w:t>7.25</w:t>
            </w:r>
          </w:p>
        </w:tc>
        <w:tc>
          <w:tcPr>
            <w:tcW w:w="2551" w:type="dxa"/>
            <w:vAlign w:val="center"/>
          </w:tcPr>
          <w:p>
            <w:pPr>
              <w:pStyle w:val="13"/>
            </w:pPr>
          </w:p>
        </w:tc>
        <w:tc>
          <w:tcPr>
            <w:tcW w:w="2551" w:type="dxa"/>
            <w:vAlign w:val="center"/>
          </w:tcPr>
          <w:p>
            <w:pPr>
              <w:pStyle w:val="13"/>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rPr>
                <w:rFonts w:cs="Times New Roman"/>
              </w:rPr>
            </w:pPr>
            <w:r>
              <w:rPr>
                <w:rFonts w:hint="eastAsia"/>
              </w:rPr>
              <w:t>邮电费</w:t>
            </w:r>
          </w:p>
        </w:tc>
        <w:tc>
          <w:tcPr>
            <w:tcW w:w="2551" w:type="dxa"/>
            <w:vAlign w:val="center"/>
          </w:tcPr>
          <w:p>
            <w:pPr>
              <w:pStyle w:val="13"/>
            </w:pPr>
            <w:r>
              <w:t>12.50</w:t>
            </w:r>
          </w:p>
        </w:tc>
        <w:tc>
          <w:tcPr>
            <w:tcW w:w="2551" w:type="dxa"/>
            <w:vAlign w:val="center"/>
          </w:tcPr>
          <w:p>
            <w:pPr>
              <w:pStyle w:val="13"/>
            </w:pPr>
          </w:p>
        </w:tc>
        <w:tc>
          <w:tcPr>
            <w:tcW w:w="2551"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rPr>
                <w:rFonts w:cs="Times New Roman"/>
              </w:rPr>
            </w:pPr>
            <w:r>
              <w:rPr>
                <w:rFonts w:hint="eastAsia"/>
              </w:rPr>
              <w:t>公务接待费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rPr>
                <w:rFonts w:cs="Times New Roman"/>
              </w:rPr>
            </w:pPr>
            <w:r>
              <w:rPr>
                <w:rFonts w:hint="eastAsia"/>
              </w:rPr>
              <w:t>工会经费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rPr>
                <w:rFonts w:cs="Times New Roman"/>
              </w:rPr>
            </w:pPr>
            <w:r>
              <w:rPr>
                <w:rFonts w:hint="eastAsia"/>
              </w:rPr>
              <w:t>福利费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rPr>
                <w:rFonts w:cs="Times New Roman"/>
              </w:rPr>
            </w:pPr>
            <w:r>
              <w:rPr>
                <w:rFonts w:hint="eastAsia"/>
              </w:rPr>
              <w:t>公务用车运行维护费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rPr>
                <w:rFonts w:cs="Times New Roman"/>
              </w:rPr>
            </w:pPr>
            <w:r>
              <w:rPr>
                <w:rFonts w:hint="eastAsia"/>
              </w:rPr>
              <w:t>其他交通费用</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rPr>
                <w:rFonts w:cs="Times New Roman"/>
              </w:rPr>
            </w:pPr>
            <w:r>
              <w:rPr>
                <w:rFonts w:hint="eastAsia"/>
              </w:rPr>
              <w:t>其他商品和服务支出</w:t>
            </w:r>
          </w:p>
        </w:tc>
        <w:tc>
          <w:tcPr>
            <w:tcW w:w="2551" w:type="dxa"/>
            <w:vAlign w:val="center"/>
          </w:tcPr>
          <w:p>
            <w:pPr>
              <w:pStyle w:val="13"/>
            </w:pPr>
            <w:r>
              <w:t>3.37</w:t>
            </w:r>
          </w:p>
        </w:tc>
        <w:tc>
          <w:tcPr>
            <w:tcW w:w="2551" w:type="dxa"/>
            <w:vAlign w:val="center"/>
          </w:tcPr>
          <w:p>
            <w:pPr>
              <w:pStyle w:val="13"/>
            </w:pPr>
          </w:p>
        </w:tc>
        <w:tc>
          <w:tcPr>
            <w:tcW w:w="2551" w:type="dxa"/>
            <w:vAlign w:val="center"/>
          </w:tcPr>
          <w:p>
            <w:pPr>
              <w:pStyle w:val="13"/>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rPr>
                <w:rFonts w:cs="Times New Roman"/>
              </w:rPr>
            </w:pPr>
            <w:r>
              <w:rPr>
                <w:rFonts w:hint="eastAsia"/>
              </w:rPr>
              <w:t>对个人和家庭的补助</w:t>
            </w:r>
          </w:p>
        </w:tc>
        <w:tc>
          <w:tcPr>
            <w:tcW w:w="2551" w:type="dxa"/>
            <w:vAlign w:val="center"/>
          </w:tcPr>
          <w:p>
            <w:pPr>
              <w:pStyle w:val="13"/>
            </w:pPr>
            <w:r>
              <w:t>62.08</w:t>
            </w:r>
          </w:p>
        </w:tc>
        <w:tc>
          <w:tcPr>
            <w:tcW w:w="2551" w:type="dxa"/>
            <w:vAlign w:val="center"/>
          </w:tcPr>
          <w:p>
            <w:pPr>
              <w:pStyle w:val="13"/>
            </w:pPr>
            <w:r>
              <w:t>62.08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rPr>
                <w:rFonts w:cs="Times New Roman"/>
              </w:rPr>
            </w:pPr>
            <w:r>
              <w:rPr>
                <w:rFonts w:hint="eastAsia"/>
              </w:rPr>
              <w:t>退休费</w:t>
            </w:r>
          </w:p>
        </w:tc>
        <w:tc>
          <w:tcPr>
            <w:tcW w:w="2551" w:type="dxa"/>
            <w:vAlign w:val="center"/>
          </w:tcPr>
          <w:p>
            <w:pPr>
              <w:pStyle w:val="13"/>
            </w:pPr>
            <w:r>
              <w:t>56.43</w:t>
            </w:r>
          </w:p>
        </w:tc>
        <w:tc>
          <w:tcPr>
            <w:tcW w:w="2551" w:type="dxa"/>
            <w:vAlign w:val="center"/>
          </w:tcPr>
          <w:p>
            <w:pPr>
              <w:pStyle w:val="13"/>
            </w:pPr>
            <w:r>
              <w:t>56.43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rPr>
                <w:rFonts w:cs="Times New Roman"/>
              </w:rPr>
            </w:pPr>
            <w:r>
              <w:rPr>
                <w:rFonts w:hint="eastAsia"/>
              </w:rPr>
              <w:t>生活补助</w:t>
            </w:r>
          </w:p>
        </w:tc>
        <w:tc>
          <w:tcPr>
            <w:tcW w:w="2551" w:type="dxa"/>
            <w:vAlign w:val="center"/>
          </w:tcPr>
          <w:p>
            <w:pPr>
              <w:pStyle w:val="13"/>
            </w:pPr>
            <w:r>
              <w:t>4.99</w:t>
            </w:r>
          </w:p>
        </w:tc>
        <w:tc>
          <w:tcPr>
            <w:tcW w:w="2551" w:type="dxa"/>
            <w:vAlign w:val="center"/>
          </w:tcPr>
          <w:p>
            <w:pPr>
              <w:pStyle w:val="13"/>
            </w:pPr>
            <w:r>
              <w:t>4.99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rPr>
                <w:rFonts w:cs="Times New Roman"/>
              </w:rPr>
            </w:pPr>
            <w:r>
              <w:rPr>
                <w:rFonts w:hint="eastAsia"/>
              </w:rPr>
              <w:t>奖励金</w:t>
            </w:r>
          </w:p>
        </w:tc>
        <w:tc>
          <w:tcPr>
            <w:tcW w:w="2551" w:type="dxa"/>
            <w:vAlign w:val="center"/>
          </w:tcPr>
          <w:p>
            <w:pPr>
              <w:pStyle w:val="13"/>
            </w:pPr>
            <w:r>
              <w:t>0.66</w:t>
            </w:r>
          </w:p>
        </w:tc>
        <w:tc>
          <w:tcPr>
            <w:tcW w:w="2551" w:type="dxa"/>
            <w:vAlign w:val="center"/>
          </w:tcPr>
          <w:p>
            <w:pPr>
              <w:pStyle w:val="13"/>
            </w:pPr>
            <w:r>
              <w:t>0.66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5"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合计</w:t>
            </w:r>
          </w:p>
        </w:tc>
        <w:tc>
          <w:tcPr>
            <w:tcW w:w="2382" w:type="dxa"/>
            <w:vAlign w:val="center"/>
          </w:tcPr>
          <w:p>
            <w:pPr>
              <w:pStyle w:val="17"/>
            </w:pPr>
            <w:r>
              <w:t>75.00</w:t>
            </w:r>
          </w:p>
        </w:tc>
        <w:tc>
          <w:tcPr>
            <w:tcW w:w="2381" w:type="dxa"/>
            <w:vAlign w:val="center"/>
          </w:tcPr>
          <w:p>
            <w:pPr>
              <w:pStyle w:val="17"/>
            </w:pPr>
            <w:r>
              <w:t>75.00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rPr>
                <w:rFonts w:cs="Times New Roman"/>
              </w:rPr>
            </w:pPr>
            <w:r>
              <w:rPr>
                <w:rFonts w:hint="eastAsia"/>
              </w:rPr>
              <w:t>“三公”经费小计</w:t>
            </w:r>
          </w:p>
        </w:tc>
        <w:tc>
          <w:tcPr>
            <w:tcW w:w="2382"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rPr>
                <w:rFonts w:cs="Times New Roman"/>
              </w:rPr>
            </w:pPr>
            <w:r>
              <w:rPr>
                <w:rFonts w:hint="eastAsia"/>
              </w:rPr>
              <w:t>一、因公出国（境）费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rPr>
                <w:rFonts w:cs="Times New Roman"/>
              </w:rPr>
            </w:pPr>
            <w:r>
              <w:rPr>
                <w:rFonts w:hint="eastAsia"/>
              </w:rPr>
              <w:t>二、公务用车购置及维护费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rFonts w:cs="Times New Roman"/>
              </w:rPr>
            </w:pPr>
            <w:r>
              <w:rPr>
                <w:rFonts w:hint="eastAsia"/>
              </w:rPr>
              <w:t>其中：公务用车购置费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rPr>
                <w:rFonts w:cs="Times New Roman"/>
              </w:rPr>
            </w:pPr>
            <w:r>
              <w:t xml:space="preserve">          </w:t>
            </w:r>
            <w:r>
              <w:rPr>
                <w:rFonts w:hint="eastAsia"/>
              </w:rPr>
              <w:t>公务用车运行维护费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rPr>
                <w:rFonts w:cs="Times New Roman"/>
              </w:rPr>
            </w:pPr>
            <w:r>
              <w:rPr>
                <w:rFonts w:hint="eastAsia"/>
              </w:rPr>
              <w:t>三、公务接待费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中国人民政治协商会议唐山市丰南区委员会办公室</w:t>
      </w:r>
      <w:r>
        <w:rPr>
          <w:rFonts w:ascii="方正书宋_GBK" w:hAnsi="方正书宋_GBK" w:eastAsia="方正书宋_GBK" w:cs="方正书宋_GBK"/>
          <w:color w:val="FFFFFF"/>
          <w:sz w:val="21"/>
          <w:szCs w:val="21"/>
        </w:rPr>
        <w:t>2023</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中国人民政治协商会议唐山市丰南区委员会办公室</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按照《预算法》、《地方预决算公开操作规程》和《关于进一步推进预算公开工作的实施意见》规定，现将中国人民政治协商会议唐山市丰南区委员会办公室</w:t>
      </w:r>
      <w:r>
        <w:rPr>
          <w:rFonts w:eastAsia="方正仿宋_GBK"/>
          <w:color w:val="000000"/>
          <w:sz w:val="28"/>
          <w:szCs w:val="28"/>
        </w:rPr>
        <w:t>2023</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ind w:firstLine="640"/>
      </w:pPr>
      <w:r>
        <w:rPr>
          <w:rFonts w:hint="eastAsia" w:ascii="方正楷体_GBK" w:hAnsi="方正楷体_GBK" w:eastAsia="方正楷体_GBK" w:cs="方正楷体_GBK"/>
          <w:b/>
          <w:bCs/>
          <w:color w:val="000000"/>
          <w:sz w:val="32"/>
          <w:szCs w:val="32"/>
        </w:rPr>
        <w:t>部门职责：</w:t>
      </w:r>
    </w:p>
    <w:p>
      <w:pPr>
        <w:pStyle w:val="19"/>
      </w:pPr>
      <w:r>
        <w:t>(</w:t>
      </w:r>
      <w:r>
        <w:rPr>
          <w:rFonts w:hint="eastAsia" w:cs="方正仿宋_GBK"/>
        </w:rPr>
        <w:t>一</w:t>
      </w:r>
      <w:r>
        <w:t>)</w:t>
      </w:r>
      <w:r>
        <w:rPr>
          <w:rFonts w:hint="eastAsia" w:cs="方正仿宋_GBK"/>
        </w:rPr>
        <w:t>政协唐山市丰南区委员会的主要职能是政治协商、民主监督、参政议政。</w:t>
      </w:r>
    </w:p>
    <w:p>
      <w:pPr>
        <w:pStyle w:val="19"/>
      </w:pPr>
      <w:r>
        <w:t>(</w:t>
      </w:r>
      <w:r>
        <w:rPr>
          <w:rFonts w:hint="eastAsia" w:cs="方正仿宋_GBK"/>
        </w:rPr>
        <w:t>二</w:t>
      </w:r>
      <w:r>
        <w:t>)</w:t>
      </w:r>
      <w:r>
        <w:rPr>
          <w:rFonts w:hint="eastAsia" w:cs="方正仿宋_GBK"/>
        </w:rPr>
        <w:t>负责区政协全体会议、常务委员会会议、主席会议、党组会议、专门委员会会议、委员专题座谈会以及其他重要会议、活动的文稿起草、组织和服务工作。</w:t>
      </w:r>
    </w:p>
    <w:p>
      <w:pPr>
        <w:pStyle w:val="19"/>
      </w:pPr>
      <w:r>
        <w:t>(</w:t>
      </w:r>
      <w:r>
        <w:rPr>
          <w:rFonts w:hint="eastAsia" w:cs="方正仿宋_GBK"/>
        </w:rPr>
        <w:t>三</w:t>
      </w:r>
      <w:r>
        <w:t>)</w:t>
      </w:r>
      <w:r>
        <w:rPr>
          <w:rFonts w:hint="eastAsia" w:cs="方正仿宋_GBK"/>
        </w:rPr>
        <w:t>负责区政协全体会议、常务委员会会议、主席会议决议和决定事项的组织实施工作。</w:t>
      </w:r>
    </w:p>
    <w:p>
      <w:pPr>
        <w:pStyle w:val="19"/>
      </w:pPr>
      <w:r>
        <w:t>(</w:t>
      </w:r>
      <w:r>
        <w:rPr>
          <w:rFonts w:hint="eastAsia" w:cs="方正仿宋_GBK"/>
        </w:rPr>
        <w:t>四</w:t>
      </w:r>
      <w:r>
        <w:t>)</w:t>
      </w:r>
      <w:r>
        <w:rPr>
          <w:rFonts w:hint="eastAsia" w:cs="方正仿宋_GBK"/>
        </w:rPr>
        <w:t>负责区政协年度重点课题调研和相关专委会的调研，并做好调研成果的转化跟踪工作；收集整理、综合、分析和报送反馈社情民意的信息及各界人士的意见、建议。</w:t>
      </w:r>
    </w:p>
    <w:p>
      <w:pPr>
        <w:pStyle w:val="19"/>
      </w:pPr>
      <w:r>
        <w:t>(</w:t>
      </w:r>
      <w:r>
        <w:rPr>
          <w:rFonts w:hint="eastAsia" w:cs="方正仿宋_GBK"/>
        </w:rPr>
        <w:t>五</w:t>
      </w:r>
      <w:r>
        <w:t>)</w:t>
      </w:r>
      <w:r>
        <w:rPr>
          <w:rFonts w:hint="eastAsia" w:cs="方正仿宋_GBK"/>
        </w:rPr>
        <w:t>负责研究统一战线和人民政协的理论、政策。承担区政协对内对外宣传的策划、协调、联络和新闻报道工作。加强同委员的联系，大力宣传委员的先进事迹，扩大政协委员的影响。</w:t>
      </w:r>
    </w:p>
    <w:p>
      <w:pPr>
        <w:pStyle w:val="19"/>
      </w:pPr>
      <w:r>
        <w:t>(</w:t>
      </w:r>
      <w:r>
        <w:rPr>
          <w:rFonts w:hint="eastAsia" w:cs="方正仿宋_GBK"/>
        </w:rPr>
        <w:t>六</w:t>
      </w:r>
      <w:r>
        <w:t>)</w:t>
      </w:r>
      <w:r>
        <w:rPr>
          <w:rFonts w:hint="eastAsia" w:cs="方正仿宋_GBK"/>
        </w:rPr>
        <w:t>报送政协组织和委员履行职能形成的调研报告、视察报告、大会发言、建议案；处理政协委员和人民群众的来信、来访。</w:t>
      </w:r>
    </w:p>
    <w:p>
      <w:pPr>
        <w:pStyle w:val="19"/>
      </w:pPr>
      <w:r>
        <w:t>(</w:t>
      </w:r>
      <w:r>
        <w:rPr>
          <w:rFonts w:hint="eastAsia" w:cs="方正仿宋_GBK"/>
        </w:rPr>
        <w:t>七</w:t>
      </w:r>
      <w:r>
        <w:t>)</w:t>
      </w:r>
      <w:r>
        <w:rPr>
          <w:rFonts w:hint="eastAsia" w:cs="方正仿宋_GBK"/>
        </w:rPr>
        <w:t>负责区政协委员管理和省、市政协委员服务。组织委员学习政治理论和政协业务知识，提高委员参政议政能力。</w:t>
      </w:r>
    </w:p>
    <w:p>
      <w:pPr>
        <w:pStyle w:val="19"/>
      </w:pPr>
      <w:r>
        <w:t>(</w:t>
      </w:r>
      <w:r>
        <w:rPr>
          <w:rFonts w:hint="eastAsia" w:cs="方正仿宋_GBK"/>
        </w:rPr>
        <w:t>八</w:t>
      </w:r>
      <w:r>
        <w:t>)</w:t>
      </w:r>
      <w:r>
        <w:rPr>
          <w:rFonts w:hint="eastAsia" w:cs="方正仿宋_GBK"/>
        </w:rPr>
        <w:t>负责区政协委员视察、调研、学习等活动的联络和组织服务工作，听取并整理他们对我区经济社会发展等方面的意见和建议，为区委、区政府决策提供参考。</w:t>
      </w:r>
    </w:p>
    <w:p>
      <w:pPr>
        <w:pStyle w:val="19"/>
      </w:pPr>
      <w:r>
        <w:t>(</w:t>
      </w:r>
      <w:r>
        <w:rPr>
          <w:rFonts w:hint="eastAsia" w:cs="方正仿宋_GBK"/>
        </w:rPr>
        <w:t>九</w:t>
      </w:r>
      <w:r>
        <w:t>)</w:t>
      </w:r>
      <w:r>
        <w:rPr>
          <w:rFonts w:hint="eastAsia" w:cs="方正仿宋_GBK"/>
        </w:rPr>
        <w:t>负责政协提案的征集、初审、交办和办理工作。</w:t>
      </w:r>
    </w:p>
    <w:p>
      <w:pPr>
        <w:pStyle w:val="19"/>
      </w:pPr>
      <w:r>
        <w:t>(</w:t>
      </w:r>
      <w:r>
        <w:rPr>
          <w:rFonts w:hint="eastAsia" w:cs="方正仿宋_GBK"/>
        </w:rPr>
        <w:t>十</w:t>
      </w:r>
      <w:r>
        <w:t>)</w:t>
      </w:r>
      <w:r>
        <w:rPr>
          <w:rFonts w:hint="eastAsia" w:cs="方正仿宋_GBK"/>
        </w:rPr>
        <w:t>负责文史资料的征集、整理、研究、出版工作。</w:t>
      </w:r>
    </w:p>
    <w:p>
      <w:pPr>
        <w:pStyle w:val="19"/>
      </w:pPr>
      <w:r>
        <w:rPr>
          <w:rFonts w:hint="eastAsia" w:cs="方正仿宋_GBK"/>
        </w:rPr>
        <w:t>（十一）与有关部门配合，开展祖国统一联谊活动和民族宗教工作。</w:t>
      </w:r>
    </w:p>
    <w:p>
      <w:pPr>
        <w:pStyle w:val="19"/>
      </w:pPr>
      <w:r>
        <w:rPr>
          <w:rFonts w:hint="eastAsia" w:cs="方正仿宋_GBK"/>
        </w:rPr>
        <w:t>（十二）负责完区委、区政府部署的阶段性、临时性任务。</w:t>
      </w:r>
    </w:p>
    <w:p>
      <w:pPr>
        <w:ind w:firstLine="640"/>
        <w:rPr>
          <w:rFonts w:hint="eastAsia" w:ascii="方正楷体_GBK" w:hAnsi="方正楷体_GBK" w:eastAsia="方正楷体_GBK" w:cs="方正楷体_GBK"/>
          <w:b/>
          <w:bCs/>
          <w:color w:val="000000"/>
          <w:sz w:val="32"/>
          <w:szCs w:val="32"/>
        </w:rPr>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中国人民政治协商会议唐山市丰南区委员会办公室本级</w:t>
            </w:r>
          </w:p>
        </w:tc>
        <w:tc>
          <w:tcPr>
            <w:tcW w:w="1843" w:type="dxa"/>
            <w:vAlign w:val="center"/>
          </w:tcPr>
          <w:p>
            <w:pPr>
              <w:pStyle w:val="15"/>
              <w:rPr>
                <w:rFonts w:cs="Times New Roman"/>
              </w:rPr>
            </w:pPr>
            <w:r>
              <w:rPr>
                <w:rFonts w:hint="eastAsia"/>
              </w:rPr>
              <w:t>行政</w:t>
            </w:r>
          </w:p>
        </w:tc>
        <w:tc>
          <w:tcPr>
            <w:tcW w:w="2126" w:type="dxa"/>
            <w:vAlign w:val="center"/>
          </w:tcPr>
          <w:p>
            <w:pPr>
              <w:pStyle w:val="15"/>
              <w:rPr>
                <w:rFonts w:cs="Times New Roman"/>
              </w:rPr>
            </w:pPr>
            <w:r>
              <w:rPr>
                <w:rFonts w:hint="eastAsia"/>
              </w:rPr>
              <w:t>正处（县）级</w:t>
            </w:r>
          </w:p>
        </w:tc>
        <w:tc>
          <w:tcPr>
            <w:tcW w:w="3827" w:type="dxa"/>
            <w:vAlign w:val="center"/>
          </w:tcPr>
          <w:p>
            <w:pPr>
              <w:pStyle w:val="15"/>
              <w:rPr>
                <w:rFonts w:cs="Times New Roman"/>
              </w:rPr>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szCs w:val="32"/>
        </w:rPr>
      </w:pPr>
      <w:bookmarkStart w:id="10" w:name="_Toc_3_3_0000000011"/>
    </w:p>
    <w:p>
      <w:pPr>
        <w:spacing w:before="10" w:after="10" w:line="360" w:lineRule="auto"/>
        <w:ind w:firstLine="640"/>
        <w:outlineLvl w:val="2"/>
      </w:pPr>
      <w:r>
        <w:rPr>
          <w:rFonts w:hint="eastAsia" w:ascii="黑体" w:hAnsi="黑体" w:eastAsia="黑体" w:cs="黑体"/>
          <w:color w:val="000000"/>
          <w:sz w:val="32"/>
          <w:szCs w:val="32"/>
        </w:rPr>
        <w:t>二、部门预算安排的总体情况</w:t>
      </w:r>
      <w:bookmarkEnd w:id="10"/>
    </w:p>
    <w:p>
      <w:pPr>
        <w:spacing w:line="500" w:lineRule="exact"/>
        <w:ind w:firstLine="560"/>
      </w:pPr>
      <w:r>
        <w:rPr>
          <w:rFonts w:hint="eastAsia" w:eastAsia="方正仿宋_GBK" w:cs="方正仿宋_GBK"/>
          <w:color w:val="000000"/>
          <w:sz w:val="28"/>
          <w:szCs w:val="28"/>
        </w:rPr>
        <w:t>按照预算管理有关规定，目前我省部门预算的编制实行综合预算管理，即全部收入和支出都反映在预算中。中国人民政治协商会议唐山市丰南区委员会办公室机关及所属事业单位的收支包含在部门预算中。</w:t>
      </w:r>
    </w:p>
    <w:p>
      <w:pPr>
        <w:pStyle w:val="20"/>
      </w:pPr>
      <w:r>
        <w:rPr>
          <w:rFonts w:hint="eastAsia" w:cs="方正仿宋_GBK"/>
          <w:lang w:val="en-US" w:eastAsia="zh-CN"/>
        </w:rPr>
        <w:t>1、</w:t>
      </w:r>
      <w:r>
        <w:rPr>
          <w:rFonts w:hint="eastAsia" w:cs="方正仿宋_GBK"/>
        </w:rPr>
        <w:t>收入说明</w:t>
      </w:r>
    </w:p>
    <w:p>
      <w:pPr>
        <w:pStyle w:val="20"/>
      </w:pPr>
      <w:r>
        <w:rPr>
          <w:rFonts w:hint="eastAsia"/>
          <w:lang w:val="en-US" w:eastAsia="zh-CN"/>
        </w:rPr>
        <w:t>反映本部门当年全部收入。</w:t>
      </w:r>
      <w:r>
        <w:t>2023</w:t>
      </w:r>
      <w:r>
        <w:rPr>
          <w:rFonts w:hint="eastAsia" w:cs="方正仿宋_GBK"/>
        </w:rPr>
        <w:t>年部门预算收入</w:t>
      </w:r>
      <w:r>
        <w:t>696.64</w:t>
      </w:r>
      <w:r>
        <w:rPr>
          <w:rFonts w:hint="eastAsia" w:cs="方正仿宋_GBK"/>
        </w:rPr>
        <w:t>万元，其中：一般公共预算拨款</w:t>
      </w:r>
      <w:r>
        <w:t>696.64</w:t>
      </w:r>
      <w:r>
        <w:rPr>
          <w:rFonts w:hint="eastAsia" w:cs="方正仿宋_GBK"/>
        </w:rPr>
        <w:t>万元，政府性基金预算拨款</w:t>
      </w:r>
      <w:r>
        <w:t>0</w:t>
      </w:r>
      <w:r>
        <w:rPr>
          <w:rFonts w:hint="eastAsia" w:cs="方正仿宋_GBK"/>
        </w:rPr>
        <w:t>万元，国有资本经营预算拨款</w:t>
      </w:r>
      <w:r>
        <w:t>0</w:t>
      </w:r>
      <w:r>
        <w:rPr>
          <w:rFonts w:hint="eastAsia" w:cs="方正仿宋_GBK"/>
        </w:rPr>
        <w:t>万元，财政专户核拨</w:t>
      </w:r>
      <w:r>
        <w:t>0</w:t>
      </w:r>
      <w:r>
        <w:rPr>
          <w:rFonts w:hint="eastAsia" w:cs="方正仿宋_GBK"/>
        </w:rPr>
        <w:t>万元，单位资金</w:t>
      </w:r>
      <w:r>
        <w:t>0</w:t>
      </w:r>
      <w:r>
        <w:rPr>
          <w:rFonts w:hint="eastAsia" w:cs="方正仿宋_GBK"/>
        </w:rPr>
        <w:t>万元。</w:t>
      </w:r>
    </w:p>
    <w:p>
      <w:pPr>
        <w:pStyle w:val="20"/>
      </w:pPr>
      <w:r>
        <w:rPr>
          <w:rFonts w:hint="eastAsia" w:cs="方正仿宋_GBK"/>
          <w:lang w:val="en-US" w:eastAsia="zh-CN"/>
        </w:rPr>
        <w:t>2、</w:t>
      </w:r>
      <w:r>
        <w:rPr>
          <w:rFonts w:hint="eastAsia" w:cs="方正仿宋_GBK"/>
        </w:rPr>
        <w:t>支出说明</w:t>
      </w:r>
    </w:p>
    <w:p>
      <w:pPr>
        <w:pStyle w:val="20"/>
      </w:pPr>
      <w:r>
        <w:rPr>
          <w:rFonts w:hint="eastAsia"/>
        </w:rPr>
        <w:t>收支预算总表支出栏、基本支出表、项目支出表按经济分类和支出功能分类科目编制，反映</w:t>
      </w:r>
      <w:r>
        <w:rPr>
          <w:rFonts w:hint="eastAsia" w:eastAsia="方正仿宋_GBK" w:cs="方正仿宋_GBK"/>
          <w:color w:val="000000"/>
          <w:sz w:val="28"/>
          <w:szCs w:val="28"/>
        </w:rPr>
        <w:t>中国人民政治协商会议唐山市丰南区委员会办公室</w:t>
      </w:r>
      <w:r>
        <w:rPr>
          <w:rFonts w:hint="eastAsia"/>
        </w:rPr>
        <w:t>年度部门预算中支出预算的总体情况。</w:t>
      </w:r>
      <w:r>
        <w:t>2023</w:t>
      </w:r>
      <w:r>
        <w:rPr>
          <w:rFonts w:hint="eastAsia" w:cs="方正仿宋_GBK"/>
        </w:rPr>
        <w:t>年部门预算支出</w:t>
      </w:r>
      <w:r>
        <w:t>696.64</w:t>
      </w:r>
      <w:r>
        <w:rPr>
          <w:rFonts w:hint="eastAsia" w:cs="方正仿宋_GBK"/>
        </w:rPr>
        <w:t>万元，其中：</w:t>
      </w:r>
      <w:r>
        <w:rPr>
          <w:rFonts w:hint="eastAsia" w:cs="方正仿宋_GBK"/>
          <w:lang w:val="en-US" w:eastAsia="zh-CN"/>
        </w:rPr>
        <w:t>基本支出616.64万元，包括</w:t>
      </w:r>
      <w:r>
        <w:rPr>
          <w:rFonts w:hint="eastAsia" w:cs="方正仿宋_GBK"/>
        </w:rPr>
        <w:t>人员经费</w:t>
      </w:r>
      <w:r>
        <w:t>545.60</w:t>
      </w:r>
      <w:r>
        <w:rPr>
          <w:rFonts w:hint="eastAsia" w:cs="方正仿宋_GBK"/>
        </w:rPr>
        <w:t>万元</w:t>
      </w:r>
      <w:r>
        <w:rPr>
          <w:rFonts w:hint="eastAsia" w:cs="方正仿宋_GBK"/>
          <w:lang w:val="en-US" w:eastAsia="zh-CN"/>
        </w:rPr>
        <w:t>和</w:t>
      </w:r>
      <w:r>
        <w:rPr>
          <w:rFonts w:hint="eastAsia" w:cs="方正仿宋_GBK"/>
        </w:rPr>
        <w:t>日常公用经费</w:t>
      </w:r>
      <w:r>
        <w:t>71.04</w:t>
      </w:r>
      <w:r>
        <w:rPr>
          <w:rFonts w:hint="eastAsia" w:cs="方正仿宋_GBK"/>
        </w:rPr>
        <w:t>万元</w:t>
      </w:r>
      <w:r>
        <w:rPr>
          <w:rFonts w:hint="eastAsia" w:cs="方正仿宋_GBK"/>
          <w:lang w:eastAsia="zh-CN"/>
        </w:rPr>
        <w:t>；</w:t>
      </w:r>
      <w:r>
        <w:rPr>
          <w:rFonts w:hint="eastAsia" w:cs="方正仿宋_GBK"/>
        </w:rPr>
        <w:t>项目支出</w:t>
      </w:r>
      <w:r>
        <w:t>80.00</w:t>
      </w:r>
      <w:r>
        <w:rPr>
          <w:rFonts w:hint="eastAsia" w:cs="方正仿宋_GBK"/>
        </w:rPr>
        <w:t>万元</w:t>
      </w:r>
      <w:r>
        <w:rPr>
          <w:rFonts w:hint="eastAsia" w:cs="方正仿宋_GBK"/>
          <w:lang w:eastAsia="zh-CN"/>
        </w:rPr>
        <w:t>，</w:t>
      </w:r>
      <w:r>
        <w:rPr>
          <w:rFonts w:hint="eastAsia" w:cs="方正仿宋_GBK"/>
          <w:lang w:val="en-US" w:eastAsia="zh-CN"/>
        </w:rPr>
        <w:t>主要为政协会议费等</w:t>
      </w:r>
      <w:r>
        <w:rPr>
          <w:rFonts w:hint="eastAsia" w:cs="方正仿宋_GBK"/>
        </w:rPr>
        <w:t>。</w:t>
      </w:r>
    </w:p>
    <w:p>
      <w:pPr>
        <w:pStyle w:val="20"/>
      </w:pPr>
      <w:r>
        <w:rPr>
          <w:rFonts w:hint="eastAsia" w:cs="方正仿宋_GBK"/>
          <w:lang w:val="en-US" w:eastAsia="zh-CN"/>
        </w:rPr>
        <w:t>3、</w:t>
      </w:r>
      <w:r>
        <w:rPr>
          <w:rFonts w:hint="eastAsia" w:cs="方正仿宋_GBK"/>
        </w:rPr>
        <w:t>比上年增减情况</w:t>
      </w:r>
    </w:p>
    <w:p>
      <w:pPr>
        <w:pStyle w:val="20"/>
        <w:ind w:left="0" w:leftChars="0" w:firstLine="560" w:firstLineChars="200"/>
        <w:rPr>
          <w:rFonts w:hint="eastAsia" w:cs="方正仿宋_GBK"/>
        </w:rPr>
      </w:pPr>
      <w:r>
        <w:rPr>
          <w:rFonts w:hint="eastAsia"/>
          <w:lang w:val="en-US" w:eastAsia="zh-CN"/>
        </w:rPr>
        <w:t>2023年预算收支安排696.64万元，</w:t>
      </w:r>
      <w:r>
        <w:rPr>
          <w:rFonts w:hint="eastAsia" w:cs="方正仿宋_GBK"/>
        </w:rPr>
        <w:t>较</w:t>
      </w:r>
      <w:r>
        <w:t>2022</w:t>
      </w:r>
      <w:r>
        <w:rPr>
          <w:rFonts w:hint="eastAsia" w:cs="方正仿宋_GBK"/>
        </w:rPr>
        <w:t>年</w:t>
      </w:r>
      <w:r>
        <w:rPr>
          <w:rFonts w:hint="eastAsia" w:cs="方正仿宋_GBK"/>
          <w:lang w:val="en-US" w:eastAsia="zh-CN"/>
        </w:rPr>
        <w:t>预算</w:t>
      </w:r>
      <w:r>
        <w:rPr>
          <w:rFonts w:hint="eastAsia" w:cs="方正仿宋_GBK"/>
        </w:rPr>
        <w:t>增加</w:t>
      </w:r>
      <w:r>
        <w:t>130.90</w:t>
      </w:r>
      <w:r>
        <w:rPr>
          <w:rFonts w:hint="eastAsia" w:cs="方正仿宋_GBK"/>
        </w:rPr>
        <w:t>万元，</w:t>
      </w:r>
      <w:r>
        <w:rPr>
          <w:rFonts w:hint="eastAsia" w:cs="方正仿宋_GBK"/>
          <w:lang w:val="en-US" w:eastAsia="zh-CN"/>
        </w:rPr>
        <w:t>其中基本支出增加130.9万元，主要为增加</w:t>
      </w:r>
      <w:r>
        <w:rPr>
          <w:rFonts w:hint="eastAsia" w:cs="方正仿宋_GBK"/>
        </w:rPr>
        <w:t>人员经费</w:t>
      </w:r>
      <w:r>
        <w:rPr>
          <w:rFonts w:hint="eastAsia" w:cs="方正仿宋_GBK"/>
          <w:lang w:val="en-US" w:eastAsia="zh-CN"/>
        </w:rPr>
        <w:t>支出</w:t>
      </w:r>
      <w:r>
        <w:rPr>
          <w:rFonts w:hint="eastAsia"/>
          <w:lang w:eastAsia="zh-CN"/>
        </w:rPr>
        <w:t>；</w:t>
      </w:r>
      <w:r>
        <w:rPr>
          <w:rFonts w:hint="eastAsia" w:cs="方正仿宋_GBK"/>
        </w:rPr>
        <w:t>项目经费</w:t>
      </w:r>
      <w:r>
        <w:rPr>
          <w:rFonts w:hint="eastAsia" w:cs="方正仿宋_GBK"/>
          <w:lang w:val="en-US" w:eastAsia="zh-CN"/>
        </w:rPr>
        <w:t>支出增加</w:t>
      </w:r>
      <w:r>
        <w:t>0</w:t>
      </w:r>
      <w:r>
        <w:rPr>
          <w:rFonts w:hint="eastAsia" w:cs="方正仿宋_GBK"/>
        </w:rPr>
        <w:t>万元。</w:t>
      </w:r>
    </w:p>
    <w:p>
      <w:pPr>
        <w:pStyle w:val="20"/>
        <w:ind w:left="0" w:leftChars="0" w:firstLine="0" w:firstLineChars="0"/>
        <w:rPr>
          <w:rFonts w:hint="eastAsia" w:cs="方正仿宋_GBK"/>
        </w:rPr>
      </w:pP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21"/>
      </w:pPr>
      <w:r>
        <w:t>2023</w:t>
      </w:r>
      <w:r>
        <w:rPr>
          <w:rFonts w:hint="eastAsia" w:cs="方正仿宋_GBK"/>
        </w:rPr>
        <w:t>年机关运行经费共计安排</w:t>
      </w:r>
      <w:r>
        <w:t>71.04</w:t>
      </w:r>
      <w:r>
        <w:rPr>
          <w:rFonts w:hint="eastAsia" w:cs="方正仿宋_GBK"/>
        </w:rPr>
        <w:t>万元，主要包括用于保证机关正常运转的办公及邮电费、公务用车运行维护费、公务接待费、工会费、福利费、移动通讯补贴、交通补贴、非定额安排公用经费等支出。</w:t>
      </w:r>
    </w:p>
    <w:p>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pStyle w:val="22"/>
      </w:pPr>
      <w:r>
        <w:t>2023</w:t>
      </w:r>
      <w:r>
        <w:rPr>
          <w:rFonts w:hint="eastAsia" w:cs="方正仿宋_GBK"/>
        </w:rPr>
        <w:t>年部门</w:t>
      </w:r>
      <w:r>
        <w:t>“</w:t>
      </w:r>
      <w:r>
        <w:rPr>
          <w:rFonts w:hint="eastAsia" w:cs="方正仿宋_GBK"/>
        </w:rPr>
        <w:t>三公</w:t>
      </w:r>
      <w:r>
        <w:t>”</w:t>
      </w:r>
      <w:r>
        <w:rPr>
          <w:rFonts w:hint="eastAsia" w:cs="方正仿宋_GBK"/>
        </w:rPr>
        <w:t>经费预算安排</w:t>
      </w:r>
      <w:r>
        <w:t>20</w:t>
      </w:r>
      <w:r>
        <w:rPr>
          <w:rFonts w:hint="eastAsia" w:cs="方正仿宋_GBK"/>
        </w:rPr>
        <w:t>万元，比</w:t>
      </w:r>
      <w:r>
        <w:t>2022</w:t>
      </w:r>
      <w:r>
        <w:rPr>
          <w:rFonts w:hint="eastAsia" w:cs="方正仿宋_GBK"/>
        </w:rPr>
        <w:t>年增加</w:t>
      </w:r>
      <w:r>
        <w:t>0</w:t>
      </w:r>
      <w:r>
        <w:rPr>
          <w:rFonts w:hint="eastAsia" w:cs="方正仿宋_GBK"/>
        </w:rPr>
        <w:t>万元。具体增减情况为：</w:t>
      </w:r>
    </w:p>
    <w:p>
      <w:pPr>
        <w:pStyle w:val="22"/>
      </w:pPr>
      <w:r>
        <w:rPr>
          <w:rFonts w:hint="eastAsia" w:cs="方正仿宋_GBK"/>
        </w:rPr>
        <w:t>（一）公务用车购置及运行费</w:t>
      </w:r>
      <w:r>
        <w:t>10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22"/>
      </w:pPr>
      <w:r>
        <w:rPr>
          <w:rFonts w:hint="eastAsia" w:cs="方正仿宋_GBK"/>
        </w:rPr>
        <w:t>（二）公务接待费</w:t>
      </w:r>
      <w:r>
        <w:t>10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22"/>
      </w:pPr>
      <w:r>
        <w:rPr>
          <w:rFonts w:hint="eastAsia" w:cs="方正仿宋_GBK"/>
        </w:rPr>
        <w:t>（三）因公出国（境）费</w:t>
      </w:r>
      <w:r>
        <w:t>0</w:t>
      </w:r>
      <w:r>
        <w:rPr>
          <w:rFonts w:hint="eastAsia" w:cs="方正仿宋_GBK"/>
        </w:rPr>
        <w:t>万元，比</w:t>
      </w:r>
      <w:r>
        <w:t>2022</w:t>
      </w:r>
      <w:r>
        <w:rPr>
          <w:rFonts w:hint="eastAsia" w:cs="方正仿宋_GBK"/>
        </w:rPr>
        <w:t>年增加</w:t>
      </w:r>
      <w:r>
        <w:t>0</w:t>
      </w:r>
      <w:r>
        <w:rPr>
          <w:rFonts w:hint="eastAsia" w:cs="方正仿宋_GBK"/>
        </w:rPr>
        <w:t>万元，无增减变化。</w:t>
      </w:r>
    </w:p>
    <w:p>
      <w:pPr>
        <w:spacing w:before="10" w:after="10" w:line="360" w:lineRule="auto"/>
        <w:ind w:firstLine="640"/>
        <w:outlineLvl w:val="2"/>
        <w:rPr>
          <w:rFonts w:hint="eastAsia" w:ascii="黑体" w:hAnsi="黑体" w:eastAsia="黑体" w:cs="黑体"/>
          <w:color w:val="000000"/>
          <w:sz w:val="32"/>
          <w:szCs w:val="32"/>
        </w:rPr>
      </w:pPr>
      <w:bookmarkStart w:id="13" w:name="_Toc_3_3_0000000014"/>
    </w:p>
    <w:p>
      <w:pPr>
        <w:spacing w:before="10" w:after="10" w:line="360" w:lineRule="auto"/>
        <w:ind w:firstLine="640"/>
        <w:outlineLvl w:val="2"/>
      </w:pPr>
      <w:r>
        <w:rPr>
          <w:rFonts w:hint="eastAsia" w:ascii="黑体" w:hAnsi="黑体" w:eastAsia="黑体" w:cs="黑体"/>
          <w:color w:val="000000"/>
          <w:sz w:val="32"/>
          <w:szCs w:val="32"/>
        </w:rPr>
        <w:t>五、预算绩效信息</w:t>
      </w:r>
      <w:bookmarkEnd w:id="13"/>
    </w:p>
    <w:p>
      <w:pPr>
        <w:ind w:firstLine="640"/>
      </w:pPr>
      <w:r>
        <w:rPr>
          <w:rFonts w:hint="eastAsia" w:ascii="方正楷体_GBK" w:hAnsi="方正楷体_GBK" w:eastAsia="方正楷体_GBK" w:cs="方正楷体_GBK"/>
          <w:b/>
          <w:bCs/>
          <w:color w:val="000000"/>
          <w:sz w:val="32"/>
          <w:szCs w:val="32"/>
        </w:rPr>
        <w:t>第一部分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部门整体绩效目标</w:t>
      </w:r>
    </w:p>
    <w:p>
      <w:pPr>
        <w:spacing w:line="500" w:lineRule="exact"/>
        <w:ind w:firstLine="560"/>
      </w:pPr>
      <w:r>
        <w:rPr>
          <w:rFonts w:hint="eastAsia" w:eastAsia="方正仿宋_GBK" w:cs="方正仿宋_GBK"/>
          <w:color w:val="000000"/>
          <w:sz w:val="28"/>
          <w:szCs w:val="28"/>
        </w:rPr>
        <w:t>（一）总体绩效目标</w:t>
      </w:r>
    </w:p>
    <w:p>
      <w:pPr>
        <w:pStyle w:val="23"/>
      </w:pPr>
      <w:r>
        <w:rPr>
          <w:rFonts w:hint="eastAsia" w:cs="方正仿宋_GBK"/>
        </w:rPr>
        <w:t>坚持以习近平新时代中国特色社会主义思想为指引，全面准确把握党的二十大精神实质和丰富内涵，认真落实中央及省市区委政协工作会议的部署要求，扎实做好政治协商、民主监督、参政议政各项工作，充分发挥政协专门协商机构优势作用，不断提高建言资政和凝聚共识双向发力水平，把新精神新要求贯彻落实到政协工作的全过程和各方面，砥砺奋进、埋头苦干、勇毅前行，为推动实现中国式现代化的</w:t>
      </w:r>
      <w:r>
        <w:t>“</w:t>
      </w:r>
      <w:r>
        <w:rPr>
          <w:rFonts w:hint="eastAsia" w:cs="方正仿宋_GBK"/>
        </w:rPr>
        <w:t>丰南场景</w:t>
      </w:r>
      <w:r>
        <w:t>”</w:t>
      </w:r>
      <w:r>
        <w:rPr>
          <w:rFonts w:hint="eastAsia" w:cs="方正仿宋_GBK"/>
        </w:rPr>
        <w:t>做出积极贡献。坚定不移拥护</w:t>
      </w:r>
      <w:r>
        <w:t>“</w:t>
      </w:r>
      <w:r>
        <w:rPr>
          <w:rFonts w:hint="eastAsia" w:cs="方正仿宋_GBK"/>
        </w:rPr>
        <w:t>两个确立</w:t>
      </w:r>
      <w:r>
        <w:t>”</w:t>
      </w:r>
      <w:r>
        <w:rPr>
          <w:rFonts w:hint="eastAsia" w:cs="方正仿宋_GBK"/>
        </w:rPr>
        <w:t>，以政治引领的新高度展现</w:t>
      </w:r>
      <w:r>
        <w:t>“</w:t>
      </w:r>
      <w:r>
        <w:rPr>
          <w:rFonts w:hint="eastAsia" w:cs="方正仿宋_GBK"/>
        </w:rPr>
        <w:t>政协担当</w:t>
      </w:r>
      <w:r>
        <w:t>”</w:t>
      </w:r>
      <w:r>
        <w:rPr>
          <w:rFonts w:hint="eastAsia" w:cs="方正仿宋_GBK"/>
        </w:rPr>
        <w:t>，强化协商民主，以服务大局的新成效彰显</w:t>
      </w:r>
      <w:r>
        <w:t>“</w:t>
      </w:r>
      <w:r>
        <w:rPr>
          <w:rFonts w:hint="eastAsia" w:cs="方正仿宋_GBK"/>
        </w:rPr>
        <w:t>政协智慧</w:t>
      </w:r>
      <w:r>
        <w:t>”</w:t>
      </w:r>
      <w:r>
        <w:rPr>
          <w:rFonts w:hint="eastAsia" w:cs="方正仿宋_GBK"/>
        </w:rPr>
        <w:t>，践行为民宗旨，以履职为民的新作为诠释</w:t>
      </w:r>
      <w:r>
        <w:t>“</w:t>
      </w:r>
      <w:r>
        <w:rPr>
          <w:rFonts w:hint="eastAsia" w:cs="方正仿宋_GBK"/>
        </w:rPr>
        <w:t>政协情怀</w:t>
      </w:r>
      <w:r>
        <w:t>”</w:t>
      </w:r>
      <w:r>
        <w:rPr>
          <w:rFonts w:hint="eastAsia" w:cs="方正仿宋_GBK"/>
        </w:rPr>
        <w:t>，做实</w:t>
      </w:r>
      <w:r>
        <w:t>“</w:t>
      </w:r>
      <w:r>
        <w:rPr>
          <w:rFonts w:hint="eastAsia" w:cs="方正仿宋_GBK"/>
        </w:rPr>
        <w:t>双向发力</w:t>
      </w:r>
      <w:r>
        <w:t>”</w:t>
      </w:r>
      <w:r>
        <w:rPr>
          <w:rFonts w:hint="eastAsia" w:cs="方正仿宋_GBK"/>
        </w:rPr>
        <w:t>，以凝聚共识的新水平体现</w:t>
      </w:r>
      <w:r>
        <w:t>“</w:t>
      </w:r>
      <w:r>
        <w:rPr>
          <w:rFonts w:hint="eastAsia" w:cs="方正仿宋_GBK"/>
        </w:rPr>
        <w:t>政协力量</w:t>
      </w:r>
      <w:r>
        <w:t>”</w:t>
      </w:r>
      <w:r>
        <w:rPr>
          <w:rFonts w:hint="eastAsia" w:cs="方正仿宋_GBK"/>
        </w:rPr>
        <w:t>，增强斗争本领，以自身建设的新境界展示</w:t>
      </w:r>
      <w:r>
        <w:t>“</w:t>
      </w:r>
      <w:r>
        <w:rPr>
          <w:rFonts w:hint="eastAsia" w:cs="方正仿宋_GBK"/>
        </w:rPr>
        <w:t>政协风采</w:t>
      </w:r>
      <w:r>
        <w:t>”</w:t>
      </w:r>
      <w:r>
        <w:rPr>
          <w:rFonts w:hint="eastAsia" w:cs="方正仿宋_GBK"/>
        </w:rPr>
        <w:t>。</w:t>
      </w:r>
    </w:p>
    <w:p>
      <w:pPr>
        <w:spacing w:line="500" w:lineRule="exact"/>
        <w:ind w:firstLine="560"/>
      </w:pPr>
      <w:r>
        <w:rPr>
          <w:rFonts w:hint="eastAsia" w:eastAsia="方正仿宋_GBK" w:cs="方正仿宋_GBK"/>
          <w:color w:val="000000"/>
          <w:sz w:val="28"/>
          <w:szCs w:val="28"/>
        </w:rPr>
        <w:t>（二）分项绩效目标</w:t>
      </w:r>
    </w:p>
    <w:p>
      <w:pPr>
        <w:pStyle w:val="24"/>
      </w:pPr>
      <w:r>
        <w:rPr>
          <w:rFonts w:hint="eastAsia" w:cs="方正仿宋_GBK"/>
        </w:rPr>
        <w:t>（一）政治协商</w:t>
      </w:r>
    </w:p>
    <w:p>
      <w:pPr>
        <w:pStyle w:val="24"/>
      </w:pPr>
      <w:r>
        <w:rPr>
          <w:rFonts w:hint="eastAsia" w:cs="方正仿宋_GBK"/>
        </w:rPr>
        <w:t>绩效目标：分为政协会议和民主协商两项活动，是就大政方针以及政治、经济、文化、社会和生态文明中的重要问题在决策之前进行协商和就决策执行过程中的重要问题进行协商。致力于完善各项会议制度，规范会议程序，提高会议质量，提高政治协商水平。增强开展政治协商的自觉性和主动性，规范协商内容，丰富协商形式和层次，把政治协商纳入决策程序。</w:t>
      </w:r>
    </w:p>
    <w:p>
      <w:pPr>
        <w:pStyle w:val="24"/>
      </w:pPr>
      <w:r>
        <w:rPr>
          <w:rFonts w:hint="eastAsia" w:cs="方正仿宋_GBK"/>
        </w:rPr>
        <w:t>绩效指标：每次会议实际参会人数占应参会人数的比例达到</w:t>
      </w:r>
      <w:r>
        <w:t>90%</w:t>
      </w:r>
      <w:r>
        <w:rPr>
          <w:rFonts w:hint="eastAsia" w:cs="方正仿宋_GBK"/>
        </w:rPr>
        <w:t>；实际召开会议活动次数占应组织会议活动的比例达到</w:t>
      </w:r>
      <w:r>
        <w:t>90%</w:t>
      </w:r>
      <w:r>
        <w:rPr>
          <w:rFonts w:hint="eastAsia" w:cs="方正仿宋_GBK"/>
        </w:rPr>
        <w:t>；发挥协调关系、汇聚力量、建言献策、服务大局的作用。组织协商活动开展次数占计划开展次数的比例达到</w:t>
      </w:r>
      <w:r>
        <w:t>90%</w:t>
      </w:r>
      <w:r>
        <w:rPr>
          <w:rFonts w:hint="eastAsia" w:cs="方正仿宋_GBK"/>
        </w:rPr>
        <w:t>；发挥专题协商活动的成效和价值；组织专题座谈会开展次数占计划开展次数的比例达到</w:t>
      </w:r>
      <w:r>
        <w:t>90%</w:t>
      </w:r>
      <w:r>
        <w:rPr>
          <w:rFonts w:hint="eastAsia" w:cs="方正仿宋_GBK"/>
        </w:rPr>
        <w:t>。</w:t>
      </w:r>
    </w:p>
    <w:p>
      <w:pPr>
        <w:pStyle w:val="24"/>
      </w:pPr>
      <w:r>
        <w:rPr>
          <w:rFonts w:hint="eastAsia" w:cs="方正仿宋_GBK"/>
        </w:rPr>
        <w:t>（二）民主监督</w:t>
      </w:r>
    </w:p>
    <w:p>
      <w:pPr>
        <w:pStyle w:val="24"/>
      </w:pPr>
      <w:r>
        <w:rPr>
          <w:rFonts w:hint="eastAsia" w:cs="方正仿宋_GBK"/>
        </w:rPr>
        <w:t>绩效目标：分为监督事务和提案工作两项活动，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pPr>
        <w:pStyle w:val="24"/>
      </w:pPr>
      <w:r>
        <w:rPr>
          <w:rFonts w:hint="eastAsia" w:cs="方正仿宋_GBK"/>
        </w:rPr>
        <w:t>绩效指标：对区委、区政府重大决策落实和重点工作进展情况的询问和评议情况反馈；委员参与人数占委员总数的比重达</w:t>
      </w:r>
      <w:r>
        <w:t>90%</w:t>
      </w:r>
      <w:r>
        <w:rPr>
          <w:rFonts w:hint="eastAsia" w:cs="方正仿宋_GBK"/>
        </w:rPr>
        <w:t>以上；开展政情、民情通报活动情况；委员对提案办理结果的满意程度；反映对政协提案审查、分办、督办的情况；提案办理数量占提案总量的比重达到</w:t>
      </w:r>
      <w:r>
        <w:t>90%</w:t>
      </w:r>
      <w:r>
        <w:rPr>
          <w:rFonts w:hint="eastAsia" w:cs="方正仿宋_GBK"/>
        </w:rPr>
        <w:t>；委员提案已经解决或采纳占列入计划拟解决或拟采纳的比率达到</w:t>
      </w:r>
      <w:r>
        <w:t>90%</w:t>
      </w:r>
      <w:r>
        <w:rPr>
          <w:rFonts w:hint="eastAsia" w:cs="方正仿宋_GBK"/>
        </w:rPr>
        <w:t>。</w:t>
      </w:r>
    </w:p>
    <w:p>
      <w:pPr>
        <w:pStyle w:val="24"/>
      </w:pPr>
      <w:r>
        <w:rPr>
          <w:rFonts w:hint="eastAsia" w:cs="方正仿宋_GBK"/>
        </w:rPr>
        <w:t>（三）参政议政</w:t>
      </w:r>
    </w:p>
    <w:p>
      <w:pPr>
        <w:pStyle w:val="24"/>
      </w:pPr>
      <w:r>
        <w:rPr>
          <w:rFonts w:hint="eastAsia" w:cs="方正仿宋_GBK"/>
        </w:rPr>
        <w:t>绩效目标：分为专题调研和社情民意两项活动。努力汇聚才智，为经济社会发展，建睿智之言，献务实之策，不断提高建言立论的质量和水平，全力打造</w:t>
      </w:r>
      <w:r>
        <w:t>“</w:t>
      </w:r>
      <w:r>
        <w:rPr>
          <w:rFonts w:hint="eastAsia" w:cs="方正仿宋_GBK"/>
        </w:rPr>
        <w:t>精品</w:t>
      </w:r>
      <w:r>
        <w:t>”</w:t>
      </w:r>
      <w:r>
        <w:rPr>
          <w:rFonts w:hint="eastAsia" w:cs="方正仿宋_GBK"/>
        </w:rPr>
        <w:t>，在参政中增加权重，在议政中体现价值。密切联系群众，反映社情民意，努力做到协调关系、化解矛盾、理顺情绪，增进社会各阶层不同利益群体的和谐和稳定。</w:t>
      </w:r>
    </w:p>
    <w:p>
      <w:pPr>
        <w:pStyle w:val="24"/>
      </w:pPr>
      <w:r>
        <w:rPr>
          <w:rFonts w:hint="eastAsia" w:cs="方正仿宋_GBK"/>
        </w:rPr>
        <w:t>绩效指标：重点和专项课题调研计划完成达到</w:t>
      </w:r>
      <w:r>
        <w:t>90%</w:t>
      </w:r>
      <w:r>
        <w:rPr>
          <w:rFonts w:hint="eastAsia" w:cs="方正仿宋_GBK"/>
        </w:rPr>
        <w:t>；委员参与人数占委员总数的比重达到</w:t>
      </w:r>
      <w:r>
        <w:t>90%</w:t>
      </w:r>
      <w:r>
        <w:rPr>
          <w:rFonts w:hint="eastAsia" w:cs="方正仿宋_GBK"/>
        </w:rPr>
        <w:t>；年初视察活动计划完成达到</w:t>
      </w:r>
      <w:r>
        <w:t>90%</w:t>
      </w:r>
      <w:r>
        <w:rPr>
          <w:rFonts w:hint="eastAsia" w:cs="方正仿宋_GBK"/>
        </w:rPr>
        <w:t>；社情民意信息反映数量占采集数量的比率达到</w:t>
      </w:r>
      <w:r>
        <w:t>90%</w:t>
      </w:r>
      <w:r>
        <w:rPr>
          <w:rFonts w:hint="eastAsia" w:cs="方正仿宋_GBK"/>
        </w:rPr>
        <w:t>；提交社情民意信息委员对办理结果的满意度达到</w:t>
      </w:r>
      <w:r>
        <w:t>90%</w:t>
      </w:r>
      <w:r>
        <w:rPr>
          <w:rFonts w:hint="eastAsia" w:cs="方正仿宋_GBK"/>
        </w:rPr>
        <w:t>；相关单位办结社情民意的总体情况良好。</w:t>
      </w:r>
    </w:p>
    <w:p>
      <w:pPr>
        <w:pStyle w:val="24"/>
      </w:pPr>
      <w:r>
        <w:rPr>
          <w:rFonts w:hint="eastAsia" w:cs="方正仿宋_GBK"/>
        </w:rPr>
        <w:t>（四）政协事务管理。</w:t>
      </w:r>
    </w:p>
    <w:p>
      <w:pPr>
        <w:pStyle w:val="24"/>
      </w:pPr>
      <w:r>
        <w:rPr>
          <w:rFonts w:hint="eastAsia" w:cs="方正仿宋_GBK"/>
        </w:rPr>
        <w:t>绩效目标：分为综合业务管理和综合事务管理。政协自身建设更加扎实，工作科学化水平进一步提升。文史资料的社会功能增强，理论研究成果服务履职作用明显。机关基本设施设备正常运转、信息化保障、老干部服务保障能力进一步提高。</w:t>
      </w:r>
    </w:p>
    <w:p>
      <w:pPr>
        <w:pStyle w:val="24"/>
      </w:pPr>
      <w:r>
        <w:rPr>
          <w:rFonts w:hint="eastAsia" w:cs="方正仿宋_GBK"/>
        </w:rPr>
        <w:t>绩效指标：文史资料编辑出版计划达到</w:t>
      </w:r>
      <w:r>
        <w:t>90%</w:t>
      </w:r>
      <w:r>
        <w:rPr>
          <w:rFonts w:hint="eastAsia" w:cs="方正仿宋_GBK"/>
        </w:rPr>
        <w:t>；参加培训委员综合素质和履职能力显著提升；委员培训人数占委员总数的比重达到</w:t>
      </w:r>
      <w:r>
        <w:t>90%</w:t>
      </w:r>
      <w:r>
        <w:rPr>
          <w:rFonts w:hint="eastAsia" w:cs="方正仿宋_GBK"/>
        </w:rPr>
        <w:t>；机关正常运转和群众满意程度达到</w:t>
      </w:r>
      <w:r>
        <w:t>90%</w:t>
      </w:r>
      <w:r>
        <w:rPr>
          <w:rFonts w:hint="eastAsia" w:cs="方正仿宋_GBK"/>
        </w:rPr>
        <w:t>；政协主席，各位副主席和秘书长交办的计划外工作任务完成达到</w:t>
      </w:r>
      <w:r>
        <w:t>90%</w:t>
      </w:r>
      <w:r>
        <w:rPr>
          <w:rFonts w:hint="eastAsia" w:cs="方正仿宋_GBK"/>
        </w:rPr>
        <w:t>；机关人员培训数占机关总人数的比重达到</w:t>
      </w:r>
      <w:r>
        <w:t>90%</w:t>
      </w:r>
      <w:r>
        <w:rPr>
          <w:rFonts w:hint="eastAsia" w:cs="方正仿宋_GBK"/>
        </w:rPr>
        <w:t>。</w:t>
      </w:r>
    </w:p>
    <w:p>
      <w:pPr>
        <w:spacing w:line="500" w:lineRule="exact"/>
        <w:ind w:firstLine="560"/>
      </w:pPr>
      <w:r>
        <w:rPr>
          <w:rFonts w:hint="eastAsia" w:eastAsia="方正仿宋_GBK" w:cs="方正仿宋_GBK"/>
          <w:color w:val="000000"/>
          <w:sz w:val="28"/>
          <w:szCs w:val="28"/>
        </w:rPr>
        <w:t>（三）工作保障措施</w:t>
      </w:r>
    </w:p>
    <w:p>
      <w:pPr>
        <w:pStyle w:val="25"/>
      </w:pPr>
      <w:r>
        <w:rPr>
          <w:rFonts w:hint="eastAsia" w:cs="方正仿宋_GBK"/>
        </w:rPr>
        <w:t>（一）明确任务，实行目标管理。对</w:t>
      </w:r>
      <w:r>
        <w:t>2023</w:t>
      </w:r>
      <w:r>
        <w:rPr>
          <w:rFonts w:hint="eastAsia" w:cs="方正仿宋_GBK"/>
        </w:rPr>
        <w:t>年度的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pStyle w:val="25"/>
      </w:pPr>
      <w:r>
        <w:rPr>
          <w:rFonts w:hint="eastAsia" w:cs="方正仿宋_GBK"/>
        </w:rPr>
        <w:t>（二）统筹安排，强化工作落实。整合科室力量，统筹安排工作，对重要工作实行随时调度，听取项目任务进展汇报，根据需要及时调配力量，确保目标任务顺利完成。加强支出管理，通过优化支出结构、编细编实预算、加快履行政府采购手续、尽快启动项目、及时支付资金、</w:t>
      </w:r>
      <w:r>
        <w:t>6</w:t>
      </w:r>
      <w:r>
        <w:rPr>
          <w:rFonts w:hint="eastAsia" w:cs="方正仿宋_GBK"/>
        </w:rPr>
        <w:t>月底前细化代编预算、按规定及时下达资金等多种措施，确保支出进度达标。</w:t>
      </w:r>
    </w:p>
    <w:p>
      <w:pPr>
        <w:pStyle w:val="25"/>
      </w:pPr>
      <w:r>
        <w:rPr>
          <w:rFonts w:hint="eastAsia" w:cs="方正仿宋_GBK"/>
        </w:rPr>
        <w:t>（三）完善制度，确保工作质量。健全和完善预算绩效管理制度、资金管理办法、工作保障制度等各项内部管理和工作制度，坚持以制度管事、以制度管人，以制度建设规范权力运行，增强机关工作人员贯彻执行制度的自觉性，严格规范工作行为，坚持廉洁自律，为完成全年目标任务提供制度保障。规范财务资产管理，完善财务管理制度，严格审批程序，加强固定资产登记、使用和报废处置管理，做到支出合理，物尽其用。</w:t>
      </w:r>
    </w:p>
    <w:p>
      <w:pPr>
        <w:pStyle w:val="25"/>
      </w:pPr>
      <w:r>
        <w:rPr>
          <w:rFonts w:hint="eastAsia" w:cs="方正仿宋_GBK"/>
        </w:rPr>
        <w:t>（四）加强监控，提高效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加强内部监督。加强内部监督制度建设，对绩效运行情况、重大支出决策、资产处置及其他重要经济业务事项的决策和执行进行督导，确保财政资金安全有效。加强宣传培训调研。加强人员培训，提高本部门职工业务素质；加强调研，提出优化财政资金配置、提高资金使用效益的意见意见；加大宣传力度，强化预算绩效管理意识，促进预算绩效管理水平进一步提升。</w:t>
      </w:r>
    </w:p>
    <w:p>
      <w:pPr>
        <w:pStyle w:val="25"/>
      </w:pPr>
      <w:r>
        <w:rPr>
          <w:rFonts w:hint="eastAsia" w:cs="方正仿宋_GBK"/>
        </w:rPr>
        <w:t>（五）有效激励，严格考核。为进一步调动和激发机关干部和广大委员履职的积极性和创造性，促进工作争先进位，按照《机关工作制度汇编》和《政协委员履职年度考评办法》，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bCs/>
          <w:color w:val="000000"/>
          <w:sz w:val="32"/>
          <w:szCs w:val="32"/>
        </w:rPr>
        <w:t>第二部分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bCs/>
          <w:color w:val="000000"/>
          <w:sz w:val="32"/>
          <w:szCs w:val="32"/>
        </w:rPr>
        <w:t>第三部分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预算项目绩效目标</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t>1</w:t>
            </w:r>
            <w:r>
              <w:rPr>
                <w:rFonts w:hint="eastAsia"/>
              </w:rPr>
              <w:t>政协机关以及政协委员顺利开展各项工作活动；</w:t>
            </w:r>
          </w:p>
          <w:p>
            <w:pPr>
              <w:pStyle w:val="14"/>
              <w:rPr>
                <w:rFonts w:cs="Times New Roman"/>
              </w:rPr>
            </w:pPr>
            <w:r>
              <w:t>2.</w:t>
            </w:r>
            <w:r>
              <w:rPr>
                <w:rFonts w:hint="eastAsia"/>
              </w:rPr>
              <w:t>目标内容</w:t>
            </w:r>
            <w:r>
              <w:t>2</w:t>
            </w:r>
            <w:r>
              <w:rPr>
                <w:rFonts w:hint="eastAsia"/>
              </w:rPr>
              <w:t>汇聚才智，为经济社会发展建睿智之言，献务实之策，不断提高建言立论的质量和水平。</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开展参政议政调研活动次数</w:t>
            </w:r>
          </w:p>
        </w:tc>
        <w:tc>
          <w:tcPr>
            <w:tcW w:w="2835" w:type="dxa"/>
            <w:vAlign w:val="center"/>
          </w:tcPr>
          <w:p>
            <w:pPr>
              <w:pStyle w:val="14"/>
              <w:rPr>
                <w:rFonts w:cs="Times New Roman"/>
              </w:rPr>
            </w:pPr>
            <w:r>
              <w:rPr>
                <w:rFonts w:hint="eastAsia"/>
              </w:rPr>
              <w:t>开展参政议政调研活动次数</w:t>
            </w:r>
          </w:p>
        </w:tc>
        <w:tc>
          <w:tcPr>
            <w:tcW w:w="2551" w:type="dxa"/>
            <w:vAlign w:val="center"/>
          </w:tcPr>
          <w:p>
            <w:pPr>
              <w:pStyle w:val="14"/>
              <w:rPr>
                <w:rFonts w:cs="Times New Roman"/>
              </w:rPr>
            </w:pPr>
            <w:r>
              <w:rPr>
                <w:rFonts w:hint="eastAsia"/>
              </w:rPr>
              <w:t>≥</w:t>
            </w:r>
            <w:r>
              <w:t>5</w:t>
            </w:r>
            <w:r>
              <w:rPr>
                <w:rFonts w:hint="eastAsia"/>
              </w:rPr>
              <w:t>次</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综合业务管理工作完成率</w:t>
            </w:r>
          </w:p>
        </w:tc>
        <w:tc>
          <w:tcPr>
            <w:tcW w:w="2835" w:type="dxa"/>
            <w:vAlign w:val="center"/>
          </w:tcPr>
          <w:p>
            <w:pPr>
              <w:pStyle w:val="14"/>
              <w:rPr>
                <w:rFonts w:cs="Times New Roman"/>
              </w:rPr>
            </w:pPr>
            <w:r>
              <w:rPr>
                <w:rFonts w:hint="eastAsia"/>
              </w:rPr>
              <w:t>综合业务管理工作完成率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工作任务完成及时率</w:t>
            </w:r>
          </w:p>
        </w:tc>
        <w:tc>
          <w:tcPr>
            <w:tcW w:w="2835" w:type="dxa"/>
            <w:vAlign w:val="center"/>
          </w:tcPr>
          <w:p>
            <w:pPr>
              <w:pStyle w:val="14"/>
              <w:rPr>
                <w:rFonts w:cs="Times New Roman"/>
              </w:rPr>
            </w:pPr>
            <w:r>
              <w:rPr>
                <w:rFonts w:hint="eastAsia"/>
              </w:rPr>
              <w:t>工作任务完成及时率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差旅住宿标准、印刷材料等费用</w:t>
            </w:r>
          </w:p>
        </w:tc>
        <w:tc>
          <w:tcPr>
            <w:tcW w:w="2835" w:type="dxa"/>
            <w:vAlign w:val="center"/>
          </w:tcPr>
          <w:p>
            <w:pPr>
              <w:pStyle w:val="14"/>
              <w:rPr>
                <w:rFonts w:cs="Times New Roman"/>
              </w:rPr>
            </w:pPr>
            <w:r>
              <w:rPr>
                <w:rFonts w:hint="eastAsia"/>
              </w:rPr>
              <w:t>差旅住宿标准、印刷材料等费用</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保障业务工作有序开展</w:t>
            </w:r>
          </w:p>
        </w:tc>
        <w:tc>
          <w:tcPr>
            <w:tcW w:w="2835" w:type="dxa"/>
            <w:vAlign w:val="center"/>
          </w:tcPr>
          <w:p>
            <w:pPr>
              <w:pStyle w:val="14"/>
              <w:rPr>
                <w:rFonts w:cs="Times New Roman"/>
              </w:rPr>
            </w:pPr>
            <w:r>
              <w:rPr>
                <w:rFonts w:hint="eastAsia"/>
              </w:rPr>
              <w:t>保障业务工作有序开展</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调研报告、社情民意信息得到有关部门、上级领导等反馈率</w:t>
            </w:r>
          </w:p>
        </w:tc>
        <w:tc>
          <w:tcPr>
            <w:tcW w:w="2835" w:type="dxa"/>
            <w:vAlign w:val="center"/>
          </w:tcPr>
          <w:p>
            <w:pPr>
              <w:pStyle w:val="14"/>
              <w:rPr>
                <w:rFonts w:cs="Times New Roman"/>
              </w:rPr>
            </w:pPr>
            <w:r>
              <w:rPr>
                <w:rFonts w:hint="eastAsia"/>
              </w:rPr>
              <w:t>调研报告、社情民意信息得到有关部门、上级领导等反馈率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服务对象满意度</w:t>
            </w:r>
          </w:p>
        </w:tc>
        <w:tc>
          <w:tcPr>
            <w:tcW w:w="2835" w:type="dxa"/>
            <w:vAlign w:val="center"/>
          </w:tcPr>
          <w:p>
            <w:pPr>
              <w:pStyle w:val="14"/>
              <w:rPr>
                <w:rFonts w:cs="Times New Roman"/>
              </w:rPr>
            </w:pPr>
            <w:r>
              <w:rPr>
                <w:rFonts w:hint="eastAsia"/>
              </w:rPr>
              <w:t>服务对象满意度</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、政协会议费绩效目标表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t>1</w:t>
            </w:r>
            <w:r>
              <w:rPr>
                <w:rFonts w:hint="eastAsia"/>
              </w:rPr>
              <w:t>组织召开政协七届三次会议以及其他零星会议，保障各项会议顺利进行；</w:t>
            </w:r>
          </w:p>
          <w:p>
            <w:pPr>
              <w:pStyle w:val="14"/>
              <w:rPr>
                <w:rFonts w:cs="Times New Roman"/>
              </w:rPr>
            </w:pPr>
            <w:r>
              <w:t>2.</w:t>
            </w:r>
            <w:r>
              <w:rPr>
                <w:rFonts w:hint="eastAsia"/>
              </w:rPr>
              <w:t>目标内容</w:t>
            </w:r>
            <w:r>
              <w:t>2</w:t>
            </w:r>
            <w:r>
              <w:rPr>
                <w:rFonts w:hint="eastAsia"/>
              </w:rPr>
              <w:t>完善各项会议制度，规范会议程序，提高会议质量，提高政治协商水平。</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会议计划执行率</w:t>
            </w:r>
          </w:p>
          <w:p>
            <w:pPr>
              <w:pStyle w:val="14"/>
              <w:rPr>
                <w:rFonts w:cs="Times New Roman"/>
              </w:rPr>
            </w:pPr>
          </w:p>
        </w:tc>
        <w:tc>
          <w:tcPr>
            <w:tcW w:w="2835" w:type="dxa"/>
            <w:vAlign w:val="center"/>
          </w:tcPr>
          <w:p>
            <w:pPr>
              <w:pStyle w:val="14"/>
              <w:rPr>
                <w:rFonts w:cs="Times New Roman"/>
              </w:rPr>
            </w:pPr>
            <w:r>
              <w:rPr>
                <w:rFonts w:hint="eastAsia"/>
              </w:rPr>
              <w:t>按照要求和计划会议执行率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参会率</w:t>
            </w:r>
          </w:p>
        </w:tc>
        <w:tc>
          <w:tcPr>
            <w:tcW w:w="2835" w:type="dxa"/>
            <w:vAlign w:val="center"/>
          </w:tcPr>
          <w:p>
            <w:pPr>
              <w:pStyle w:val="14"/>
              <w:rPr>
                <w:rFonts w:cs="Times New Roman"/>
              </w:rPr>
            </w:pPr>
            <w:r>
              <w:rPr>
                <w:rFonts w:hint="eastAsia"/>
              </w:rPr>
              <w:t>每次会议实际参会人数占应参会人数的比例</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会议组织情况</w:t>
            </w:r>
          </w:p>
        </w:tc>
        <w:tc>
          <w:tcPr>
            <w:tcW w:w="2835" w:type="dxa"/>
            <w:vAlign w:val="center"/>
          </w:tcPr>
          <w:p>
            <w:pPr>
              <w:pStyle w:val="14"/>
              <w:rPr>
                <w:rFonts w:cs="Times New Roman"/>
              </w:rPr>
            </w:pPr>
            <w:r>
              <w:rPr>
                <w:rFonts w:hint="eastAsia"/>
              </w:rPr>
              <w:t>会议组织情况</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会议费用标准</w:t>
            </w:r>
          </w:p>
          <w:p>
            <w:pPr>
              <w:pStyle w:val="14"/>
              <w:rPr>
                <w:rFonts w:cs="Times New Roman"/>
              </w:rPr>
            </w:pPr>
          </w:p>
        </w:tc>
        <w:tc>
          <w:tcPr>
            <w:tcW w:w="2835" w:type="dxa"/>
            <w:vAlign w:val="center"/>
          </w:tcPr>
          <w:p>
            <w:pPr>
              <w:pStyle w:val="14"/>
              <w:rPr>
                <w:rFonts w:cs="Times New Roman"/>
              </w:rPr>
            </w:pPr>
            <w:r>
              <w:rPr>
                <w:rFonts w:hint="eastAsia"/>
              </w:rPr>
              <w:t>会议费用标准</w:t>
            </w:r>
          </w:p>
          <w:p>
            <w:pPr>
              <w:pStyle w:val="14"/>
              <w:rPr>
                <w:rFonts w:cs="Times New Roman"/>
              </w:rPr>
            </w:pP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反映会议预期经济效益目标的实现程度</w:t>
            </w:r>
          </w:p>
        </w:tc>
        <w:tc>
          <w:tcPr>
            <w:tcW w:w="2551" w:type="dxa"/>
            <w:vAlign w:val="center"/>
          </w:tcPr>
          <w:p>
            <w:pPr>
              <w:pStyle w:val="14"/>
              <w:rPr>
                <w:rFonts w:cs="Times New Roman"/>
              </w:rPr>
            </w:pPr>
            <w:r>
              <w:rPr>
                <w:rFonts w:hint="eastAsia"/>
              </w:rPr>
              <w:t>社会反响</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反映发挥协调关系、汇聚力量、建言献策、服务大局作用的情况</w:t>
            </w:r>
          </w:p>
        </w:tc>
        <w:tc>
          <w:tcPr>
            <w:tcW w:w="2551" w:type="dxa"/>
            <w:vAlign w:val="center"/>
          </w:tcPr>
          <w:p>
            <w:pPr>
              <w:pStyle w:val="14"/>
              <w:rPr>
                <w:rFonts w:cs="Times New Roman"/>
              </w:rPr>
            </w:pPr>
            <w:r>
              <w:rPr>
                <w:rFonts w:hint="eastAsia"/>
              </w:rPr>
              <w:t>社会反响</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服务对象满意度</w:t>
            </w:r>
          </w:p>
        </w:tc>
        <w:tc>
          <w:tcPr>
            <w:tcW w:w="2835" w:type="dxa"/>
            <w:vAlign w:val="center"/>
          </w:tcPr>
          <w:p>
            <w:pPr>
              <w:pStyle w:val="14"/>
              <w:rPr>
                <w:rFonts w:cs="Times New Roman"/>
              </w:rPr>
            </w:pPr>
            <w:r>
              <w:rPr>
                <w:rFonts w:hint="eastAsia"/>
              </w:rPr>
              <w:t>参会人员对会议组织的满意度</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年，中国人民政治协商会议唐山市丰南区委员会办公室安排政府采购预算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8674" w:type="dxa"/>
            <w:gridSpan w:val="9"/>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7710" w:type="dxa"/>
            <w:gridSpan w:val="8"/>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财政拨</w:t>
            </w:r>
            <w:r>
              <w:t xml:space="preserve">    </w:t>
            </w:r>
            <w:r>
              <w:rPr>
                <w:rFonts w:hint="eastAsia"/>
              </w:rPr>
              <w:t>款结转</w:t>
            </w:r>
          </w:p>
        </w:tc>
        <w:tc>
          <w:tcPr>
            <w:tcW w:w="964" w:type="dxa"/>
            <w:vAlign w:val="center"/>
          </w:tcPr>
          <w:p>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szCs w:val="32"/>
        </w:rPr>
        <w:t>七、国有资产信息</w:t>
      </w:r>
      <w:bookmarkEnd w:id="15"/>
    </w:p>
    <w:p>
      <w:pPr>
        <w:spacing w:line="500" w:lineRule="exact"/>
        <w:ind w:firstLine="560"/>
      </w:pPr>
      <w:r>
        <w:rPr>
          <w:rFonts w:hint="eastAsia" w:eastAsia="方正仿宋_GBK" w:cs="方正仿宋_GBK"/>
          <w:color w:val="000000"/>
          <w:sz w:val="28"/>
          <w:szCs w:val="28"/>
        </w:rPr>
        <w:t>中国人民政治协商会议唐山市丰南区委员会办公室（含所属单位）上年末固定资产金额为</w:t>
      </w:r>
      <w:r>
        <w:rPr>
          <w:rFonts w:eastAsia="方正仿宋_GBK"/>
          <w:color w:val="000000"/>
          <w:sz w:val="28"/>
          <w:szCs w:val="28"/>
        </w:rPr>
        <w:t>73.38</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cs="Times New Roman"/>
              </w:rPr>
            </w:pPr>
            <w:r>
              <w:t>302</w:t>
            </w:r>
            <w:r>
              <w:rPr>
                <w:rFonts w:hint="eastAsia"/>
              </w:rPr>
              <w:t>中国人民政治协商会议唐山市丰南区委员会办公室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资产总额</w:t>
            </w:r>
          </w:p>
        </w:tc>
        <w:tc>
          <w:tcPr>
            <w:tcW w:w="2835" w:type="dxa"/>
            <w:vAlign w:val="center"/>
          </w:tcPr>
          <w:p>
            <w:pPr>
              <w:pStyle w:val="15"/>
              <w:rPr>
                <w:rFonts w:cs="Times New Roman"/>
              </w:rPr>
            </w:pPr>
          </w:p>
        </w:tc>
        <w:tc>
          <w:tcPr>
            <w:tcW w:w="2835" w:type="dxa"/>
            <w:vAlign w:val="center"/>
          </w:tcPr>
          <w:p>
            <w:pPr>
              <w:pStyle w:val="13"/>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1</w:t>
            </w:r>
            <w:r>
              <w:rPr>
                <w:rFonts w:hint="eastAsia"/>
              </w:rPr>
              <w:t>、房屋（平方米）</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　　其中：办公用房（平方米）</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2</w:t>
            </w:r>
            <w:r>
              <w:rPr>
                <w:rFonts w:hint="eastAsia"/>
              </w:rPr>
              <w:t>、车辆（台、辆）</w:t>
            </w:r>
          </w:p>
        </w:tc>
        <w:tc>
          <w:tcPr>
            <w:tcW w:w="2835" w:type="dxa"/>
            <w:vAlign w:val="center"/>
          </w:tcPr>
          <w:p>
            <w:pPr>
              <w:pStyle w:val="15"/>
              <w:rPr>
                <w:rFonts w:cs="Times New Roman"/>
              </w:rPr>
            </w:pPr>
          </w:p>
        </w:tc>
        <w:tc>
          <w:tcPr>
            <w:tcW w:w="2835" w:type="dxa"/>
            <w:vAlign w:val="center"/>
          </w:tcPr>
          <w:p>
            <w:pPr>
              <w:pStyle w:val="13"/>
            </w:pPr>
            <w:r>
              <w:t>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3</w:t>
            </w:r>
            <w:r>
              <w:rPr>
                <w:rFonts w:hint="eastAsia"/>
              </w:rPr>
              <w:t>、单价在</w:t>
            </w:r>
            <w:r>
              <w:t>20</w:t>
            </w:r>
            <w:r>
              <w:rPr>
                <w:rFonts w:hint="eastAsia"/>
              </w:rPr>
              <w:t>万元以上的设备</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4</w:t>
            </w:r>
            <w:r>
              <w:rPr>
                <w:rFonts w:hint="eastAsia"/>
              </w:rPr>
              <w:t>、其他固定资产</w:t>
            </w:r>
          </w:p>
        </w:tc>
        <w:tc>
          <w:tcPr>
            <w:tcW w:w="2835" w:type="dxa"/>
            <w:vAlign w:val="center"/>
          </w:tcPr>
          <w:p>
            <w:pPr>
              <w:pStyle w:val="15"/>
              <w:rPr>
                <w:rFonts w:cs="Times New Roman"/>
              </w:rPr>
            </w:pPr>
          </w:p>
        </w:tc>
        <w:tc>
          <w:tcPr>
            <w:tcW w:w="2835" w:type="dxa"/>
            <w:vAlign w:val="center"/>
          </w:tcPr>
          <w:p>
            <w:pPr>
              <w:pStyle w:val="13"/>
            </w:pPr>
            <w:r>
              <w:t>36.95</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szCs w:val="32"/>
        </w:rPr>
        <w:t>八、名词解释</w:t>
      </w:r>
      <w:bookmarkEnd w:id="16"/>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指省级财政当年拨付的资金。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纳入省级财政预算管理的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szCs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s="方正仿宋_GBK"/>
          <w:color w:val="000000"/>
          <w:sz w:val="28"/>
          <w:szCs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szCs w:val="72"/>
        </w:rPr>
        <w:t>第二部分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szCs w:val="44"/>
        </w:rPr>
        <w:t>一、中国人民政治协商会议唐山市丰南区委员会办公室本级收支预算</w:t>
      </w:r>
      <w:bookmarkEnd w:id="18"/>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696.64</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pPr>
            <w:r>
              <w:t>506.52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三十一、人行科目</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696.64</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696.64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696.64</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696.64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696.64</w:t>
            </w:r>
          </w:p>
        </w:tc>
        <w:tc>
          <w:tcPr>
            <w:tcW w:w="1134" w:type="dxa"/>
            <w:vAlign w:val="center"/>
          </w:tcPr>
          <w:p>
            <w:pPr>
              <w:pStyle w:val="17"/>
            </w:pPr>
            <w:r>
              <w:t>696.64</w:t>
            </w:r>
          </w:p>
        </w:tc>
        <w:tc>
          <w:tcPr>
            <w:tcW w:w="1134" w:type="dxa"/>
            <w:vAlign w:val="center"/>
          </w:tcPr>
          <w:p>
            <w:pPr>
              <w:pStyle w:val="17"/>
            </w:pPr>
            <w:r>
              <w:t>696.64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rPr>
                <w:rFonts w:cs="Times New Roman"/>
              </w:rPr>
            </w:pPr>
            <w:r>
              <w:rPr>
                <w:rFonts w:hint="eastAsia"/>
              </w:rPr>
              <w:t>一般公共服务支出</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rPr>
                <w:rFonts w:cs="Times New Roman"/>
              </w:rPr>
            </w:pPr>
            <w:r>
              <w:rPr>
                <w:rFonts w:hint="eastAsia"/>
              </w:rPr>
              <w:t>政协事务</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r>
              <w:t>506.52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rPr>
                <w:rFonts w:cs="Times New Roman"/>
              </w:rPr>
            </w:pPr>
            <w:r>
              <w:rPr>
                <w:rFonts w:hint="eastAsia"/>
              </w:rPr>
              <w:t>行政运行</w:t>
            </w:r>
          </w:p>
        </w:tc>
        <w:tc>
          <w:tcPr>
            <w:tcW w:w="1134" w:type="dxa"/>
            <w:vAlign w:val="center"/>
          </w:tcPr>
          <w:p>
            <w:pPr>
              <w:pStyle w:val="13"/>
            </w:pPr>
            <w:r>
              <w:t>426.52</w:t>
            </w:r>
          </w:p>
        </w:tc>
        <w:tc>
          <w:tcPr>
            <w:tcW w:w="1134" w:type="dxa"/>
            <w:vAlign w:val="center"/>
          </w:tcPr>
          <w:p>
            <w:pPr>
              <w:pStyle w:val="13"/>
            </w:pPr>
            <w:r>
              <w:t>426.52</w:t>
            </w:r>
          </w:p>
        </w:tc>
        <w:tc>
          <w:tcPr>
            <w:tcW w:w="1134" w:type="dxa"/>
            <w:vAlign w:val="center"/>
          </w:tcPr>
          <w:p>
            <w:pPr>
              <w:pStyle w:val="13"/>
            </w:pPr>
            <w:r>
              <w:t>426.52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2010204</w:t>
            </w:r>
          </w:p>
        </w:tc>
        <w:tc>
          <w:tcPr>
            <w:tcW w:w="1559" w:type="dxa"/>
            <w:vAlign w:val="center"/>
          </w:tcPr>
          <w:p>
            <w:pPr>
              <w:pStyle w:val="14"/>
              <w:rPr>
                <w:rFonts w:cs="Times New Roman"/>
              </w:rPr>
            </w:pPr>
            <w:r>
              <w:rPr>
                <w:rFonts w:hint="eastAsia"/>
              </w:rPr>
              <w:t>政协会议</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2010205</w:t>
            </w:r>
          </w:p>
        </w:tc>
        <w:tc>
          <w:tcPr>
            <w:tcW w:w="1559" w:type="dxa"/>
            <w:vAlign w:val="center"/>
          </w:tcPr>
          <w:p>
            <w:pPr>
              <w:pStyle w:val="14"/>
              <w:rPr>
                <w:rFonts w:cs="Times New Roman"/>
              </w:rPr>
            </w:pPr>
            <w:r>
              <w:rPr>
                <w:rFonts w:hint="eastAsia"/>
              </w:rPr>
              <w:t>委员视察</w:t>
            </w:r>
          </w:p>
        </w:tc>
        <w:tc>
          <w:tcPr>
            <w:tcW w:w="1134" w:type="dxa"/>
            <w:vAlign w:val="center"/>
          </w:tcPr>
          <w:p>
            <w:pPr>
              <w:pStyle w:val="13"/>
            </w:pPr>
            <w:r>
              <w:t>34.00</w:t>
            </w:r>
          </w:p>
        </w:tc>
        <w:tc>
          <w:tcPr>
            <w:tcW w:w="1134" w:type="dxa"/>
            <w:vAlign w:val="center"/>
          </w:tcPr>
          <w:p>
            <w:pPr>
              <w:pStyle w:val="13"/>
            </w:pPr>
            <w:r>
              <w:t>34.00</w:t>
            </w:r>
          </w:p>
        </w:tc>
        <w:tc>
          <w:tcPr>
            <w:tcW w:w="1134" w:type="dxa"/>
            <w:vAlign w:val="center"/>
          </w:tcPr>
          <w:p>
            <w:pPr>
              <w:pStyle w:val="13"/>
            </w:pPr>
            <w:r>
              <w:t>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rPr>
                <w:rFonts w:cs="Times New Roman"/>
              </w:rPr>
            </w:pPr>
            <w:r>
              <w:rPr>
                <w:rFonts w:hint="eastAsia"/>
              </w:rPr>
              <w:t>其他政协事务支出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rPr>
                <w:rFonts w:cs="Times New Roman"/>
              </w:rPr>
            </w:pPr>
            <w:r>
              <w:rPr>
                <w:rFonts w:hint="eastAsia"/>
              </w:rPr>
              <w:t>社会保障和就业支出</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rPr>
                <w:rFonts w:cs="Times New Roman"/>
              </w:rPr>
            </w:pPr>
            <w:r>
              <w:rPr>
                <w:rFonts w:hint="eastAsia"/>
              </w:rPr>
              <w:t>行政事业单位养老支出</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r>
              <w:t>103.50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rPr>
                <w:rFonts w:cs="Times New Roman"/>
              </w:rPr>
            </w:pPr>
            <w:r>
              <w:rPr>
                <w:rFonts w:hint="eastAsia"/>
              </w:rPr>
              <w:t>行政单位离退休</w:t>
            </w:r>
          </w:p>
        </w:tc>
        <w:tc>
          <w:tcPr>
            <w:tcW w:w="1134" w:type="dxa"/>
            <w:vAlign w:val="center"/>
          </w:tcPr>
          <w:p>
            <w:pPr>
              <w:pStyle w:val="13"/>
            </w:pPr>
            <w:r>
              <w:t>56.43</w:t>
            </w:r>
          </w:p>
        </w:tc>
        <w:tc>
          <w:tcPr>
            <w:tcW w:w="1134" w:type="dxa"/>
            <w:vAlign w:val="center"/>
          </w:tcPr>
          <w:p>
            <w:pPr>
              <w:pStyle w:val="13"/>
            </w:pPr>
            <w:r>
              <w:t>56.43</w:t>
            </w:r>
          </w:p>
        </w:tc>
        <w:tc>
          <w:tcPr>
            <w:tcW w:w="1134" w:type="dxa"/>
            <w:vAlign w:val="center"/>
          </w:tcPr>
          <w:p>
            <w:pPr>
              <w:pStyle w:val="13"/>
            </w:pPr>
            <w:r>
              <w:t>56.43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rPr>
                <w:rFonts w:cs="Times New Roman"/>
              </w:rPr>
            </w:pPr>
            <w:r>
              <w:rPr>
                <w:rFonts w:hint="eastAsia"/>
              </w:rPr>
              <w:t>机关事业单位基本养老保险缴费支出</w:t>
            </w:r>
          </w:p>
        </w:tc>
        <w:tc>
          <w:tcPr>
            <w:tcW w:w="1134" w:type="dxa"/>
            <w:vAlign w:val="center"/>
          </w:tcPr>
          <w:p>
            <w:pPr>
              <w:pStyle w:val="13"/>
            </w:pPr>
            <w:r>
              <w:t>47.07</w:t>
            </w:r>
          </w:p>
        </w:tc>
        <w:tc>
          <w:tcPr>
            <w:tcW w:w="1134" w:type="dxa"/>
            <w:vAlign w:val="center"/>
          </w:tcPr>
          <w:p>
            <w:pPr>
              <w:pStyle w:val="13"/>
            </w:pPr>
            <w:r>
              <w:t>47.07</w:t>
            </w:r>
          </w:p>
        </w:tc>
        <w:tc>
          <w:tcPr>
            <w:tcW w:w="1134" w:type="dxa"/>
            <w:vAlign w:val="center"/>
          </w:tcPr>
          <w:p>
            <w:pPr>
              <w:pStyle w:val="13"/>
            </w:pPr>
            <w:r>
              <w:t>47.07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rPr>
                <w:rFonts w:cs="Times New Roman"/>
              </w:rPr>
            </w:pPr>
            <w:r>
              <w:rPr>
                <w:rFonts w:hint="eastAsia"/>
              </w:rPr>
              <w:t>卫生健康支出</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rPr>
                <w:rFonts w:cs="Times New Roman"/>
              </w:rPr>
            </w:pPr>
            <w:r>
              <w:rPr>
                <w:rFonts w:hint="eastAsia"/>
              </w:rPr>
              <w:t>行政事业单位医疗</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r>
              <w:t>48.80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rPr>
                <w:rFonts w:cs="Times New Roman"/>
              </w:rPr>
            </w:pPr>
            <w:r>
              <w:rPr>
                <w:rFonts w:hint="eastAsia"/>
              </w:rPr>
              <w:t>行政单位医疗</w:t>
            </w:r>
          </w:p>
        </w:tc>
        <w:tc>
          <w:tcPr>
            <w:tcW w:w="1134" w:type="dxa"/>
            <w:vAlign w:val="center"/>
          </w:tcPr>
          <w:p>
            <w:pPr>
              <w:pStyle w:val="13"/>
            </w:pPr>
            <w:r>
              <w:t>17.83</w:t>
            </w:r>
          </w:p>
        </w:tc>
        <w:tc>
          <w:tcPr>
            <w:tcW w:w="1134" w:type="dxa"/>
            <w:vAlign w:val="center"/>
          </w:tcPr>
          <w:p>
            <w:pPr>
              <w:pStyle w:val="13"/>
            </w:pPr>
            <w:r>
              <w:t>17.83</w:t>
            </w:r>
          </w:p>
        </w:tc>
        <w:tc>
          <w:tcPr>
            <w:tcW w:w="1134" w:type="dxa"/>
            <w:vAlign w:val="center"/>
          </w:tcPr>
          <w:p>
            <w:pPr>
              <w:pStyle w:val="13"/>
            </w:pPr>
            <w:r>
              <w:t>17.83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1559" w:type="dxa"/>
            <w:vAlign w:val="center"/>
          </w:tcPr>
          <w:p>
            <w:pPr>
              <w:pStyle w:val="14"/>
              <w:rPr>
                <w:rFonts w:cs="Times New Roman"/>
              </w:rPr>
            </w:pPr>
            <w:r>
              <w:rPr>
                <w:rFonts w:hint="eastAsia"/>
              </w:rPr>
              <w:t>公务员医疗补助</w:t>
            </w:r>
          </w:p>
        </w:tc>
        <w:tc>
          <w:tcPr>
            <w:tcW w:w="1134" w:type="dxa"/>
            <w:vAlign w:val="center"/>
          </w:tcPr>
          <w:p>
            <w:pPr>
              <w:pStyle w:val="13"/>
            </w:pPr>
            <w:r>
              <w:t>30.97</w:t>
            </w:r>
          </w:p>
        </w:tc>
        <w:tc>
          <w:tcPr>
            <w:tcW w:w="1134" w:type="dxa"/>
            <w:vAlign w:val="center"/>
          </w:tcPr>
          <w:p>
            <w:pPr>
              <w:pStyle w:val="13"/>
            </w:pPr>
            <w:r>
              <w:t>30.97</w:t>
            </w:r>
          </w:p>
        </w:tc>
        <w:tc>
          <w:tcPr>
            <w:tcW w:w="1134" w:type="dxa"/>
            <w:vAlign w:val="center"/>
          </w:tcPr>
          <w:p>
            <w:pPr>
              <w:pStyle w:val="13"/>
            </w:pPr>
            <w:r>
              <w:t>30.97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rPr>
                <w:rFonts w:cs="Times New Roman"/>
              </w:rPr>
            </w:pPr>
            <w:r>
              <w:rPr>
                <w:rFonts w:hint="eastAsia"/>
              </w:rPr>
              <w:t>住房保障支出</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rPr>
                <w:rFonts w:cs="Times New Roman"/>
              </w:rPr>
            </w:pPr>
            <w:r>
              <w:rPr>
                <w:rFonts w:hint="eastAsia"/>
              </w:rPr>
              <w:t>住房改革支出</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rPr>
                <w:rFonts w:cs="Times New Roman"/>
              </w:rPr>
            </w:pPr>
            <w:r>
              <w:rPr>
                <w:rFonts w:hint="eastAsia"/>
              </w:rPr>
              <w:t>住房公积金</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r>
              <w:t>37.82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696.64</w:t>
            </w:r>
          </w:p>
        </w:tc>
        <w:tc>
          <w:tcPr>
            <w:tcW w:w="1361" w:type="dxa"/>
            <w:vAlign w:val="center"/>
          </w:tcPr>
          <w:p>
            <w:pPr>
              <w:pStyle w:val="17"/>
            </w:pPr>
            <w:r>
              <w:t>616.64</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1361" w:type="dxa"/>
            <w:vAlign w:val="center"/>
          </w:tcPr>
          <w:p>
            <w:pPr>
              <w:pStyle w:val="13"/>
            </w:pPr>
            <w:r>
              <w:t>506.52</w:t>
            </w:r>
          </w:p>
        </w:tc>
        <w:tc>
          <w:tcPr>
            <w:tcW w:w="1361" w:type="dxa"/>
            <w:vAlign w:val="center"/>
          </w:tcPr>
          <w:p>
            <w:pPr>
              <w:pStyle w:val="13"/>
            </w:pPr>
            <w:r>
              <w:t>426.52</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rPr>
                <w:rFonts w:cs="Times New Roman"/>
              </w:rPr>
            </w:pPr>
            <w:r>
              <w:rPr>
                <w:rFonts w:hint="eastAsia"/>
              </w:rPr>
              <w:t>政协事务</w:t>
            </w:r>
          </w:p>
        </w:tc>
        <w:tc>
          <w:tcPr>
            <w:tcW w:w="1361" w:type="dxa"/>
            <w:vAlign w:val="center"/>
          </w:tcPr>
          <w:p>
            <w:pPr>
              <w:pStyle w:val="13"/>
            </w:pPr>
            <w:r>
              <w:t>506.52</w:t>
            </w:r>
          </w:p>
        </w:tc>
        <w:tc>
          <w:tcPr>
            <w:tcW w:w="1361" w:type="dxa"/>
            <w:vAlign w:val="center"/>
          </w:tcPr>
          <w:p>
            <w:pPr>
              <w:pStyle w:val="13"/>
            </w:pPr>
            <w:r>
              <w:t>426.52</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rPr>
                <w:rFonts w:cs="Times New Roman"/>
              </w:rPr>
            </w:pPr>
            <w:r>
              <w:rPr>
                <w:rFonts w:hint="eastAsia"/>
              </w:rPr>
              <w:t>行政运行</w:t>
            </w:r>
          </w:p>
        </w:tc>
        <w:tc>
          <w:tcPr>
            <w:tcW w:w="1361" w:type="dxa"/>
            <w:vAlign w:val="center"/>
          </w:tcPr>
          <w:p>
            <w:pPr>
              <w:pStyle w:val="13"/>
            </w:pPr>
            <w:r>
              <w:t>426.52</w:t>
            </w:r>
          </w:p>
        </w:tc>
        <w:tc>
          <w:tcPr>
            <w:tcW w:w="1361" w:type="dxa"/>
            <w:vAlign w:val="center"/>
          </w:tcPr>
          <w:p>
            <w:pPr>
              <w:pStyle w:val="13"/>
            </w:pPr>
            <w:r>
              <w:t>426.52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2010204</w:t>
            </w:r>
          </w:p>
        </w:tc>
        <w:tc>
          <w:tcPr>
            <w:tcW w:w="4535" w:type="dxa"/>
            <w:vAlign w:val="center"/>
          </w:tcPr>
          <w:p>
            <w:pPr>
              <w:pStyle w:val="14"/>
              <w:rPr>
                <w:rFonts w:cs="Times New Roman"/>
              </w:rPr>
            </w:pPr>
            <w:r>
              <w:rPr>
                <w:rFonts w:hint="eastAsia"/>
              </w:rPr>
              <w:t>政协会议</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2010205</w:t>
            </w:r>
          </w:p>
        </w:tc>
        <w:tc>
          <w:tcPr>
            <w:tcW w:w="4535" w:type="dxa"/>
            <w:vAlign w:val="center"/>
          </w:tcPr>
          <w:p>
            <w:pPr>
              <w:pStyle w:val="14"/>
              <w:rPr>
                <w:rFonts w:cs="Times New Roman"/>
              </w:rPr>
            </w:pPr>
            <w:r>
              <w:rPr>
                <w:rFonts w:hint="eastAsia"/>
              </w:rPr>
              <w:t>委员视察</w:t>
            </w: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rPr>
                <w:rFonts w:cs="Times New Roman"/>
              </w:rPr>
            </w:pPr>
            <w:r>
              <w:rPr>
                <w:rFonts w:hint="eastAsia"/>
              </w:rPr>
              <w:t>其他政协事务支出</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1361" w:type="dxa"/>
            <w:vAlign w:val="center"/>
          </w:tcPr>
          <w:p>
            <w:pPr>
              <w:pStyle w:val="13"/>
            </w:pPr>
            <w:r>
              <w:t>103.50</w:t>
            </w:r>
          </w:p>
        </w:tc>
        <w:tc>
          <w:tcPr>
            <w:tcW w:w="1361" w:type="dxa"/>
            <w:vAlign w:val="center"/>
          </w:tcPr>
          <w:p>
            <w:pPr>
              <w:pStyle w:val="13"/>
            </w:pPr>
            <w:r>
              <w:t>103.50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1361" w:type="dxa"/>
            <w:vAlign w:val="center"/>
          </w:tcPr>
          <w:p>
            <w:pPr>
              <w:pStyle w:val="13"/>
            </w:pPr>
            <w:r>
              <w:t>103.50</w:t>
            </w:r>
          </w:p>
        </w:tc>
        <w:tc>
          <w:tcPr>
            <w:tcW w:w="1361" w:type="dxa"/>
            <w:vAlign w:val="center"/>
          </w:tcPr>
          <w:p>
            <w:pPr>
              <w:pStyle w:val="13"/>
            </w:pPr>
            <w:r>
              <w:t>103.50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1361" w:type="dxa"/>
            <w:vAlign w:val="center"/>
          </w:tcPr>
          <w:p>
            <w:pPr>
              <w:pStyle w:val="13"/>
            </w:pPr>
            <w:r>
              <w:t>56.43</w:t>
            </w:r>
          </w:p>
        </w:tc>
        <w:tc>
          <w:tcPr>
            <w:tcW w:w="1361" w:type="dxa"/>
            <w:vAlign w:val="center"/>
          </w:tcPr>
          <w:p>
            <w:pPr>
              <w:pStyle w:val="13"/>
            </w:pPr>
            <w:r>
              <w:t>56.43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1361" w:type="dxa"/>
            <w:vAlign w:val="center"/>
          </w:tcPr>
          <w:p>
            <w:pPr>
              <w:pStyle w:val="13"/>
            </w:pPr>
            <w:r>
              <w:t>47.07</w:t>
            </w:r>
          </w:p>
        </w:tc>
        <w:tc>
          <w:tcPr>
            <w:tcW w:w="1361" w:type="dxa"/>
            <w:vAlign w:val="center"/>
          </w:tcPr>
          <w:p>
            <w:pPr>
              <w:pStyle w:val="13"/>
            </w:pPr>
            <w:r>
              <w:t>47.07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1361" w:type="dxa"/>
            <w:vAlign w:val="center"/>
          </w:tcPr>
          <w:p>
            <w:pPr>
              <w:pStyle w:val="13"/>
            </w:pPr>
            <w:r>
              <w:t>48.80</w:t>
            </w:r>
          </w:p>
        </w:tc>
        <w:tc>
          <w:tcPr>
            <w:tcW w:w="1361" w:type="dxa"/>
            <w:vAlign w:val="center"/>
          </w:tcPr>
          <w:p>
            <w:pPr>
              <w:pStyle w:val="13"/>
            </w:pPr>
            <w:r>
              <w:t>48.80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1361" w:type="dxa"/>
            <w:vAlign w:val="center"/>
          </w:tcPr>
          <w:p>
            <w:pPr>
              <w:pStyle w:val="13"/>
            </w:pPr>
            <w:r>
              <w:t>48.80</w:t>
            </w:r>
          </w:p>
        </w:tc>
        <w:tc>
          <w:tcPr>
            <w:tcW w:w="1361" w:type="dxa"/>
            <w:vAlign w:val="center"/>
          </w:tcPr>
          <w:p>
            <w:pPr>
              <w:pStyle w:val="13"/>
            </w:pPr>
            <w:r>
              <w:t>48.80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1361" w:type="dxa"/>
            <w:vAlign w:val="center"/>
          </w:tcPr>
          <w:p>
            <w:pPr>
              <w:pStyle w:val="13"/>
            </w:pPr>
            <w:r>
              <w:t>17.83</w:t>
            </w:r>
          </w:p>
        </w:tc>
        <w:tc>
          <w:tcPr>
            <w:tcW w:w="1361" w:type="dxa"/>
            <w:vAlign w:val="center"/>
          </w:tcPr>
          <w:p>
            <w:pPr>
              <w:pStyle w:val="13"/>
            </w:pPr>
            <w:r>
              <w:t>17.83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1361" w:type="dxa"/>
            <w:vAlign w:val="center"/>
          </w:tcPr>
          <w:p>
            <w:pPr>
              <w:pStyle w:val="13"/>
            </w:pPr>
            <w:r>
              <w:t>30.97</w:t>
            </w:r>
          </w:p>
        </w:tc>
        <w:tc>
          <w:tcPr>
            <w:tcW w:w="1361" w:type="dxa"/>
            <w:vAlign w:val="center"/>
          </w:tcPr>
          <w:p>
            <w:pPr>
              <w:pStyle w:val="13"/>
            </w:pPr>
            <w:r>
              <w:t>30.97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696.64</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pPr>
            <w:r>
              <w:t>506.52</w:t>
            </w:r>
          </w:p>
        </w:tc>
        <w:tc>
          <w:tcPr>
            <w:tcW w:w="1474" w:type="dxa"/>
            <w:vAlign w:val="center"/>
          </w:tcPr>
          <w:p>
            <w:pPr>
              <w:pStyle w:val="13"/>
            </w:pPr>
            <w:r>
              <w:t>506.52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pPr>
            <w:r>
              <w:t>103.50</w:t>
            </w:r>
          </w:p>
        </w:tc>
        <w:tc>
          <w:tcPr>
            <w:tcW w:w="1474" w:type="dxa"/>
            <w:vAlign w:val="center"/>
          </w:tcPr>
          <w:p>
            <w:pPr>
              <w:pStyle w:val="13"/>
            </w:pPr>
            <w:r>
              <w:t>103.50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pPr>
            <w:r>
              <w:t>48.80</w:t>
            </w:r>
          </w:p>
        </w:tc>
        <w:tc>
          <w:tcPr>
            <w:tcW w:w="1474" w:type="dxa"/>
            <w:vAlign w:val="center"/>
          </w:tcPr>
          <w:p>
            <w:pPr>
              <w:pStyle w:val="13"/>
            </w:pPr>
            <w:r>
              <w:t>48.80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pPr>
            <w:r>
              <w:t>37.82</w:t>
            </w:r>
          </w:p>
        </w:tc>
        <w:tc>
          <w:tcPr>
            <w:tcW w:w="1474" w:type="dxa"/>
            <w:vAlign w:val="center"/>
          </w:tcPr>
          <w:p>
            <w:pPr>
              <w:pStyle w:val="13"/>
            </w:pPr>
            <w:r>
              <w:t>37.82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三十一、人行科目</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696.64</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696.64</w:t>
            </w:r>
          </w:p>
        </w:tc>
        <w:tc>
          <w:tcPr>
            <w:tcW w:w="1474" w:type="dxa"/>
            <w:vAlign w:val="center"/>
          </w:tcPr>
          <w:p>
            <w:pPr>
              <w:pStyle w:val="17"/>
            </w:pPr>
            <w:r>
              <w:t>696.64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696.64</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696.64</w:t>
            </w:r>
          </w:p>
        </w:tc>
        <w:tc>
          <w:tcPr>
            <w:tcW w:w="1474" w:type="dxa"/>
            <w:vAlign w:val="center"/>
          </w:tcPr>
          <w:p>
            <w:pPr>
              <w:pStyle w:val="17"/>
            </w:pPr>
            <w:r>
              <w:t>696.64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696.64</w:t>
            </w:r>
          </w:p>
        </w:tc>
        <w:tc>
          <w:tcPr>
            <w:tcW w:w="2551" w:type="dxa"/>
            <w:vAlign w:val="center"/>
          </w:tcPr>
          <w:p>
            <w:pPr>
              <w:pStyle w:val="17"/>
            </w:pPr>
            <w:r>
              <w:t>616.64</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2551" w:type="dxa"/>
            <w:vAlign w:val="center"/>
          </w:tcPr>
          <w:p>
            <w:pPr>
              <w:pStyle w:val="13"/>
            </w:pPr>
            <w:r>
              <w:t>506.52</w:t>
            </w:r>
          </w:p>
        </w:tc>
        <w:tc>
          <w:tcPr>
            <w:tcW w:w="2551" w:type="dxa"/>
            <w:vAlign w:val="center"/>
          </w:tcPr>
          <w:p>
            <w:pPr>
              <w:pStyle w:val="13"/>
            </w:pPr>
            <w:r>
              <w:t>426.52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rPr>
                <w:rFonts w:cs="Times New Roman"/>
              </w:rPr>
            </w:pPr>
            <w:r>
              <w:rPr>
                <w:rFonts w:hint="eastAsia"/>
              </w:rPr>
              <w:t>政协事务</w:t>
            </w:r>
          </w:p>
        </w:tc>
        <w:tc>
          <w:tcPr>
            <w:tcW w:w="2551" w:type="dxa"/>
            <w:vAlign w:val="center"/>
          </w:tcPr>
          <w:p>
            <w:pPr>
              <w:pStyle w:val="13"/>
            </w:pPr>
            <w:r>
              <w:t>506.52</w:t>
            </w:r>
          </w:p>
        </w:tc>
        <w:tc>
          <w:tcPr>
            <w:tcW w:w="2551" w:type="dxa"/>
            <w:vAlign w:val="center"/>
          </w:tcPr>
          <w:p>
            <w:pPr>
              <w:pStyle w:val="13"/>
            </w:pPr>
            <w:r>
              <w:t>426.52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rPr>
                <w:rFonts w:cs="Times New Roman"/>
              </w:rPr>
            </w:pPr>
            <w:r>
              <w:rPr>
                <w:rFonts w:hint="eastAsia"/>
              </w:rPr>
              <w:t>行政运行</w:t>
            </w:r>
          </w:p>
        </w:tc>
        <w:tc>
          <w:tcPr>
            <w:tcW w:w="2551" w:type="dxa"/>
            <w:vAlign w:val="center"/>
          </w:tcPr>
          <w:p>
            <w:pPr>
              <w:pStyle w:val="13"/>
            </w:pPr>
            <w:r>
              <w:t>426.52</w:t>
            </w:r>
          </w:p>
        </w:tc>
        <w:tc>
          <w:tcPr>
            <w:tcW w:w="2551" w:type="dxa"/>
            <w:vAlign w:val="center"/>
          </w:tcPr>
          <w:p>
            <w:pPr>
              <w:pStyle w:val="13"/>
            </w:pPr>
            <w:r>
              <w:t>426.52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2010204</w:t>
            </w:r>
          </w:p>
        </w:tc>
        <w:tc>
          <w:tcPr>
            <w:tcW w:w="4535" w:type="dxa"/>
            <w:vAlign w:val="center"/>
          </w:tcPr>
          <w:p>
            <w:pPr>
              <w:pStyle w:val="14"/>
              <w:rPr>
                <w:rFonts w:cs="Times New Roman"/>
              </w:rPr>
            </w:pPr>
            <w:r>
              <w:rPr>
                <w:rFonts w:hint="eastAsia"/>
              </w:rPr>
              <w:t>政协会议</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2010205</w:t>
            </w:r>
          </w:p>
        </w:tc>
        <w:tc>
          <w:tcPr>
            <w:tcW w:w="4535" w:type="dxa"/>
            <w:vAlign w:val="center"/>
          </w:tcPr>
          <w:p>
            <w:pPr>
              <w:pStyle w:val="14"/>
              <w:rPr>
                <w:rFonts w:cs="Times New Roman"/>
              </w:rPr>
            </w:pPr>
            <w:r>
              <w:rPr>
                <w:rFonts w:hint="eastAsia"/>
              </w:rPr>
              <w:t>委员视察</w:t>
            </w:r>
          </w:p>
        </w:tc>
        <w:tc>
          <w:tcPr>
            <w:tcW w:w="2551" w:type="dxa"/>
            <w:vAlign w:val="center"/>
          </w:tcPr>
          <w:p>
            <w:pPr>
              <w:pStyle w:val="13"/>
            </w:pPr>
            <w:r>
              <w:t>34.00</w:t>
            </w:r>
          </w:p>
        </w:tc>
        <w:tc>
          <w:tcPr>
            <w:tcW w:w="2551" w:type="dxa"/>
            <w:vAlign w:val="center"/>
          </w:tcPr>
          <w:p>
            <w:pPr>
              <w:pStyle w:val="13"/>
            </w:pP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rPr>
                <w:rFonts w:cs="Times New Roman"/>
              </w:rPr>
            </w:pPr>
            <w:r>
              <w:rPr>
                <w:rFonts w:hint="eastAsia"/>
              </w:rPr>
              <w:t>其他政协事务支出</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2551" w:type="dxa"/>
            <w:vAlign w:val="center"/>
          </w:tcPr>
          <w:p>
            <w:pPr>
              <w:pStyle w:val="13"/>
            </w:pPr>
            <w:r>
              <w:t>103.50</w:t>
            </w:r>
          </w:p>
        </w:tc>
        <w:tc>
          <w:tcPr>
            <w:tcW w:w="2551" w:type="dxa"/>
            <w:vAlign w:val="center"/>
          </w:tcPr>
          <w:p>
            <w:pPr>
              <w:pStyle w:val="13"/>
            </w:pPr>
            <w:r>
              <w:t>103.50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2551" w:type="dxa"/>
            <w:vAlign w:val="center"/>
          </w:tcPr>
          <w:p>
            <w:pPr>
              <w:pStyle w:val="13"/>
            </w:pPr>
            <w:r>
              <w:t>103.50</w:t>
            </w:r>
          </w:p>
        </w:tc>
        <w:tc>
          <w:tcPr>
            <w:tcW w:w="2551" w:type="dxa"/>
            <w:vAlign w:val="center"/>
          </w:tcPr>
          <w:p>
            <w:pPr>
              <w:pStyle w:val="13"/>
            </w:pPr>
            <w:r>
              <w:t>103.50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2551" w:type="dxa"/>
            <w:vAlign w:val="center"/>
          </w:tcPr>
          <w:p>
            <w:pPr>
              <w:pStyle w:val="13"/>
            </w:pPr>
            <w:r>
              <w:t>56.43</w:t>
            </w:r>
          </w:p>
        </w:tc>
        <w:tc>
          <w:tcPr>
            <w:tcW w:w="2551" w:type="dxa"/>
            <w:vAlign w:val="center"/>
          </w:tcPr>
          <w:p>
            <w:pPr>
              <w:pStyle w:val="13"/>
            </w:pPr>
            <w:r>
              <w:t>56.43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2551" w:type="dxa"/>
            <w:vAlign w:val="center"/>
          </w:tcPr>
          <w:p>
            <w:pPr>
              <w:pStyle w:val="13"/>
            </w:pPr>
            <w:r>
              <w:t>47.07</w:t>
            </w:r>
          </w:p>
        </w:tc>
        <w:tc>
          <w:tcPr>
            <w:tcW w:w="2551" w:type="dxa"/>
            <w:vAlign w:val="center"/>
          </w:tcPr>
          <w:p>
            <w:pPr>
              <w:pStyle w:val="13"/>
            </w:pPr>
            <w:r>
              <w:t>47.07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2551" w:type="dxa"/>
            <w:vAlign w:val="center"/>
          </w:tcPr>
          <w:p>
            <w:pPr>
              <w:pStyle w:val="13"/>
            </w:pPr>
            <w:r>
              <w:t>48.80</w:t>
            </w:r>
          </w:p>
        </w:tc>
        <w:tc>
          <w:tcPr>
            <w:tcW w:w="2551" w:type="dxa"/>
            <w:vAlign w:val="center"/>
          </w:tcPr>
          <w:p>
            <w:pPr>
              <w:pStyle w:val="13"/>
            </w:pPr>
            <w:r>
              <w:t>48.80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2551" w:type="dxa"/>
            <w:vAlign w:val="center"/>
          </w:tcPr>
          <w:p>
            <w:pPr>
              <w:pStyle w:val="13"/>
            </w:pPr>
            <w:r>
              <w:t>48.80</w:t>
            </w:r>
          </w:p>
        </w:tc>
        <w:tc>
          <w:tcPr>
            <w:tcW w:w="2551" w:type="dxa"/>
            <w:vAlign w:val="center"/>
          </w:tcPr>
          <w:p>
            <w:pPr>
              <w:pStyle w:val="13"/>
            </w:pPr>
            <w:r>
              <w:t>48.80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2551" w:type="dxa"/>
            <w:vAlign w:val="center"/>
          </w:tcPr>
          <w:p>
            <w:pPr>
              <w:pStyle w:val="13"/>
            </w:pPr>
            <w:r>
              <w:t>17.83</w:t>
            </w:r>
          </w:p>
        </w:tc>
        <w:tc>
          <w:tcPr>
            <w:tcW w:w="2551" w:type="dxa"/>
            <w:vAlign w:val="center"/>
          </w:tcPr>
          <w:p>
            <w:pPr>
              <w:pStyle w:val="13"/>
            </w:pPr>
            <w:r>
              <w:t>17.83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2551" w:type="dxa"/>
            <w:vAlign w:val="center"/>
          </w:tcPr>
          <w:p>
            <w:pPr>
              <w:pStyle w:val="13"/>
            </w:pPr>
            <w:r>
              <w:t>30.97</w:t>
            </w:r>
          </w:p>
        </w:tc>
        <w:tc>
          <w:tcPr>
            <w:tcW w:w="2551" w:type="dxa"/>
            <w:vAlign w:val="center"/>
          </w:tcPr>
          <w:p>
            <w:pPr>
              <w:pStyle w:val="13"/>
            </w:pPr>
            <w:r>
              <w:t>30.97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616.64</w:t>
            </w:r>
          </w:p>
        </w:tc>
        <w:tc>
          <w:tcPr>
            <w:tcW w:w="2551" w:type="dxa"/>
            <w:vAlign w:val="center"/>
          </w:tcPr>
          <w:p>
            <w:pPr>
              <w:pStyle w:val="17"/>
            </w:pPr>
            <w:r>
              <w:t>545.60</w:t>
            </w:r>
          </w:p>
        </w:tc>
        <w:tc>
          <w:tcPr>
            <w:tcW w:w="2551" w:type="dxa"/>
            <w:vAlign w:val="center"/>
          </w:tcPr>
          <w:p>
            <w:pPr>
              <w:pStyle w:val="17"/>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rPr>
                <w:rFonts w:cs="Times New Roman"/>
              </w:rPr>
            </w:pPr>
            <w:r>
              <w:rPr>
                <w:rFonts w:hint="eastAsia"/>
              </w:rPr>
              <w:t>工资福利支出</w:t>
            </w:r>
          </w:p>
        </w:tc>
        <w:tc>
          <w:tcPr>
            <w:tcW w:w="2551" w:type="dxa"/>
            <w:vAlign w:val="center"/>
          </w:tcPr>
          <w:p>
            <w:pPr>
              <w:pStyle w:val="13"/>
            </w:pPr>
            <w:r>
              <w:t>483.52</w:t>
            </w:r>
          </w:p>
        </w:tc>
        <w:tc>
          <w:tcPr>
            <w:tcW w:w="2551" w:type="dxa"/>
            <w:vAlign w:val="center"/>
          </w:tcPr>
          <w:p>
            <w:pPr>
              <w:pStyle w:val="13"/>
            </w:pPr>
            <w:r>
              <w:t>483.52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rPr>
                <w:rFonts w:cs="Times New Roman"/>
              </w:rPr>
            </w:pPr>
            <w:r>
              <w:rPr>
                <w:rFonts w:hint="eastAsia"/>
              </w:rPr>
              <w:t>基本工资</w:t>
            </w:r>
          </w:p>
        </w:tc>
        <w:tc>
          <w:tcPr>
            <w:tcW w:w="2551" w:type="dxa"/>
            <w:vAlign w:val="center"/>
          </w:tcPr>
          <w:p>
            <w:pPr>
              <w:pStyle w:val="13"/>
            </w:pPr>
            <w:r>
              <w:t>142.59</w:t>
            </w:r>
          </w:p>
        </w:tc>
        <w:tc>
          <w:tcPr>
            <w:tcW w:w="2551" w:type="dxa"/>
            <w:vAlign w:val="center"/>
          </w:tcPr>
          <w:p>
            <w:pPr>
              <w:pStyle w:val="13"/>
            </w:pPr>
            <w:r>
              <w:t>142.59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rPr>
                <w:rFonts w:cs="Times New Roman"/>
              </w:rPr>
            </w:pPr>
            <w:r>
              <w:rPr>
                <w:rFonts w:hint="eastAsia"/>
              </w:rPr>
              <w:t>津贴补贴</w:t>
            </w:r>
          </w:p>
        </w:tc>
        <w:tc>
          <w:tcPr>
            <w:tcW w:w="2551" w:type="dxa"/>
            <w:vAlign w:val="center"/>
          </w:tcPr>
          <w:p>
            <w:pPr>
              <w:pStyle w:val="13"/>
            </w:pPr>
            <w:r>
              <w:t>99.38</w:t>
            </w:r>
          </w:p>
        </w:tc>
        <w:tc>
          <w:tcPr>
            <w:tcW w:w="2551" w:type="dxa"/>
            <w:vAlign w:val="center"/>
          </w:tcPr>
          <w:p>
            <w:pPr>
              <w:pStyle w:val="13"/>
            </w:pPr>
            <w:r>
              <w:t>99.38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rPr>
                <w:rFonts w:cs="Times New Roman"/>
              </w:rPr>
            </w:pPr>
            <w:r>
              <w:rPr>
                <w:rFonts w:hint="eastAsia"/>
              </w:rPr>
              <w:t>奖金</w:t>
            </w:r>
          </w:p>
        </w:tc>
        <w:tc>
          <w:tcPr>
            <w:tcW w:w="2551" w:type="dxa"/>
            <w:vAlign w:val="center"/>
          </w:tcPr>
          <w:p>
            <w:pPr>
              <w:pStyle w:val="13"/>
            </w:pPr>
            <w:r>
              <w:t>49.45</w:t>
            </w:r>
          </w:p>
        </w:tc>
        <w:tc>
          <w:tcPr>
            <w:tcW w:w="2551" w:type="dxa"/>
            <w:vAlign w:val="center"/>
          </w:tcPr>
          <w:p>
            <w:pPr>
              <w:pStyle w:val="13"/>
            </w:pPr>
            <w:r>
              <w:t>49.45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rPr>
                <w:rFonts w:cs="Times New Roman"/>
              </w:rPr>
            </w:pPr>
            <w:r>
              <w:rPr>
                <w:rFonts w:hint="eastAsia"/>
              </w:rPr>
              <w:t>绩效工资</w:t>
            </w:r>
          </w:p>
        </w:tc>
        <w:tc>
          <w:tcPr>
            <w:tcW w:w="2551" w:type="dxa"/>
            <w:vAlign w:val="center"/>
          </w:tcPr>
          <w:p>
            <w:pPr>
              <w:pStyle w:val="13"/>
            </w:pPr>
            <w:r>
              <w:t>28.02</w:t>
            </w:r>
          </w:p>
        </w:tc>
        <w:tc>
          <w:tcPr>
            <w:tcW w:w="2551" w:type="dxa"/>
            <w:vAlign w:val="center"/>
          </w:tcPr>
          <w:p>
            <w:pPr>
              <w:pStyle w:val="13"/>
            </w:pPr>
            <w:r>
              <w:t>28.02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rPr>
                <w:rFonts w:cs="Times New Roman"/>
              </w:rPr>
            </w:pPr>
            <w:r>
              <w:rPr>
                <w:rFonts w:hint="eastAsia"/>
              </w:rPr>
              <w:t>机关事业单位基本养老保险缴费</w:t>
            </w:r>
          </w:p>
        </w:tc>
        <w:tc>
          <w:tcPr>
            <w:tcW w:w="2551" w:type="dxa"/>
            <w:vAlign w:val="center"/>
          </w:tcPr>
          <w:p>
            <w:pPr>
              <w:pStyle w:val="13"/>
            </w:pPr>
            <w:r>
              <w:t>47.07</w:t>
            </w:r>
          </w:p>
        </w:tc>
        <w:tc>
          <w:tcPr>
            <w:tcW w:w="2551" w:type="dxa"/>
            <w:vAlign w:val="center"/>
          </w:tcPr>
          <w:p>
            <w:pPr>
              <w:pStyle w:val="13"/>
            </w:pPr>
            <w:r>
              <w:t>47.07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rPr>
                <w:rFonts w:cs="Times New Roman"/>
              </w:rPr>
            </w:pPr>
            <w:r>
              <w:rPr>
                <w:rFonts w:hint="eastAsia"/>
              </w:rPr>
              <w:t>职工基本医疗保险缴费</w:t>
            </w:r>
          </w:p>
        </w:tc>
        <w:tc>
          <w:tcPr>
            <w:tcW w:w="2551" w:type="dxa"/>
            <w:vAlign w:val="center"/>
          </w:tcPr>
          <w:p>
            <w:pPr>
              <w:pStyle w:val="13"/>
            </w:pPr>
            <w:r>
              <w:t>17.83</w:t>
            </w:r>
          </w:p>
        </w:tc>
        <w:tc>
          <w:tcPr>
            <w:tcW w:w="2551" w:type="dxa"/>
            <w:vAlign w:val="center"/>
          </w:tcPr>
          <w:p>
            <w:pPr>
              <w:pStyle w:val="13"/>
            </w:pPr>
            <w:r>
              <w:t>17.83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rPr>
                <w:rFonts w:cs="Times New Roman"/>
              </w:rPr>
            </w:pPr>
            <w:r>
              <w:rPr>
                <w:rFonts w:hint="eastAsia"/>
              </w:rPr>
              <w:t>公务员医疗补助缴费</w:t>
            </w:r>
          </w:p>
        </w:tc>
        <w:tc>
          <w:tcPr>
            <w:tcW w:w="2551" w:type="dxa"/>
            <w:vAlign w:val="center"/>
          </w:tcPr>
          <w:p>
            <w:pPr>
              <w:pStyle w:val="13"/>
            </w:pPr>
            <w:r>
              <w:t>30.97</w:t>
            </w:r>
          </w:p>
        </w:tc>
        <w:tc>
          <w:tcPr>
            <w:tcW w:w="2551" w:type="dxa"/>
            <w:vAlign w:val="center"/>
          </w:tcPr>
          <w:p>
            <w:pPr>
              <w:pStyle w:val="13"/>
            </w:pPr>
            <w:r>
              <w:t>30.97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rPr>
                <w:rFonts w:cs="Times New Roman"/>
              </w:rPr>
            </w:pPr>
            <w:r>
              <w:rPr>
                <w:rFonts w:hint="eastAsia"/>
              </w:rPr>
              <w:t>其他社会保障缴费</w:t>
            </w:r>
          </w:p>
        </w:tc>
        <w:tc>
          <w:tcPr>
            <w:tcW w:w="2551" w:type="dxa"/>
            <w:vAlign w:val="center"/>
          </w:tcPr>
          <w:p>
            <w:pPr>
              <w:pStyle w:val="13"/>
            </w:pPr>
            <w:r>
              <w:t>2.96</w:t>
            </w:r>
          </w:p>
        </w:tc>
        <w:tc>
          <w:tcPr>
            <w:tcW w:w="2551" w:type="dxa"/>
            <w:vAlign w:val="center"/>
          </w:tcPr>
          <w:p>
            <w:pPr>
              <w:pStyle w:val="13"/>
            </w:pPr>
            <w:r>
              <w:t>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rPr>
                <w:rFonts w:cs="Times New Roman"/>
              </w:rPr>
            </w:pPr>
            <w:r>
              <w:rPr>
                <w:rFonts w:hint="eastAsia"/>
              </w:rPr>
              <w:t>其他工资福利支出</w:t>
            </w:r>
          </w:p>
        </w:tc>
        <w:tc>
          <w:tcPr>
            <w:tcW w:w="2551" w:type="dxa"/>
            <w:vAlign w:val="center"/>
          </w:tcPr>
          <w:p>
            <w:pPr>
              <w:pStyle w:val="13"/>
            </w:pPr>
            <w:r>
              <w:t>27.43</w:t>
            </w:r>
          </w:p>
        </w:tc>
        <w:tc>
          <w:tcPr>
            <w:tcW w:w="2551" w:type="dxa"/>
            <w:vAlign w:val="center"/>
          </w:tcPr>
          <w:p>
            <w:pPr>
              <w:pStyle w:val="13"/>
            </w:pPr>
            <w:r>
              <w:t>27.43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rPr>
                <w:rFonts w:cs="Times New Roman"/>
              </w:rPr>
            </w:pPr>
            <w:r>
              <w:rPr>
                <w:rFonts w:hint="eastAsia"/>
              </w:rPr>
              <w:t>商品和服务支出</w:t>
            </w:r>
          </w:p>
        </w:tc>
        <w:tc>
          <w:tcPr>
            <w:tcW w:w="2551" w:type="dxa"/>
            <w:vAlign w:val="center"/>
          </w:tcPr>
          <w:p>
            <w:pPr>
              <w:pStyle w:val="13"/>
            </w:pPr>
            <w:r>
              <w:t>71.04</w:t>
            </w:r>
          </w:p>
        </w:tc>
        <w:tc>
          <w:tcPr>
            <w:tcW w:w="2551" w:type="dxa"/>
            <w:vAlign w:val="center"/>
          </w:tcPr>
          <w:p>
            <w:pPr>
              <w:pStyle w:val="13"/>
            </w:pPr>
          </w:p>
        </w:tc>
        <w:tc>
          <w:tcPr>
            <w:tcW w:w="2551" w:type="dxa"/>
            <w:vAlign w:val="center"/>
          </w:tcPr>
          <w:p>
            <w:pPr>
              <w:pStyle w:val="13"/>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rPr>
                <w:rFonts w:cs="Times New Roman"/>
              </w:rPr>
            </w:pPr>
            <w:r>
              <w:rPr>
                <w:rFonts w:hint="eastAsia"/>
              </w:rPr>
              <w:t>办公费</w:t>
            </w:r>
          </w:p>
        </w:tc>
        <w:tc>
          <w:tcPr>
            <w:tcW w:w="2551" w:type="dxa"/>
            <w:vAlign w:val="center"/>
          </w:tcPr>
          <w:p>
            <w:pPr>
              <w:pStyle w:val="13"/>
            </w:pPr>
            <w:r>
              <w:t>7.25</w:t>
            </w:r>
          </w:p>
        </w:tc>
        <w:tc>
          <w:tcPr>
            <w:tcW w:w="2551" w:type="dxa"/>
            <w:vAlign w:val="center"/>
          </w:tcPr>
          <w:p>
            <w:pPr>
              <w:pStyle w:val="13"/>
            </w:pPr>
          </w:p>
        </w:tc>
        <w:tc>
          <w:tcPr>
            <w:tcW w:w="2551" w:type="dxa"/>
            <w:vAlign w:val="center"/>
          </w:tcPr>
          <w:p>
            <w:pPr>
              <w:pStyle w:val="13"/>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rPr>
                <w:rFonts w:cs="Times New Roman"/>
              </w:rPr>
            </w:pPr>
            <w:r>
              <w:rPr>
                <w:rFonts w:hint="eastAsia"/>
              </w:rPr>
              <w:t>邮电费</w:t>
            </w:r>
          </w:p>
        </w:tc>
        <w:tc>
          <w:tcPr>
            <w:tcW w:w="2551" w:type="dxa"/>
            <w:vAlign w:val="center"/>
          </w:tcPr>
          <w:p>
            <w:pPr>
              <w:pStyle w:val="13"/>
            </w:pPr>
            <w:r>
              <w:t>12.50</w:t>
            </w:r>
          </w:p>
        </w:tc>
        <w:tc>
          <w:tcPr>
            <w:tcW w:w="2551" w:type="dxa"/>
            <w:vAlign w:val="center"/>
          </w:tcPr>
          <w:p>
            <w:pPr>
              <w:pStyle w:val="13"/>
            </w:pPr>
          </w:p>
        </w:tc>
        <w:tc>
          <w:tcPr>
            <w:tcW w:w="2551"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rPr>
                <w:rFonts w:cs="Times New Roman"/>
              </w:rPr>
            </w:pPr>
            <w:r>
              <w:rPr>
                <w:rFonts w:hint="eastAsia"/>
              </w:rPr>
              <w:t>公务接待费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rPr>
                <w:rFonts w:cs="Times New Roman"/>
              </w:rPr>
            </w:pPr>
            <w:r>
              <w:rPr>
                <w:rFonts w:hint="eastAsia"/>
              </w:rPr>
              <w:t>工会经费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rPr>
                <w:rFonts w:cs="Times New Roman"/>
              </w:rPr>
            </w:pPr>
            <w:r>
              <w:rPr>
                <w:rFonts w:hint="eastAsia"/>
              </w:rPr>
              <w:t>福利费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rPr>
                <w:rFonts w:cs="Times New Roman"/>
              </w:rPr>
            </w:pPr>
            <w:r>
              <w:rPr>
                <w:rFonts w:hint="eastAsia"/>
              </w:rPr>
              <w:t>公务用车运行维护费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rPr>
                <w:rFonts w:cs="Times New Roman"/>
              </w:rPr>
            </w:pPr>
            <w:r>
              <w:rPr>
                <w:rFonts w:hint="eastAsia"/>
              </w:rPr>
              <w:t>其他交通费用</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rPr>
                <w:rFonts w:cs="Times New Roman"/>
              </w:rPr>
            </w:pPr>
            <w:r>
              <w:rPr>
                <w:rFonts w:hint="eastAsia"/>
              </w:rPr>
              <w:t>其他商品和服务支出</w:t>
            </w:r>
          </w:p>
        </w:tc>
        <w:tc>
          <w:tcPr>
            <w:tcW w:w="2551" w:type="dxa"/>
            <w:vAlign w:val="center"/>
          </w:tcPr>
          <w:p>
            <w:pPr>
              <w:pStyle w:val="13"/>
            </w:pPr>
            <w:r>
              <w:t>3.37</w:t>
            </w:r>
          </w:p>
        </w:tc>
        <w:tc>
          <w:tcPr>
            <w:tcW w:w="2551" w:type="dxa"/>
            <w:vAlign w:val="center"/>
          </w:tcPr>
          <w:p>
            <w:pPr>
              <w:pStyle w:val="13"/>
            </w:pPr>
          </w:p>
        </w:tc>
        <w:tc>
          <w:tcPr>
            <w:tcW w:w="2551" w:type="dxa"/>
            <w:vAlign w:val="center"/>
          </w:tcPr>
          <w:p>
            <w:pPr>
              <w:pStyle w:val="13"/>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rPr>
                <w:rFonts w:cs="Times New Roman"/>
              </w:rPr>
            </w:pPr>
            <w:r>
              <w:rPr>
                <w:rFonts w:hint="eastAsia"/>
              </w:rPr>
              <w:t>对个人和家庭的补助</w:t>
            </w:r>
          </w:p>
        </w:tc>
        <w:tc>
          <w:tcPr>
            <w:tcW w:w="2551" w:type="dxa"/>
            <w:vAlign w:val="center"/>
          </w:tcPr>
          <w:p>
            <w:pPr>
              <w:pStyle w:val="13"/>
            </w:pPr>
            <w:r>
              <w:t>62.08</w:t>
            </w:r>
          </w:p>
        </w:tc>
        <w:tc>
          <w:tcPr>
            <w:tcW w:w="2551" w:type="dxa"/>
            <w:vAlign w:val="center"/>
          </w:tcPr>
          <w:p>
            <w:pPr>
              <w:pStyle w:val="13"/>
            </w:pPr>
            <w:r>
              <w:t>62.08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rPr>
                <w:rFonts w:cs="Times New Roman"/>
              </w:rPr>
            </w:pPr>
            <w:r>
              <w:rPr>
                <w:rFonts w:hint="eastAsia"/>
              </w:rPr>
              <w:t>退休费</w:t>
            </w:r>
          </w:p>
        </w:tc>
        <w:tc>
          <w:tcPr>
            <w:tcW w:w="2551" w:type="dxa"/>
            <w:vAlign w:val="center"/>
          </w:tcPr>
          <w:p>
            <w:pPr>
              <w:pStyle w:val="13"/>
            </w:pPr>
            <w:r>
              <w:t>56.43</w:t>
            </w:r>
          </w:p>
        </w:tc>
        <w:tc>
          <w:tcPr>
            <w:tcW w:w="2551" w:type="dxa"/>
            <w:vAlign w:val="center"/>
          </w:tcPr>
          <w:p>
            <w:pPr>
              <w:pStyle w:val="13"/>
            </w:pPr>
            <w:r>
              <w:t>56.43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rPr>
                <w:rFonts w:cs="Times New Roman"/>
              </w:rPr>
            </w:pPr>
            <w:r>
              <w:rPr>
                <w:rFonts w:hint="eastAsia"/>
              </w:rPr>
              <w:t>生活补助</w:t>
            </w:r>
          </w:p>
        </w:tc>
        <w:tc>
          <w:tcPr>
            <w:tcW w:w="2551" w:type="dxa"/>
            <w:vAlign w:val="center"/>
          </w:tcPr>
          <w:p>
            <w:pPr>
              <w:pStyle w:val="13"/>
            </w:pPr>
            <w:r>
              <w:t>4.99</w:t>
            </w:r>
          </w:p>
        </w:tc>
        <w:tc>
          <w:tcPr>
            <w:tcW w:w="2551" w:type="dxa"/>
            <w:vAlign w:val="center"/>
          </w:tcPr>
          <w:p>
            <w:pPr>
              <w:pStyle w:val="13"/>
            </w:pPr>
            <w:r>
              <w:t>4.99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rPr>
                <w:rFonts w:cs="Times New Roman"/>
              </w:rPr>
            </w:pPr>
            <w:r>
              <w:rPr>
                <w:rFonts w:hint="eastAsia"/>
              </w:rPr>
              <w:t>奖励金</w:t>
            </w:r>
          </w:p>
        </w:tc>
        <w:tc>
          <w:tcPr>
            <w:tcW w:w="2551" w:type="dxa"/>
            <w:vAlign w:val="center"/>
          </w:tcPr>
          <w:p>
            <w:pPr>
              <w:pStyle w:val="13"/>
            </w:pPr>
            <w:r>
              <w:t>0.66</w:t>
            </w:r>
          </w:p>
        </w:tc>
        <w:tc>
          <w:tcPr>
            <w:tcW w:w="2551" w:type="dxa"/>
            <w:vAlign w:val="center"/>
          </w:tcPr>
          <w:p>
            <w:pPr>
              <w:pStyle w:val="13"/>
            </w:pPr>
            <w:r>
              <w:t>0.66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5"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合计</w:t>
            </w:r>
          </w:p>
        </w:tc>
        <w:tc>
          <w:tcPr>
            <w:tcW w:w="2382" w:type="dxa"/>
            <w:vAlign w:val="center"/>
          </w:tcPr>
          <w:p>
            <w:pPr>
              <w:pStyle w:val="17"/>
            </w:pPr>
            <w:r>
              <w:t>75.00</w:t>
            </w:r>
          </w:p>
        </w:tc>
        <w:tc>
          <w:tcPr>
            <w:tcW w:w="2381" w:type="dxa"/>
            <w:vAlign w:val="center"/>
          </w:tcPr>
          <w:p>
            <w:pPr>
              <w:pStyle w:val="17"/>
            </w:pPr>
            <w:r>
              <w:t>75.00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rPr>
                <w:rFonts w:cs="Times New Roman"/>
              </w:rPr>
            </w:pPr>
            <w:r>
              <w:rPr>
                <w:rFonts w:hint="eastAsia"/>
              </w:rPr>
              <w:t>“三公”经费小计</w:t>
            </w:r>
          </w:p>
        </w:tc>
        <w:tc>
          <w:tcPr>
            <w:tcW w:w="2382"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rPr>
                <w:rFonts w:cs="Times New Roman"/>
              </w:rPr>
            </w:pPr>
            <w:r>
              <w:rPr>
                <w:rFonts w:hint="eastAsia"/>
              </w:rPr>
              <w:t>一、因公出国（境）费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rPr>
                <w:rFonts w:cs="Times New Roman"/>
              </w:rPr>
            </w:pPr>
            <w:r>
              <w:rPr>
                <w:rFonts w:hint="eastAsia"/>
              </w:rPr>
              <w:t>二、公务用车购置及维护费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rFonts w:cs="Times New Roman"/>
              </w:rPr>
            </w:pPr>
            <w:r>
              <w:rPr>
                <w:rFonts w:hint="eastAsia"/>
              </w:rPr>
              <w:t>其中：公务用车购置费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rPr>
                <w:rFonts w:cs="Times New Roman"/>
              </w:rPr>
            </w:pPr>
            <w:r>
              <w:t xml:space="preserve">          </w:t>
            </w:r>
            <w:r>
              <w:rPr>
                <w:rFonts w:hint="eastAsia"/>
              </w:rPr>
              <w:t>公务用车运行维护费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rPr>
                <w:rFonts w:cs="Times New Roman"/>
              </w:rPr>
            </w:pPr>
            <w:r>
              <w:rPr>
                <w:rFonts w:hint="eastAsia"/>
              </w:rPr>
              <w:t>三、公务接待费</w:t>
            </w:r>
          </w:p>
        </w:tc>
        <w:tc>
          <w:tcPr>
            <w:tcW w:w="2382"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szCs w:val="44"/>
        </w:rPr>
        <w:t>中国人民政治协商会议唐山市丰南区委员会办公室本级</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按照《预算法》、《地方预决算公开操作规程》和《关于进一步推进预算公开工作的实施意见》规定，现将中国人民政治协商会议唐山市丰南区委员会办公室本级</w:t>
      </w:r>
      <w:r>
        <w:rPr>
          <w:rFonts w:eastAsia="方正仿宋_GBK"/>
          <w:color w:val="000000"/>
          <w:sz w:val="28"/>
          <w:szCs w:val="28"/>
        </w:rPr>
        <w:t>2023</w:t>
      </w:r>
      <w:r>
        <w:rPr>
          <w:rFonts w:hint="eastAsia" w:eastAsia="方正仿宋_GBK" w:cs="方正仿宋_GBK"/>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27"/>
      </w:pPr>
      <w:r>
        <w:t>(</w:t>
      </w:r>
      <w:r>
        <w:rPr>
          <w:rFonts w:hint="eastAsia" w:cs="方正仿宋_GBK"/>
        </w:rPr>
        <w:t>一</w:t>
      </w:r>
      <w:r>
        <w:t>)</w:t>
      </w:r>
      <w:r>
        <w:rPr>
          <w:rFonts w:hint="eastAsia" w:cs="方正仿宋_GBK"/>
        </w:rPr>
        <w:t>政协唐山市丰南区委员会的主要职能是政治协商、民主监督、参政议政。</w:t>
      </w:r>
    </w:p>
    <w:p>
      <w:pPr>
        <w:pStyle w:val="27"/>
      </w:pPr>
      <w:r>
        <w:t>(</w:t>
      </w:r>
      <w:r>
        <w:rPr>
          <w:rFonts w:hint="eastAsia" w:cs="方正仿宋_GBK"/>
        </w:rPr>
        <w:t>二</w:t>
      </w:r>
      <w:r>
        <w:t>)</w:t>
      </w:r>
      <w:r>
        <w:rPr>
          <w:rFonts w:hint="eastAsia" w:cs="方正仿宋_GBK"/>
        </w:rPr>
        <w:t>负责区政协全体会议、常务委员会会议、主席会议、党组会议、专门委员会会议、委员专题座谈会以及其他重要会议、活动的文稿起草、组织和服务工作。</w:t>
      </w:r>
    </w:p>
    <w:p>
      <w:pPr>
        <w:pStyle w:val="27"/>
      </w:pPr>
      <w:r>
        <w:t>(</w:t>
      </w:r>
      <w:r>
        <w:rPr>
          <w:rFonts w:hint="eastAsia" w:cs="方正仿宋_GBK"/>
        </w:rPr>
        <w:t>三</w:t>
      </w:r>
      <w:r>
        <w:t>)</w:t>
      </w:r>
      <w:r>
        <w:rPr>
          <w:rFonts w:hint="eastAsia" w:cs="方正仿宋_GBK"/>
        </w:rPr>
        <w:t>负责区政协全体会议、常务委员会会议、主席会议决议和决定事项的组织实施工作。</w:t>
      </w:r>
    </w:p>
    <w:p>
      <w:pPr>
        <w:pStyle w:val="27"/>
      </w:pPr>
      <w:r>
        <w:t>(</w:t>
      </w:r>
      <w:r>
        <w:rPr>
          <w:rFonts w:hint="eastAsia" w:cs="方正仿宋_GBK"/>
        </w:rPr>
        <w:t>四</w:t>
      </w:r>
      <w:r>
        <w:t>)</w:t>
      </w:r>
      <w:r>
        <w:rPr>
          <w:rFonts w:hint="eastAsia" w:cs="方正仿宋_GBK"/>
        </w:rPr>
        <w:t>负责区政协年度重点课题调研和相关专委会的调研，并做好调研成果的转化跟踪工作；收集整理、综合、分析和报送反馈社情民意的信息及各界人士的意见、建议。</w:t>
      </w:r>
    </w:p>
    <w:p>
      <w:pPr>
        <w:pStyle w:val="27"/>
      </w:pPr>
      <w:r>
        <w:t>(</w:t>
      </w:r>
      <w:r>
        <w:rPr>
          <w:rFonts w:hint="eastAsia" w:cs="方正仿宋_GBK"/>
        </w:rPr>
        <w:t>五</w:t>
      </w:r>
      <w:r>
        <w:t>)</w:t>
      </w:r>
      <w:r>
        <w:rPr>
          <w:rFonts w:hint="eastAsia" w:cs="方正仿宋_GBK"/>
        </w:rPr>
        <w:t>负责研究统一战线和人民政协的理论、政策。承担区政协对内对外宣传的策划、协调、联络和新闻报道工作。加强同委员的联系，大力宣传委员的先进事迹，扩大政协委员的影响。</w:t>
      </w:r>
    </w:p>
    <w:p>
      <w:pPr>
        <w:pStyle w:val="27"/>
      </w:pPr>
      <w:r>
        <w:t>(</w:t>
      </w:r>
      <w:r>
        <w:rPr>
          <w:rFonts w:hint="eastAsia" w:cs="方正仿宋_GBK"/>
        </w:rPr>
        <w:t>六</w:t>
      </w:r>
      <w:r>
        <w:t>)</w:t>
      </w:r>
      <w:r>
        <w:rPr>
          <w:rFonts w:hint="eastAsia" w:cs="方正仿宋_GBK"/>
        </w:rPr>
        <w:t>报送政协组织和委员履行职能形成的调研报告、视察报告、大会发言、建议案；处理政协委员和人民群众的来信、来访。</w:t>
      </w:r>
    </w:p>
    <w:p>
      <w:pPr>
        <w:pStyle w:val="27"/>
      </w:pPr>
      <w:r>
        <w:t>(</w:t>
      </w:r>
      <w:r>
        <w:rPr>
          <w:rFonts w:hint="eastAsia" w:cs="方正仿宋_GBK"/>
        </w:rPr>
        <w:t>七</w:t>
      </w:r>
      <w:r>
        <w:t>)</w:t>
      </w:r>
      <w:r>
        <w:rPr>
          <w:rFonts w:hint="eastAsia" w:cs="方正仿宋_GBK"/>
        </w:rPr>
        <w:t>负责区政协委员管理和省、市政协委员服务。组织委员学习政治理论和政协业务知识，提高委员参政议政能力。</w:t>
      </w:r>
    </w:p>
    <w:p>
      <w:pPr>
        <w:pStyle w:val="27"/>
      </w:pPr>
      <w:r>
        <w:t>(</w:t>
      </w:r>
      <w:r>
        <w:rPr>
          <w:rFonts w:hint="eastAsia" w:cs="方正仿宋_GBK"/>
        </w:rPr>
        <w:t>八</w:t>
      </w:r>
      <w:r>
        <w:t>)</w:t>
      </w:r>
      <w:r>
        <w:rPr>
          <w:rFonts w:hint="eastAsia" w:cs="方正仿宋_GBK"/>
        </w:rPr>
        <w:t>负责区政协委员视察、调研、学习等活动的联络和组织服务工作，听取并整理他们对我区经济社会发展等方面的意见和建议，为区委、区政府决策提供参考。</w:t>
      </w:r>
    </w:p>
    <w:p>
      <w:pPr>
        <w:pStyle w:val="27"/>
      </w:pPr>
      <w:r>
        <w:t>(</w:t>
      </w:r>
      <w:r>
        <w:rPr>
          <w:rFonts w:hint="eastAsia" w:cs="方正仿宋_GBK"/>
        </w:rPr>
        <w:t>九</w:t>
      </w:r>
      <w:r>
        <w:t>)</w:t>
      </w:r>
      <w:r>
        <w:rPr>
          <w:rFonts w:hint="eastAsia" w:cs="方正仿宋_GBK"/>
        </w:rPr>
        <w:t>负责政协提案的征集、初审、交办和办理工作。</w:t>
      </w:r>
    </w:p>
    <w:p>
      <w:pPr>
        <w:pStyle w:val="27"/>
      </w:pPr>
      <w:r>
        <w:t>(</w:t>
      </w:r>
      <w:r>
        <w:rPr>
          <w:rFonts w:hint="eastAsia" w:cs="方正仿宋_GBK"/>
        </w:rPr>
        <w:t>十</w:t>
      </w:r>
      <w:r>
        <w:t>)</w:t>
      </w:r>
      <w:r>
        <w:rPr>
          <w:rFonts w:hint="eastAsia" w:cs="方正仿宋_GBK"/>
        </w:rPr>
        <w:t>负责文史资料的征集、整理、研究、出版工作。</w:t>
      </w:r>
    </w:p>
    <w:p>
      <w:pPr>
        <w:pStyle w:val="27"/>
      </w:pPr>
      <w:r>
        <w:rPr>
          <w:rFonts w:hint="eastAsia" w:cs="方正仿宋_GBK"/>
        </w:rPr>
        <w:t>（十一）与有关部门配合，开展祖国统一联谊活动和民族宗教工作。</w:t>
      </w:r>
    </w:p>
    <w:p>
      <w:pPr>
        <w:pStyle w:val="27"/>
      </w:pPr>
      <w:r>
        <w:rPr>
          <w:rFonts w:hint="eastAsia" w:cs="方正仿宋_GBK"/>
        </w:rPr>
        <w:t>（十二）负责完区委、区政府部署的阶段性、临时性任务。</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中国人民政治协商会议唐山市丰南区委员会办公室本级</w:t>
            </w:r>
          </w:p>
        </w:tc>
        <w:tc>
          <w:tcPr>
            <w:tcW w:w="1843" w:type="dxa"/>
            <w:vAlign w:val="center"/>
          </w:tcPr>
          <w:p>
            <w:pPr>
              <w:pStyle w:val="15"/>
              <w:rPr>
                <w:rFonts w:cs="Times New Roman"/>
              </w:rPr>
            </w:pPr>
            <w:r>
              <w:rPr>
                <w:rFonts w:hint="eastAsia"/>
              </w:rPr>
              <w:t>行政</w:t>
            </w:r>
          </w:p>
        </w:tc>
        <w:tc>
          <w:tcPr>
            <w:tcW w:w="2126" w:type="dxa"/>
            <w:vAlign w:val="center"/>
          </w:tcPr>
          <w:p>
            <w:pPr>
              <w:pStyle w:val="15"/>
              <w:rPr>
                <w:rFonts w:cs="Times New Roman"/>
              </w:rPr>
            </w:pPr>
            <w:r>
              <w:rPr>
                <w:rFonts w:hint="eastAsia"/>
              </w:rPr>
              <w:t>正处（县）级</w:t>
            </w:r>
          </w:p>
        </w:tc>
        <w:tc>
          <w:tcPr>
            <w:tcW w:w="3827" w:type="dxa"/>
            <w:vAlign w:val="center"/>
          </w:tcPr>
          <w:p>
            <w:pPr>
              <w:pStyle w:val="15"/>
              <w:rPr>
                <w:rFonts w:cs="Times New Roman"/>
              </w:rPr>
            </w:pPr>
            <w:r>
              <w:rPr>
                <w:rFonts w:hint="eastAsia"/>
              </w:rPr>
              <w:t>财政拨款</w:t>
            </w:r>
          </w:p>
        </w:tc>
      </w:tr>
    </w:tbl>
    <w:p>
      <w:pPr>
        <w:spacing w:before="10" w:after="10"/>
        <w:ind w:firstLine="640"/>
        <w:outlineLvl w:val="5"/>
        <w:rPr>
          <w:rFonts w:hint="eastAsia" w:ascii="黑体" w:hAnsi="黑体" w:eastAsia="黑体" w:cs="黑体"/>
          <w:color w:val="000000"/>
          <w:sz w:val="32"/>
          <w:szCs w:val="32"/>
        </w:rPr>
      </w:pPr>
    </w:p>
    <w:p>
      <w:pPr>
        <w:spacing w:before="10" w:after="10"/>
        <w:ind w:firstLine="640"/>
        <w:outlineLvl w:val="5"/>
      </w:pPr>
      <w:bookmarkStart w:id="19" w:name="_GoBack"/>
      <w:bookmarkEnd w:id="19"/>
      <w:r>
        <w:rPr>
          <w:rFonts w:hint="eastAsia" w:ascii="黑体" w:hAnsi="黑体" w:eastAsia="黑体" w:cs="黑体"/>
          <w:color w:val="000000"/>
          <w:sz w:val="32"/>
          <w:szCs w:val="32"/>
        </w:rPr>
        <w:t>二、单位预算安排的总体情况</w:t>
      </w:r>
    </w:p>
    <w:p>
      <w:pPr>
        <w:pStyle w:val="20"/>
        <w:rPr>
          <w:rFonts w:hint="eastAsia" w:eastAsia="方正仿宋_GBK" w:cs="方正仿宋_GBK"/>
          <w:color w:val="000000"/>
          <w:sz w:val="28"/>
          <w:szCs w:val="28"/>
        </w:rPr>
      </w:pPr>
      <w:r>
        <w:rPr>
          <w:rFonts w:hint="eastAsia" w:eastAsia="方正仿宋_GBK" w:cs="方正仿宋_GBK"/>
          <w:color w:val="000000"/>
          <w:sz w:val="28"/>
          <w:szCs w:val="28"/>
        </w:rPr>
        <w:t>按照预算管理有关规定，目前我省</w:t>
      </w:r>
      <w:r>
        <w:rPr>
          <w:rFonts w:hint="eastAsia" w:cs="方正仿宋_GBK"/>
          <w:color w:val="000000"/>
          <w:sz w:val="28"/>
          <w:szCs w:val="28"/>
          <w:lang w:val="en-US" w:eastAsia="zh-CN"/>
        </w:rPr>
        <w:t>单位</w:t>
      </w:r>
      <w:r>
        <w:rPr>
          <w:rFonts w:hint="eastAsia" w:eastAsia="方正仿宋_GBK" w:cs="方正仿宋_GBK"/>
          <w:color w:val="000000"/>
          <w:sz w:val="28"/>
          <w:szCs w:val="28"/>
        </w:rPr>
        <w:t>预算的编制实行综合预算管理，即全部收入和支出都反映在预算中。中国人民政治协商会议唐山市丰南区委员会办公室机关及所属事业单位的收支包含在</w:t>
      </w:r>
      <w:r>
        <w:rPr>
          <w:rFonts w:hint="eastAsia" w:cs="方正仿宋_GBK"/>
          <w:color w:val="000000"/>
          <w:sz w:val="28"/>
          <w:szCs w:val="28"/>
          <w:lang w:val="en-US" w:eastAsia="zh-CN"/>
        </w:rPr>
        <w:t>单位</w:t>
      </w:r>
      <w:r>
        <w:rPr>
          <w:rFonts w:hint="eastAsia" w:eastAsia="方正仿宋_GBK" w:cs="方正仿宋_GBK"/>
          <w:color w:val="000000"/>
          <w:sz w:val="28"/>
          <w:szCs w:val="28"/>
        </w:rPr>
        <w:t>预算中。</w:t>
      </w:r>
    </w:p>
    <w:p>
      <w:pPr>
        <w:pStyle w:val="20"/>
      </w:pPr>
      <w:r>
        <w:rPr>
          <w:rFonts w:hint="eastAsia" w:cs="方正仿宋_GBK"/>
          <w:lang w:val="en-US" w:eastAsia="zh-CN"/>
        </w:rPr>
        <w:t>1、</w:t>
      </w:r>
      <w:r>
        <w:rPr>
          <w:rFonts w:hint="eastAsia" w:cs="方正仿宋_GBK"/>
        </w:rPr>
        <w:t>收入说明</w:t>
      </w:r>
    </w:p>
    <w:p>
      <w:pPr>
        <w:pStyle w:val="20"/>
      </w:pPr>
      <w:r>
        <w:rPr>
          <w:rFonts w:hint="eastAsia"/>
          <w:lang w:val="en-US" w:eastAsia="zh-CN"/>
        </w:rPr>
        <w:t>反映本单位当年全部收入。</w:t>
      </w:r>
      <w:r>
        <w:t>2023</w:t>
      </w:r>
      <w:r>
        <w:rPr>
          <w:rFonts w:hint="eastAsia" w:cs="方正仿宋_GBK"/>
        </w:rPr>
        <w:t>年</w:t>
      </w:r>
      <w:r>
        <w:rPr>
          <w:rFonts w:hint="eastAsia" w:cs="方正仿宋_GBK"/>
          <w:lang w:val="en-US" w:eastAsia="zh-CN"/>
        </w:rPr>
        <w:t>单位</w:t>
      </w:r>
      <w:r>
        <w:rPr>
          <w:rFonts w:hint="eastAsia" w:cs="方正仿宋_GBK"/>
        </w:rPr>
        <w:t>预算收入</w:t>
      </w:r>
      <w:r>
        <w:t>696.64</w:t>
      </w:r>
      <w:r>
        <w:rPr>
          <w:rFonts w:hint="eastAsia" w:cs="方正仿宋_GBK"/>
        </w:rPr>
        <w:t>万元，其中：一般公共预算拨款</w:t>
      </w:r>
      <w:r>
        <w:t>696.64</w:t>
      </w:r>
      <w:r>
        <w:rPr>
          <w:rFonts w:hint="eastAsia" w:cs="方正仿宋_GBK"/>
        </w:rPr>
        <w:t>万元，政府性基金预算拨款</w:t>
      </w:r>
      <w:r>
        <w:t>0</w:t>
      </w:r>
      <w:r>
        <w:rPr>
          <w:rFonts w:hint="eastAsia" w:cs="方正仿宋_GBK"/>
        </w:rPr>
        <w:t>万元，国有资本经营预算拨款</w:t>
      </w:r>
      <w:r>
        <w:t>0</w:t>
      </w:r>
      <w:r>
        <w:rPr>
          <w:rFonts w:hint="eastAsia" w:cs="方正仿宋_GBK"/>
        </w:rPr>
        <w:t>万元，财政专户核拨</w:t>
      </w:r>
      <w:r>
        <w:t>0</w:t>
      </w:r>
      <w:r>
        <w:rPr>
          <w:rFonts w:hint="eastAsia" w:cs="方正仿宋_GBK"/>
        </w:rPr>
        <w:t>万元，单位资金</w:t>
      </w:r>
      <w:r>
        <w:t>0</w:t>
      </w:r>
      <w:r>
        <w:rPr>
          <w:rFonts w:hint="eastAsia" w:cs="方正仿宋_GBK"/>
        </w:rPr>
        <w:t>万元。</w:t>
      </w:r>
    </w:p>
    <w:p>
      <w:pPr>
        <w:pStyle w:val="20"/>
        <w:rPr>
          <w:rFonts w:hint="eastAsia" w:cs="方正仿宋_GBK"/>
          <w:lang w:val="en-US" w:eastAsia="zh-CN"/>
        </w:rPr>
      </w:pPr>
    </w:p>
    <w:p>
      <w:pPr>
        <w:pStyle w:val="20"/>
        <w:rPr>
          <w:rFonts w:hint="eastAsia" w:cs="方正仿宋_GBK"/>
          <w:lang w:val="en-US" w:eastAsia="zh-CN"/>
        </w:rPr>
      </w:pPr>
    </w:p>
    <w:p>
      <w:pPr>
        <w:pStyle w:val="20"/>
      </w:pPr>
      <w:r>
        <w:rPr>
          <w:rFonts w:hint="eastAsia" w:cs="方正仿宋_GBK"/>
          <w:lang w:val="en-US" w:eastAsia="zh-CN"/>
        </w:rPr>
        <w:t>2、</w:t>
      </w:r>
      <w:r>
        <w:rPr>
          <w:rFonts w:hint="eastAsia" w:cs="方正仿宋_GBK"/>
        </w:rPr>
        <w:t>支出说明</w:t>
      </w:r>
    </w:p>
    <w:p>
      <w:pPr>
        <w:pStyle w:val="20"/>
      </w:pPr>
      <w:r>
        <w:rPr>
          <w:rFonts w:hint="eastAsia"/>
        </w:rPr>
        <w:t>收支预算总表支出栏、基本支出表、项目支出表按经济分类和支出功能分类科目编制，反映</w:t>
      </w:r>
      <w:r>
        <w:rPr>
          <w:rFonts w:hint="eastAsia" w:eastAsia="方正仿宋_GBK" w:cs="方正仿宋_GBK"/>
          <w:color w:val="000000"/>
          <w:sz w:val="28"/>
          <w:szCs w:val="28"/>
        </w:rPr>
        <w:t>中国人民政治协商会议唐山市丰南区委员会办公室</w:t>
      </w:r>
      <w:r>
        <w:rPr>
          <w:rFonts w:hint="eastAsia"/>
        </w:rPr>
        <w:t>年度</w:t>
      </w:r>
      <w:r>
        <w:rPr>
          <w:rFonts w:hint="eastAsia"/>
          <w:lang w:val="en-US" w:eastAsia="zh-CN"/>
        </w:rPr>
        <w:t>单位</w:t>
      </w:r>
      <w:r>
        <w:rPr>
          <w:rFonts w:hint="eastAsia"/>
        </w:rPr>
        <w:t>预算中支出预算的总体情况。</w:t>
      </w:r>
      <w:r>
        <w:t>2023</w:t>
      </w:r>
      <w:r>
        <w:rPr>
          <w:rFonts w:hint="eastAsia" w:cs="方正仿宋_GBK"/>
        </w:rPr>
        <w:t>年</w:t>
      </w:r>
      <w:r>
        <w:rPr>
          <w:rFonts w:hint="eastAsia" w:cs="方正仿宋_GBK"/>
          <w:lang w:val="en-US" w:eastAsia="zh-CN"/>
        </w:rPr>
        <w:t>单位</w:t>
      </w:r>
      <w:r>
        <w:rPr>
          <w:rFonts w:hint="eastAsia" w:cs="方正仿宋_GBK"/>
        </w:rPr>
        <w:t>预算支出</w:t>
      </w:r>
      <w:r>
        <w:t>696.64</w:t>
      </w:r>
      <w:r>
        <w:rPr>
          <w:rFonts w:hint="eastAsia" w:cs="方正仿宋_GBK"/>
        </w:rPr>
        <w:t>万元，其中：</w:t>
      </w:r>
      <w:r>
        <w:rPr>
          <w:rFonts w:hint="eastAsia" w:cs="方正仿宋_GBK"/>
          <w:lang w:val="en-US" w:eastAsia="zh-CN"/>
        </w:rPr>
        <w:t>基本支出616.64万元，包括</w:t>
      </w:r>
      <w:r>
        <w:rPr>
          <w:rFonts w:hint="eastAsia" w:cs="方正仿宋_GBK"/>
        </w:rPr>
        <w:t>人员经费</w:t>
      </w:r>
      <w:r>
        <w:t>545.60</w:t>
      </w:r>
      <w:r>
        <w:rPr>
          <w:rFonts w:hint="eastAsia" w:cs="方正仿宋_GBK"/>
        </w:rPr>
        <w:t>万元</w:t>
      </w:r>
      <w:r>
        <w:rPr>
          <w:rFonts w:hint="eastAsia" w:cs="方正仿宋_GBK"/>
          <w:lang w:val="en-US" w:eastAsia="zh-CN"/>
        </w:rPr>
        <w:t>和</w:t>
      </w:r>
      <w:r>
        <w:rPr>
          <w:rFonts w:hint="eastAsia" w:cs="方正仿宋_GBK"/>
        </w:rPr>
        <w:t>日常公用经费</w:t>
      </w:r>
      <w:r>
        <w:t>71.04</w:t>
      </w:r>
      <w:r>
        <w:rPr>
          <w:rFonts w:hint="eastAsia" w:cs="方正仿宋_GBK"/>
        </w:rPr>
        <w:t>万元</w:t>
      </w:r>
      <w:r>
        <w:rPr>
          <w:rFonts w:hint="eastAsia" w:cs="方正仿宋_GBK"/>
          <w:lang w:eastAsia="zh-CN"/>
        </w:rPr>
        <w:t>；</w:t>
      </w:r>
      <w:r>
        <w:rPr>
          <w:rFonts w:hint="eastAsia" w:cs="方正仿宋_GBK"/>
        </w:rPr>
        <w:t>项目支出</w:t>
      </w:r>
      <w:r>
        <w:t>80.00</w:t>
      </w:r>
      <w:r>
        <w:rPr>
          <w:rFonts w:hint="eastAsia" w:cs="方正仿宋_GBK"/>
        </w:rPr>
        <w:t>万元</w:t>
      </w:r>
      <w:r>
        <w:rPr>
          <w:rFonts w:hint="eastAsia" w:cs="方正仿宋_GBK"/>
          <w:lang w:eastAsia="zh-CN"/>
        </w:rPr>
        <w:t>，</w:t>
      </w:r>
      <w:r>
        <w:rPr>
          <w:rFonts w:hint="eastAsia" w:cs="方正仿宋_GBK"/>
          <w:lang w:val="en-US" w:eastAsia="zh-CN"/>
        </w:rPr>
        <w:t>主要为政协会议费等</w:t>
      </w:r>
      <w:r>
        <w:rPr>
          <w:rFonts w:hint="eastAsia" w:cs="方正仿宋_GBK"/>
        </w:rPr>
        <w:t>。</w:t>
      </w:r>
    </w:p>
    <w:p>
      <w:pPr>
        <w:pStyle w:val="20"/>
      </w:pPr>
      <w:r>
        <w:rPr>
          <w:rFonts w:hint="eastAsia" w:cs="方正仿宋_GBK"/>
          <w:lang w:val="en-US" w:eastAsia="zh-CN"/>
        </w:rPr>
        <w:t>3、</w:t>
      </w:r>
      <w:r>
        <w:rPr>
          <w:rFonts w:hint="eastAsia" w:cs="方正仿宋_GBK"/>
        </w:rPr>
        <w:t>比上年增减情况</w:t>
      </w:r>
    </w:p>
    <w:p>
      <w:pPr>
        <w:pStyle w:val="20"/>
        <w:ind w:left="0" w:leftChars="0" w:firstLine="560" w:firstLineChars="200"/>
        <w:rPr>
          <w:rFonts w:hint="eastAsia" w:cs="方正仿宋_GBK"/>
        </w:rPr>
      </w:pPr>
      <w:r>
        <w:rPr>
          <w:rFonts w:hint="eastAsia"/>
          <w:lang w:val="en-US" w:eastAsia="zh-CN"/>
        </w:rPr>
        <w:t>2023年预算收支安排696.64万元，</w:t>
      </w:r>
      <w:r>
        <w:rPr>
          <w:rFonts w:hint="eastAsia" w:cs="方正仿宋_GBK"/>
        </w:rPr>
        <w:t>较</w:t>
      </w:r>
      <w:r>
        <w:t>2022</w:t>
      </w:r>
      <w:r>
        <w:rPr>
          <w:rFonts w:hint="eastAsia" w:cs="方正仿宋_GBK"/>
        </w:rPr>
        <w:t>年</w:t>
      </w:r>
      <w:r>
        <w:rPr>
          <w:rFonts w:hint="eastAsia" w:cs="方正仿宋_GBK"/>
          <w:lang w:val="en-US" w:eastAsia="zh-CN"/>
        </w:rPr>
        <w:t>预算</w:t>
      </w:r>
      <w:r>
        <w:rPr>
          <w:rFonts w:hint="eastAsia" w:cs="方正仿宋_GBK"/>
        </w:rPr>
        <w:t>增加</w:t>
      </w:r>
      <w:r>
        <w:t>130.90</w:t>
      </w:r>
      <w:r>
        <w:rPr>
          <w:rFonts w:hint="eastAsia" w:cs="方正仿宋_GBK"/>
        </w:rPr>
        <w:t>万元，</w:t>
      </w:r>
      <w:r>
        <w:rPr>
          <w:rFonts w:hint="eastAsia" w:cs="方正仿宋_GBK"/>
          <w:lang w:val="en-US" w:eastAsia="zh-CN"/>
        </w:rPr>
        <w:t>其中基本支出增加130.9万元，主要为增加</w:t>
      </w:r>
      <w:r>
        <w:rPr>
          <w:rFonts w:hint="eastAsia" w:cs="方正仿宋_GBK"/>
        </w:rPr>
        <w:t>人员经费</w:t>
      </w:r>
      <w:r>
        <w:rPr>
          <w:rFonts w:hint="eastAsia" w:cs="方正仿宋_GBK"/>
          <w:lang w:val="en-US" w:eastAsia="zh-CN"/>
        </w:rPr>
        <w:t>支出</w:t>
      </w:r>
      <w:r>
        <w:rPr>
          <w:rFonts w:hint="eastAsia"/>
          <w:lang w:eastAsia="zh-CN"/>
        </w:rPr>
        <w:t>；</w:t>
      </w:r>
      <w:r>
        <w:rPr>
          <w:rFonts w:hint="eastAsia" w:cs="方正仿宋_GBK"/>
        </w:rPr>
        <w:t>项目经费</w:t>
      </w:r>
      <w:r>
        <w:rPr>
          <w:rFonts w:hint="eastAsia" w:cs="方正仿宋_GBK"/>
          <w:lang w:val="en-US" w:eastAsia="zh-CN"/>
        </w:rPr>
        <w:t>支出增加</w:t>
      </w:r>
      <w:r>
        <w:t>0</w:t>
      </w:r>
      <w:r>
        <w:rPr>
          <w:rFonts w:hint="eastAsia" w:cs="方正仿宋_GBK"/>
        </w:rPr>
        <w:t>万元。</w:t>
      </w:r>
    </w:p>
    <w:p>
      <w:pPr>
        <w:spacing w:before="10" w:after="10"/>
        <w:ind w:firstLine="640"/>
        <w:outlineLvl w:val="5"/>
        <w:rPr>
          <w:rFonts w:hint="eastAsia" w:ascii="黑体" w:hAnsi="黑体" w:eastAsia="黑体" w:cs="黑体"/>
          <w:color w:val="000000"/>
          <w:sz w:val="32"/>
          <w:szCs w:val="32"/>
        </w:rPr>
      </w:pPr>
    </w:p>
    <w:p>
      <w:pPr>
        <w:spacing w:before="10" w:after="10"/>
        <w:ind w:firstLine="640"/>
        <w:outlineLvl w:val="5"/>
      </w:pPr>
      <w:r>
        <w:rPr>
          <w:rFonts w:hint="eastAsia" w:ascii="黑体" w:hAnsi="黑体" w:eastAsia="黑体" w:cs="黑体"/>
          <w:color w:val="000000"/>
          <w:sz w:val="32"/>
          <w:szCs w:val="32"/>
        </w:rPr>
        <w:t>三、机关运行经费安排情况</w:t>
      </w:r>
    </w:p>
    <w:p>
      <w:pPr>
        <w:pStyle w:val="29"/>
      </w:pPr>
      <w:r>
        <w:t>2023</w:t>
      </w:r>
      <w:r>
        <w:rPr>
          <w:rFonts w:hint="eastAsia" w:cs="方正仿宋_GBK"/>
        </w:rPr>
        <w:t>年机关运行经费共计安排</w:t>
      </w:r>
      <w:r>
        <w:t>71.04</w:t>
      </w:r>
      <w:r>
        <w:rPr>
          <w:rFonts w:hint="eastAsia" w:cs="方正仿宋_GBK"/>
        </w:rPr>
        <w:t>万元，主要包括用于保证机关正常运转的办公及邮电费、公务用车运行维护费、公务接待费、工会费、福利费、移动通讯补贴、交通补贴、非定额安排公用经费等支出。</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pStyle w:val="30"/>
      </w:pPr>
      <w:r>
        <w:t>2023</w:t>
      </w:r>
      <w:r>
        <w:rPr>
          <w:rFonts w:hint="eastAsia" w:cs="方正仿宋_GBK"/>
        </w:rPr>
        <w:t>年单位</w:t>
      </w:r>
      <w:r>
        <w:t>“</w:t>
      </w:r>
      <w:r>
        <w:rPr>
          <w:rFonts w:hint="eastAsia" w:cs="方正仿宋_GBK"/>
        </w:rPr>
        <w:t>三公</w:t>
      </w:r>
      <w:r>
        <w:t>”</w:t>
      </w:r>
      <w:r>
        <w:rPr>
          <w:rFonts w:hint="eastAsia" w:cs="方正仿宋_GBK"/>
        </w:rPr>
        <w:t>经费预算安排</w:t>
      </w:r>
      <w:r>
        <w:t>20</w:t>
      </w:r>
      <w:r>
        <w:rPr>
          <w:rFonts w:hint="eastAsia" w:cs="方正仿宋_GBK"/>
        </w:rPr>
        <w:t>万元，比</w:t>
      </w:r>
      <w:r>
        <w:t>2022</w:t>
      </w:r>
      <w:r>
        <w:rPr>
          <w:rFonts w:hint="eastAsia" w:cs="方正仿宋_GBK"/>
        </w:rPr>
        <w:t>年增加</w:t>
      </w:r>
      <w:r>
        <w:t>0</w:t>
      </w:r>
      <w:r>
        <w:rPr>
          <w:rFonts w:hint="eastAsia" w:cs="方正仿宋_GBK"/>
        </w:rPr>
        <w:t>万元。具体增减情况为：</w:t>
      </w:r>
    </w:p>
    <w:p>
      <w:pPr>
        <w:pStyle w:val="30"/>
      </w:pPr>
      <w:r>
        <w:rPr>
          <w:rFonts w:hint="eastAsia" w:cs="方正仿宋_GBK"/>
        </w:rPr>
        <w:t>（一）公务用车购置及运行费</w:t>
      </w:r>
      <w:r>
        <w:t>10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30"/>
      </w:pPr>
      <w:r>
        <w:rPr>
          <w:rFonts w:hint="eastAsia" w:cs="方正仿宋_GBK"/>
        </w:rPr>
        <w:t>（二）公务接待费</w:t>
      </w:r>
      <w:r>
        <w:t>10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30"/>
      </w:pPr>
      <w:r>
        <w:rPr>
          <w:rFonts w:hint="eastAsia" w:cs="方正仿宋_GBK"/>
        </w:rPr>
        <w:t>（三）因公出国（境）费</w:t>
      </w:r>
      <w:r>
        <w:t>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五、预算绩效信息</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t>1</w:t>
            </w:r>
            <w:r>
              <w:rPr>
                <w:rFonts w:hint="eastAsia"/>
              </w:rPr>
              <w:t>政协机关以及政协委员顺利开展各项工作活动；</w:t>
            </w:r>
          </w:p>
          <w:p>
            <w:pPr>
              <w:pStyle w:val="14"/>
              <w:rPr>
                <w:rFonts w:cs="Times New Roman"/>
              </w:rPr>
            </w:pPr>
            <w:r>
              <w:t>2.</w:t>
            </w:r>
            <w:r>
              <w:rPr>
                <w:rFonts w:hint="eastAsia"/>
              </w:rPr>
              <w:t>目标内容</w:t>
            </w:r>
            <w:r>
              <w:t>2</w:t>
            </w:r>
            <w:r>
              <w:rPr>
                <w:rFonts w:hint="eastAsia"/>
              </w:rPr>
              <w:t>汇聚才智，为经济社会发展建睿智之言，献务实之策，不断提高建言立论的质量和水平。</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开展参政议政调研活动次数</w:t>
            </w:r>
          </w:p>
        </w:tc>
        <w:tc>
          <w:tcPr>
            <w:tcW w:w="2835" w:type="dxa"/>
            <w:vAlign w:val="center"/>
          </w:tcPr>
          <w:p>
            <w:pPr>
              <w:pStyle w:val="14"/>
              <w:rPr>
                <w:rFonts w:cs="Times New Roman"/>
              </w:rPr>
            </w:pPr>
            <w:r>
              <w:rPr>
                <w:rFonts w:hint="eastAsia"/>
              </w:rPr>
              <w:t>开展参政议政调研活动次数</w:t>
            </w:r>
          </w:p>
        </w:tc>
        <w:tc>
          <w:tcPr>
            <w:tcW w:w="2551" w:type="dxa"/>
            <w:vAlign w:val="center"/>
          </w:tcPr>
          <w:p>
            <w:pPr>
              <w:pStyle w:val="14"/>
              <w:rPr>
                <w:rFonts w:cs="Times New Roman"/>
              </w:rPr>
            </w:pPr>
            <w:r>
              <w:rPr>
                <w:rFonts w:hint="eastAsia"/>
              </w:rPr>
              <w:t>≥</w:t>
            </w:r>
            <w:r>
              <w:t>5</w:t>
            </w:r>
            <w:r>
              <w:rPr>
                <w:rFonts w:hint="eastAsia"/>
              </w:rPr>
              <w:t>次</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综合业务管理工作完成率</w:t>
            </w:r>
          </w:p>
        </w:tc>
        <w:tc>
          <w:tcPr>
            <w:tcW w:w="2835" w:type="dxa"/>
            <w:vAlign w:val="center"/>
          </w:tcPr>
          <w:p>
            <w:pPr>
              <w:pStyle w:val="14"/>
              <w:rPr>
                <w:rFonts w:cs="Times New Roman"/>
              </w:rPr>
            </w:pPr>
            <w:r>
              <w:rPr>
                <w:rFonts w:hint="eastAsia"/>
              </w:rPr>
              <w:t>综合业务管理工作完成率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工作任务完成及时率</w:t>
            </w:r>
          </w:p>
        </w:tc>
        <w:tc>
          <w:tcPr>
            <w:tcW w:w="2835" w:type="dxa"/>
            <w:vAlign w:val="center"/>
          </w:tcPr>
          <w:p>
            <w:pPr>
              <w:pStyle w:val="14"/>
              <w:rPr>
                <w:rFonts w:cs="Times New Roman"/>
              </w:rPr>
            </w:pPr>
            <w:r>
              <w:rPr>
                <w:rFonts w:hint="eastAsia"/>
              </w:rPr>
              <w:t>工作任务完成及时率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差旅住宿标准、印刷材料等费用</w:t>
            </w:r>
          </w:p>
        </w:tc>
        <w:tc>
          <w:tcPr>
            <w:tcW w:w="2835" w:type="dxa"/>
            <w:vAlign w:val="center"/>
          </w:tcPr>
          <w:p>
            <w:pPr>
              <w:pStyle w:val="14"/>
              <w:rPr>
                <w:rFonts w:cs="Times New Roman"/>
              </w:rPr>
            </w:pPr>
            <w:r>
              <w:rPr>
                <w:rFonts w:hint="eastAsia"/>
              </w:rPr>
              <w:t>差旅住宿标准、印刷材料等费用</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保障业务工作有序开展</w:t>
            </w:r>
          </w:p>
        </w:tc>
        <w:tc>
          <w:tcPr>
            <w:tcW w:w="2835" w:type="dxa"/>
            <w:vAlign w:val="center"/>
          </w:tcPr>
          <w:p>
            <w:pPr>
              <w:pStyle w:val="14"/>
              <w:rPr>
                <w:rFonts w:cs="Times New Roman"/>
              </w:rPr>
            </w:pPr>
            <w:r>
              <w:rPr>
                <w:rFonts w:hint="eastAsia"/>
              </w:rPr>
              <w:t>保障业务工作有序开展</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可持续影响指标</w:t>
            </w:r>
          </w:p>
        </w:tc>
        <w:tc>
          <w:tcPr>
            <w:tcW w:w="2835" w:type="dxa"/>
            <w:vAlign w:val="center"/>
          </w:tcPr>
          <w:p>
            <w:pPr>
              <w:pStyle w:val="14"/>
              <w:rPr>
                <w:rFonts w:cs="Times New Roman"/>
              </w:rPr>
            </w:pPr>
            <w:r>
              <w:rPr>
                <w:rFonts w:hint="eastAsia"/>
              </w:rPr>
              <w:t>调研报告、社情民意信息得到有关部门、上级领导等反馈率</w:t>
            </w:r>
          </w:p>
        </w:tc>
        <w:tc>
          <w:tcPr>
            <w:tcW w:w="2835" w:type="dxa"/>
            <w:vAlign w:val="center"/>
          </w:tcPr>
          <w:p>
            <w:pPr>
              <w:pStyle w:val="14"/>
              <w:rPr>
                <w:rFonts w:cs="Times New Roman"/>
              </w:rPr>
            </w:pPr>
            <w:r>
              <w:rPr>
                <w:rFonts w:hint="eastAsia"/>
              </w:rPr>
              <w:t>调研报告、社情民意信息得到有关部门、上级领导等反馈率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服务对象满意度</w:t>
            </w:r>
          </w:p>
        </w:tc>
        <w:tc>
          <w:tcPr>
            <w:tcW w:w="2835" w:type="dxa"/>
            <w:vAlign w:val="center"/>
          </w:tcPr>
          <w:p>
            <w:pPr>
              <w:pStyle w:val="14"/>
              <w:rPr>
                <w:rFonts w:cs="Times New Roman"/>
              </w:rPr>
            </w:pPr>
            <w:r>
              <w:rPr>
                <w:rFonts w:hint="eastAsia"/>
              </w:rPr>
              <w:t>服务对象满意度</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、政协会议费绩效目标表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t>1</w:t>
            </w:r>
            <w:r>
              <w:rPr>
                <w:rFonts w:hint="eastAsia"/>
              </w:rPr>
              <w:t>组织召开政协七届三次会议以及其他零星会议，保障各项会议顺利进行；</w:t>
            </w:r>
          </w:p>
          <w:p>
            <w:pPr>
              <w:pStyle w:val="14"/>
              <w:rPr>
                <w:rFonts w:cs="Times New Roman"/>
              </w:rPr>
            </w:pPr>
            <w:r>
              <w:t>2.</w:t>
            </w:r>
            <w:r>
              <w:rPr>
                <w:rFonts w:hint="eastAsia"/>
              </w:rPr>
              <w:t>目标内容</w:t>
            </w:r>
            <w:r>
              <w:t>2</w:t>
            </w:r>
            <w:r>
              <w:rPr>
                <w:rFonts w:hint="eastAsia"/>
              </w:rPr>
              <w:t>完善各项会议制度，规范会议程序，提高会议质量，提高政治协商水平。</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会议计划执行率</w:t>
            </w:r>
          </w:p>
          <w:p>
            <w:pPr>
              <w:pStyle w:val="14"/>
              <w:rPr>
                <w:rFonts w:cs="Times New Roman"/>
              </w:rPr>
            </w:pPr>
          </w:p>
        </w:tc>
        <w:tc>
          <w:tcPr>
            <w:tcW w:w="2835" w:type="dxa"/>
            <w:vAlign w:val="center"/>
          </w:tcPr>
          <w:p>
            <w:pPr>
              <w:pStyle w:val="14"/>
              <w:rPr>
                <w:rFonts w:cs="Times New Roman"/>
              </w:rPr>
            </w:pPr>
            <w:r>
              <w:rPr>
                <w:rFonts w:hint="eastAsia"/>
              </w:rPr>
              <w:t>按照要求和计划会议执行率</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参会率</w:t>
            </w:r>
          </w:p>
        </w:tc>
        <w:tc>
          <w:tcPr>
            <w:tcW w:w="2835" w:type="dxa"/>
            <w:vAlign w:val="center"/>
          </w:tcPr>
          <w:p>
            <w:pPr>
              <w:pStyle w:val="14"/>
              <w:rPr>
                <w:rFonts w:cs="Times New Roman"/>
              </w:rPr>
            </w:pPr>
            <w:r>
              <w:rPr>
                <w:rFonts w:hint="eastAsia"/>
              </w:rPr>
              <w:t>每次会议实际参会人数占应参会人数的比例</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会议组织情况</w:t>
            </w:r>
          </w:p>
        </w:tc>
        <w:tc>
          <w:tcPr>
            <w:tcW w:w="2835" w:type="dxa"/>
            <w:vAlign w:val="center"/>
          </w:tcPr>
          <w:p>
            <w:pPr>
              <w:pStyle w:val="14"/>
              <w:rPr>
                <w:rFonts w:cs="Times New Roman"/>
              </w:rPr>
            </w:pPr>
            <w:r>
              <w:rPr>
                <w:rFonts w:hint="eastAsia"/>
              </w:rPr>
              <w:t>会议组织情况</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会议费用标准</w:t>
            </w:r>
          </w:p>
          <w:p>
            <w:pPr>
              <w:pStyle w:val="14"/>
              <w:rPr>
                <w:rFonts w:cs="Times New Roman"/>
              </w:rPr>
            </w:pPr>
          </w:p>
        </w:tc>
        <w:tc>
          <w:tcPr>
            <w:tcW w:w="2835" w:type="dxa"/>
            <w:vAlign w:val="center"/>
          </w:tcPr>
          <w:p>
            <w:pPr>
              <w:pStyle w:val="14"/>
              <w:rPr>
                <w:rFonts w:cs="Times New Roman"/>
              </w:rPr>
            </w:pPr>
            <w:r>
              <w:rPr>
                <w:rFonts w:hint="eastAsia"/>
              </w:rPr>
              <w:t>会议费用标准</w:t>
            </w:r>
          </w:p>
          <w:p>
            <w:pPr>
              <w:pStyle w:val="14"/>
              <w:rPr>
                <w:rFonts w:cs="Times New Roman"/>
              </w:rPr>
            </w:pP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经济效益指标</w:t>
            </w:r>
          </w:p>
        </w:tc>
        <w:tc>
          <w:tcPr>
            <w:tcW w:w="2835" w:type="dxa"/>
            <w:vAlign w:val="center"/>
          </w:tcPr>
          <w:p>
            <w:pPr>
              <w:pStyle w:val="14"/>
              <w:rPr>
                <w:rFonts w:cs="Times New Roman"/>
              </w:rPr>
            </w:pPr>
            <w:r>
              <w:rPr>
                <w:rFonts w:hint="eastAsia"/>
              </w:rPr>
              <w:t>反映会议预期经济效益目标的实现程度</w:t>
            </w:r>
          </w:p>
        </w:tc>
        <w:tc>
          <w:tcPr>
            <w:tcW w:w="2551" w:type="dxa"/>
            <w:vAlign w:val="center"/>
          </w:tcPr>
          <w:p>
            <w:pPr>
              <w:pStyle w:val="14"/>
              <w:rPr>
                <w:rFonts w:cs="Times New Roman"/>
              </w:rPr>
            </w:pPr>
            <w:r>
              <w:rPr>
                <w:rFonts w:hint="eastAsia"/>
              </w:rPr>
              <w:t>社会反响</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反映发挥协调关系、汇聚力量、建言献策、服务大局作用的情况</w:t>
            </w:r>
          </w:p>
        </w:tc>
        <w:tc>
          <w:tcPr>
            <w:tcW w:w="2551" w:type="dxa"/>
            <w:vAlign w:val="center"/>
          </w:tcPr>
          <w:p>
            <w:pPr>
              <w:pStyle w:val="14"/>
              <w:rPr>
                <w:rFonts w:cs="Times New Roman"/>
              </w:rPr>
            </w:pPr>
            <w:r>
              <w:rPr>
                <w:rFonts w:hint="eastAsia"/>
              </w:rPr>
              <w:t>社会反响</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服务对象满意度</w:t>
            </w:r>
          </w:p>
        </w:tc>
        <w:tc>
          <w:tcPr>
            <w:tcW w:w="2835" w:type="dxa"/>
            <w:vAlign w:val="center"/>
          </w:tcPr>
          <w:p>
            <w:pPr>
              <w:pStyle w:val="14"/>
              <w:rPr>
                <w:rFonts w:cs="Times New Roman"/>
              </w:rPr>
            </w:pPr>
            <w:r>
              <w:rPr>
                <w:rFonts w:hint="eastAsia"/>
              </w:rPr>
              <w:t>参会人员对会议组织的满意度</w:t>
            </w:r>
          </w:p>
        </w:tc>
        <w:tc>
          <w:tcPr>
            <w:tcW w:w="2551" w:type="dxa"/>
            <w:vAlign w:val="center"/>
          </w:tcPr>
          <w:p>
            <w:pPr>
              <w:pStyle w:val="14"/>
            </w:pPr>
            <w:r>
              <w:rPr>
                <w:rFonts w:hint="eastAsia"/>
              </w:rPr>
              <w:t>≥</w:t>
            </w:r>
            <w:r>
              <w:t>90%</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年，中国人民政治协商会议唐山市丰南区委员会办公室本级安排政府采购预算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7710" w:type="dxa"/>
            <w:gridSpan w:val="8"/>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财政拨</w:t>
            </w:r>
            <w:r>
              <w:t xml:space="preserve">    </w:t>
            </w:r>
            <w:r>
              <w:rPr>
                <w:rFonts w:hint="eastAsia"/>
              </w:rPr>
              <w:t>款结转</w:t>
            </w:r>
          </w:p>
        </w:tc>
        <w:tc>
          <w:tcPr>
            <w:tcW w:w="964" w:type="dxa"/>
            <w:vAlign w:val="center"/>
          </w:tcPr>
          <w:p>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中国人民政治协商会议唐山市丰南区委员会办公室本级上年末固定资产金额为</w:t>
      </w:r>
      <w:r>
        <w:rPr>
          <w:rFonts w:eastAsia="方正仿宋_GBK"/>
          <w:color w:val="000000"/>
          <w:sz w:val="28"/>
          <w:szCs w:val="28"/>
        </w:rPr>
        <w:t>73.38</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cs="Times New Roman"/>
              </w:rPr>
            </w:pPr>
            <w:r>
              <w:t>302001</w:t>
            </w:r>
            <w:r>
              <w:rPr>
                <w:rFonts w:hint="eastAsia"/>
              </w:rPr>
              <w:t>中国人民政治协商会议唐山市丰南区委员会办公室本级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资产总额</w:t>
            </w:r>
          </w:p>
        </w:tc>
        <w:tc>
          <w:tcPr>
            <w:tcW w:w="2835" w:type="dxa"/>
            <w:vAlign w:val="center"/>
          </w:tcPr>
          <w:p>
            <w:pPr>
              <w:pStyle w:val="15"/>
              <w:rPr>
                <w:rFonts w:cs="Times New Roman"/>
              </w:rPr>
            </w:pPr>
          </w:p>
        </w:tc>
        <w:tc>
          <w:tcPr>
            <w:tcW w:w="2835" w:type="dxa"/>
            <w:vAlign w:val="center"/>
          </w:tcPr>
          <w:p>
            <w:pPr>
              <w:pStyle w:val="13"/>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1</w:t>
            </w:r>
            <w:r>
              <w:rPr>
                <w:rFonts w:hint="eastAsia"/>
              </w:rPr>
              <w:t>、房屋（平方米）</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　　其中：办公用房（平方米）</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2</w:t>
            </w:r>
            <w:r>
              <w:rPr>
                <w:rFonts w:hint="eastAsia"/>
              </w:rPr>
              <w:t>、车辆（台、辆）</w:t>
            </w:r>
          </w:p>
        </w:tc>
        <w:tc>
          <w:tcPr>
            <w:tcW w:w="2835" w:type="dxa"/>
            <w:vAlign w:val="center"/>
          </w:tcPr>
          <w:p>
            <w:pPr>
              <w:pStyle w:val="15"/>
              <w:rPr>
                <w:rFonts w:cs="Times New Roman"/>
              </w:rPr>
            </w:pPr>
          </w:p>
        </w:tc>
        <w:tc>
          <w:tcPr>
            <w:tcW w:w="2835" w:type="dxa"/>
            <w:vAlign w:val="center"/>
          </w:tcPr>
          <w:p>
            <w:pPr>
              <w:pStyle w:val="13"/>
            </w:pPr>
            <w:r>
              <w:t>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3</w:t>
            </w:r>
            <w:r>
              <w:rPr>
                <w:rFonts w:hint="eastAsia"/>
              </w:rPr>
              <w:t>、单价在</w:t>
            </w:r>
            <w:r>
              <w:t>20</w:t>
            </w:r>
            <w:r>
              <w:rPr>
                <w:rFonts w:hint="eastAsia"/>
              </w:rPr>
              <w:t>万元以上的设备</w:t>
            </w:r>
          </w:p>
        </w:tc>
        <w:tc>
          <w:tcPr>
            <w:tcW w:w="2835" w:type="dxa"/>
            <w:vAlign w:val="center"/>
          </w:tcPr>
          <w:p>
            <w:pPr>
              <w:pStyle w:val="15"/>
              <w:rPr>
                <w:rFonts w:cs="Times New Roman"/>
              </w:rPr>
            </w:pPr>
          </w:p>
        </w:tc>
        <w:tc>
          <w:tcPr>
            <w:tcW w:w="2835"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4</w:t>
            </w:r>
            <w:r>
              <w:rPr>
                <w:rFonts w:hint="eastAsia"/>
              </w:rPr>
              <w:t>、其他固定资产</w:t>
            </w:r>
          </w:p>
        </w:tc>
        <w:tc>
          <w:tcPr>
            <w:tcW w:w="2835" w:type="dxa"/>
            <w:vAlign w:val="center"/>
          </w:tcPr>
          <w:p>
            <w:pPr>
              <w:pStyle w:val="15"/>
              <w:rPr>
                <w:rFonts w:cs="Times New Roman"/>
              </w:rPr>
            </w:pPr>
          </w:p>
        </w:tc>
        <w:tc>
          <w:tcPr>
            <w:tcW w:w="2835" w:type="dxa"/>
            <w:vAlign w:val="center"/>
          </w:tcPr>
          <w:p>
            <w:pPr>
              <w:pStyle w:val="13"/>
            </w:pPr>
            <w:r>
              <w:t>36.95</w:t>
            </w:r>
          </w:p>
        </w:tc>
      </w:tr>
    </w:tbl>
    <w:p>
      <w:pPr>
        <w:ind w:firstLine="640"/>
      </w:pP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指省级财政当年拨付的资金。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纳入省级财政预算管理的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compatSetting w:name="compatibilityMode" w:uri="http://schemas.microsoft.com/office/word" w:val="12"/>
  </w:compat>
  <w:docVars>
    <w:docVar w:name="commondata" w:val="eyJoZGlkIjoiYjZlZWI4NWE4NmIxYjRiNmE5MzYyNmI0YjgyZWUzMmYifQ=="/>
    <w:docVar w:name="KSO_WPS_MARK_KEY" w:val="cb499086-bf13-45e0-930d-dd4661abe8c6"/>
  </w:docVars>
  <w:rsids>
    <w:rsidRoot w:val="00000C5D"/>
    <w:rsid w:val="00000C5D"/>
    <w:rsid w:val="00110FA2"/>
    <w:rsid w:val="002066E9"/>
    <w:rsid w:val="002C1E01"/>
    <w:rsid w:val="0064046A"/>
    <w:rsid w:val="00732F96"/>
    <w:rsid w:val="00A3657E"/>
    <w:rsid w:val="00BA4292"/>
    <w:rsid w:val="00C92190"/>
    <w:rsid w:val="00F612CF"/>
    <w:rsid w:val="0B2F5BD1"/>
    <w:rsid w:val="33F02119"/>
    <w:rsid w:val="3A2200E1"/>
    <w:rsid w:val="5FAC6DA8"/>
    <w:rsid w:val="6FD8515F"/>
    <w:rsid w:val="722E0F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582A73-B8F6-43CE-B472-001557BC71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14841</Words>
  <Characters>18020</Characters>
  <Lines>166</Lines>
  <Paragraphs>46</Paragraphs>
  <TotalTime>1</TotalTime>
  <ScaleCrop>false</ScaleCrop>
  <LinksUpToDate>false</LinksUpToDate>
  <CharactersWithSpaces>18296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2023-02-07T01:41:00Z</dcterms:created>
  <dc:creator>Microsoft</dc:creator>
  <cp:lastModifiedBy>Administrator</cp:lastModifiedBy>
  <dcterms:modified xsi:type="dcterms:W3CDTF">2024-10-25T07:06:19Z</dcterms:modified>
  <dc:title>2023年部门预算信息公开目录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0CC1720C408F44C48AC05199847BB1DB_12</vt:lpwstr>
  </property>
</Properties>
</file>