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1C790">
      <w:pPr>
        <w:jc w:val="center"/>
        <w:rPr>
          <w:rFonts w:hint="default"/>
          <w:sz w:val="32"/>
          <w:szCs w:val="32"/>
          <w:lang w:val="en-US" w:eastAsia="zh-CN"/>
        </w:rPr>
      </w:pPr>
      <w:r>
        <w:rPr>
          <w:rFonts w:hint="eastAsia"/>
          <w:sz w:val="32"/>
          <w:szCs w:val="32"/>
          <w:lang w:val="en-US" w:eastAsia="zh-CN"/>
        </w:rPr>
        <w:t>丰南区城乡居民基本养老保险基金绩效评价指标表</w:t>
      </w:r>
    </w:p>
    <w:tbl>
      <w:tblPr>
        <w:tblStyle w:val="2"/>
        <w:tblW w:w="9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6"/>
        <w:gridCol w:w="813"/>
        <w:gridCol w:w="1255"/>
        <w:gridCol w:w="4971"/>
        <w:gridCol w:w="1876"/>
      </w:tblGrid>
      <w:tr w14:paraId="31A3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24" w:hRule="atLeast"/>
        </w:trPr>
        <w:tc>
          <w:tcPr>
            <w:tcW w:w="9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E259571">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00" w:lineRule="atLeast"/>
              <w:ind w:left="0" w:right="0"/>
              <w:jc w:val="center"/>
              <w:rPr>
                <w:rFonts w:hint="default" w:ascii="none" w:hAnsi="none" w:eastAsia="none" w:cs="none"/>
                <w:i w:val="0"/>
                <w:iCs w:val="0"/>
                <w:sz w:val="19"/>
                <w:szCs w:val="19"/>
              </w:rPr>
            </w:pPr>
            <w:r>
              <w:rPr>
                <w:rFonts w:hint="default" w:ascii="none" w:hAnsi="none" w:eastAsia="none" w:cs="none"/>
                <w:b/>
                <w:bCs/>
                <w:i w:val="0"/>
                <w:iCs w:val="0"/>
                <w:caps w:val="0"/>
                <w:color w:val="333333"/>
                <w:spacing w:val="0"/>
                <w:kern w:val="0"/>
                <w:sz w:val="19"/>
                <w:szCs w:val="19"/>
                <w:lang w:val="en-US" w:eastAsia="zh-CN" w:bidi="ar"/>
              </w:rPr>
              <w:t>一级指标</w:t>
            </w:r>
          </w:p>
        </w:tc>
        <w:tc>
          <w:tcPr>
            <w:tcW w:w="81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89B5E3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00" w:lineRule="atLeast"/>
              <w:ind w:left="0" w:right="0"/>
              <w:jc w:val="center"/>
              <w:rPr>
                <w:rFonts w:hint="default" w:ascii="none" w:hAnsi="none" w:eastAsia="none" w:cs="none"/>
                <w:i w:val="0"/>
                <w:iCs w:val="0"/>
                <w:sz w:val="19"/>
                <w:szCs w:val="19"/>
              </w:rPr>
            </w:pPr>
            <w:r>
              <w:rPr>
                <w:rFonts w:hint="default" w:ascii="none" w:hAnsi="none" w:eastAsia="none" w:cs="none"/>
                <w:b/>
                <w:bCs/>
                <w:i w:val="0"/>
                <w:iCs w:val="0"/>
                <w:caps w:val="0"/>
                <w:color w:val="333333"/>
                <w:spacing w:val="0"/>
                <w:kern w:val="0"/>
                <w:sz w:val="19"/>
                <w:szCs w:val="19"/>
                <w:lang w:val="en-US" w:eastAsia="zh-CN" w:bidi="ar"/>
              </w:rPr>
              <w:t>二级指标</w:t>
            </w:r>
          </w:p>
        </w:tc>
        <w:tc>
          <w:tcPr>
            <w:tcW w:w="125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F377F11">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00" w:lineRule="atLeast"/>
              <w:ind w:left="0" w:right="0"/>
              <w:jc w:val="center"/>
              <w:rPr>
                <w:rFonts w:hint="default" w:ascii="none" w:hAnsi="none" w:eastAsia="none" w:cs="none"/>
                <w:i w:val="0"/>
                <w:iCs w:val="0"/>
                <w:sz w:val="19"/>
                <w:szCs w:val="19"/>
              </w:rPr>
            </w:pPr>
            <w:r>
              <w:rPr>
                <w:rFonts w:hint="default" w:ascii="none" w:hAnsi="none" w:eastAsia="none" w:cs="none"/>
                <w:b/>
                <w:bCs/>
                <w:i w:val="0"/>
                <w:iCs w:val="0"/>
                <w:caps w:val="0"/>
                <w:color w:val="333333"/>
                <w:spacing w:val="0"/>
                <w:kern w:val="0"/>
                <w:sz w:val="19"/>
                <w:szCs w:val="19"/>
                <w:lang w:val="en-US" w:eastAsia="zh-CN" w:bidi="ar"/>
              </w:rPr>
              <w:t>三级指标</w:t>
            </w:r>
          </w:p>
        </w:tc>
        <w:tc>
          <w:tcPr>
            <w:tcW w:w="497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B9547BE">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00" w:lineRule="atLeast"/>
              <w:ind w:left="0" w:right="0"/>
              <w:jc w:val="center"/>
              <w:rPr>
                <w:rFonts w:hint="default" w:ascii="none" w:hAnsi="none" w:eastAsia="none" w:cs="none"/>
                <w:i w:val="0"/>
                <w:iCs w:val="0"/>
                <w:sz w:val="19"/>
                <w:szCs w:val="19"/>
              </w:rPr>
            </w:pPr>
            <w:r>
              <w:rPr>
                <w:rFonts w:hint="default" w:ascii="none" w:hAnsi="none" w:eastAsia="none" w:cs="none"/>
                <w:b/>
                <w:bCs/>
                <w:i w:val="0"/>
                <w:iCs w:val="0"/>
                <w:caps w:val="0"/>
                <w:color w:val="333333"/>
                <w:spacing w:val="0"/>
                <w:kern w:val="0"/>
                <w:sz w:val="19"/>
                <w:szCs w:val="19"/>
                <w:lang w:val="en-US" w:eastAsia="zh-CN" w:bidi="ar"/>
              </w:rPr>
              <w:t>评分标准</w:t>
            </w:r>
          </w:p>
        </w:tc>
        <w:tc>
          <w:tcPr>
            <w:tcW w:w="18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101C204">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00" w:lineRule="atLeast"/>
              <w:ind w:left="0" w:right="0"/>
              <w:jc w:val="center"/>
              <w:rPr>
                <w:rFonts w:hint="default" w:ascii="none" w:hAnsi="none" w:eastAsia="none" w:cs="none"/>
                <w:b/>
                <w:bCs/>
                <w:i w:val="0"/>
                <w:iCs w:val="0"/>
                <w:caps w:val="0"/>
                <w:color w:val="333333"/>
                <w:spacing w:val="0"/>
                <w:kern w:val="0"/>
                <w:sz w:val="19"/>
                <w:szCs w:val="19"/>
                <w:lang w:val="en-US" w:eastAsia="zh-CN" w:bidi="ar"/>
              </w:rPr>
            </w:pPr>
            <w:r>
              <w:rPr>
                <w:rFonts w:hint="eastAsia" w:ascii="none" w:hAnsi="none" w:eastAsia="none" w:cs="none"/>
                <w:b/>
                <w:bCs/>
                <w:i w:val="0"/>
                <w:iCs w:val="0"/>
                <w:caps w:val="0"/>
                <w:color w:val="333333"/>
                <w:spacing w:val="0"/>
                <w:kern w:val="0"/>
                <w:sz w:val="19"/>
                <w:szCs w:val="19"/>
                <w:lang w:val="en-US" w:eastAsia="zh-CN" w:bidi="ar"/>
              </w:rPr>
              <w:t>评价得分</w:t>
            </w:r>
          </w:p>
        </w:tc>
      </w:tr>
      <w:tr w14:paraId="4ED9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0" w:hRule="atLeast"/>
        </w:trPr>
        <w:tc>
          <w:tcPr>
            <w:tcW w:w="93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DB785B2">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决策</w:t>
            </w:r>
            <w:r>
              <w:rPr>
                <w:rFonts w:hint="eastAsia" w:ascii="仿宋" w:hAnsi="仿宋" w:eastAsia="仿宋" w:cs="仿宋"/>
                <w:i w:val="0"/>
                <w:iCs w:val="0"/>
                <w:caps w:val="0"/>
                <w:color w:val="333333"/>
                <w:spacing w:val="0"/>
                <w:kern w:val="0"/>
                <w:sz w:val="24"/>
                <w:szCs w:val="24"/>
                <w:lang w:val="en-US" w:eastAsia="zh-CN" w:bidi="ar"/>
              </w:rPr>
              <w:t>指标</w:t>
            </w:r>
            <w:r>
              <w:rPr>
                <w:rFonts w:hint="default" w:ascii="仿宋" w:hAnsi="仿宋" w:eastAsia="仿宋" w:cs="仿宋"/>
                <w:i w:val="0"/>
                <w:iCs w:val="0"/>
                <w:caps w:val="0"/>
                <w:color w:val="333333"/>
                <w:spacing w:val="0"/>
                <w:kern w:val="0"/>
                <w:sz w:val="24"/>
                <w:szCs w:val="24"/>
                <w:lang w:val="en-US" w:eastAsia="zh-CN" w:bidi="ar"/>
              </w:rPr>
              <w:t>（</w:t>
            </w:r>
            <w:r>
              <w:rPr>
                <w:rFonts w:hint="eastAsia" w:ascii="仿宋" w:hAnsi="仿宋" w:eastAsia="仿宋" w:cs="仿宋"/>
                <w:i w:val="0"/>
                <w:iCs w:val="0"/>
                <w:caps w:val="0"/>
                <w:color w:val="333333"/>
                <w:spacing w:val="0"/>
                <w:kern w:val="0"/>
                <w:sz w:val="24"/>
                <w:szCs w:val="24"/>
                <w:lang w:val="en-US" w:eastAsia="zh-CN" w:bidi="ar"/>
              </w:rPr>
              <w:t>11分</w:t>
            </w:r>
            <w:r>
              <w:rPr>
                <w:rFonts w:hint="default" w:ascii="仿宋" w:hAnsi="仿宋" w:eastAsia="仿宋" w:cs="仿宋"/>
                <w:i w:val="0"/>
                <w:iCs w:val="0"/>
                <w:caps w:val="0"/>
                <w:color w:val="333333"/>
                <w:spacing w:val="0"/>
                <w:kern w:val="0"/>
                <w:sz w:val="24"/>
                <w:szCs w:val="24"/>
                <w:lang w:val="en-US" w:eastAsia="zh-CN" w:bidi="ar"/>
              </w:rPr>
              <w:t>）</w:t>
            </w:r>
          </w:p>
        </w:tc>
        <w:tc>
          <w:tcPr>
            <w:tcW w:w="813" w:type="dxa"/>
            <w:tcBorders>
              <w:top w:val="nil"/>
              <w:left w:val="nil"/>
              <w:bottom w:val="single" w:color="auto" w:sz="8" w:space="0"/>
              <w:right w:val="single" w:color="auto" w:sz="8" w:space="0"/>
            </w:tcBorders>
            <w:shd w:val="clear" w:color="auto" w:fill="FFFFFF"/>
            <w:tcMar>
              <w:left w:w="108" w:type="dxa"/>
              <w:right w:w="108" w:type="dxa"/>
            </w:tcMar>
            <w:vAlign w:val="center"/>
          </w:tcPr>
          <w:p w14:paraId="5BF57B54">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政策制定</w:t>
            </w: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36396CBA">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政策制定规范性（4分）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3E698059">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default" w:ascii="仿宋" w:hAnsi="仿宋" w:eastAsia="仿宋" w:cs="仿宋"/>
                <w:i w:val="0"/>
                <w:iCs w:val="0"/>
                <w:caps w:val="0"/>
                <w:color w:val="333333"/>
                <w:spacing w:val="0"/>
                <w:kern w:val="0"/>
                <w:sz w:val="24"/>
                <w:szCs w:val="24"/>
                <w:lang w:val="en-US" w:eastAsia="zh-CN" w:bidi="ar"/>
              </w:rPr>
              <w:t>①</w:t>
            </w:r>
            <w:r>
              <w:rPr>
                <w:rFonts w:hint="eastAsia" w:ascii="仿宋" w:hAnsi="仿宋" w:eastAsia="仿宋" w:cs="仿宋"/>
                <w:i w:val="0"/>
                <w:iCs w:val="0"/>
                <w:caps w:val="0"/>
                <w:color w:val="333333"/>
                <w:spacing w:val="0"/>
                <w:kern w:val="0"/>
                <w:sz w:val="24"/>
                <w:szCs w:val="24"/>
                <w:lang w:val="en-US" w:eastAsia="zh-CN" w:bidi="ar"/>
              </w:rPr>
              <w:t>城乡居民基本养老保险现行各项制度是否按照中央和省级有关制度合理建立（1分）；</w:t>
            </w:r>
            <w:r>
              <w:rPr>
                <w:rFonts w:hint="default" w:ascii="仿宋" w:hAnsi="仿宋" w:eastAsia="仿宋" w:cs="仿宋"/>
                <w:i w:val="0"/>
                <w:iCs w:val="0"/>
                <w:caps w:val="0"/>
                <w:color w:val="333333"/>
                <w:spacing w:val="0"/>
                <w:kern w:val="0"/>
                <w:sz w:val="24"/>
                <w:szCs w:val="24"/>
                <w:lang w:val="en-US" w:eastAsia="zh-CN" w:bidi="ar"/>
              </w:rPr>
              <w:t>②</w:t>
            </w:r>
            <w:r>
              <w:rPr>
                <w:rFonts w:hint="eastAsia" w:ascii="仿宋" w:hAnsi="仿宋" w:eastAsia="仿宋" w:cs="仿宋"/>
                <w:i w:val="0"/>
                <w:iCs w:val="0"/>
                <w:caps w:val="0"/>
                <w:color w:val="333333"/>
                <w:spacing w:val="0"/>
                <w:kern w:val="0"/>
                <w:sz w:val="24"/>
                <w:szCs w:val="24"/>
                <w:lang w:val="en-US" w:eastAsia="zh-CN" w:bidi="ar"/>
              </w:rPr>
              <w:t>是否配套存在完整的财政补助机制（1分）、基金管理机制（1分）、基金监督机制（1分）</w:t>
            </w:r>
            <w:r>
              <w:rPr>
                <w:rFonts w:hint="eastAsia" w:ascii="宋体" w:hAnsi="宋体" w:eastAsia="宋体" w:cs="宋体"/>
                <w:i w:val="0"/>
                <w:iCs w:val="0"/>
                <w:color w:val="000000"/>
                <w:kern w:val="0"/>
                <w:sz w:val="22"/>
                <w:szCs w:val="22"/>
                <w:u w:val="none"/>
                <w:lang w:val="en-US" w:eastAsia="zh-CN" w:bidi="ar"/>
              </w:rPr>
              <w:t>。</w:t>
            </w:r>
            <w:r>
              <w:rPr>
                <w:rFonts w:hint="default" w:ascii="仿宋" w:hAnsi="仿宋" w:eastAsia="仿宋" w:cs="仿宋"/>
                <w:i w:val="0"/>
                <w:iCs w:val="0"/>
                <w:caps w:val="0"/>
                <w:color w:val="333333"/>
                <w:spacing w:val="0"/>
                <w:kern w:val="0"/>
                <w:sz w:val="24"/>
                <w:szCs w:val="24"/>
                <w:lang w:val="en-US" w:eastAsia="zh-CN" w:bidi="ar"/>
              </w:rPr>
              <w:t>一项不符合扣1分，扣完为止。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05E228C3">
            <w:pPr>
              <w:keepNext w:val="0"/>
              <w:keepLines w:val="0"/>
              <w:widowControl/>
              <w:suppressLineNumbers w:val="0"/>
              <w:jc w:val="center"/>
              <w:textAlignment w:val="center"/>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4</w:t>
            </w:r>
          </w:p>
          <w:p w14:paraId="3EC629A7">
            <w:pPr>
              <w:keepNext w:val="0"/>
              <w:keepLines w:val="0"/>
              <w:widowControl/>
              <w:suppressLineNumbers w:val="0"/>
              <w:jc w:val="center"/>
              <w:textAlignment w:val="center"/>
              <w:rPr>
                <w:rFonts w:hint="default" w:ascii="仿宋" w:hAnsi="仿宋" w:eastAsia="仿宋" w:cs="仿宋"/>
                <w:i w:val="0"/>
                <w:iCs w:val="0"/>
                <w:caps w:val="0"/>
                <w:color w:val="333333"/>
                <w:spacing w:val="0"/>
                <w:kern w:val="0"/>
                <w:sz w:val="24"/>
                <w:szCs w:val="24"/>
                <w:lang w:val="en-US" w:eastAsia="zh-CN" w:bidi="ar"/>
              </w:rPr>
            </w:pPr>
          </w:p>
        </w:tc>
      </w:tr>
      <w:tr w14:paraId="0BFB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FC583C4">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2EEE3792">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绩效指标</w:t>
            </w: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64DBA454">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绩效指标合理性</w:t>
            </w:r>
            <w:r>
              <w:rPr>
                <w:rFonts w:hint="eastAsia" w:ascii="仿宋" w:hAnsi="仿宋" w:eastAsia="仿宋" w:cs="仿宋"/>
                <w:i w:val="0"/>
                <w:iCs w:val="0"/>
                <w:caps w:val="0"/>
                <w:color w:val="333333"/>
                <w:spacing w:val="0"/>
                <w:kern w:val="0"/>
                <w:sz w:val="24"/>
                <w:szCs w:val="24"/>
                <w:lang w:val="en-US" w:eastAsia="zh-CN" w:bidi="ar"/>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1B34A3BF">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①项目是否有绩效目标；②项目绩效目标与实际工作内容是否具有相关性；③项目预期产出效益和效果是否符合正常的业绩水平；④是否与</w:t>
            </w:r>
            <w:r>
              <w:rPr>
                <w:rFonts w:hint="eastAsia" w:ascii="仿宋" w:hAnsi="仿宋" w:eastAsia="仿宋" w:cs="仿宋"/>
                <w:i w:val="0"/>
                <w:iCs w:val="0"/>
                <w:caps w:val="0"/>
                <w:color w:val="333333"/>
                <w:spacing w:val="0"/>
                <w:kern w:val="0"/>
                <w:sz w:val="24"/>
                <w:szCs w:val="24"/>
                <w:lang w:val="en-US" w:eastAsia="zh-CN" w:bidi="ar"/>
              </w:rPr>
              <w:t>基金</w:t>
            </w:r>
            <w:r>
              <w:rPr>
                <w:rFonts w:hint="default" w:ascii="仿宋" w:hAnsi="仿宋" w:eastAsia="仿宋" w:cs="仿宋"/>
                <w:i w:val="0"/>
                <w:iCs w:val="0"/>
                <w:caps w:val="0"/>
                <w:color w:val="333333"/>
                <w:spacing w:val="0"/>
                <w:kern w:val="0"/>
                <w:sz w:val="24"/>
                <w:szCs w:val="24"/>
                <w:lang w:val="en-US" w:eastAsia="zh-CN" w:bidi="ar"/>
              </w:rPr>
              <w:t>预算确定的项目投</w:t>
            </w:r>
            <w:r>
              <w:rPr>
                <w:rFonts w:hint="eastAsia" w:ascii="仿宋" w:hAnsi="仿宋" w:eastAsia="仿宋" w:cs="仿宋"/>
                <w:i w:val="0"/>
                <w:iCs w:val="0"/>
                <w:caps w:val="0"/>
                <w:color w:val="333333"/>
                <w:spacing w:val="0"/>
                <w:kern w:val="0"/>
                <w:sz w:val="24"/>
                <w:szCs w:val="24"/>
                <w:lang w:val="en-US" w:eastAsia="zh-CN" w:bidi="ar"/>
              </w:rPr>
              <w:t>入</w:t>
            </w:r>
            <w:r>
              <w:rPr>
                <w:rFonts w:hint="default" w:ascii="仿宋" w:hAnsi="仿宋" w:eastAsia="仿宋" w:cs="仿宋"/>
                <w:i w:val="0"/>
                <w:iCs w:val="0"/>
                <w:caps w:val="0"/>
                <w:color w:val="333333"/>
                <w:spacing w:val="0"/>
                <w:kern w:val="0"/>
                <w:sz w:val="24"/>
                <w:szCs w:val="24"/>
                <w:lang w:val="en-US" w:eastAsia="zh-CN" w:bidi="ar"/>
              </w:rPr>
              <w:t>额或资金量相匹配。一项不符合扣1分，扣完为止。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4333BF0C">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4</w:t>
            </w:r>
          </w:p>
        </w:tc>
      </w:tr>
      <w:tr w14:paraId="79F1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00"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53650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25C402B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56EBFED4">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绩效指标明确性</w:t>
            </w:r>
            <w:r>
              <w:rPr>
                <w:rFonts w:hint="eastAsia" w:ascii="仿宋" w:hAnsi="仿宋" w:eastAsia="仿宋" w:cs="仿宋"/>
                <w:i w:val="0"/>
                <w:iCs w:val="0"/>
                <w:caps w:val="0"/>
                <w:color w:val="333333"/>
                <w:spacing w:val="0"/>
                <w:kern w:val="0"/>
                <w:sz w:val="24"/>
                <w:szCs w:val="24"/>
                <w:lang w:val="en-US" w:eastAsia="zh-CN" w:bidi="ar"/>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top"/>
          </w:tcPr>
          <w:p w14:paraId="463F031F">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①是否将项目绩效目标细化分解为具体的绩效指标；②是否通过清晰、可衡量的指标值予以体现；③是否与项目目标任务数或计划数相对应。一项不符合扣1分，扣完为止。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top"/>
          </w:tcPr>
          <w:p w14:paraId="792E635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eastAsia" w:ascii="仿宋" w:hAnsi="仿宋" w:eastAsia="仿宋" w:cs="仿宋"/>
                <w:i w:val="0"/>
                <w:iCs w:val="0"/>
                <w:caps w:val="0"/>
                <w:color w:val="333333"/>
                <w:spacing w:val="0"/>
                <w:kern w:val="0"/>
                <w:sz w:val="24"/>
                <w:szCs w:val="24"/>
                <w:lang w:val="en-US" w:eastAsia="zh-CN" w:bidi="ar"/>
              </w:rPr>
            </w:pPr>
          </w:p>
          <w:p w14:paraId="20B8FEE4">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4</w:t>
            </w:r>
          </w:p>
        </w:tc>
      </w:tr>
      <w:tr w14:paraId="7200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1" w:hRule="atLeast"/>
        </w:trPr>
        <w:tc>
          <w:tcPr>
            <w:tcW w:w="936" w:type="dxa"/>
            <w:vMerge w:val="restart"/>
            <w:tcBorders>
              <w:top w:val="nil"/>
              <w:left w:val="single" w:color="auto" w:sz="8" w:space="0"/>
              <w:right w:val="single" w:color="auto" w:sz="8" w:space="0"/>
            </w:tcBorders>
            <w:shd w:val="clear" w:color="auto" w:fill="FFFFFF"/>
            <w:tcMar>
              <w:left w:w="108" w:type="dxa"/>
              <w:right w:w="108" w:type="dxa"/>
            </w:tcMar>
            <w:vAlign w:val="center"/>
          </w:tcPr>
          <w:p w14:paraId="5587AED6">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过程</w:t>
            </w:r>
            <w:r>
              <w:rPr>
                <w:rFonts w:hint="eastAsia" w:ascii="仿宋" w:hAnsi="仿宋" w:eastAsia="仿宋" w:cs="仿宋"/>
                <w:i w:val="0"/>
                <w:iCs w:val="0"/>
                <w:caps w:val="0"/>
                <w:color w:val="333333"/>
                <w:spacing w:val="0"/>
                <w:kern w:val="0"/>
                <w:sz w:val="24"/>
                <w:szCs w:val="24"/>
                <w:lang w:val="en-US" w:eastAsia="zh-CN" w:bidi="ar"/>
              </w:rPr>
              <w:t>指标</w:t>
            </w:r>
            <w:r>
              <w:rPr>
                <w:rFonts w:hint="default" w:ascii="仿宋" w:hAnsi="仿宋" w:eastAsia="仿宋" w:cs="仿宋"/>
                <w:i w:val="0"/>
                <w:iCs w:val="0"/>
                <w:caps w:val="0"/>
                <w:color w:val="333333"/>
                <w:spacing w:val="0"/>
                <w:kern w:val="0"/>
                <w:sz w:val="24"/>
                <w:szCs w:val="24"/>
                <w:lang w:val="en-US" w:eastAsia="zh-CN" w:bidi="ar"/>
              </w:rPr>
              <w:t>（</w:t>
            </w:r>
            <w:r>
              <w:rPr>
                <w:rFonts w:hint="eastAsia" w:ascii="仿宋" w:hAnsi="仿宋" w:eastAsia="仿宋" w:cs="仿宋"/>
                <w:i w:val="0"/>
                <w:iCs w:val="0"/>
                <w:caps w:val="0"/>
                <w:color w:val="333333"/>
                <w:spacing w:val="0"/>
                <w:kern w:val="0"/>
                <w:sz w:val="24"/>
                <w:szCs w:val="24"/>
                <w:lang w:val="en-US" w:eastAsia="zh-CN" w:bidi="ar"/>
              </w:rPr>
              <w:t>20</w:t>
            </w:r>
            <w:r>
              <w:rPr>
                <w:rFonts w:hint="default" w:ascii="仿宋" w:hAnsi="仿宋" w:eastAsia="仿宋" w:cs="仿宋"/>
                <w:i w:val="0"/>
                <w:iCs w:val="0"/>
                <w:caps w:val="0"/>
                <w:color w:val="333333"/>
                <w:spacing w:val="0"/>
                <w:kern w:val="0"/>
                <w:sz w:val="24"/>
                <w:szCs w:val="24"/>
                <w:lang w:val="en-US" w:eastAsia="zh-CN" w:bidi="ar"/>
              </w:rPr>
              <w:t>）</w:t>
            </w:r>
          </w:p>
        </w:tc>
        <w:tc>
          <w:tcPr>
            <w:tcW w:w="813" w:type="dxa"/>
            <w:vMerge w:val="restart"/>
            <w:tcBorders>
              <w:top w:val="nil"/>
              <w:left w:val="nil"/>
              <w:right w:val="single" w:color="auto" w:sz="8" w:space="0"/>
            </w:tcBorders>
            <w:shd w:val="clear" w:color="auto" w:fill="FFFFFF"/>
            <w:tcMar>
              <w:left w:w="108" w:type="dxa"/>
              <w:right w:w="108" w:type="dxa"/>
            </w:tcMar>
            <w:vAlign w:val="center"/>
          </w:tcPr>
          <w:p w14:paraId="0679FF2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基金预算管理</w:t>
            </w:r>
          </w:p>
          <w:p w14:paraId="4E37B66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248AA41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leftChars="0" w:right="0" w:rightChars="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预算编制科学性</w:t>
            </w:r>
            <w:r>
              <w:rPr>
                <w:rFonts w:hint="eastAsia" w:ascii="仿宋" w:hAnsi="仿宋" w:eastAsia="仿宋" w:cs="仿宋"/>
                <w:i w:val="0"/>
                <w:iCs w:val="0"/>
                <w:caps w:val="0"/>
                <w:color w:val="333333"/>
                <w:spacing w:val="0"/>
                <w:kern w:val="0"/>
                <w:sz w:val="24"/>
                <w:szCs w:val="24"/>
                <w:lang w:val="en-US" w:eastAsia="zh-CN" w:bidi="ar"/>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5B6504B2">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leftChars="0" w:right="0" w:rightChars="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①预算编制是否经过科学论证；②预算内容与项目内容是否匹配；③预算额度测算依据是否充分，是否按照标准编制；④预算确定的项目</w:t>
            </w:r>
            <w:r>
              <w:rPr>
                <w:rFonts w:hint="eastAsia" w:ascii="仿宋" w:hAnsi="仿宋" w:eastAsia="仿宋" w:cs="仿宋"/>
                <w:i w:val="0"/>
                <w:iCs w:val="0"/>
                <w:caps w:val="0"/>
                <w:color w:val="333333"/>
                <w:spacing w:val="0"/>
                <w:kern w:val="0"/>
                <w:sz w:val="24"/>
                <w:szCs w:val="24"/>
                <w:lang w:val="en-US" w:eastAsia="zh-CN" w:bidi="ar"/>
              </w:rPr>
              <w:t>投入</w:t>
            </w:r>
            <w:r>
              <w:rPr>
                <w:rFonts w:hint="default" w:ascii="仿宋" w:hAnsi="仿宋" w:eastAsia="仿宋" w:cs="仿宋"/>
                <w:i w:val="0"/>
                <w:iCs w:val="0"/>
                <w:caps w:val="0"/>
                <w:color w:val="333333"/>
                <w:spacing w:val="0"/>
                <w:kern w:val="0"/>
                <w:sz w:val="24"/>
                <w:szCs w:val="24"/>
                <w:lang w:val="en-US" w:eastAsia="zh-CN" w:bidi="ar"/>
              </w:rPr>
              <w:t>额或资金量是否与</w:t>
            </w:r>
            <w:r>
              <w:rPr>
                <w:rFonts w:hint="eastAsia" w:ascii="仿宋" w:hAnsi="仿宋" w:eastAsia="仿宋" w:cs="仿宋"/>
                <w:i w:val="0"/>
                <w:iCs w:val="0"/>
                <w:caps w:val="0"/>
                <w:color w:val="333333"/>
                <w:spacing w:val="0"/>
                <w:kern w:val="0"/>
                <w:sz w:val="24"/>
                <w:szCs w:val="24"/>
                <w:lang w:val="en-US" w:eastAsia="zh-CN" w:bidi="ar"/>
              </w:rPr>
              <w:t>基金管理</w:t>
            </w:r>
            <w:r>
              <w:rPr>
                <w:rFonts w:hint="default" w:ascii="仿宋" w:hAnsi="仿宋" w:eastAsia="仿宋" w:cs="仿宋"/>
                <w:i w:val="0"/>
                <w:iCs w:val="0"/>
                <w:caps w:val="0"/>
                <w:color w:val="333333"/>
                <w:spacing w:val="0"/>
                <w:kern w:val="0"/>
                <w:sz w:val="24"/>
                <w:szCs w:val="24"/>
                <w:lang w:val="en-US" w:eastAsia="zh-CN" w:bidi="ar"/>
              </w:rPr>
              <w:t>任务相匹配。一项不符合扣1分，扣完为止。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44A79F6C">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leftChars="0" w:right="0" w:rightChars="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4</w:t>
            </w:r>
          </w:p>
        </w:tc>
      </w:tr>
      <w:tr w14:paraId="08E5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36" w:type="dxa"/>
            <w:vMerge w:val="continue"/>
            <w:tcBorders>
              <w:left w:val="single" w:color="auto" w:sz="8" w:space="0"/>
              <w:right w:val="single" w:color="auto" w:sz="8" w:space="0"/>
            </w:tcBorders>
            <w:shd w:val="clear" w:color="auto" w:fill="FFFFFF"/>
            <w:tcMar>
              <w:left w:w="108" w:type="dxa"/>
              <w:right w:w="108" w:type="dxa"/>
            </w:tcMar>
            <w:vAlign w:val="center"/>
          </w:tcPr>
          <w:p w14:paraId="046AC86D">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left w:val="nil"/>
              <w:bottom w:val="single" w:color="auto" w:sz="8" w:space="0"/>
              <w:right w:val="single" w:color="auto" w:sz="8" w:space="0"/>
            </w:tcBorders>
            <w:shd w:val="clear" w:color="auto" w:fill="FFFFFF"/>
            <w:tcMar>
              <w:left w:w="108" w:type="dxa"/>
              <w:right w:w="108" w:type="dxa"/>
            </w:tcMar>
            <w:vAlign w:val="center"/>
          </w:tcPr>
          <w:p w14:paraId="088E5061">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767AF42D">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资金使用合理性</w:t>
            </w:r>
            <w:r>
              <w:rPr>
                <w:rFonts w:hint="eastAsia" w:ascii="仿宋" w:hAnsi="仿宋" w:eastAsia="仿宋" w:cs="仿宋"/>
                <w:i w:val="0"/>
                <w:iCs w:val="0"/>
                <w:caps w:val="0"/>
                <w:color w:val="333333"/>
                <w:spacing w:val="0"/>
                <w:kern w:val="0"/>
                <w:sz w:val="24"/>
                <w:szCs w:val="24"/>
                <w:lang w:val="en-US" w:eastAsia="zh-CN" w:bidi="ar"/>
              </w:rPr>
              <w:t>（5分）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5FB5E757">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①是否符合国家</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社会保险法</w:t>
            </w: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和</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基金</w:t>
            </w: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财务管理制度以及有关专项资金管理办法的规定；②资金的拨付是否</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符合河北省社会保险基金收支管理业务流程；</w:t>
            </w: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③是否存在截留、挤占、挪用、虚列支出等情况。一项不符合扣1分，扣完为止。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15C4CB16">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5</w:t>
            </w:r>
          </w:p>
        </w:tc>
      </w:tr>
      <w:tr w14:paraId="7523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36" w:type="dxa"/>
            <w:vMerge w:val="continue"/>
            <w:tcBorders>
              <w:left w:val="single" w:color="auto" w:sz="8" w:space="0"/>
              <w:right w:val="single" w:color="auto" w:sz="8" w:space="0"/>
            </w:tcBorders>
            <w:shd w:val="clear" w:color="auto" w:fill="FFFFFF"/>
            <w:tcMar>
              <w:left w:w="108" w:type="dxa"/>
              <w:right w:w="108" w:type="dxa"/>
            </w:tcMar>
            <w:vAlign w:val="center"/>
          </w:tcPr>
          <w:p w14:paraId="3A2261BA">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restart"/>
            <w:tcBorders>
              <w:top w:val="nil"/>
              <w:left w:val="nil"/>
              <w:right w:val="single" w:color="auto" w:sz="8" w:space="0"/>
            </w:tcBorders>
            <w:shd w:val="clear" w:color="auto" w:fill="FFFFFF"/>
            <w:tcMar>
              <w:left w:w="108" w:type="dxa"/>
              <w:right w:w="108" w:type="dxa"/>
            </w:tcMar>
            <w:vAlign w:val="center"/>
          </w:tcPr>
          <w:p w14:paraId="50AA8CF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组织实施</w:t>
            </w: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4E7F920B">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管理制度健全性</w:t>
            </w:r>
            <w:r>
              <w:rPr>
                <w:rFonts w:hint="eastAsia" w:ascii="仿宋" w:hAnsi="仿宋" w:eastAsia="仿宋" w:cs="仿宋"/>
                <w:i w:val="0"/>
                <w:iCs w:val="0"/>
                <w:caps w:val="0"/>
                <w:color w:val="333333"/>
                <w:spacing w:val="0"/>
                <w:kern w:val="0"/>
                <w:sz w:val="24"/>
                <w:szCs w:val="24"/>
                <w:lang w:val="en-US" w:eastAsia="zh-CN" w:bidi="ar"/>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34584E87">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①是否已制定或具有相应的财务和业务管理制度；②财务和业务管理制度是否合法、合规、完整</w:t>
            </w:r>
            <w:r>
              <w:rPr>
                <w:rFonts w:hint="eastAsia" w:ascii="仿宋" w:hAnsi="仿宋" w:eastAsia="仿宋" w:cs="仿宋"/>
                <w:i w:val="0"/>
                <w:iCs w:val="0"/>
                <w:caps w:val="0"/>
                <w:color w:val="333333"/>
                <w:spacing w:val="0"/>
                <w:kern w:val="0"/>
                <w:sz w:val="24"/>
                <w:szCs w:val="24"/>
                <w:lang w:val="en-US" w:eastAsia="zh-CN" w:bidi="ar"/>
              </w:rPr>
              <w:t>；</w:t>
            </w: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③</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基金专户管理是否符合社会保险基金财政专户会计核算办法;</w:t>
            </w:r>
            <w:r>
              <w:rPr>
                <w:rFonts w:hint="default" w:ascii="仿宋" w:hAnsi="仿宋" w:eastAsia="仿宋" w:cs="仿宋"/>
                <w:i w:val="0"/>
                <w:iCs w:val="0"/>
                <w:caps w:val="0"/>
                <w:color w:val="333333"/>
                <w:spacing w:val="0"/>
                <w:kern w:val="0"/>
                <w:sz w:val="24"/>
                <w:szCs w:val="24"/>
                <w:lang w:val="en-US" w:eastAsia="zh-CN" w:bidi="ar"/>
              </w:rPr>
              <w:t>④</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落实相关政策的具体措施</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w:t>
            </w: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br w:type="textWrapping"/>
            </w:r>
            <w:r>
              <w:rPr>
                <w:rFonts w:hint="default" w:ascii="仿宋" w:hAnsi="仿宋" w:eastAsia="仿宋" w:cs="仿宋"/>
                <w:i w:val="0"/>
                <w:iCs w:val="0"/>
                <w:caps w:val="0"/>
                <w:color w:val="333333"/>
                <w:spacing w:val="0"/>
                <w:kern w:val="0"/>
                <w:sz w:val="24"/>
                <w:szCs w:val="24"/>
                <w:lang w:val="en-US" w:eastAsia="zh-CN" w:bidi="ar"/>
              </w:rPr>
              <w:t>一项不符合扣</w:t>
            </w:r>
            <w:r>
              <w:rPr>
                <w:rFonts w:hint="eastAsia" w:ascii="仿宋" w:hAnsi="仿宋" w:eastAsia="仿宋" w:cs="仿宋"/>
                <w:i w:val="0"/>
                <w:iCs w:val="0"/>
                <w:caps w:val="0"/>
                <w:color w:val="333333"/>
                <w:spacing w:val="0"/>
                <w:kern w:val="0"/>
                <w:sz w:val="24"/>
                <w:szCs w:val="24"/>
                <w:lang w:val="en-US" w:eastAsia="zh-CN" w:bidi="ar"/>
              </w:rPr>
              <w:t>1</w:t>
            </w:r>
            <w:r>
              <w:rPr>
                <w:rFonts w:hint="default" w:ascii="仿宋" w:hAnsi="仿宋" w:eastAsia="仿宋" w:cs="仿宋"/>
                <w:i w:val="0"/>
                <w:iCs w:val="0"/>
                <w:caps w:val="0"/>
                <w:color w:val="333333"/>
                <w:spacing w:val="0"/>
                <w:kern w:val="0"/>
                <w:sz w:val="24"/>
                <w:szCs w:val="24"/>
                <w:lang w:val="en-US" w:eastAsia="zh-CN" w:bidi="ar"/>
              </w:rPr>
              <w:t>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3561922F">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3</w:t>
            </w:r>
          </w:p>
        </w:tc>
      </w:tr>
      <w:tr w14:paraId="6F9E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36" w:type="dxa"/>
            <w:vMerge w:val="continue"/>
            <w:tcBorders>
              <w:left w:val="single" w:color="auto" w:sz="8" w:space="0"/>
              <w:right w:val="single" w:color="auto" w:sz="8" w:space="0"/>
            </w:tcBorders>
            <w:shd w:val="clear" w:color="auto" w:fill="FFFFFF"/>
            <w:tcMar>
              <w:left w:w="108" w:type="dxa"/>
              <w:right w:w="108" w:type="dxa"/>
            </w:tcMar>
            <w:vAlign w:val="center"/>
          </w:tcPr>
          <w:p w14:paraId="59BFBBF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left w:val="nil"/>
              <w:right w:val="single" w:color="auto" w:sz="8" w:space="0"/>
            </w:tcBorders>
            <w:shd w:val="clear" w:color="auto" w:fill="FFFFFF"/>
            <w:tcMar>
              <w:left w:w="108" w:type="dxa"/>
              <w:right w:w="108" w:type="dxa"/>
            </w:tcMar>
            <w:vAlign w:val="center"/>
          </w:tcPr>
          <w:p w14:paraId="752DD55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0AD4DE7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制度执行有效性</w:t>
            </w:r>
            <w:r>
              <w:rPr>
                <w:rFonts w:hint="eastAsia" w:ascii="仿宋" w:hAnsi="仿宋" w:eastAsia="仿宋" w:cs="仿宋"/>
                <w:i w:val="0"/>
                <w:iCs w:val="0"/>
                <w:caps w:val="0"/>
                <w:color w:val="333333"/>
                <w:spacing w:val="0"/>
                <w:kern w:val="0"/>
                <w:sz w:val="24"/>
                <w:szCs w:val="24"/>
                <w:lang w:val="en-US" w:eastAsia="zh-CN" w:bidi="ar"/>
              </w:rPr>
              <w:t>（5分）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7DDF0153">
            <w:pPr>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①</w:t>
            </w:r>
            <w:r>
              <w:rPr>
                <w:rFonts w:hint="eastAsia" w:ascii="仿宋" w:hAnsi="仿宋" w:eastAsia="仿宋" w:cs="仿宋"/>
                <w:i w:val="0"/>
                <w:iCs w:val="0"/>
                <w:caps w:val="0"/>
                <w:color w:val="333333"/>
                <w:spacing w:val="0"/>
                <w:kern w:val="0"/>
                <w:sz w:val="24"/>
                <w:szCs w:val="24"/>
                <w:lang w:val="en-US" w:eastAsia="zh-CN" w:bidi="ar"/>
              </w:rPr>
              <w:t>基金相关管理人员是否熟悉并遵循相应的管理制度；</w:t>
            </w:r>
            <w:r>
              <w:rPr>
                <w:rFonts w:hint="default" w:ascii="仿宋" w:hAnsi="仿宋" w:eastAsia="仿宋" w:cs="仿宋"/>
                <w:i w:val="0"/>
                <w:iCs w:val="0"/>
                <w:caps w:val="0"/>
                <w:color w:val="333333"/>
                <w:spacing w:val="0"/>
                <w:kern w:val="0"/>
                <w:sz w:val="24"/>
                <w:szCs w:val="24"/>
                <w:lang w:val="en-US" w:eastAsia="zh-CN" w:bidi="ar"/>
              </w:rPr>
              <w:t>②</w:t>
            </w:r>
            <w:r>
              <w:rPr>
                <w:rFonts w:hint="eastAsia" w:ascii="仿宋" w:hAnsi="仿宋" w:eastAsia="仿宋" w:cs="仿宋"/>
                <w:i w:val="0"/>
                <w:iCs w:val="0"/>
                <w:caps w:val="0"/>
                <w:color w:val="333333"/>
                <w:spacing w:val="0"/>
                <w:kern w:val="0"/>
                <w:sz w:val="24"/>
                <w:szCs w:val="24"/>
                <w:lang w:val="en-US" w:eastAsia="zh-CN" w:bidi="ar"/>
              </w:rPr>
              <w:t>相关人员是否能按照相应管理制度有效执行；</w:t>
            </w: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③</w:t>
            </w:r>
            <w:r>
              <w:rPr>
                <w:rFonts w:hint="eastAsia" w:ascii="仿宋" w:hAnsi="仿宋" w:eastAsia="仿宋" w:cs="仿宋"/>
                <w:i w:val="0"/>
                <w:iCs w:val="0"/>
                <w:caps w:val="0"/>
                <w:color w:val="333333"/>
                <w:spacing w:val="0"/>
                <w:kern w:val="0"/>
                <w:sz w:val="24"/>
                <w:szCs w:val="24"/>
                <w:lang w:val="en-US" w:eastAsia="zh-CN" w:bidi="ar"/>
              </w:rPr>
              <w:t>征缴收入、财政补助划入财政专户流程是否规范；退费流程知否规范；</w:t>
            </w:r>
            <w:r>
              <w:rPr>
                <w:rFonts w:hint="default" w:ascii="仿宋" w:hAnsi="仿宋" w:eastAsia="仿宋" w:cs="仿宋"/>
                <w:i w:val="0"/>
                <w:iCs w:val="0"/>
                <w:caps w:val="0"/>
                <w:color w:val="333333"/>
                <w:spacing w:val="0"/>
                <w:kern w:val="0"/>
                <w:sz w:val="24"/>
                <w:szCs w:val="24"/>
                <w:lang w:val="en-US" w:eastAsia="zh-CN" w:bidi="ar"/>
              </w:rPr>
              <w:t>④</w:t>
            </w:r>
            <w:r>
              <w:rPr>
                <w:rFonts w:hint="eastAsia" w:ascii="仿宋" w:hAnsi="仿宋" w:eastAsia="仿宋" w:cs="仿宋"/>
                <w:i w:val="0"/>
                <w:iCs w:val="0"/>
                <w:caps w:val="0"/>
                <w:color w:val="333333"/>
                <w:spacing w:val="0"/>
                <w:kern w:val="0"/>
                <w:sz w:val="24"/>
                <w:szCs w:val="24"/>
                <w:lang w:val="en-US" w:eastAsia="zh-CN" w:bidi="ar"/>
              </w:rPr>
              <w:t>待遇支出拨付手续是否齐全，流程是否规范。</w:t>
            </w:r>
            <w:r>
              <w:rPr>
                <w:rFonts w:hint="default" w:ascii="仿宋" w:hAnsi="仿宋" w:eastAsia="仿宋" w:cs="仿宋"/>
                <w:i w:val="0"/>
                <w:iCs w:val="0"/>
                <w:caps w:val="0"/>
                <w:color w:val="333333"/>
                <w:spacing w:val="0"/>
                <w:kern w:val="0"/>
                <w:sz w:val="24"/>
                <w:szCs w:val="24"/>
                <w:lang w:val="en-US" w:eastAsia="zh-CN" w:bidi="ar"/>
              </w:rPr>
              <w:t>一项不符合扣1分，扣完为止。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29591681">
            <w:pPr>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5</w:t>
            </w:r>
          </w:p>
        </w:tc>
      </w:tr>
      <w:tr w14:paraId="72B1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936" w:type="dxa"/>
            <w:vMerge w:val="continue"/>
            <w:tcBorders>
              <w:left w:val="single" w:color="auto" w:sz="8" w:space="0"/>
              <w:right w:val="single" w:color="auto" w:sz="8" w:space="0"/>
            </w:tcBorders>
            <w:shd w:val="clear" w:color="auto" w:fill="FFFFFF"/>
            <w:tcMar>
              <w:left w:w="108" w:type="dxa"/>
              <w:right w:w="108" w:type="dxa"/>
            </w:tcMar>
            <w:vAlign w:val="center"/>
          </w:tcPr>
          <w:p w14:paraId="681752DD">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left w:val="nil"/>
              <w:bottom w:val="single" w:color="auto" w:sz="8" w:space="0"/>
              <w:right w:val="single" w:color="auto" w:sz="8" w:space="0"/>
            </w:tcBorders>
            <w:shd w:val="clear" w:color="auto" w:fill="FFFFFF"/>
            <w:tcMar>
              <w:left w:w="108" w:type="dxa"/>
              <w:right w:w="108" w:type="dxa"/>
            </w:tcMar>
            <w:vAlign w:val="center"/>
          </w:tcPr>
          <w:p w14:paraId="38A41BD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19F527B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基金管理工作的衔接性（4分）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0F9905CC">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整个基金管理过程中，财务、业务工作的配合度是否高；政策衔接是否有效。</w:t>
            </w:r>
            <w:r>
              <w:rPr>
                <w:rFonts w:hint="default"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一项不符合扣1分，扣完为止。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37BEE94B">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3</w:t>
            </w:r>
          </w:p>
        </w:tc>
      </w:tr>
      <w:tr w14:paraId="3F2B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936"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14:paraId="613214B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tcBorders>
              <w:left w:val="nil"/>
              <w:bottom w:val="single" w:color="auto" w:sz="8" w:space="0"/>
              <w:right w:val="single" w:color="auto" w:sz="8" w:space="0"/>
            </w:tcBorders>
            <w:shd w:val="clear" w:color="auto" w:fill="FFFFFF"/>
            <w:tcMar>
              <w:left w:w="108" w:type="dxa"/>
              <w:right w:w="108" w:type="dxa"/>
            </w:tcMar>
            <w:vAlign w:val="center"/>
          </w:tcPr>
          <w:p w14:paraId="14DE7536">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风险防控</w:t>
            </w: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4E6F641B">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基金监督（4分）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12FEEF0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各监督职能部门是否按规定实施监督（2分）对各类审计、检查、监督中，以及日常管理中发现的有关问题是否整改到位（2分，每个未及时整改到位事项扣1分，扣完为止）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5CE247DF">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4</w:t>
            </w:r>
          </w:p>
        </w:tc>
      </w:tr>
      <w:tr w14:paraId="2CE0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3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62799B2">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产出</w:t>
            </w:r>
            <w:r>
              <w:rPr>
                <w:rFonts w:hint="eastAsia" w:ascii="仿宋" w:hAnsi="仿宋" w:eastAsia="仿宋" w:cs="仿宋"/>
                <w:i w:val="0"/>
                <w:iCs w:val="0"/>
                <w:caps w:val="0"/>
                <w:color w:val="333333"/>
                <w:spacing w:val="0"/>
                <w:kern w:val="0"/>
                <w:sz w:val="24"/>
                <w:szCs w:val="24"/>
                <w:lang w:val="en-US" w:eastAsia="zh-CN" w:bidi="ar"/>
              </w:rPr>
              <w:t>指标</w:t>
            </w:r>
            <w:r>
              <w:rPr>
                <w:rFonts w:hint="default" w:ascii="仿宋" w:hAnsi="仿宋" w:eastAsia="仿宋" w:cs="仿宋"/>
                <w:i w:val="0"/>
                <w:iCs w:val="0"/>
                <w:caps w:val="0"/>
                <w:color w:val="333333"/>
                <w:spacing w:val="0"/>
                <w:kern w:val="0"/>
                <w:sz w:val="24"/>
                <w:szCs w:val="24"/>
                <w:lang w:val="en-US" w:eastAsia="zh-CN" w:bidi="ar"/>
              </w:rPr>
              <w:t>（</w:t>
            </w:r>
            <w:r>
              <w:rPr>
                <w:rFonts w:hint="eastAsia" w:ascii="仿宋" w:hAnsi="仿宋" w:eastAsia="仿宋" w:cs="仿宋"/>
                <w:i w:val="0"/>
                <w:iCs w:val="0"/>
                <w:caps w:val="0"/>
                <w:color w:val="333333"/>
                <w:spacing w:val="0"/>
                <w:kern w:val="0"/>
                <w:sz w:val="24"/>
                <w:szCs w:val="24"/>
                <w:lang w:val="en-US" w:eastAsia="zh-CN" w:bidi="ar"/>
              </w:rPr>
              <w:t>57分</w:t>
            </w:r>
            <w:r>
              <w:rPr>
                <w:rFonts w:hint="default" w:ascii="仿宋" w:hAnsi="仿宋" w:eastAsia="仿宋" w:cs="仿宋"/>
                <w:i w:val="0"/>
                <w:iCs w:val="0"/>
                <w:caps w:val="0"/>
                <w:color w:val="333333"/>
                <w:spacing w:val="0"/>
                <w:kern w:val="0"/>
                <w:sz w:val="24"/>
                <w:szCs w:val="24"/>
                <w:lang w:val="en-US" w:eastAsia="zh-CN" w:bidi="ar"/>
              </w:rPr>
              <w:t>)</w:t>
            </w:r>
          </w:p>
        </w:tc>
        <w:tc>
          <w:tcPr>
            <w:tcW w:w="81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705B3D14">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成本指标</w:t>
            </w: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7F3DA4C2">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区级</w:t>
            </w: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财政补助</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及时</w:t>
            </w: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到位率</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（5分）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4C70CB0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区级财政对基金补助到位及时率100%得5分；发现一例未及时、足额到位的扣1分，扣完为止。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299BE97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5</w:t>
            </w:r>
          </w:p>
        </w:tc>
      </w:tr>
      <w:tr w14:paraId="4FC7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8"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662F88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4AD8B407">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5A45036F">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对个人缴费补助标准</w:t>
            </w:r>
            <w:r>
              <w:rPr>
                <w:rFonts w:hint="eastAsia" w:ascii="仿宋" w:hAnsi="仿宋" w:eastAsia="仿宋" w:cs="仿宋"/>
                <w:i w:val="0"/>
                <w:iCs w:val="0"/>
                <w:caps w:val="0"/>
                <w:color w:val="333333"/>
                <w:spacing w:val="0"/>
                <w:kern w:val="0"/>
                <w:sz w:val="24"/>
                <w:szCs w:val="24"/>
                <w:lang w:val="en-US" w:eastAsia="zh-CN" w:bidi="ar"/>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126739F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对个人缴费补助标准严格按政策文件执行，</w:t>
            </w:r>
            <w:r>
              <w:rPr>
                <w:rFonts w:hint="eastAsia" w:ascii="仿宋" w:hAnsi="仿宋" w:eastAsia="仿宋" w:cs="仿宋"/>
                <w:i w:val="0"/>
                <w:iCs w:val="0"/>
                <w:caps w:val="0"/>
                <w:color w:val="333333"/>
                <w:spacing w:val="0"/>
                <w:kern w:val="0"/>
                <w:sz w:val="24"/>
                <w:szCs w:val="24"/>
                <w:lang w:val="en-US" w:eastAsia="zh-CN" w:bidi="ar"/>
              </w:rPr>
              <w:t>200元档次补贴30元，200元以上档次，缴费每增加一档，政府补贴增加15元，</w:t>
            </w:r>
            <w:r>
              <w:rPr>
                <w:rFonts w:hint="default" w:ascii="仿宋" w:hAnsi="仿宋" w:eastAsia="仿宋" w:cs="仿宋"/>
                <w:i w:val="0"/>
                <w:iCs w:val="0"/>
                <w:caps w:val="0"/>
                <w:color w:val="333333"/>
                <w:spacing w:val="0"/>
                <w:kern w:val="0"/>
                <w:sz w:val="24"/>
                <w:szCs w:val="24"/>
                <w:lang w:val="en-US" w:eastAsia="zh-CN" w:bidi="ar"/>
              </w:rPr>
              <w:t>每发现一例未按标</w:t>
            </w:r>
            <w:r>
              <w:rPr>
                <w:rFonts w:hint="eastAsia" w:ascii="仿宋" w:hAnsi="仿宋" w:eastAsia="仿宋" w:cs="仿宋"/>
                <w:i w:val="0"/>
                <w:iCs w:val="0"/>
                <w:caps w:val="0"/>
                <w:color w:val="333333"/>
                <w:spacing w:val="0"/>
                <w:kern w:val="0"/>
                <w:sz w:val="24"/>
                <w:szCs w:val="24"/>
                <w:lang w:val="en-US" w:eastAsia="zh-CN" w:bidi="ar"/>
              </w:rPr>
              <w:t>执行缴费补贴的</w:t>
            </w:r>
            <w:r>
              <w:rPr>
                <w:rFonts w:hint="default" w:ascii="仿宋" w:hAnsi="仿宋" w:eastAsia="仿宋" w:cs="仿宋"/>
                <w:i w:val="0"/>
                <w:iCs w:val="0"/>
                <w:caps w:val="0"/>
                <w:color w:val="333333"/>
                <w:spacing w:val="0"/>
                <w:kern w:val="0"/>
                <w:sz w:val="24"/>
                <w:szCs w:val="24"/>
                <w:lang w:val="en-US" w:eastAsia="zh-CN" w:bidi="ar"/>
              </w:rPr>
              <w:t>情况扣</w:t>
            </w:r>
            <w:r>
              <w:rPr>
                <w:rFonts w:hint="eastAsia" w:ascii="仿宋" w:hAnsi="仿宋" w:eastAsia="仿宋" w:cs="仿宋"/>
                <w:i w:val="0"/>
                <w:iCs w:val="0"/>
                <w:caps w:val="0"/>
                <w:color w:val="333333"/>
                <w:spacing w:val="0"/>
                <w:kern w:val="0"/>
                <w:sz w:val="24"/>
                <w:szCs w:val="24"/>
                <w:lang w:val="en-US" w:eastAsia="zh-CN" w:bidi="ar"/>
              </w:rPr>
              <w:t>1</w:t>
            </w:r>
            <w:r>
              <w:rPr>
                <w:rFonts w:hint="default" w:ascii="仿宋" w:hAnsi="仿宋" w:eastAsia="仿宋" w:cs="仿宋"/>
                <w:i w:val="0"/>
                <w:iCs w:val="0"/>
                <w:caps w:val="0"/>
                <w:color w:val="333333"/>
                <w:spacing w:val="0"/>
                <w:kern w:val="0"/>
                <w:sz w:val="24"/>
                <w:szCs w:val="24"/>
                <w:lang w:val="en-US" w:eastAsia="zh-CN" w:bidi="ar"/>
              </w:rPr>
              <w:t>分，扣完为止，均按标准发放则得满分。</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1D7DE587">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4</w:t>
            </w:r>
          </w:p>
        </w:tc>
      </w:tr>
      <w:tr w14:paraId="3543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99"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5D6396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2D7310A0">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42FB324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对重度残疾等困难人员代缴标准</w:t>
            </w:r>
            <w:r>
              <w:rPr>
                <w:rFonts w:hint="eastAsia" w:ascii="仿宋" w:hAnsi="仿宋" w:eastAsia="仿宋" w:cs="仿宋"/>
                <w:i w:val="0"/>
                <w:iCs w:val="0"/>
                <w:caps w:val="0"/>
                <w:color w:val="333333"/>
                <w:spacing w:val="0"/>
                <w:kern w:val="0"/>
                <w:sz w:val="24"/>
                <w:szCs w:val="24"/>
                <w:lang w:val="en-US" w:eastAsia="zh-CN" w:bidi="ar"/>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27DBE1F7">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对重度残疾等困难人员代缴标准严格按政策文件执行，代缴最低缴费档次</w:t>
            </w:r>
            <w:r>
              <w:rPr>
                <w:rFonts w:hint="eastAsia" w:ascii="仿宋" w:hAnsi="仿宋" w:eastAsia="仿宋" w:cs="仿宋"/>
                <w:i w:val="0"/>
                <w:iCs w:val="0"/>
                <w:caps w:val="0"/>
                <w:color w:val="333333"/>
                <w:spacing w:val="0"/>
                <w:kern w:val="0"/>
                <w:sz w:val="24"/>
                <w:szCs w:val="24"/>
                <w:lang w:val="en-US" w:eastAsia="zh-CN" w:bidi="ar"/>
              </w:rPr>
              <w:t>100</w:t>
            </w:r>
            <w:r>
              <w:rPr>
                <w:rFonts w:hint="default" w:ascii="仿宋" w:hAnsi="仿宋" w:eastAsia="仿宋" w:cs="仿宋"/>
                <w:i w:val="0"/>
                <w:iCs w:val="0"/>
                <w:caps w:val="0"/>
                <w:color w:val="333333"/>
                <w:spacing w:val="0"/>
                <w:kern w:val="0"/>
                <w:sz w:val="24"/>
                <w:szCs w:val="24"/>
                <w:lang w:val="en-US" w:eastAsia="zh-CN" w:bidi="ar"/>
              </w:rPr>
              <w:t>元/人/年，每发现一例未按标准</w:t>
            </w:r>
            <w:r>
              <w:rPr>
                <w:rFonts w:hint="eastAsia" w:ascii="仿宋" w:hAnsi="仿宋" w:eastAsia="仿宋" w:cs="仿宋"/>
                <w:i w:val="0"/>
                <w:iCs w:val="0"/>
                <w:caps w:val="0"/>
                <w:color w:val="333333"/>
                <w:spacing w:val="0"/>
                <w:kern w:val="0"/>
                <w:sz w:val="24"/>
                <w:szCs w:val="24"/>
                <w:lang w:val="en-US" w:eastAsia="zh-CN" w:bidi="ar"/>
              </w:rPr>
              <w:t>执行</w:t>
            </w:r>
            <w:r>
              <w:rPr>
                <w:rFonts w:hint="default" w:ascii="仿宋" w:hAnsi="仿宋" w:eastAsia="仿宋" w:cs="仿宋"/>
                <w:i w:val="0"/>
                <w:iCs w:val="0"/>
                <w:caps w:val="0"/>
                <w:color w:val="333333"/>
                <w:spacing w:val="0"/>
                <w:kern w:val="0"/>
                <w:sz w:val="24"/>
                <w:szCs w:val="24"/>
                <w:lang w:val="en-US" w:eastAsia="zh-CN" w:bidi="ar"/>
              </w:rPr>
              <w:t>的情况扣</w:t>
            </w:r>
            <w:r>
              <w:rPr>
                <w:rFonts w:hint="eastAsia" w:ascii="仿宋" w:hAnsi="仿宋" w:eastAsia="仿宋" w:cs="仿宋"/>
                <w:i w:val="0"/>
                <w:iCs w:val="0"/>
                <w:caps w:val="0"/>
                <w:color w:val="333333"/>
                <w:spacing w:val="0"/>
                <w:kern w:val="0"/>
                <w:sz w:val="24"/>
                <w:szCs w:val="24"/>
                <w:lang w:val="en-US" w:eastAsia="zh-CN" w:bidi="ar"/>
              </w:rPr>
              <w:t>1</w:t>
            </w:r>
            <w:r>
              <w:rPr>
                <w:rFonts w:hint="default" w:ascii="仿宋" w:hAnsi="仿宋" w:eastAsia="仿宋" w:cs="仿宋"/>
                <w:i w:val="0"/>
                <w:iCs w:val="0"/>
                <w:caps w:val="0"/>
                <w:color w:val="333333"/>
                <w:spacing w:val="0"/>
                <w:kern w:val="0"/>
                <w:sz w:val="24"/>
                <w:szCs w:val="24"/>
                <w:lang w:val="en-US" w:eastAsia="zh-CN" w:bidi="ar"/>
              </w:rPr>
              <w:t>分，扣完为止，抽查结果均按标准发放则得满分。</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052ED340">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4</w:t>
            </w:r>
          </w:p>
        </w:tc>
      </w:tr>
      <w:tr w14:paraId="6BE5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7"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80663FB">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123E5BB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5E6B88B8">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对高龄参保人员的高龄倾养老金标准</w:t>
            </w:r>
            <w:r>
              <w:rPr>
                <w:rFonts w:hint="eastAsia" w:ascii="仿宋" w:hAnsi="仿宋" w:eastAsia="仿宋" w:cs="仿宋"/>
                <w:i w:val="0"/>
                <w:iCs w:val="0"/>
                <w:caps w:val="0"/>
                <w:color w:val="333333"/>
                <w:spacing w:val="0"/>
                <w:kern w:val="0"/>
                <w:sz w:val="24"/>
                <w:szCs w:val="24"/>
                <w:lang w:val="en-US" w:eastAsia="zh-CN" w:bidi="ar"/>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3F4B9C32">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对65周岁及以上参保老年居民的养老金发放标准严格按政策文件执行，</w:t>
            </w:r>
            <w:r>
              <w:rPr>
                <w:rFonts w:hint="eastAsia" w:ascii="仿宋" w:hAnsi="仿宋" w:eastAsia="仿宋" w:cs="仿宋"/>
                <w:i w:val="0"/>
                <w:iCs w:val="0"/>
                <w:caps w:val="0"/>
                <w:color w:val="333333"/>
                <w:spacing w:val="0"/>
                <w:kern w:val="0"/>
                <w:sz w:val="24"/>
                <w:szCs w:val="24"/>
                <w:lang w:val="en-US" w:eastAsia="zh-CN" w:bidi="ar"/>
              </w:rPr>
              <w:t>领取待遇人员年满65周岁后，基础养老金在基数基础上每人每月增加1元：年满75周岁后，基础养老金在基数基础上每人每月增加2元；年满85周岁后，基础养老金在基数基础上每人每月增加3元。</w:t>
            </w:r>
            <w:r>
              <w:rPr>
                <w:rFonts w:hint="default" w:ascii="仿宋" w:hAnsi="仿宋" w:eastAsia="仿宋" w:cs="仿宋"/>
                <w:i w:val="0"/>
                <w:iCs w:val="0"/>
                <w:caps w:val="0"/>
                <w:color w:val="333333"/>
                <w:spacing w:val="0"/>
                <w:kern w:val="0"/>
                <w:sz w:val="24"/>
                <w:szCs w:val="24"/>
                <w:lang w:val="en-US" w:eastAsia="zh-CN" w:bidi="ar"/>
              </w:rPr>
              <w:t>每发现一例未按标准发放养老金的情况扣</w:t>
            </w:r>
            <w:r>
              <w:rPr>
                <w:rFonts w:hint="eastAsia" w:ascii="仿宋" w:hAnsi="仿宋" w:eastAsia="仿宋" w:cs="仿宋"/>
                <w:i w:val="0"/>
                <w:iCs w:val="0"/>
                <w:caps w:val="0"/>
                <w:color w:val="333333"/>
                <w:spacing w:val="0"/>
                <w:kern w:val="0"/>
                <w:sz w:val="24"/>
                <w:szCs w:val="24"/>
                <w:lang w:val="en-US" w:eastAsia="zh-CN" w:bidi="ar"/>
              </w:rPr>
              <w:t>1</w:t>
            </w:r>
            <w:r>
              <w:rPr>
                <w:rFonts w:hint="default" w:ascii="仿宋" w:hAnsi="仿宋" w:eastAsia="仿宋" w:cs="仿宋"/>
                <w:i w:val="0"/>
                <w:iCs w:val="0"/>
                <w:caps w:val="0"/>
                <w:color w:val="333333"/>
                <w:spacing w:val="0"/>
                <w:kern w:val="0"/>
                <w:sz w:val="24"/>
                <w:szCs w:val="24"/>
                <w:lang w:val="en-US" w:eastAsia="zh-CN" w:bidi="ar"/>
              </w:rPr>
              <w:t>分，扣完为止，均按标准发放则得满分。</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1F512B2A">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4</w:t>
            </w:r>
          </w:p>
        </w:tc>
      </w:tr>
      <w:tr w14:paraId="1E21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D9C30D6">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717F630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2F556E1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丧葬补助金标准</w:t>
            </w:r>
            <w:r>
              <w:rPr>
                <w:rFonts w:hint="eastAsia" w:ascii="仿宋" w:hAnsi="仿宋" w:eastAsia="仿宋" w:cs="仿宋"/>
                <w:i w:val="0"/>
                <w:iCs w:val="0"/>
                <w:caps w:val="0"/>
                <w:color w:val="333333"/>
                <w:spacing w:val="0"/>
                <w:kern w:val="0"/>
                <w:sz w:val="24"/>
                <w:szCs w:val="24"/>
                <w:lang w:val="en-US" w:eastAsia="zh-CN" w:bidi="ar"/>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189545A0">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highlight w:val="none"/>
                <w:lang w:val="en-US" w:eastAsia="zh-CN" w:bidi="ar"/>
              </w:rPr>
              <w:t>对丧葬补助标准严格按政策文件执行，按照</w:t>
            </w:r>
            <w:r>
              <w:rPr>
                <w:rFonts w:hint="eastAsia" w:ascii="仿宋" w:hAnsi="仿宋" w:eastAsia="仿宋" w:cs="仿宋"/>
                <w:i w:val="0"/>
                <w:iCs w:val="0"/>
                <w:caps w:val="0"/>
                <w:color w:val="333333"/>
                <w:spacing w:val="0"/>
                <w:kern w:val="0"/>
                <w:sz w:val="24"/>
                <w:szCs w:val="24"/>
                <w:highlight w:val="none"/>
                <w:lang w:val="en-US" w:eastAsia="zh-CN" w:bidi="ar"/>
              </w:rPr>
              <w:t>6</w:t>
            </w:r>
            <w:r>
              <w:rPr>
                <w:rFonts w:hint="default" w:ascii="仿宋" w:hAnsi="仿宋" w:eastAsia="仿宋" w:cs="仿宋"/>
                <w:i w:val="0"/>
                <w:iCs w:val="0"/>
                <w:caps w:val="0"/>
                <w:color w:val="333333"/>
                <w:spacing w:val="0"/>
                <w:kern w:val="0"/>
                <w:sz w:val="24"/>
                <w:szCs w:val="24"/>
                <w:highlight w:val="none"/>
                <w:lang w:val="en-US" w:eastAsia="zh-CN" w:bidi="ar"/>
              </w:rPr>
              <w:t>个月</w:t>
            </w:r>
            <w:r>
              <w:rPr>
                <w:rFonts w:hint="eastAsia" w:ascii="仿宋" w:hAnsi="仿宋" w:eastAsia="仿宋" w:cs="仿宋"/>
                <w:i w:val="0"/>
                <w:iCs w:val="0"/>
                <w:caps w:val="0"/>
                <w:color w:val="333333"/>
                <w:spacing w:val="0"/>
                <w:kern w:val="0"/>
                <w:sz w:val="24"/>
                <w:szCs w:val="24"/>
                <w:highlight w:val="none"/>
                <w:lang w:val="en-US" w:eastAsia="zh-CN" w:bidi="ar"/>
              </w:rPr>
              <w:t>省级</w:t>
            </w:r>
            <w:r>
              <w:rPr>
                <w:rFonts w:hint="default" w:ascii="仿宋" w:hAnsi="仿宋" w:eastAsia="仿宋" w:cs="仿宋"/>
                <w:i w:val="0"/>
                <w:iCs w:val="0"/>
                <w:caps w:val="0"/>
                <w:color w:val="333333"/>
                <w:spacing w:val="0"/>
                <w:kern w:val="0"/>
                <w:sz w:val="24"/>
                <w:szCs w:val="24"/>
                <w:highlight w:val="none"/>
                <w:lang w:val="en-US" w:eastAsia="zh-CN" w:bidi="ar"/>
              </w:rPr>
              <w:t>基础养老金标准补贴</w:t>
            </w:r>
            <w:r>
              <w:rPr>
                <w:rFonts w:hint="eastAsia" w:ascii="仿宋" w:hAnsi="仿宋" w:eastAsia="仿宋" w:cs="仿宋"/>
                <w:i w:val="0"/>
                <w:iCs w:val="0"/>
                <w:caps w:val="0"/>
                <w:color w:val="333333"/>
                <w:spacing w:val="0"/>
                <w:kern w:val="0"/>
                <w:sz w:val="24"/>
                <w:szCs w:val="24"/>
                <w:highlight w:val="none"/>
                <w:lang w:val="en-US" w:eastAsia="zh-CN" w:bidi="ar"/>
              </w:rPr>
              <w:t>，</w:t>
            </w:r>
            <w:r>
              <w:rPr>
                <w:rFonts w:hint="default" w:ascii="仿宋" w:hAnsi="仿宋" w:eastAsia="仿宋" w:cs="仿宋"/>
                <w:i w:val="0"/>
                <w:iCs w:val="0"/>
                <w:caps w:val="0"/>
                <w:color w:val="333333"/>
                <w:spacing w:val="0"/>
                <w:kern w:val="0"/>
                <w:sz w:val="24"/>
                <w:szCs w:val="24"/>
                <w:highlight w:val="none"/>
                <w:lang w:val="en-US" w:eastAsia="zh-CN" w:bidi="ar"/>
              </w:rPr>
              <w:t>每发现一例未按标准发放丧葬补助的情况扣</w:t>
            </w:r>
            <w:r>
              <w:rPr>
                <w:rFonts w:hint="eastAsia" w:ascii="仿宋" w:hAnsi="仿宋" w:eastAsia="仿宋" w:cs="仿宋"/>
                <w:i w:val="0"/>
                <w:iCs w:val="0"/>
                <w:caps w:val="0"/>
                <w:color w:val="333333"/>
                <w:spacing w:val="0"/>
                <w:kern w:val="0"/>
                <w:sz w:val="24"/>
                <w:szCs w:val="24"/>
                <w:highlight w:val="none"/>
                <w:lang w:val="en-US" w:eastAsia="zh-CN" w:bidi="ar"/>
              </w:rPr>
              <w:t>1</w:t>
            </w:r>
            <w:r>
              <w:rPr>
                <w:rFonts w:hint="default" w:ascii="仿宋" w:hAnsi="仿宋" w:eastAsia="仿宋" w:cs="仿宋"/>
                <w:i w:val="0"/>
                <w:iCs w:val="0"/>
                <w:caps w:val="0"/>
                <w:color w:val="333333"/>
                <w:spacing w:val="0"/>
                <w:kern w:val="0"/>
                <w:sz w:val="24"/>
                <w:szCs w:val="24"/>
                <w:highlight w:val="none"/>
                <w:lang w:val="en-US" w:eastAsia="zh-CN" w:bidi="ar"/>
              </w:rPr>
              <w:t>分，扣完为止，抽查结果均按标准发放则得满分。</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4A369D3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highlight w:val="none"/>
                <w:lang w:val="en-US" w:eastAsia="zh-CN" w:bidi="ar"/>
              </w:rPr>
            </w:pPr>
            <w:r>
              <w:rPr>
                <w:rFonts w:hint="eastAsia" w:ascii="仿宋" w:hAnsi="仿宋" w:eastAsia="仿宋" w:cs="仿宋"/>
                <w:i w:val="0"/>
                <w:iCs w:val="0"/>
                <w:caps w:val="0"/>
                <w:color w:val="333333"/>
                <w:spacing w:val="0"/>
                <w:kern w:val="0"/>
                <w:sz w:val="24"/>
                <w:szCs w:val="24"/>
                <w:highlight w:val="none"/>
                <w:lang w:val="en-US" w:eastAsia="zh-CN" w:bidi="ar"/>
              </w:rPr>
              <w:t>4</w:t>
            </w:r>
          </w:p>
        </w:tc>
      </w:tr>
      <w:tr w14:paraId="77C2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40F2270">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top w:val="nil"/>
              <w:left w:val="nil"/>
              <w:bottom w:val="single" w:color="auto" w:sz="4" w:space="0"/>
              <w:right w:val="single" w:color="auto" w:sz="8" w:space="0"/>
            </w:tcBorders>
            <w:shd w:val="clear" w:color="auto" w:fill="FFFFFF"/>
            <w:tcMar>
              <w:left w:w="108" w:type="dxa"/>
              <w:right w:w="108" w:type="dxa"/>
            </w:tcMar>
            <w:vAlign w:val="center"/>
          </w:tcPr>
          <w:p w14:paraId="44DD424B">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305104A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基础养老金发放标准</w:t>
            </w:r>
            <w:r>
              <w:rPr>
                <w:rFonts w:hint="eastAsia" w:ascii="仿宋" w:hAnsi="仿宋" w:eastAsia="仿宋" w:cs="仿宋"/>
                <w:i w:val="0"/>
                <w:iCs w:val="0"/>
                <w:caps w:val="0"/>
                <w:color w:val="333333"/>
                <w:spacing w:val="0"/>
                <w:kern w:val="0"/>
                <w:sz w:val="24"/>
                <w:szCs w:val="24"/>
                <w:lang w:val="en-US" w:eastAsia="zh-CN" w:bidi="ar"/>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4E9DF5D0">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highlight w:val="none"/>
                <w:lang w:val="en-US" w:eastAsia="zh-CN" w:bidi="ar"/>
              </w:rPr>
            </w:pPr>
            <w:r>
              <w:rPr>
                <w:rFonts w:hint="default" w:ascii="仿宋" w:hAnsi="仿宋" w:eastAsia="仿宋" w:cs="仿宋"/>
                <w:i w:val="0"/>
                <w:iCs w:val="0"/>
                <w:caps w:val="0"/>
                <w:color w:val="333333"/>
                <w:spacing w:val="0"/>
                <w:kern w:val="0"/>
                <w:sz w:val="24"/>
                <w:szCs w:val="24"/>
                <w:highlight w:val="none"/>
                <w:lang w:val="en-US" w:eastAsia="zh-CN" w:bidi="ar"/>
              </w:rPr>
              <w:t>对基础养老金发放标准严格按政策文件执行，</w:t>
            </w:r>
            <w:r>
              <w:rPr>
                <w:rFonts w:hint="eastAsia" w:ascii="仿宋" w:hAnsi="仿宋" w:eastAsia="仿宋" w:cs="仿宋"/>
                <w:i w:val="0"/>
                <w:iCs w:val="0"/>
                <w:caps w:val="0"/>
                <w:color w:val="333333"/>
                <w:spacing w:val="0"/>
                <w:kern w:val="0"/>
                <w:sz w:val="24"/>
                <w:szCs w:val="24"/>
                <w:highlight w:val="none"/>
                <w:lang w:val="en-US" w:eastAsia="zh-CN" w:bidi="ar"/>
              </w:rPr>
              <w:t>2023年底，</w:t>
            </w:r>
            <w:r>
              <w:rPr>
                <w:rFonts w:hint="default" w:ascii="仿宋" w:hAnsi="仿宋" w:eastAsia="仿宋" w:cs="仿宋"/>
                <w:i w:val="0"/>
                <w:iCs w:val="0"/>
                <w:caps w:val="0"/>
                <w:color w:val="333333"/>
                <w:spacing w:val="0"/>
                <w:kern w:val="0"/>
                <w:sz w:val="24"/>
                <w:szCs w:val="24"/>
                <w:highlight w:val="none"/>
                <w:lang w:val="en-US" w:eastAsia="zh-CN" w:bidi="ar"/>
              </w:rPr>
              <w:t>按照</w:t>
            </w:r>
            <w:r>
              <w:rPr>
                <w:rFonts w:hint="eastAsia" w:ascii="仿宋" w:hAnsi="仿宋" w:eastAsia="仿宋" w:cs="仿宋"/>
                <w:i w:val="0"/>
                <w:iCs w:val="0"/>
                <w:caps w:val="0"/>
                <w:color w:val="333333"/>
                <w:spacing w:val="0"/>
                <w:kern w:val="0"/>
                <w:sz w:val="24"/>
                <w:szCs w:val="24"/>
                <w:highlight w:val="none"/>
                <w:lang w:val="en-US" w:eastAsia="zh-CN" w:bidi="ar"/>
              </w:rPr>
              <w:t>199.5</w:t>
            </w:r>
            <w:r>
              <w:rPr>
                <w:rFonts w:hint="default" w:ascii="仿宋" w:hAnsi="仿宋" w:eastAsia="仿宋" w:cs="仿宋"/>
                <w:i w:val="0"/>
                <w:iCs w:val="0"/>
                <w:caps w:val="0"/>
                <w:color w:val="333333"/>
                <w:spacing w:val="0"/>
                <w:kern w:val="0"/>
                <w:sz w:val="24"/>
                <w:szCs w:val="24"/>
                <w:highlight w:val="none"/>
                <w:lang w:val="en-US" w:eastAsia="zh-CN" w:bidi="ar"/>
              </w:rPr>
              <w:t>元/人/月标准执行，每发现一例未按标准发放养老金的情况扣</w:t>
            </w:r>
            <w:r>
              <w:rPr>
                <w:rFonts w:hint="eastAsia" w:ascii="仿宋" w:hAnsi="仿宋" w:eastAsia="仿宋" w:cs="仿宋"/>
                <w:i w:val="0"/>
                <w:iCs w:val="0"/>
                <w:caps w:val="0"/>
                <w:color w:val="333333"/>
                <w:spacing w:val="0"/>
                <w:kern w:val="0"/>
                <w:sz w:val="24"/>
                <w:szCs w:val="24"/>
                <w:highlight w:val="none"/>
                <w:lang w:val="en-US" w:eastAsia="zh-CN" w:bidi="ar"/>
              </w:rPr>
              <w:t>1</w:t>
            </w:r>
            <w:r>
              <w:rPr>
                <w:rFonts w:hint="default" w:ascii="仿宋" w:hAnsi="仿宋" w:eastAsia="仿宋" w:cs="仿宋"/>
                <w:i w:val="0"/>
                <w:iCs w:val="0"/>
                <w:caps w:val="0"/>
                <w:color w:val="333333"/>
                <w:spacing w:val="0"/>
                <w:kern w:val="0"/>
                <w:sz w:val="24"/>
                <w:szCs w:val="24"/>
                <w:highlight w:val="none"/>
                <w:lang w:val="en-US" w:eastAsia="zh-CN" w:bidi="ar"/>
              </w:rPr>
              <w:t>分，扣完为止，均按标准发放则得满分。</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447E29CB">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highlight w:val="none"/>
                <w:lang w:val="en-US" w:eastAsia="zh-CN" w:bidi="ar"/>
              </w:rPr>
            </w:pPr>
            <w:r>
              <w:rPr>
                <w:rFonts w:hint="eastAsia" w:ascii="仿宋" w:hAnsi="仿宋" w:eastAsia="仿宋" w:cs="仿宋"/>
                <w:i w:val="0"/>
                <w:iCs w:val="0"/>
                <w:caps w:val="0"/>
                <w:color w:val="333333"/>
                <w:spacing w:val="0"/>
                <w:kern w:val="0"/>
                <w:sz w:val="24"/>
                <w:szCs w:val="24"/>
                <w:highlight w:val="none"/>
                <w:lang w:val="en-US" w:eastAsia="zh-CN" w:bidi="ar"/>
              </w:rPr>
              <w:t>4</w:t>
            </w:r>
          </w:p>
        </w:tc>
      </w:tr>
      <w:tr w14:paraId="2B2C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936" w:type="dxa"/>
            <w:vMerge w:val="continue"/>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14:paraId="2CF343DB">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64CF3B8">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时效指标</w:t>
            </w:r>
          </w:p>
        </w:tc>
        <w:tc>
          <w:tcPr>
            <w:tcW w:w="1255" w:type="dxa"/>
            <w:tcBorders>
              <w:top w:val="nil"/>
              <w:left w:val="single" w:color="auto" w:sz="4" w:space="0"/>
              <w:bottom w:val="single" w:color="auto" w:sz="8" w:space="0"/>
              <w:right w:val="single" w:color="auto" w:sz="8" w:space="0"/>
            </w:tcBorders>
            <w:shd w:val="clear" w:color="auto" w:fill="FFFFFF"/>
            <w:tcMar>
              <w:left w:w="108" w:type="dxa"/>
              <w:right w:w="108" w:type="dxa"/>
            </w:tcMar>
            <w:vAlign w:val="center"/>
          </w:tcPr>
          <w:p w14:paraId="213057F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待遇发放及时性</w:t>
            </w:r>
            <w:r>
              <w:rPr>
                <w:rFonts w:hint="eastAsia" w:ascii="仿宋" w:hAnsi="仿宋" w:eastAsia="仿宋" w:cs="仿宋"/>
                <w:i w:val="0"/>
                <w:iCs w:val="0"/>
                <w:caps w:val="0"/>
                <w:color w:val="333333"/>
                <w:spacing w:val="0"/>
                <w:kern w:val="0"/>
                <w:sz w:val="24"/>
                <w:szCs w:val="24"/>
                <w:lang w:val="en-US" w:eastAsia="zh-CN" w:bidi="ar"/>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6E9AE49C">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color w:val="000000"/>
                <w:kern w:val="0"/>
                <w:sz w:val="24"/>
                <w:szCs w:val="24"/>
                <w:highlight w:val="none"/>
                <w:lang w:bidi="ar-SA"/>
              </w:rPr>
              <w:t>按月核查是否按时发放，剔除生存认证因素计算按时发的月份数所占比例，每少1个百分点扣1分，扣完为止。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0CCAC45C">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w:t>
            </w:r>
          </w:p>
        </w:tc>
      </w:tr>
      <w:tr w14:paraId="660B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608B8B4">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restart"/>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14:paraId="7928ABBC">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数量指标</w:t>
            </w: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5E2C4ADD">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缴费人数（4分）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4583115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highlight w:val="yellow"/>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16-59周岁参保续保缴费人数是否达到年初目标任务，得4分，每减少1个百分点扣1分，扣完为止。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3D816621">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eastAsia" w:ascii="宋体" w:cs="宋体" w:eastAsiaTheme="minorEastAsia"/>
                <w:color w:val="C00000"/>
                <w:kern w:val="0"/>
                <w:sz w:val="20"/>
                <w:szCs w:val="20"/>
                <w:highlight w:val="none"/>
                <w:lang w:val="en-US" w:eastAsia="zh-CN" w:bidi="ar-SA"/>
              </w:rPr>
            </w:pPr>
            <w:r>
              <w:rPr>
                <w:rFonts w:hint="eastAsia" w:ascii="宋体" w:cs="宋体"/>
                <w:color w:val="000000" w:themeColor="text1"/>
                <w:kern w:val="0"/>
                <w:sz w:val="20"/>
                <w:szCs w:val="20"/>
                <w:highlight w:val="none"/>
                <w:lang w:val="en-US" w:eastAsia="zh-CN" w:bidi="ar-SA"/>
                <w14:textFill>
                  <w14:solidFill>
                    <w14:schemeClr w14:val="tx1"/>
                  </w14:solidFill>
                </w14:textFill>
              </w:rPr>
              <w:t>4</w:t>
            </w:r>
          </w:p>
        </w:tc>
      </w:tr>
      <w:tr w14:paraId="3455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99BEA7">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14:paraId="00A6B727">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26CE2412">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重度残疾等困难人员代缴</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人数（4分）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1F9588EA">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highlight w:val="yellow"/>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建立困难人员代缴动态调整机制，每发现一例代缴费应缴未代缴的扣0.5分，扣完为止。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53111012">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highlight w:val="none"/>
                <w:lang w:val="en-US" w:eastAsia="zh-CN" w:bidi="ar"/>
              </w:rPr>
            </w:pPr>
            <w:r>
              <w:rPr>
                <w:rFonts w:hint="eastAsia" w:ascii="仿宋" w:hAnsi="仿宋" w:eastAsia="仿宋" w:cs="仿宋"/>
                <w:i w:val="0"/>
                <w:iCs w:val="0"/>
                <w:caps w:val="0"/>
                <w:color w:val="333333"/>
                <w:spacing w:val="0"/>
                <w:kern w:val="0"/>
                <w:sz w:val="24"/>
                <w:szCs w:val="24"/>
                <w:highlight w:val="none"/>
                <w:lang w:val="en-US" w:eastAsia="zh-CN" w:bidi="ar"/>
              </w:rPr>
              <w:t>4</w:t>
            </w:r>
          </w:p>
        </w:tc>
      </w:tr>
      <w:tr w14:paraId="4709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6379FE7">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14:paraId="3BEE5F9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2D661733">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基础养老金领取人数（4分）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2A60A0E8">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highlight w:val="yellow"/>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期末领取养老金总人数，不低于年初预算安排数领取养老金人数。实际得分=实际完成值/年初计划值*标准分（得分最高不超过标准分）。</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210EA7B6">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color w:val="C00000"/>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3F3E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11BDFC0">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restart"/>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14:paraId="259E58C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质量指标</w:t>
            </w: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0B10AE0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参保率</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01A65DD4">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参保率=参保人数/应参保人数。本年度参保率大于95%，得</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建立重度</w:t>
            </w: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满分，每少5%扣1分，扣完为止。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03DF331B">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4</w:t>
            </w:r>
          </w:p>
        </w:tc>
      </w:tr>
      <w:tr w14:paraId="44D6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101BAAC">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14:paraId="705A078F">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224E4F9F">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待遇发放准确率</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35433CE4">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1.待遇发放金额准确，得1分；发放数错误1例扣0.2分；2.60周岁以上领取养老金待遇人员每年进行待遇资格认证，认证后可继续领取养老金，得3</w:t>
            </w:r>
            <w: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分</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；未完成认证继续发放养老金的，发现一列扣0.5分，扣完为止。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768280D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4</w:t>
            </w:r>
          </w:p>
        </w:tc>
      </w:tr>
      <w:tr w14:paraId="1A67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rPr>
        <w:tc>
          <w:tcPr>
            <w:tcW w:w="9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73DB1CD">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vMerge w:val="continue"/>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14:paraId="2D6E172D">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1E5525E0">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highlight w:val="none"/>
                <w:lang w:val="en-US" w:eastAsia="zh-CN" w:bidi="ar"/>
              </w:rPr>
              <w:t>社保基金保值</w:t>
            </w:r>
            <w:r>
              <w:rPr>
                <w:rFonts w:hint="eastAsia" w:ascii="仿宋" w:hAnsi="仿宋" w:eastAsia="仿宋" w:cs="仿宋"/>
                <w:i w:val="0"/>
                <w:iCs w:val="0"/>
                <w:caps w:val="0"/>
                <w:color w:val="333333"/>
                <w:spacing w:val="0"/>
                <w:kern w:val="0"/>
                <w:sz w:val="24"/>
                <w:szCs w:val="24"/>
                <w:lang w:val="en-US" w:eastAsia="zh-CN" w:bidi="ar"/>
              </w:rPr>
              <w:t>增值（4分）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7C685AFA">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按规定执行基金保值增值政策，是否执行活期存款享受3个月整存整取利率；是否</w:t>
            </w:r>
            <w:r>
              <w:rPr>
                <w:rFonts w:hint="eastAsia" w:ascii="仿宋" w:hAnsi="仿宋" w:eastAsia="仿宋" w:cs="仿宋"/>
                <w:i w:val="0"/>
                <w:iCs w:val="0"/>
                <w:caps w:val="0"/>
                <w:color w:val="333333"/>
                <w:spacing w:val="0"/>
                <w:kern w:val="0"/>
                <w:sz w:val="24"/>
                <w:szCs w:val="24"/>
                <w:lang w:val="en-US" w:eastAsia="zh-CN" w:bidi="ar"/>
              </w:rPr>
              <w:t>对结余资金适时转存定期；是否按省级政策要求，及时归集委托投资资金。出现一次未按政策执行的情况扣1分，扣完为止。</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683D3EC6">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4</w:t>
            </w:r>
          </w:p>
        </w:tc>
      </w:tr>
      <w:tr w14:paraId="7D44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7" w:hRule="atLeast"/>
        </w:trPr>
        <w:tc>
          <w:tcPr>
            <w:tcW w:w="936" w:type="dxa"/>
            <w:vMerge w:val="restart"/>
            <w:tcBorders>
              <w:top w:val="nil"/>
              <w:left w:val="single" w:color="auto" w:sz="8" w:space="0"/>
              <w:right w:val="single" w:color="auto" w:sz="8" w:space="0"/>
            </w:tcBorders>
            <w:shd w:val="clear" w:color="auto" w:fill="FFFFFF"/>
            <w:tcMar>
              <w:left w:w="108" w:type="dxa"/>
              <w:right w:w="108" w:type="dxa"/>
            </w:tcMar>
            <w:vAlign w:val="center"/>
          </w:tcPr>
          <w:p w14:paraId="7F3927E0">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效益</w:t>
            </w:r>
            <w:r>
              <w:rPr>
                <w:rFonts w:hint="eastAsia" w:ascii="仿宋" w:hAnsi="仿宋" w:eastAsia="仿宋" w:cs="仿宋"/>
                <w:i w:val="0"/>
                <w:iCs w:val="0"/>
                <w:caps w:val="0"/>
                <w:color w:val="333333"/>
                <w:spacing w:val="0"/>
                <w:kern w:val="0"/>
                <w:sz w:val="24"/>
                <w:szCs w:val="24"/>
                <w:lang w:val="en-US" w:eastAsia="zh-CN" w:bidi="ar"/>
              </w:rPr>
              <w:t>指标（12分）</w:t>
            </w:r>
          </w:p>
        </w:tc>
        <w:tc>
          <w:tcPr>
            <w:tcW w:w="813"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14:paraId="5EE4A43C">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社会效益指标</w:t>
            </w:r>
          </w:p>
        </w:tc>
        <w:tc>
          <w:tcPr>
            <w:tcW w:w="1255" w:type="dxa"/>
            <w:tcBorders>
              <w:top w:val="nil"/>
              <w:left w:val="nil"/>
              <w:bottom w:val="single" w:color="auto" w:sz="8" w:space="0"/>
              <w:right w:val="single" w:color="auto" w:sz="8" w:space="0"/>
            </w:tcBorders>
            <w:shd w:val="clear" w:color="auto" w:fill="FFFFFF"/>
            <w:tcMar>
              <w:left w:w="108" w:type="dxa"/>
              <w:right w:w="108" w:type="dxa"/>
            </w:tcMar>
            <w:vAlign w:val="center"/>
          </w:tcPr>
          <w:p w14:paraId="4EA7A15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政策</w:t>
            </w:r>
            <w:r>
              <w:rPr>
                <w:rFonts w:hint="eastAsia" w:ascii="仿宋" w:hAnsi="仿宋" w:eastAsia="仿宋" w:cs="仿宋"/>
                <w:i w:val="0"/>
                <w:iCs w:val="0"/>
                <w:caps w:val="0"/>
                <w:color w:val="333333"/>
                <w:spacing w:val="0"/>
                <w:kern w:val="0"/>
                <w:sz w:val="24"/>
                <w:szCs w:val="24"/>
                <w:lang w:val="en-US" w:eastAsia="zh-CN" w:bidi="ar"/>
              </w:rPr>
              <w:t>知晓率（4分）</w:t>
            </w:r>
          </w:p>
        </w:tc>
        <w:tc>
          <w:tcPr>
            <w:tcW w:w="4971" w:type="dxa"/>
            <w:tcBorders>
              <w:top w:val="nil"/>
              <w:left w:val="nil"/>
              <w:bottom w:val="single" w:color="auto" w:sz="8" w:space="0"/>
              <w:right w:val="single" w:color="auto" w:sz="8" w:space="0"/>
            </w:tcBorders>
            <w:shd w:val="clear" w:color="auto" w:fill="FFFFFF"/>
            <w:tcMar>
              <w:left w:w="108" w:type="dxa"/>
              <w:right w:w="108" w:type="dxa"/>
            </w:tcMar>
            <w:vAlign w:val="center"/>
          </w:tcPr>
          <w:p w14:paraId="69DD3F62">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auto"/>
                <w:spacing w:val="0"/>
                <w:kern w:val="0"/>
                <w:sz w:val="24"/>
                <w:szCs w:val="24"/>
                <w:lang w:val="en-US" w:eastAsia="zh-CN" w:bidi="ar"/>
              </w:rPr>
            </w:pPr>
            <w:r>
              <w:rPr>
                <w:rFonts w:hint="default" w:ascii="仿宋" w:hAnsi="仿宋" w:eastAsia="仿宋" w:cs="仿宋"/>
                <w:i w:val="0"/>
                <w:iCs w:val="0"/>
                <w:caps w:val="0"/>
                <w:color w:val="auto"/>
                <w:spacing w:val="0"/>
                <w:kern w:val="0"/>
                <w:sz w:val="24"/>
                <w:szCs w:val="24"/>
                <w:lang w:val="en-US" w:eastAsia="zh-CN" w:bidi="ar"/>
              </w:rPr>
              <w:t>政策</w:t>
            </w:r>
            <w:r>
              <w:rPr>
                <w:rFonts w:hint="eastAsia" w:ascii="仿宋" w:hAnsi="仿宋" w:eastAsia="仿宋" w:cs="仿宋"/>
                <w:i w:val="0"/>
                <w:iCs w:val="0"/>
                <w:caps w:val="0"/>
                <w:color w:val="auto"/>
                <w:spacing w:val="0"/>
                <w:kern w:val="0"/>
                <w:sz w:val="24"/>
                <w:szCs w:val="24"/>
                <w:lang w:val="en-US" w:eastAsia="zh-CN" w:bidi="ar"/>
              </w:rPr>
              <w:t>知晓率≥85%得满分，每下降1个百分点扣0.5分。</w:t>
            </w:r>
          </w:p>
        </w:tc>
        <w:tc>
          <w:tcPr>
            <w:tcW w:w="1876" w:type="dxa"/>
            <w:tcBorders>
              <w:top w:val="nil"/>
              <w:left w:val="nil"/>
              <w:bottom w:val="single" w:color="auto" w:sz="8" w:space="0"/>
              <w:right w:val="single" w:color="auto" w:sz="8" w:space="0"/>
            </w:tcBorders>
            <w:shd w:val="clear" w:color="auto" w:fill="FFFFFF"/>
            <w:tcMar>
              <w:left w:w="108" w:type="dxa"/>
              <w:right w:w="108" w:type="dxa"/>
            </w:tcMar>
            <w:vAlign w:val="center"/>
          </w:tcPr>
          <w:p w14:paraId="14F72465">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3</w:t>
            </w:r>
            <w:bookmarkStart w:id="0" w:name="_GoBack"/>
            <w:bookmarkEnd w:id="0"/>
          </w:p>
        </w:tc>
      </w:tr>
      <w:tr w14:paraId="499C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73" w:hRule="atLeast"/>
        </w:trPr>
        <w:tc>
          <w:tcPr>
            <w:tcW w:w="936" w:type="dxa"/>
            <w:vMerge w:val="continue"/>
            <w:tcBorders>
              <w:left w:val="single" w:color="auto" w:sz="8" w:space="0"/>
              <w:right w:val="single" w:color="auto" w:sz="8" w:space="0"/>
            </w:tcBorders>
            <w:shd w:val="clear" w:color="auto" w:fill="FFFFFF"/>
            <w:tcMar>
              <w:left w:w="108" w:type="dxa"/>
              <w:right w:w="108" w:type="dxa"/>
            </w:tcMar>
            <w:vAlign w:val="center"/>
          </w:tcPr>
          <w:p w14:paraId="30263CCF">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tcBorders>
              <w:top w:val="nil"/>
              <w:left w:val="nil"/>
              <w:bottom w:val="single" w:color="auto" w:sz="4" w:space="0"/>
              <w:right w:val="single" w:color="auto" w:sz="8" w:space="0"/>
            </w:tcBorders>
            <w:shd w:val="clear" w:color="auto" w:fill="FFFFFF"/>
            <w:tcMar>
              <w:left w:w="108" w:type="dxa"/>
              <w:right w:w="108" w:type="dxa"/>
            </w:tcMar>
            <w:vAlign w:val="center"/>
          </w:tcPr>
          <w:p w14:paraId="5F55C76E">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服务对象满意度</w:t>
            </w:r>
          </w:p>
        </w:tc>
        <w:tc>
          <w:tcPr>
            <w:tcW w:w="1255" w:type="dxa"/>
            <w:tcBorders>
              <w:top w:val="nil"/>
              <w:left w:val="nil"/>
              <w:bottom w:val="single" w:color="auto" w:sz="4" w:space="0"/>
              <w:right w:val="single" w:color="auto" w:sz="8" w:space="0"/>
            </w:tcBorders>
            <w:shd w:val="clear" w:color="auto" w:fill="FFFFFF"/>
            <w:tcMar>
              <w:left w:w="108" w:type="dxa"/>
              <w:right w:w="108" w:type="dxa"/>
            </w:tcMar>
            <w:vAlign w:val="center"/>
          </w:tcPr>
          <w:p w14:paraId="40FCA9AC">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参保群众满意度</w:t>
            </w:r>
            <w:r>
              <w:rPr>
                <w:rFonts w:hint="eastAsia" w:ascii="仿宋" w:hAnsi="仿宋" w:eastAsia="仿宋" w:cs="仿宋"/>
                <w:i w:val="0"/>
                <w:iCs w:val="0"/>
                <w:caps w:val="0"/>
                <w:color w:val="333333"/>
                <w:spacing w:val="0"/>
                <w:kern w:val="0"/>
                <w:sz w:val="24"/>
                <w:szCs w:val="24"/>
                <w:lang w:val="en-US" w:eastAsia="zh-CN" w:bidi="ar"/>
              </w:rPr>
              <w:t>（4分）</w:t>
            </w:r>
          </w:p>
        </w:tc>
        <w:tc>
          <w:tcPr>
            <w:tcW w:w="4971" w:type="dxa"/>
            <w:tcBorders>
              <w:top w:val="nil"/>
              <w:left w:val="nil"/>
              <w:bottom w:val="single" w:color="auto" w:sz="4" w:space="0"/>
              <w:right w:val="single" w:color="auto" w:sz="8" w:space="0"/>
            </w:tcBorders>
            <w:shd w:val="clear" w:color="auto" w:fill="FFFFFF"/>
            <w:tcMar>
              <w:left w:w="108" w:type="dxa"/>
              <w:right w:w="108" w:type="dxa"/>
            </w:tcMar>
            <w:vAlign w:val="center"/>
          </w:tcPr>
          <w:p w14:paraId="2224F2F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default" w:ascii="仿宋" w:hAnsi="仿宋" w:eastAsia="仿宋" w:cs="仿宋"/>
                <w:i w:val="0"/>
                <w:iCs w:val="0"/>
                <w:caps w:val="0"/>
                <w:color w:val="333333"/>
                <w:spacing w:val="0"/>
                <w:kern w:val="0"/>
                <w:sz w:val="24"/>
                <w:szCs w:val="24"/>
                <w:lang w:val="en-US" w:eastAsia="zh-CN" w:bidi="ar"/>
              </w:rPr>
              <w:t>电话调查的参保人员满意</w:t>
            </w:r>
            <w:r>
              <w:rPr>
                <w:rFonts w:hint="eastAsia" w:ascii="仿宋" w:hAnsi="仿宋" w:eastAsia="仿宋" w:cs="仿宋"/>
                <w:i w:val="0"/>
                <w:iCs w:val="0"/>
                <w:caps w:val="0"/>
                <w:color w:val="333333"/>
                <w:spacing w:val="0"/>
                <w:kern w:val="0"/>
                <w:sz w:val="24"/>
                <w:szCs w:val="24"/>
                <w:lang w:val="en-US" w:eastAsia="zh-CN" w:bidi="ar"/>
              </w:rPr>
              <w:t>度情况，</w:t>
            </w:r>
            <w:r>
              <w:rPr>
                <w:rFonts w:hint="default" w:ascii="仿宋" w:hAnsi="仿宋" w:eastAsia="仿宋" w:cs="仿宋"/>
                <w:i w:val="0"/>
                <w:iCs w:val="0"/>
                <w:caps w:val="0"/>
                <w:color w:val="333333"/>
                <w:spacing w:val="0"/>
                <w:kern w:val="0"/>
                <w:sz w:val="24"/>
                <w:szCs w:val="24"/>
                <w:lang w:val="en-US" w:eastAsia="zh-CN" w:bidi="ar"/>
              </w:rPr>
              <w:t>满意度达95%，得满分</w:t>
            </w:r>
            <w:r>
              <w:rPr>
                <w:rFonts w:hint="eastAsia" w:ascii="仿宋" w:hAnsi="仿宋" w:eastAsia="仿宋" w:cs="仿宋"/>
                <w:i w:val="0"/>
                <w:iCs w:val="0"/>
                <w:caps w:val="0"/>
                <w:color w:val="333333"/>
                <w:spacing w:val="0"/>
                <w:kern w:val="0"/>
                <w:sz w:val="24"/>
                <w:szCs w:val="24"/>
                <w:lang w:val="en-US" w:eastAsia="zh-CN" w:bidi="ar"/>
              </w:rPr>
              <w:t>；</w:t>
            </w:r>
            <w:r>
              <w:rPr>
                <w:rFonts w:hint="default" w:ascii="仿宋" w:hAnsi="仿宋" w:eastAsia="仿宋" w:cs="仿宋"/>
                <w:i w:val="0"/>
                <w:iCs w:val="0"/>
                <w:caps w:val="0"/>
                <w:color w:val="333333"/>
                <w:spacing w:val="0"/>
                <w:kern w:val="0"/>
                <w:sz w:val="24"/>
                <w:szCs w:val="24"/>
                <w:lang w:val="en-US" w:eastAsia="zh-CN" w:bidi="ar"/>
              </w:rPr>
              <w:t>每</w:t>
            </w:r>
            <w:r>
              <w:rPr>
                <w:rFonts w:hint="eastAsia" w:ascii="仿宋" w:hAnsi="仿宋" w:eastAsia="仿宋" w:cs="仿宋"/>
                <w:i w:val="0"/>
                <w:iCs w:val="0"/>
                <w:caps w:val="0"/>
                <w:color w:val="333333"/>
                <w:spacing w:val="0"/>
                <w:kern w:val="0"/>
                <w:sz w:val="24"/>
                <w:szCs w:val="24"/>
                <w:lang w:val="en-US" w:eastAsia="zh-CN" w:bidi="ar"/>
              </w:rPr>
              <w:t>降低1个百分点</w:t>
            </w:r>
            <w:r>
              <w:rPr>
                <w:rFonts w:hint="default" w:ascii="仿宋" w:hAnsi="仿宋" w:eastAsia="仿宋" w:cs="仿宋"/>
                <w:i w:val="0"/>
                <w:iCs w:val="0"/>
                <w:caps w:val="0"/>
                <w:color w:val="333333"/>
                <w:spacing w:val="0"/>
                <w:kern w:val="0"/>
                <w:sz w:val="24"/>
                <w:szCs w:val="24"/>
                <w:lang w:val="en-US" w:eastAsia="zh-CN" w:bidi="ar"/>
              </w:rPr>
              <w:t>扣0.5分，扣完为止。满意度=满意人数/调查人数*100%</w:t>
            </w:r>
          </w:p>
        </w:tc>
        <w:tc>
          <w:tcPr>
            <w:tcW w:w="1876" w:type="dxa"/>
            <w:tcBorders>
              <w:top w:val="nil"/>
              <w:left w:val="nil"/>
              <w:bottom w:val="single" w:color="auto" w:sz="4" w:space="0"/>
              <w:right w:val="single" w:color="auto" w:sz="8" w:space="0"/>
            </w:tcBorders>
            <w:shd w:val="clear" w:color="auto" w:fill="FFFFFF"/>
            <w:tcMar>
              <w:left w:w="108" w:type="dxa"/>
              <w:right w:w="108" w:type="dxa"/>
            </w:tcMar>
            <w:vAlign w:val="center"/>
          </w:tcPr>
          <w:p w14:paraId="2BEF7538">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4</w:t>
            </w:r>
          </w:p>
        </w:tc>
      </w:tr>
      <w:tr w14:paraId="7BB2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936" w:type="dxa"/>
            <w:vMerge w:val="continue"/>
            <w:tcBorders>
              <w:left w:val="single" w:color="auto" w:sz="8" w:space="0"/>
              <w:bottom w:val="single" w:color="000000" w:sz="8" w:space="0"/>
              <w:right w:val="single" w:color="auto" w:sz="4" w:space="0"/>
            </w:tcBorders>
            <w:shd w:val="clear" w:color="auto" w:fill="FFFFFF"/>
            <w:tcMar>
              <w:left w:w="108" w:type="dxa"/>
              <w:right w:w="108" w:type="dxa"/>
            </w:tcMar>
            <w:vAlign w:val="center"/>
          </w:tcPr>
          <w:p w14:paraId="4A556E1C">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eastAsia" w:ascii="仿宋" w:hAnsi="仿宋" w:eastAsia="仿宋" w:cs="仿宋"/>
                <w:i w:val="0"/>
                <w:iCs w:val="0"/>
                <w:caps w:val="0"/>
                <w:color w:val="333333"/>
                <w:spacing w:val="0"/>
                <w:kern w:val="0"/>
                <w:sz w:val="24"/>
                <w:szCs w:val="24"/>
                <w:lang w:val="en-US" w:eastAsia="zh-CN" w:bidi="ar"/>
              </w:rPr>
            </w:pPr>
          </w:p>
        </w:tc>
        <w:tc>
          <w:tcPr>
            <w:tcW w:w="81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B30B66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可持续发展指标</w:t>
            </w:r>
          </w:p>
        </w:tc>
        <w:tc>
          <w:tcPr>
            <w:tcW w:w="125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26C8177">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基金安全、平稳运行（4分）</w:t>
            </w:r>
          </w:p>
        </w:tc>
        <w:tc>
          <w:tcPr>
            <w:tcW w:w="49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5C9E018">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是否达到了收支平衡、留有结余的目标；是否实现了社保基金安全平稳运行。</w:t>
            </w:r>
          </w:p>
        </w:tc>
        <w:tc>
          <w:tcPr>
            <w:tcW w:w="187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DD7278F">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center"/>
              <w:rPr>
                <w:rFonts w:hint="default"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4</w:t>
            </w:r>
          </w:p>
        </w:tc>
      </w:tr>
    </w:tbl>
    <w:p w14:paraId="019FF2D9">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260" w:lineRule="atLeast"/>
        <w:ind w:left="0" w:right="0"/>
        <w:jc w:val="left"/>
        <w:rPr>
          <w:rFonts w:hint="default" w:ascii="仿宋" w:hAnsi="仿宋" w:eastAsia="仿宋" w:cs="仿宋"/>
          <w:i w:val="0"/>
          <w:iCs w:val="0"/>
          <w:caps w:val="0"/>
          <w:color w:val="333333"/>
          <w:spacing w:val="0"/>
          <w:kern w:val="0"/>
          <w:sz w:val="24"/>
          <w:szCs w:val="24"/>
          <w:lang w:val="en-US" w:eastAsia="zh-CN" w:bidi="ar"/>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n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MWFiZGI2ZDM1NmRmYjQ2OWMxNzkwNDQ0MTYyY2QifQ=="/>
  </w:docVars>
  <w:rsids>
    <w:rsidRoot w:val="00000000"/>
    <w:rsid w:val="012B6E45"/>
    <w:rsid w:val="01CC01AF"/>
    <w:rsid w:val="02C0756E"/>
    <w:rsid w:val="033F1C52"/>
    <w:rsid w:val="041C31AB"/>
    <w:rsid w:val="04497378"/>
    <w:rsid w:val="04891E6A"/>
    <w:rsid w:val="05082746"/>
    <w:rsid w:val="051200B1"/>
    <w:rsid w:val="070057D0"/>
    <w:rsid w:val="070428EF"/>
    <w:rsid w:val="07F04EC4"/>
    <w:rsid w:val="093D4685"/>
    <w:rsid w:val="0BE1433A"/>
    <w:rsid w:val="0E721BC1"/>
    <w:rsid w:val="0E912047"/>
    <w:rsid w:val="10437371"/>
    <w:rsid w:val="108A31F2"/>
    <w:rsid w:val="121E25B3"/>
    <w:rsid w:val="12A57C53"/>
    <w:rsid w:val="12BE0C51"/>
    <w:rsid w:val="13EE7139"/>
    <w:rsid w:val="14531B4D"/>
    <w:rsid w:val="14941276"/>
    <w:rsid w:val="14AD5701"/>
    <w:rsid w:val="15051099"/>
    <w:rsid w:val="17B9260F"/>
    <w:rsid w:val="18932E60"/>
    <w:rsid w:val="1AD51F68"/>
    <w:rsid w:val="1AFF2A2E"/>
    <w:rsid w:val="1B851185"/>
    <w:rsid w:val="1BA26332"/>
    <w:rsid w:val="1BFA52CA"/>
    <w:rsid w:val="1C0A685B"/>
    <w:rsid w:val="1D900E19"/>
    <w:rsid w:val="1DFC5003"/>
    <w:rsid w:val="1E430E84"/>
    <w:rsid w:val="1E8666D8"/>
    <w:rsid w:val="1EA717BB"/>
    <w:rsid w:val="1EAB7D74"/>
    <w:rsid w:val="20035A3F"/>
    <w:rsid w:val="20065D2D"/>
    <w:rsid w:val="20B63B8F"/>
    <w:rsid w:val="20CE2C87"/>
    <w:rsid w:val="215F5FD5"/>
    <w:rsid w:val="220B7F0B"/>
    <w:rsid w:val="2263316C"/>
    <w:rsid w:val="226E0AA3"/>
    <w:rsid w:val="227855A0"/>
    <w:rsid w:val="22D47EDC"/>
    <w:rsid w:val="2371069A"/>
    <w:rsid w:val="241C5B5B"/>
    <w:rsid w:val="24E261AD"/>
    <w:rsid w:val="25F807A6"/>
    <w:rsid w:val="262E2C1F"/>
    <w:rsid w:val="263C0693"/>
    <w:rsid w:val="267442D0"/>
    <w:rsid w:val="27624415"/>
    <w:rsid w:val="27F51790"/>
    <w:rsid w:val="28EC45F2"/>
    <w:rsid w:val="29763EBB"/>
    <w:rsid w:val="29B11398"/>
    <w:rsid w:val="2A9E16BA"/>
    <w:rsid w:val="2B5244B4"/>
    <w:rsid w:val="2B8E7BE2"/>
    <w:rsid w:val="2C1D2D14"/>
    <w:rsid w:val="2D432EB5"/>
    <w:rsid w:val="2DC7118A"/>
    <w:rsid w:val="2DEA5ED6"/>
    <w:rsid w:val="2E4B1DBB"/>
    <w:rsid w:val="2ED53072"/>
    <w:rsid w:val="2FE01B20"/>
    <w:rsid w:val="308275EA"/>
    <w:rsid w:val="31224929"/>
    <w:rsid w:val="31660CB9"/>
    <w:rsid w:val="33937736"/>
    <w:rsid w:val="341449FD"/>
    <w:rsid w:val="344572AC"/>
    <w:rsid w:val="3487301B"/>
    <w:rsid w:val="35744768"/>
    <w:rsid w:val="357D027F"/>
    <w:rsid w:val="35B472D7"/>
    <w:rsid w:val="35C6441D"/>
    <w:rsid w:val="35CE0E5D"/>
    <w:rsid w:val="35D313F1"/>
    <w:rsid w:val="35F433AE"/>
    <w:rsid w:val="36237179"/>
    <w:rsid w:val="36662444"/>
    <w:rsid w:val="37024FE0"/>
    <w:rsid w:val="37135440"/>
    <w:rsid w:val="3A555D6F"/>
    <w:rsid w:val="3AD66EB0"/>
    <w:rsid w:val="3B070FBD"/>
    <w:rsid w:val="3B0F21C2"/>
    <w:rsid w:val="3BA5139E"/>
    <w:rsid w:val="3BC8750B"/>
    <w:rsid w:val="3CC549E5"/>
    <w:rsid w:val="3E514784"/>
    <w:rsid w:val="3F4D32D7"/>
    <w:rsid w:val="3FDD483D"/>
    <w:rsid w:val="412F7F1A"/>
    <w:rsid w:val="41577DBE"/>
    <w:rsid w:val="42764AD5"/>
    <w:rsid w:val="42B11F1B"/>
    <w:rsid w:val="43302ED5"/>
    <w:rsid w:val="43851473"/>
    <w:rsid w:val="44022AC4"/>
    <w:rsid w:val="44344D8A"/>
    <w:rsid w:val="443A122B"/>
    <w:rsid w:val="45C83899"/>
    <w:rsid w:val="4646138E"/>
    <w:rsid w:val="468477C0"/>
    <w:rsid w:val="46AC23D5"/>
    <w:rsid w:val="46C741DF"/>
    <w:rsid w:val="46EB00DA"/>
    <w:rsid w:val="47040901"/>
    <w:rsid w:val="479E48B1"/>
    <w:rsid w:val="48613767"/>
    <w:rsid w:val="48C92444"/>
    <w:rsid w:val="497F6965"/>
    <w:rsid w:val="49BD43F4"/>
    <w:rsid w:val="49E256DD"/>
    <w:rsid w:val="4A723A12"/>
    <w:rsid w:val="4ABC7E17"/>
    <w:rsid w:val="4CEA67EB"/>
    <w:rsid w:val="4CEE62DB"/>
    <w:rsid w:val="4D565C2E"/>
    <w:rsid w:val="4E1D4B71"/>
    <w:rsid w:val="4ECD29D6"/>
    <w:rsid w:val="4ED11541"/>
    <w:rsid w:val="4F2B7C9E"/>
    <w:rsid w:val="4FCC3F86"/>
    <w:rsid w:val="5004528E"/>
    <w:rsid w:val="51204302"/>
    <w:rsid w:val="51FD585C"/>
    <w:rsid w:val="52607F5D"/>
    <w:rsid w:val="52B0193D"/>
    <w:rsid w:val="53AA4863"/>
    <w:rsid w:val="549B3DE2"/>
    <w:rsid w:val="54D373BB"/>
    <w:rsid w:val="56103C3C"/>
    <w:rsid w:val="56863171"/>
    <w:rsid w:val="58982D70"/>
    <w:rsid w:val="58FE1654"/>
    <w:rsid w:val="5A09413F"/>
    <w:rsid w:val="5A0A5DD6"/>
    <w:rsid w:val="5A417B04"/>
    <w:rsid w:val="5A7D47FA"/>
    <w:rsid w:val="5AC253A4"/>
    <w:rsid w:val="5B1F3A0B"/>
    <w:rsid w:val="5BB54596"/>
    <w:rsid w:val="5EF00A63"/>
    <w:rsid w:val="5FB30CA1"/>
    <w:rsid w:val="600F16E9"/>
    <w:rsid w:val="60AD570E"/>
    <w:rsid w:val="60B116A2"/>
    <w:rsid w:val="618F187B"/>
    <w:rsid w:val="619E1C26"/>
    <w:rsid w:val="62195750"/>
    <w:rsid w:val="637A3627"/>
    <w:rsid w:val="63CD05A1"/>
    <w:rsid w:val="64155AA4"/>
    <w:rsid w:val="64B83C12"/>
    <w:rsid w:val="65336B29"/>
    <w:rsid w:val="659426A6"/>
    <w:rsid w:val="66B45322"/>
    <w:rsid w:val="67B81568"/>
    <w:rsid w:val="680F5D29"/>
    <w:rsid w:val="687234C5"/>
    <w:rsid w:val="689C49E5"/>
    <w:rsid w:val="68AD09A1"/>
    <w:rsid w:val="6A975464"/>
    <w:rsid w:val="6AD246EE"/>
    <w:rsid w:val="6AEF34F2"/>
    <w:rsid w:val="6B363409"/>
    <w:rsid w:val="6B3C0E17"/>
    <w:rsid w:val="6C1A459F"/>
    <w:rsid w:val="6DA5433C"/>
    <w:rsid w:val="6E535B46"/>
    <w:rsid w:val="6E82467D"/>
    <w:rsid w:val="6F060E0B"/>
    <w:rsid w:val="6F42508C"/>
    <w:rsid w:val="6FE4739E"/>
    <w:rsid w:val="6FE80510"/>
    <w:rsid w:val="71794CEA"/>
    <w:rsid w:val="71A60683"/>
    <w:rsid w:val="7275252F"/>
    <w:rsid w:val="72807126"/>
    <w:rsid w:val="73407008"/>
    <w:rsid w:val="744321B9"/>
    <w:rsid w:val="74A425E9"/>
    <w:rsid w:val="750C6A4F"/>
    <w:rsid w:val="756B5E6B"/>
    <w:rsid w:val="757F1917"/>
    <w:rsid w:val="76262070"/>
    <w:rsid w:val="77291B3A"/>
    <w:rsid w:val="781E71C5"/>
    <w:rsid w:val="78DB3308"/>
    <w:rsid w:val="79E461EC"/>
    <w:rsid w:val="79F301DD"/>
    <w:rsid w:val="7A097A01"/>
    <w:rsid w:val="7B6B6F24"/>
    <w:rsid w:val="7C076F3D"/>
    <w:rsid w:val="7D9F2B56"/>
    <w:rsid w:val="7DAA32A9"/>
    <w:rsid w:val="7E132BFC"/>
    <w:rsid w:val="7F48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2340</Words>
  <Characters>2396</Characters>
  <Lines>0</Lines>
  <Paragraphs>0</Paragraphs>
  <TotalTime>4</TotalTime>
  <ScaleCrop>false</ScaleCrop>
  <LinksUpToDate>false</LinksUpToDate>
  <CharactersWithSpaces>2396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2023-08-09T12:41:00Z</dcterms:created>
  <dc:creator>我的电脑</dc:creator>
  <cp:lastModifiedBy>LENOVO</cp:lastModifiedBy>
  <cp:lastPrinted>2024-09-10T03:18:00Z</cp:lastPrinted>
  <dcterms:modified xsi:type="dcterms:W3CDTF">2024-09-11T00:39:47Z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063266640EC343B2B4ADFD106EA807AE</vt:lpwstr>
  </property>
</Properties>
</file>