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6"/>
        <w:shd w:val="clear" w:color="auto" w:fill="FFFFFF"/>
        <w:autoSpaceDN w:val="0"/>
        <w:adjustRightInd w:val="0"/>
        <w:snapToGrid w:val="0"/>
        <w:spacing w:before="0" w:beforeAutospacing="0" w:after="0" w:afterAutospacing="0" w:line="560" w:lineRule="exact"/>
        <w:jc w:val="center"/>
        <w:rPr>
          <w:rFonts w:ascii="宋体" w:eastAsia="宋体" w:cs="宋体" w:hint="eastAsia"/>
          <w:b/>
          <w:bCs/>
          <w:color w:val="333333"/>
          <w:sz w:val="44"/>
          <w:szCs w:val="44"/>
        </w:rPr>
      </w:pPr>
      <w:r>
        <w:rPr>
          <w:rFonts w:ascii="宋体" w:eastAsia="宋体" w:cs="宋体" w:hint="eastAsia"/>
          <w:b/>
          <w:bCs/>
          <w:color w:val="333333"/>
          <w:sz w:val="44"/>
          <w:szCs w:val="44"/>
        </w:rPr>
        <w:t>唐山市丰南区财政局</w:t>
      </w:r>
    </w:p>
    <w:p>
      <w:pPr>
        <w:pStyle w:val="16"/>
        <w:shd w:val="clear" w:color="auto" w:fill="FFFFFF"/>
        <w:autoSpaceDN w:val="0"/>
        <w:adjustRightInd w:val="0"/>
        <w:snapToGrid w:val="0"/>
        <w:spacing w:before="0" w:beforeAutospacing="0" w:after="0" w:afterAutospacing="0" w:line="560" w:lineRule="exact"/>
        <w:jc w:val="center"/>
        <w:rPr>
          <w:rFonts w:cs="宋体"/>
          <w:b/>
          <w:bCs/>
          <w:color w:val="333333"/>
          <w:sz w:val="44"/>
          <w:szCs w:val="44"/>
          <w:lang w:val="en-US" w:eastAsia="zh-CN"/>
        </w:rPr>
      </w:pPr>
      <w:r>
        <w:rPr>
          <w:rFonts w:ascii="宋体" w:eastAsia="宋体" w:cs="宋体"/>
          <w:b/>
          <w:bCs/>
          <w:color w:val="333333"/>
          <w:sz w:val="44"/>
          <w:szCs w:val="44"/>
        </w:rPr>
        <w:t>2023年国有企业退休人员社会化管理</w:t>
      </w:r>
      <w:r>
        <w:rPr>
          <w:rFonts w:cs="宋体" w:hint="eastAsia"/>
          <w:b/>
          <w:bCs/>
          <w:color w:val="333333"/>
          <w:sz w:val="44"/>
          <w:szCs w:val="44"/>
          <w:lang w:val="en-US" w:eastAsia="zh-CN"/>
        </w:rPr>
        <w:t>项目</w:t>
      </w:r>
    </w:p>
    <w:p>
      <w:pPr>
        <w:pStyle w:val="16"/>
        <w:shd w:val="clear" w:color="auto" w:fill="FFFFFF"/>
        <w:autoSpaceDN w:val="0"/>
        <w:adjustRightInd w:val="0"/>
        <w:snapToGrid w:val="0"/>
        <w:spacing w:before="0" w:beforeAutospacing="0" w:after="0" w:afterAutospacing="0" w:line="560" w:lineRule="exact"/>
        <w:jc w:val="center"/>
        <w:rPr>
          <w:rFonts w:ascii="宋体" w:eastAsia="宋体" w:cs="宋体" w:hint="eastAsia"/>
          <w:color w:val="333333"/>
          <w:sz w:val="44"/>
          <w:szCs w:val="44"/>
        </w:rPr>
      </w:pPr>
      <w:r>
        <w:rPr>
          <w:rFonts w:ascii="宋体" w:eastAsia="宋体" w:cs="宋体" w:hint="eastAsia"/>
          <w:b/>
          <w:bCs/>
          <w:color w:val="333333"/>
          <w:sz w:val="44"/>
          <w:szCs w:val="44"/>
        </w:rPr>
        <w:t>绩效评价报告</w:t>
      </w:r>
    </w:p>
    <w:p>
      <w:pPr>
        <w:autoSpaceDN w:val="0"/>
        <w:adjustRightInd w:val="0"/>
        <w:snapToGrid w:val="0"/>
        <w:spacing w:line="560" w:lineRule="exact"/>
        <w:ind w:firstLineChars="200" w:firstLine="640"/>
        <w:rPr>
          <w:rFonts w:ascii="仿宋_GB2312" w:eastAsia="仿宋_GB2312" w:hint="eastAsia"/>
          <w:sz w:val="32"/>
          <w:szCs w:val="32"/>
        </w:rPr>
      </w:pPr>
    </w:p>
    <w:p>
      <w:pPr>
        <w:ind w:firstLineChars="200" w:firstLine="640"/>
        <w:rPr>
          <w:rFonts w:ascii="仿宋_GB2312" w:eastAsia="仿宋_GB2312" w:cs="仿宋_GB2312" w:hint="eastAsia"/>
          <w:sz w:val="32"/>
          <w:szCs w:val="32"/>
        </w:rPr>
      </w:pPr>
      <w:r>
        <w:rPr>
          <w:rFonts w:ascii="仿宋_GB2312" w:eastAsia="仿宋_GB2312" w:hint="eastAsia"/>
          <w:sz w:val="32"/>
          <w:szCs w:val="32"/>
          <w:lang w:val="en-US" w:eastAsia="zh-CN"/>
        </w:rPr>
        <w:t>按照《</w:t>
      </w:r>
      <w:r>
        <w:rPr>
          <w:rFonts w:ascii="仿宋_GB2312" w:eastAsia="仿宋_GB2312" w:hint="eastAsia"/>
          <w:sz w:val="32"/>
          <w:szCs w:val="32"/>
        </w:rPr>
        <w:t>唐山市丰南区财政局关</w:t>
      </w:r>
      <w:r>
        <w:rPr>
          <w:rFonts w:ascii="仿宋_GB2312" w:eastAsia="仿宋_GB2312" w:hint="eastAsia"/>
          <w:sz w:val="32"/>
          <w:szCs w:val="32"/>
          <w:lang w:val="en-US" w:eastAsia="zh-CN"/>
        </w:rPr>
        <w:t>于开展项目支出绩效财政重点评价工作的通知》（丰财监[202</w:t>
      </w:r>
      <w:r>
        <w:rPr>
          <w:rFonts w:ascii="仿宋_GB2312" w:eastAsia="仿宋_GB2312"/>
          <w:sz w:val="32"/>
          <w:szCs w:val="32"/>
          <w:lang w:val="en-US" w:eastAsia="zh-CN"/>
        </w:rPr>
        <w:t>4</w:t>
      </w:r>
      <w:r>
        <w:rPr>
          <w:rFonts w:ascii="仿宋_GB2312" w:eastAsia="仿宋_GB2312" w:hint="eastAsia"/>
          <w:sz w:val="32"/>
          <w:szCs w:val="32"/>
          <w:lang w:val="en-US" w:eastAsia="zh-CN"/>
        </w:rPr>
        <w:t>]</w:t>
      </w:r>
      <w:r>
        <w:rPr>
          <w:rFonts w:ascii="仿宋_GB2312" w:eastAsia="仿宋_GB2312"/>
          <w:sz w:val="32"/>
          <w:szCs w:val="32"/>
          <w:lang w:val="en-US" w:eastAsia="zh-CN"/>
        </w:rPr>
        <w:t>6</w:t>
      </w:r>
      <w:r>
        <w:rPr>
          <w:rFonts w:ascii="仿宋_GB2312" w:eastAsia="仿宋_GB2312" w:hint="eastAsia"/>
          <w:sz w:val="32"/>
          <w:szCs w:val="32"/>
          <w:lang w:val="en-US" w:eastAsia="zh-CN"/>
        </w:rPr>
        <w:t>号）要求，区财政</w:t>
      </w:r>
      <w:r>
        <w:rPr>
          <w:rFonts w:ascii="仿宋_GB2312" w:eastAsia="仿宋_GB2312" w:cs="仿宋_GB2312" w:hint="eastAsia"/>
          <w:sz w:val="32"/>
          <w:szCs w:val="32"/>
        </w:rPr>
        <w:t>局重点评价工作小组对202</w:t>
      </w:r>
      <w:r>
        <w:rPr>
          <w:rFonts w:ascii="仿宋_GB2312" w:eastAsia="仿宋_GB2312" w:cs="仿宋_GB2312"/>
          <w:sz w:val="32"/>
          <w:szCs w:val="32"/>
        </w:rPr>
        <w:t>3</w:t>
      </w:r>
      <w:r>
        <w:rPr>
          <w:rFonts w:ascii="仿宋_GB2312" w:eastAsia="仿宋_GB2312" w:cs="仿宋_GB2312" w:hint="eastAsia"/>
          <w:sz w:val="32"/>
          <w:szCs w:val="32"/>
        </w:rPr>
        <w:t>年</w:t>
      </w:r>
      <w:r>
        <w:rPr>
          <w:rFonts w:ascii="仿宋_GB2312" w:eastAsia="仿宋_GB2312" w:cs="仿宋_GB2312" w:hAnsi="仿宋_GB2312" w:hint="eastAsia"/>
          <w:sz w:val="32"/>
          <w:szCs w:val="32"/>
        </w:rPr>
        <w:t>国有企业退休人员社会化管理国有资本经营预算项目</w:t>
      </w:r>
      <w:r>
        <w:rPr>
          <w:rFonts w:ascii="仿宋_GB2312" w:eastAsia="仿宋_GB2312" w:cs="仿宋_GB2312" w:hint="eastAsia"/>
          <w:sz w:val="32"/>
          <w:szCs w:val="32"/>
        </w:rPr>
        <w:t>开展了财政重点绩效评价工作。具体情况如下：</w:t>
      </w:r>
    </w:p>
    <w:p>
      <w:pPr>
        <w:autoSpaceDN w:val="0"/>
        <w:adjustRightInd w:val="0"/>
        <w:snapToGrid w:val="0"/>
        <w:spacing w:line="560" w:lineRule="exact"/>
        <w:ind w:firstLineChars="200" w:firstLine="640"/>
        <w:rPr>
          <w:rFonts w:ascii="黑体" w:eastAsia="黑体" w:hint="eastAsia"/>
          <w:sz w:val="32"/>
          <w:szCs w:val="32"/>
        </w:rPr>
      </w:pPr>
      <w:r>
        <w:rPr>
          <w:rFonts w:ascii="黑体" w:eastAsia="黑体" w:hint="eastAsia"/>
          <w:sz w:val="32"/>
          <w:szCs w:val="32"/>
        </w:rPr>
        <w:t>一、评价工作组织开展情况</w:t>
      </w:r>
    </w:p>
    <w:p>
      <w:pPr>
        <w:widowControl/>
        <w:autoSpaceDN w:val="0"/>
        <w:adjustRightInd w:val="0"/>
        <w:snapToGrid w:val="0"/>
        <w:spacing w:line="560" w:lineRule="exact"/>
        <w:ind w:firstLineChars="200" w:firstLine="640"/>
        <w:rPr>
          <w:rFonts w:ascii="仿宋_GB2312" w:eastAsia="仿宋_GB2312" w:cs="仿宋_GB2312" w:hint="eastAsia"/>
          <w:bCs/>
          <w:sz w:val="32"/>
          <w:szCs w:val="32"/>
        </w:rPr>
      </w:pPr>
      <w:r>
        <w:rPr>
          <w:rFonts w:ascii="仿宋_GB2312" w:eastAsia="仿宋_GB2312" w:cs="仿宋_GB2312" w:hint="eastAsia"/>
          <w:sz w:val="32"/>
          <w:szCs w:val="32"/>
        </w:rPr>
        <w:t>区财政局成立</w:t>
      </w:r>
      <w:r>
        <w:rPr>
          <w:rFonts w:ascii="仿宋_GB2312" w:eastAsia="仿宋_GB2312" w:cs="仿宋_GB2312" w:hint="eastAsia"/>
          <w:sz w:val="32"/>
          <w:szCs w:val="32"/>
          <w:lang w:val="en-US" w:eastAsia="zh-CN"/>
        </w:rPr>
        <w:t>重点</w:t>
      </w:r>
      <w:r>
        <w:rPr>
          <w:rFonts w:ascii="仿宋_GB2312" w:eastAsia="仿宋_GB2312" w:cs="仿宋_GB2312" w:hint="eastAsia"/>
          <w:sz w:val="32"/>
          <w:szCs w:val="32"/>
        </w:rPr>
        <w:t>评价工作</w:t>
      </w:r>
      <w:r>
        <w:rPr>
          <w:rFonts w:ascii="仿宋_GB2312" w:eastAsia="仿宋_GB2312" w:cs="仿宋_GB2312" w:hint="eastAsia"/>
          <w:sz w:val="32"/>
          <w:szCs w:val="32"/>
          <w:lang w:val="en-US" w:eastAsia="zh-CN"/>
        </w:rPr>
        <w:t>小</w:t>
      </w:r>
      <w:r>
        <w:rPr>
          <w:rFonts w:ascii="仿宋_GB2312" w:eastAsia="仿宋_GB2312" w:cs="仿宋_GB2312" w:hint="eastAsia"/>
          <w:sz w:val="32"/>
          <w:szCs w:val="32"/>
        </w:rPr>
        <w:t>组</w:t>
      </w:r>
      <w:r>
        <w:rPr>
          <w:rFonts w:ascii="仿宋_GB2312" w:eastAsia="仿宋_GB2312" w:cs="仿宋_GB2312"/>
          <w:sz w:val="32"/>
          <w:szCs w:val="32"/>
        </w:rPr>
        <w:t>。</w:t>
      </w:r>
      <w:r>
        <w:rPr>
          <w:rFonts w:ascii="仿宋_GB2312" w:eastAsia="仿宋_GB2312" w:cs="仿宋_GB2312" w:hint="eastAsia"/>
          <w:sz w:val="32"/>
          <w:szCs w:val="32"/>
          <w:lang w:val="en-US" w:eastAsia="zh-CN"/>
        </w:rPr>
        <w:t>通</w:t>
      </w:r>
      <w:r>
        <w:rPr>
          <w:rFonts w:ascii="仿宋_GB2312" w:eastAsia="仿宋_GB2312" w:cs="仿宋_GB2312" w:hint="eastAsia"/>
          <w:sz w:val="32"/>
          <w:szCs w:val="32"/>
        </w:rPr>
        <w:t>过</w:t>
      </w:r>
      <w:r>
        <w:rPr>
          <w:rFonts w:ascii="仿宋_GB2312" w:eastAsia="仿宋_GB2312" w:cs="仿宋_GB2312" w:hint="eastAsia"/>
          <w:sz w:val="32"/>
          <w:szCs w:val="32"/>
          <w:lang w:val="en-US" w:eastAsia="zh-CN"/>
        </w:rPr>
        <w:t>综合遴</w:t>
      </w:r>
      <w:r>
        <w:rPr>
          <w:rFonts w:ascii="仿宋_GB2312" w:eastAsia="仿宋_GB2312" w:cs="仿宋_GB2312" w:hint="eastAsia"/>
          <w:sz w:val="32"/>
          <w:szCs w:val="32"/>
        </w:rPr>
        <w:t>选，工作组将</w:t>
      </w:r>
      <w:r>
        <w:rPr>
          <w:rFonts w:ascii="仿宋_GB2312" w:eastAsia="仿宋_GB2312" w:cs="仿宋_GB2312" w:hAnsi="仿宋_GB2312" w:hint="eastAsia"/>
          <w:sz w:val="32"/>
          <w:szCs w:val="32"/>
        </w:rPr>
        <w:t>国有企业退休人员社会化管理</w:t>
      </w:r>
      <w:r>
        <w:rPr>
          <w:rFonts w:ascii="仿宋_GB2312" w:eastAsia="仿宋_GB2312" w:cs="仿宋_GB2312" w:hint="eastAsia"/>
          <w:bCs/>
          <w:sz w:val="32"/>
          <w:szCs w:val="32"/>
        </w:rPr>
        <w:t>项目资金</w:t>
      </w:r>
      <w:r>
        <w:rPr>
          <w:rFonts w:ascii="仿宋_GB2312" w:eastAsia="仿宋_GB2312" w:cs="仿宋_GB2312" w:hint="eastAsia"/>
          <w:sz w:val="32"/>
          <w:szCs w:val="32"/>
        </w:rPr>
        <w:t>确定为评价对象。对评价对象和目的、评价内容及评分标准、基本工作程序等做出明确规定。</w:t>
      </w:r>
    </w:p>
    <w:p>
      <w:pPr>
        <w:widowControl/>
        <w:autoSpaceDN w:val="0"/>
        <w:adjustRightInd w:val="0"/>
        <w:snapToGrid w:val="0"/>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工作组通过收集、分析、对比基础资料，深入了解项目开展情况，对</w:t>
      </w:r>
      <w:r>
        <w:rPr>
          <w:rFonts w:ascii="仿宋_GB2312" w:eastAsia="仿宋_GB2312" w:hAnsi="仿宋_GB2312" w:hint="eastAsia"/>
          <w:sz w:val="32"/>
          <w:szCs w:val="32"/>
        </w:rPr>
        <w:t>国有企业退休人员社会化管理</w:t>
      </w:r>
      <w:r>
        <w:rPr>
          <w:rFonts w:ascii="仿宋_GB2312" w:eastAsia="仿宋_GB2312" w:cs="仿宋" w:hint="eastAsia"/>
          <w:bCs/>
          <w:sz w:val="32"/>
          <w:szCs w:val="32"/>
          <w:lang w:bidi="ar-SA"/>
        </w:rPr>
        <w:t>项目进行全面的定量、定性分析，形成初步评价结论</w:t>
      </w:r>
      <w:r>
        <w:rPr>
          <w:rFonts w:ascii="仿宋_GB2312" w:eastAsia="仿宋_GB2312" w:cs="仿宋_GB2312" w:hint="eastAsia"/>
          <w:sz w:val="32"/>
          <w:szCs w:val="32"/>
        </w:rPr>
        <w:t>。在</w:t>
      </w:r>
      <w:r>
        <w:rPr>
          <w:rFonts w:ascii="仿宋_GB2312" w:eastAsia="仿宋_GB2312" w:cs="仿宋" w:hint="eastAsia"/>
          <w:bCs/>
          <w:sz w:val="32"/>
          <w:szCs w:val="32"/>
          <w:lang w:bidi="ar-SA"/>
        </w:rPr>
        <w:t>征求区</w:t>
      </w:r>
      <w:r>
        <w:rPr>
          <w:rFonts w:ascii="仿宋_GB2312" w:eastAsia="仿宋_GB2312" w:cs="仿宋" w:hAnsi="仿宋" w:hint="eastAsia"/>
          <w:bCs/>
          <w:sz w:val="32"/>
          <w:szCs w:val="32"/>
          <w:lang w:bidi="ar-SA"/>
        </w:rPr>
        <w:t>人社局社会保险服务中心</w:t>
      </w:r>
      <w:r>
        <w:rPr>
          <w:rFonts w:ascii="仿宋_GB2312" w:eastAsia="仿宋_GB2312" w:cs="仿宋" w:hint="eastAsia"/>
          <w:bCs/>
          <w:sz w:val="32"/>
          <w:szCs w:val="32"/>
          <w:lang w:bidi="ar-SA"/>
        </w:rPr>
        <w:t>意见后，根据反馈意见作了进一步核实、修改和确认，形成最终评价报告。</w:t>
      </w:r>
    </w:p>
    <w:p>
      <w:pPr>
        <w:autoSpaceDN w:val="0"/>
        <w:adjustRightInd w:val="0"/>
        <w:snapToGrid w:val="0"/>
        <w:spacing w:line="560" w:lineRule="exact"/>
        <w:ind w:firstLineChars="200" w:firstLine="640"/>
        <w:rPr>
          <w:rFonts w:ascii="黑体" w:eastAsia="黑体" w:hint="eastAsia"/>
          <w:sz w:val="32"/>
          <w:szCs w:val="32"/>
        </w:rPr>
      </w:pPr>
      <w:r>
        <w:rPr>
          <w:rFonts w:ascii="黑体" w:eastAsia="黑体" w:hint="eastAsia"/>
          <w:sz w:val="32"/>
          <w:szCs w:val="32"/>
        </w:rPr>
        <w:t>二、项目基本概况</w:t>
      </w:r>
    </w:p>
    <w:p>
      <w:pPr>
        <w:widowControl/>
        <w:autoSpaceDN w:val="0"/>
        <w:adjustRightInd w:val="0"/>
        <w:snapToGrid w:val="0"/>
        <w:spacing w:line="560" w:lineRule="exact"/>
        <w:ind w:firstLineChars="200" w:firstLine="640"/>
        <w:rPr>
          <w:rFonts w:ascii="Times New Roman" w:eastAsia="仿宋_GB2312" w:cs="仿宋_GB2312" w:hAnsi="Times New Roman"/>
          <w:sz w:val="32"/>
          <w:szCs w:val="32"/>
        </w:rPr>
      </w:pPr>
      <w:r>
        <w:rPr>
          <w:rFonts w:ascii="仿宋_GB2312" w:eastAsia="仿宋_GB2312" w:cs="仿宋_GB2312" w:hint="eastAsia"/>
          <w:sz w:val="32"/>
          <w:szCs w:val="32"/>
        </w:rPr>
        <w:t>（一）项目背景</w:t>
      </w:r>
    </w:p>
    <w:p>
      <w:pPr>
        <w:widowControl/>
        <w:autoSpaceDN w:val="0"/>
        <w:adjustRightInd w:val="0"/>
        <w:snapToGrid w:val="0"/>
        <w:spacing w:line="560" w:lineRule="exact"/>
        <w:ind w:firstLineChars="200" w:firstLine="640"/>
        <w:rPr>
          <w:rFonts w:ascii="仿宋_GB2312" w:eastAsia="仿宋_GB2312" w:cs="仿宋" w:hAnsi="仿宋" w:hint="eastAsia"/>
          <w:bCs/>
          <w:sz w:val="32"/>
          <w:szCs w:val="32"/>
        </w:rPr>
      </w:pPr>
      <w:r>
        <w:rPr>
          <w:rFonts w:ascii="仿宋_GB2312" w:eastAsia="仿宋_GB2312" w:cs="仿宋" w:hAnsi="仿宋" w:hint="eastAsia"/>
          <w:bCs/>
          <w:sz w:val="32"/>
          <w:szCs w:val="32"/>
        </w:rPr>
        <w:t>根据中央办公厅、国务院办公厅印发的《关于国有企业退休人员社会化管理的指导意见》（厅字[2019]19号）,省委办公厅、省政府办公厅印发《河北省国有企业退休人员社会化管理工作方案》（冀办字[2019]28号）等文件精神,为加快推进我区国有企业退休人员社会化管理工作,促进国有企业轻装上阵,深化国有企业改革,剥离国有企业办社会职能和解决历史遗留问题。</w:t>
      </w:r>
    </w:p>
    <w:p>
      <w:pPr>
        <w:widowControl/>
        <w:autoSpaceDN w:val="0"/>
        <w:adjustRightInd w:val="0"/>
        <w:snapToGrid w:val="0"/>
        <w:spacing w:line="560" w:lineRule="exact"/>
        <w:ind w:firstLineChars="200" w:firstLine="640"/>
        <w:rPr>
          <w:rFonts w:ascii="仿宋_GB2312" w:eastAsia="仿宋_GB2312" w:cs="仿宋" w:hAnsi="仿宋" w:hint="eastAsia"/>
          <w:bCs/>
          <w:sz w:val="32"/>
          <w:szCs w:val="32"/>
          <w:lang w:val="en-US" w:eastAsia="zh-CN"/>
        </w:rPr>
      </w:pPr>
      <w:r>
        <w:rPr>
          <w:rFonts w:ascii="仿宋_GB2312" w:eastAsia="仿宋_GB2312" w:cs="仿宋" w:hAnsi="仿宋" w:hint="eastAsia"/>
          <w:bCs/>
          <w:sz w:val="32"/>
          <w:szCs w:val="32"/>
          <w:lang w:val="en-US" w:eastAsia="zh-CN"/>
        </w:rPr>
        <w:t>（二）项目组织实施情况</w:t>
      </w:r>
    </w:p>
    <w:p>
      <w:pPr>
        <w:widowControl/>
        <w:autoSpaceDN w:val="0"/>
        <w:adjustRightInd w:val="0"/>
        <w:snapToGrid w:val="0"/>
        <w:spacing w:line="560" w:lineRule="exact"/>
        <w:ind w:firstLineChars="200" w:firstLine="640"/>
        <w:rPr>
          <w:rFonts w:ascii="仿宋_GB2312" w:eastAsia="仿宋_GB2312" w:cs="仿宋" w:hAnsi="仿宋" w:hint="eastAsia"/>
          <w:bCs/>
          <w:sz w:val="32"/>
          <w:szCs w:val="32"/>
          <w:lang w:val="en-US" w:eastAsia="zh-CN"/>
        </w:rPr>
      </w:pPr>
      <w:r>
        <w:rPr>
          <w:rFonts w:ascii="仿宋_GB2312" w:eastAsia="仿宋_GB2312" w:cs="仿宋" w:hAnsi="仿宋" w:hint="eastAsia"/>
          <w:bCs/>
          <w:sz w:val="32"/>
          <w:szCs w:val="32"/>
          <w:lang w:val="en-US" w:eastAsia="zh-CN"/>
        </w:rPr>
        <w:t>国有企业退休人员社会化管理，我区需接收开滦集团、唐山德盛陶瓷有限公司等15家国有企业退休人员档案8049册，并承担人事档案管理等工作，由于区人社局档案保管用房已饱和，无法承接上述档案管理工作，经区政府批准聘用第三方托管，通过政府采购方式由唐山国资人力资源服务有限责任公司中标，承接我区国有企业退休人员人事档案、社会保障管理及协助信访工作服务。</w:t>
      </w:r>
    </w:p>
    <w:p>
      <w:pPr>
        <w:widowControl/>
        <w:autoSpaceDN w:val="0"/>
        <w:adjustRightInd w:val="0"/>
        <w:snapToGrid w:val="0"/>
        <w:spacing w:line="560" w:lineRule="exact"/>
        <w:ind w:firstLineChars="200" w:firstLine="640"/>
        <w:rPr>
          <w:rFonts w:ascii="仿宋_GB2312" w:eastAsia="仿宋_GB2312" w:cs="仿宋" w:hAnsi="仿宋" w:hint="eastAsia"/>
          <w:bCs/>
          <w:sz w:val="32"/>
          <w:szCs w:val="32"/>
        </w:rPr>
      </w:pPr>
      <w:r>
        <w:rPr>
          <w:rFonts w:ascii="仿宋_GB2312" w:eastAsia="仿宋_GB2312" w:cs="仿宋" w:hAnsi="仿宋" w:hint="eastAsia"/>
          <w:bCs/>
          <w:sz w:val="32"/>
          <w:szCs w:val="32"/>
        </w:rPr>
        <w:t>（</w:t>
      </w:r>
      <w:r>
        <w:rPr>
          <w:rFonts w:ascii="仿宋_GB2312" w:eastAsia="仿宋_GB2312" w:cs="仿宋" w:hAnsi="仿宋" w:hint="eastAsia"/>
          <w:bCs/>
          <w:sz w:val="32"/>
          <w:szCs w:val="32"/>
          <w:lang w:val="en-US" w:eastAsia="zh-CN"/>
        </w:rPr>
        <w:t>三</w:t>
      </w:r>
      <w:r>
        <w:rPr>
          <w:rFonts w:ascii="仿宋_GB2312" w:eastAsia="仿宋_GB2312" w:cs="仿宋" w:hAnsi="仿宋" w:hint="eastAsia"/>
          <w:bCs/>
          <w:sz w:val="32"/>
          <w:szCs w:val="32"/>
        </w:rPr>
        <w:t>）资金来源和使用情况</w:t>
      </w:r>
    </w:p>
    <w:p>
      <w:pPr>
        <w:widowControl/>
        <w:autoSpaceDN w:val="0"/>
        <w:adjustRightInd w:val="0"/>
        <w:snapToGrid w:val="0"/>
        <w:spacing w:line="560" w:lineRule="exact"/>
        <w:ind w:firstLineChars="200" w:firstLine="640"/>
        <w:rPr>
          <w:rFonts w:ascii="仿宋_GB2312" w:eastAsia="仿宋_GB2312" w:cs="仿宋" w:hAnsi="仿宋"/>
          <w:bCs/>
          <w:sz w:val="32"/>
          <w:szCs w:val="32"/>
          <w:lang w:eastAsia="zh-CN"/>
          <w:highlight w:val="auto"/>
        </w:rPr>
      </w:pPr>
      <w:r>
        <w:rPr>
          <w:rFonts w:ascii="仿宋_GB2312" w:eastAsia="仿宋_GB2312" w:cs="仿宋" w:hAnsi="仿宋" w:hint="eastAsia"/>
          <w:bCs/>
          <w:sz w:val="32"/>
          <w:szCs w:val="32"/>
        </w:rPr>
        <w:t>202</w:t>
      </w:r>
      <w:r>
        <w:rPr>
          <w:rFonts w:ascii="仿宋_GB2312" w:eastAsia="仿宋_GB2312" w:cs="仿宋" w:hAnsi="仿宋"/>
          <w:bCs/>
          <w:sz w:val="32"/>
          <w:szCs w:val="32"/>
        </w:rPr>
        <w:t>3</w:t>
      </w:r>
      <w:r>
        <w:rPr>
          <w:rFonts w:ascii="仿宋_GB2312" w:eastAsia="仿宋_GB2312" w:cs="仿宋" w:hAnsi="仿宋" w:hint="eastAsia"/>
          <w:bCs/>
          <w:sz w:val="32"/>
          <w:szCs w:val="32"/>
        </w:rPr>
        <w:t>年国有企业退休人员社会化管理</w:t>
      </w:r>
      <w:r>
        <w:rPr>
          <w:rFonts w:ascii="仿宋_GB2312" w:eastAsia="仿宋_GB2312" w:cs="仿宋" w:hAnsi="仿宋" w:hint="eastAsia"/>
          <w:bCs/>
          <w:sz w:val="32"/>
          <w:szCs w:val="32"/>
          <w:lang w:val="en-US" w:eastAsia="zh-CN"/>
        </w:rPr>
        <w:t>资金</w:t>
      </w:r>
      <w:r>
        <w:rPr>
          <w:rFonts w:ascii="仿宋_GB2312" w:eastAsia="仿宋_GB2312" w:cs="仿宋" w:hAnsi="仿宋" w:hint="eastAsia"/>
          <w:bCs/>
          <w:sz w:val="32"/>
          <w:szCs w:val="32"/>
        </w:rPr>
        <w:t>共安</w:t>
      </w:r>
      <w:r>
        <w:rPr>
          <w:rFonts w:ascii="仿宋_GB2312" w:eastAsia="仿宋_GB2312" w:cs="仿宋" w:hAnsi="仿宋" w:hint="eastAsia"/>
          <w:bCs/>
          <w:sz w:val="32"/>
          <w:szCs w:val="32"/>
          <w:highlight w:val="auto"/>
        </w:rPr>
        <w:t>排</w:t>
      </w:r>
      <w:r>
        <w:rPr>
          <w:rFonts w:ascii="仿宋_GB2312" w:eastAsia="仿宋_GB2312" w:cs="仿宋" w:hAnsi="仿宋"/>
          <w:bCs/>
          <w:sz w:val="32"/>
          <w:szCs w:val="32"/>
          <w:highlight w:val="auto"/>
        </w:rPr>
        <w:t>172.9</w:t>
      </w:r>
      <w:r>
        <w:rPr>
          <w:rFonts w:ascii="仿宋_GB2312" w:eastAsia="仿宋_GB2312" w:cs="仿宋" w:hAnsi="仿宋" w:hint="eastAsia"/>
          <w:bCs/>
          <w:sz w:val="32"/>
          <w:szCs w:val="32"/>
          <w:highlight w:val="auto"/>
        </w:rPr>
        <w:t>万元，其中</w:t>
      </w:r>
      <w:r>
        <w:rPr>
          <w:rFonts w:ascii="仿宋_GB2312" w:eastAsia="仿宋_GB2312" w:cs="仿宋" w:hAnsi="仿宋" w:hint="eastAsia"/>
          <w:bCs/>
          <w:sz w:val="32"/>
          <w:szCs w:val="32"/>
          <w:lang w:eastAsia="zh-CN"/>
          <w:highlight w:val="auto"/>
        </w:rPr>
        <w:t>：</w:t>
      </w:r>
      <w:r>
        <w:rPr>
          <w:rFonts w:ascii="仿宋_GB2312" w:eastAsia="仿宋_GB2312" w:cs="仿宋" w:hAnsi="仿宋" w:hint="eastAsia"/>
          <w:bCs/>
          <w:sz w:val="32"/>
          <w:szCs w:val="32"/>
          <w:highlight w:val="auto"/>
        </w:rPr>
        <w:t>中央资金</w:t>
      </w:r>
      <w:r>
        <w:rPr>
          <w:rFonts w:ascii="仿宋_GB2312" w:eastAsia="仿宋_GB2312" w:cs="仿宋" w:hAnsi="仿宋"/>
          <w:bCs/>
          <w:sz w:val="32"/>
          <w:szCs w:val="32"/>
          <w:highlight w:val="auto"/>
        </w:rPr>
        <w:t>147.97</w:t>
      </w:r>
      <w:r>
        <w:rPr>
          <w:rFonts w:ascii="仿宋_GB2312" w:eastAsia="仿宋_GB2312" w:cs="仿宋" w:hAnsi="仿宋" w:hint="eastAsia"/>
          <w:bCs/>
          <w:sz w:val="32"/>
          <w:szCs w:val="32"/>
          <w:highlight w:val="auto"/>
        </w:rPr>
        <w:t>万元，省级资金</w:t>
      </w:r>
      <w:r>
        <w:rPr>
          <w:rFonts w:ascii="仿宋_GB2312" w:eastAsia="仿宋_GB2312" w:cs="仿宋" w:hAnsi="仿宋"/>
          <w:bCs/>
          <w:sz w:val="32"/>
          <w:szCs w:val="32"/>
          <w:highlight w:val="auto"/>
        </w:rPr>
        <w:t>24.93</w:t>
      </w:r>
      <w:r>
        <w:rPr>
          <w:rFonts w:ascii="仿宋_GB2312" w:eastAsia="仿宋_GB2312" w:cs="仿宋" w:hAnsi="仿宋" w:hint="eastAsia"/>
          <w:bCs/>
          <w:sz w:val="32"/>
          <w:szCs w:val="32"/>
          <w:highlight w:val="auto"/>
        </w:rPr>
        <w:t>万元。</w:t>
      </w:r>
      <w:r>
        <w:rPr>
          <w:rFonts w:ascii="仿宋_GB2312" w:eastAsia="仿宋_GB2312" w:cs="仿宋" w:hAnsi="仿宋" w:hint="eastAsia"/>
          <w:bCs/>
          <w:sz w:val="32"/>
          <w:szCs w:val="32"/>
          <w:lang w:eastAsia="zh-CN"/>
          <w:highlight w:val="auto"/>
        </w:rPr>
        <w:t>区劳人局社会保险服务中心支出</w:t>
      </w:r>
      <w:r>
        <w:rPr>
          <w:rFonts w:ascii="仿宋_GB2312" w:eastAsia="仿宋_GB2312" w:cs="仿宋" w:hAnsi="仿宋"/>
          <w:bCs/>
          <w:sz w:val="32"/>
          <w:szCs w:val="32"/>
          <w:lang w:eastAsia="zh-CN"/>
          <w:highlight w:val="auto"/>
        </w:rPr>
        <w:t>50.748万元。</w:t>
      </w:r>
    </w:p>
    <w:p>
      <w:pPr>
        <w:widowControl/>
        <w:autoSpaceDN w:val="0"/>
        <w:adjustRightInd w:val="0"/>
        <w:snapToGrid w:val="0"/>
        <w:spacing w:line="560" w:lineRule="exact"/>
        <w:ind w:firstLineChars="200" w:firstLine="640"/>
        <w:rPr>
          <w:rFonts w:ascii="仿宋_GB2312" w:eastAsia="仿宋_GB2312" w:cs="仿宋" w:hAnsi="仿宋" w:hint="eastAsia"/>
          <w:bCs/>
          <w:sz w:val="32"/>
          <w:szCs w:val="32"/>
          <w:lang w:val="en-US" w:eastAsia="zh-CN"/>
        </w:rPr>
      </w:pPr>
      <w:r>
        <w:rPr>
          <w:rFonts w:ascii="仿宋_GB2312" w:eastAsia="仿宋_GB2312" w:cs="仿宋" w:hAnsi="仿宋" w:hint="eastAsia"/>
          <w:bCs/>
          <w:sz w:val="32"/>
          <w:szCs w:val="32"/>
        </w:rPr>
        <w:t>（</w:t>
      </w:r>
      <w:r>
        <w:rPr>
          <w:rFonts w:ascii="仿宋_GB2312" w:eastAsia="仿宋_GB2312" w:cs="仿宋" w:hAnsi="仿宋" w:hint="eastAsia"/>
          <w:bCs/>
          <w:sz w:val="32"/>
          <w:szCs w:val="32"/>
          <w:lang w:val="en-US" w:eastAsia="zh-CN"/>
        </w:rPr>
        <w:t>四</w:t>
      </w:r>
      <w:r>
        <w:rPr>
          <w:rFonts w:ascii="仿宋_GB2312" w:eastAsia="仿宋_GB2312" w:cs="仿宋" w:hAnsi="仿宋" w:hint="eastAsia"/>
          <w:bCs/>
          <w:sz w:val="32"/>
          <w:szCs w:val="32"/>
        </w:rPr>
        <w:t>）项目绩效目标</w:t>
      </w:r>
      <w:r>
        <w:rPr>
          <w:rFonts w:ascii="仿宋_GB2312" w:eastAsia="仿宋_GB2312" w:cs="仿宋" w:hAnsi="仿宋" w:hint="eastAsia"/>
          <w:bCs/>
          <w:sz w:val="32"/>
          <w:szCs w:val="32"/>
          <w:lang w:val="en-US" w:eastAsia="zh-CN"/>
        </w:rPr>
        <w:t>完成情况</w:t>
      </w:r>
    </w:p>
    <w:p>
      <w:pPr>
        <w:widowControl/>
        <w:autoSpaceDN w:val="0"/>
        <w:adjustRightInd w:val="0"/>
        <w:snapToGrid w:val="0"/>
        <w:spacing w:line="560" w:lineRule="exact"/>
        <w:ind w:firstLineChars="200" w:firstLine="640"/>
        <w:rPr>
          <w:rFonts w:ascii="仿宋_GB2312" w:eastAsia="仿宋_GB2312" w:cs="仿宋" w:hAnsi="仿宋" w:hint="eastAsia"/>
          <w:bCs/>
          <w:sz w:val="32"/>
          <w:szCs w:val="32"/>
          <w:lang w:val="en-US" w:eastAsia="zh-CN"/>
        </w:rPr>
      </w:pPr>
      <w:r>
        <w:rPr>
          <w:rFonts w:ascii="仿宋_GB2312" w:eastAsia="仿宋_GB2312" w:cs="仿宋" w:hAnsi="仿宋" w:hint="eastAsia"/>
          <w:bCs/>
          <w:sz w:val="32"/>
          <w:szCs w:val="32"/>
          <w:lang w:val="en-US" w:eastAsia="zh-CN"/>
        </w:rPr>
        <w:t>顺利承接了15家国有企业退休人员8049册档案。为退休人员做好各项社会保险待遇享受和申领的服务工作，协助社保部门为退休人员提供有关社会保险政策咨询服务，协助已故退休人员家属办理申领丧葬补助金和一次性抚恤金相关手续。服务期内新增国有企业退休人员时，随时接收移交档案，并及时归档、实现档案数字化。</w:t>
      </w:r>
    </w:p>
    <w:p>
      <w:pPr>
        <w:autoSpaceDN w:val="0"/>
        <w:adjustRightInd w:val="0"/>
        <w:snapToGrid w:val="0"/>
        <w:spacing w:line="560" w:lineRule="exact"/>
        <w:ind w:firstLineChars="200" w:firstLine="640"/>
        <w:rPr>
          <w:rFonts w:ascii="仿宋_GB2312" w:eastAsia="仿宋_GB2312" w:cs="仿宋" w:hAnsi="仿宋" w:hint="eastAsia"/>
          <w:bCs/>
          <w:sz w:val="32"/>
          <w:szCs w:val="32"/>
        </w:rPr>
      </w:pPr>
      <w:r>
        <w:rPr>
          <w:rFonts w:ascii="仿宋_GB2312" w:eastAsia="仿宋_GB2312" w:cs="仿宋" w:hAnsi="仿宋" w:hint="eastAsia"/>
          <w:bCs/>
          <w:sz w:val="32"/>
          <w:szCs w:val="32"/>
        </w:rPr>
        <w:t>三、绩效评价情况</w:t>
      </w:r>
    </w:p>
    <w:p>
      <w:pPr>
        <w:autoSpaceDN w:val="0"/>
        <w:adjustRightInd w:val="0"/>
        <w:snapToGrid w:val="0"/>
        <w:spacing w:line="560" w:lineRule="exact"/>
        <w:ind w:firstLineChars="200" w:firstLine="640"/>
        <w:rPr>
          <w:rFonts w:ascii="仿宋_GB2312" w:eastAsia="仿宋_GB2312" w:cs="仿宋" w:hAnsi="仿宋" w:hint="eastAsia"/>
          <w:bCs/>
          <w:sz w:val="32"/>
          <w:szCs w:val="32"/>
        </w:rPr>
      </w:pPr>
      <w:r>
        <w:rPr>
          <w:rFonts w:ascii="仿宋_GB2312" w:eastAsia="仿宋_GB2312" w:cs="仿宋" w:hAnsi="仿宋" w:hint="eastAsia"/>
          <w:bCs/>
          <w:sz w:val="32"/>
          <w:szCs w:val="32"/>
        </w:rPr>
        <w:t>（一）</w:t>
      </w:r>
      <w:r>
        <w:rPr>
          <w:rFonts w:ascii="仿宋_GB2312" w:eastAsia="仿宋_GB2312" w:cs="仿宋" w:hAnsi="仿宋" w:hint="eastAsia"/>
          <w:bCs/>
          <w:sz w:val="32"/>
          <w:szCs w:val="32"/>
          <w:lang w:val="en-US" w:eastAsia="zh-CN"/>
        </w:rPr>
        <w:t>绩效评价</w:t>
      </w:r>
      <w:r>
        <w:rPr>
          <w:rFonts w:ascii="仿宋_GB2312" w:eastAsia="仿宋_GB2312" w:cs="仿宋" w:hAnsi="仿宋" w:hint="eastAsia"/>
          <w:bCs/>
          <w:sz w:val="32"/>
          <w:szCs w:val="32"/>
        </w:rPr>
        <w:t>指标分析</w:t>
      </w:r>
    </w:p>
    <w:p>
      <w:pPr>
        <w:autoSpaceDN w:val="0"/>
        <w:adjustRightInd w:val="0"/>
        <w:snapToGrid w:val="0"/>
        <w:spacing w:line="560" w:lineRule="exact"/>
        <w:ind w:firstLineChars="200" w:firstLine="640"/>
        <w:rPr>
          <w:rFonts w:ascii="仿宋_GB2312" w:eastAsia="仿宋_GB2312" w:cs="仿宋" w:hAnsi="仿宋" w:hint="eastAsia"/>
          <w:bCs/>
          <w:sz w:val="32"/>
          <w:szCs w:val="32"/>
          <w:lang w:val="en-US" w:eastAsia="zh-CN"/>
        </w:rPr>
      </w:pPr>
      <w:r>
        <w:rPr>
          <w:rFonts w:ascii="仿宋_GB2312" w:eastAsia="仿宋_GB2312" w:cs="仿宋" w:hAnsi="仿宋" w:hint="eastAsia"/>
          <w:bCs/>
          <w:sz w:val="32"/>
          <w:szCs w:val="32"/>
        </w:rPr>
        <w:t>1、项目立项规范性（设定5分，得分5分）：</w:t>
      </w:r>
      <w:r>
        <w:rPr>
          <w:rFonts w:ascii="仿宋_GB2312" w:eastAsia="仿宋_GB2312" w:cs="仿宋" w:hAnsi="仿宋" w:hint="eastAsia"/>
          <w:bCs/>
          <w:sz w:val="32"/>
          <w:szCs w:val="32"/>
          <w:lang w:val="en-US" w:eastAsia="zh-CN"/>
        </w:rPr>
        <w:t>该项目</w:t>
      </w:r>
      <w:r>
        <w:rPr>
          <w:rFonts w:ascii="仿宋_GB2312" w:eastAsia="仿宋_GB2312" w:cs="仿宋" w:hAnsi="仿宋" w:hint="eastAsia"/>
          <w:bCs/>
          <w:sz w:val="32"/>
          <w:szCs w:val="32"/>
        </w:rPr>
        <w:t>符合国家</w:t>
      </w:r>
      <w:r>
        <w:rPr>
          <w:rFonts w:ascii="仿宋_GB2312" w:eastAsia="仿宋_GB2312" w:cs="仿宋" w:hAnsi="仿宋" w:hint="eastAsia"/>
          <w:bCs/>
          <w:sz w:val="32"/>
          <w:szCs w:val="32"/>
          <w:lang w:val="en-US" w:eastAsia="zh-CN"/>
        </w:rPr>
        <w:t>相关政策</w:t>
      </w:r>
      <w:r>
        <w:rPr>
          <w:rFonts w:ascii="仿宋_GB2312" w:eastAsia="仿宋_GB2312" w:cs="仿宋" w:hAnsi="仿宋" w:hint="eastAsia"/>
          <w:bCs/>
          <w:sz w:val="32"/>
          <w:szCs w:val="32"/>
          <w:lang w:eastAsia="zh-CN"/>
        </w:rPr>
        <w:t>，</w:t>
      </w:r>
      <w:r>
        <w:rPr>
          <w:rFonts w:ascii="仿宋_GB2312" w:eastAsia="仿宋_GB2312" w:cs="仿宋" w:hAnsi="仿宋" w:hint="eastAsia"/>
          <w:bCs/>
          <w:sz w:val="32"/>
          <w:szCs w:val="32"/>
        </w:rPr>
        <w:t>与</w:t>
      </w:r>
      <w:r>
        <w:rPr>
          <w:rFonts w:ascii="仿宋_GB2312" w:eastAsia="仿宋_GB2312" w:cs="仿宋" w:hAnsi="仿宋" w:hint="eastAsia"/>
          <w:bCs/>
          <w:sz w:val="32"/>
          <w:szCs w:val="32"/>
          <w:lang w:val="en-US" w:eastAsia="zh-CN"/>
        </w:rPr>
        <w:t>部门</w:t>
      </w:r>
      <w:r>
        <w:rPr>
          <w:rFonts w:ascii="仿宋_GB2312" w:eastAsia="仿宋_GB2312" w:cs="仿宋" w:hAnsi="仿宋" w:hint="eastAsia"/>
          <w:bCs/>
          <w:sz w:val="32"/>
          <w:szCs w:val="32"/>
        </w:rPr>
        <w:t>职责密切相关</w:t>
      </w:r>
      <w:r>
        <w:rPr>
          <w:rFonts w:ascii="仿宋_GB2312" w:eastAsia="仿宋_GB2312" w:cs="仿宋" w:hAnsi="仿宋" w:hint="eastAsia"/>
          <w:bCs/>
          <w:sz w:val="32"/>
          <w:szCs w:val="32"/>
          <w:lang w:eastAsia="zh-CN"/>
        </w:rPr>
        <w:t>，</w:t>
      </w:r>
      <w:r>
        <w:rPr>
          <w:rFonts w:ascii="仿宋_GB2312" w:eastAsia="仿宋_GB2312" w:cs="仿宋" w:hAnsi="仿宋" w:hint="eastAsia"/>
          <w:bCs/>
          <w:sz w:val="32"/>
          <w:szCs w:val="32"/>
          <w:lang w:val="en-US" w:eastAsia="zh-CN"/>
        </w:rPr>
        <w:t>并纳入区劳人局社会保险服务中心年度部</w:t>
      </w:r>
      <w:r>
        <w:rPr>
          <w:rFonts w:ascii="仿宋_GB2312" w:eastAsia="仿宋_GB2312" w:cs="仿宋" w:hAnsi="仿宋" w:hint="eastAsia"/>
          <w:bCs/>
          <w:sz w:val="32"/>
          <w:szCs w:val="32"/>
          <w:lang w:val="en-US" w:eastAsia="zh-CN"/>
          <w:highlight w:val="auto"/>
        </w:rPr>
        <w:t>门预算，推进国有企业退休人员社会化管理工作。</w:t>
      </w:r>
    </w:p>
    <w:p>
      <w:pPr>
        <w:ind w:firstLineChars="200" w:firstLine="640"/>
        <w:rPr>
          <w:rFonts w:ascii="仿宋_GB2312" w:eastAsia="仿宋_GB2312" w:cs="仿宋" w:hAnsi="仿宋" w:hint="eastAsia"/>
          <w:bCs/>
          <w:sz w:val="32"/>
          <w:szCs w:val="32"/>
        </w:rPr>
      </w:pPr>
      <w:r>
        <w:rPr>
          <w:rFonts w:ascii="仿宋_GB2312" w:eastAsia="仿宋_GB2312" w:cs="仿宋" w:hAnsi="仿宋" w:hint="eastAsia"/>
          <w:bCs/>
          <w:sz w:val="32"/>
          <w:szCs w:val="32"/>
        </w:rPr>
        <w:t>2、绩效目标合理性（设定5分，得分5分）：</w:t>
      </w:r>
      <w:r>
        <w:rPr>
          <w:rFonts w:ascii="仿宋_GB2312" w:eastAsia="仿宋_GB2312" w:cs="仿宋" w:hAnsi="仿宋" w:hint="eastAsia"/>
          <w:bCs/>
          <w:sz w:val="32"/>
          <w:szCs w:val="32"/>
          <w:lang w:val="en-US" w:eastAsia="zh-CN"/>
          <w:highlight w:val="auto"/>
        </w:rPr>
        <w:t>国有企业退休人员社会化管理</w:t>
      </w:r>
      <w:r>
        <w:rPr>
          <w:rFonts w:ascii="仿宋_GB2312" w:eastAsia="仿宋_GB2312" w:cs="仿宋" w:hAnsi="仿宋" w:hint="eastAsia"/>
          <w:bCs/>
          <w:sz w:val="32"/>
          <w:szCs w:val="32"/>
          <w:lang w:val="en-US" w:eastAsia="zh-CN"/>
        </w:rPr>
        <w:t>项目年初设定绩效目标依据充分，</w:t>
      </w:r>
      <w:r>
        <w:rPr>
          <w:rFonts w:ascii="仿宋_GB2312" w:eastAsia="仿宋_GB2312" w:cs="仿宋" w:hAnsi="仿宋" w:hint="eastAsia"/>
          <w:bCs/>
          <w:sz w:val="32"/>
          <w:szCs w:val="32"/>
        </w:rPr>
        <w:t>项目绩效目标明确、量化</w:t>
      </w:r>
      <w:r>
        <w:rPr>
          <w:rFonts w:ascii="仿宋_GB2312" w:eastAsia="仿宋_GB2312" w:cs="仿宋" w:hAnsi="仿宋" w:hint="eastAsia"/>
          <w:bCs/>
          <w:sz w:val="32"/>
          <w:szCs w:val="32"/>
          <w:lang w:eastAsia="zh-CN"/>
        </w:rPr>
        <w:t>，</w:t>
      </w:r>
      <w:r>
        <w:rPr>
          <w:rFonts w:ascii="仿宋_GB2312" w:eastAsia="仿宋_GB2312" w:cs="仿宋" w:hAnsi="仿宋" w:hint="eastAsia"/>
          <w:bCs/>
          <w:sz w:val="32"/>
          <w:szCs w:val="32"/>
        </w:rPr>
        <w:t>符合相关政策、明确了项目预期产出效益和效果。</w:t>
      </w:r>
    </w:p>
    <w:p>
      <w:pPr>
        <w:autoSpaceDN w:val="0"/>
        <w:adjustRightInd w:val="0"/>
        <w:snapToGrid w:val="0"/>
        <w:spacing w:line="560" w:lineRule="exact"/>
        <w:ind w:firstLineChars="200" w:firstLine="640"/>
        <w:rPr>
          <w:rFonts w:ascii="仿宋_GB2312" w:eastAsia="仿宋_GB2312" w:cs="仿宋" w:hAnsi="仿宋" w:hint="eastAsia"/>
          <w:bCs/>
          <w:sz w:val="32"/>
          <w:szCs w:val="32"/>
          <w:lang w:val="en-US" w:eastAsia="zh-CN"/>
        </w:rPr>
      </w:pPr>
      <w:r>
        <w:rPr>
          <w:rFonts w:ascii="仿宋_GB2312" w:eastAsia="仿宋_GB2312" w:cs="仿宋" w:hAnsi="仿宋" w:hint="eastAsia"/>
          <w:bCs/>
          <w:sz w:val="32"/>
          <w:szCs w:val="32"/>
        </w:rPr>
        <w:t>3、绩效指标明确性（设定5分，得分5分）：项目绩效目标细化分解为具体的绩效指标</w:t>
      </w:r>
      <w:r>
        <w:rPr>
          <w:rFonts w:ascii="仿宋_GB2312" w:eastAsia="仿宋_GB2312" w:cs="仿宋" w:hAnsi="仿宋" w:hint="eastAsia"/>
          <w:bCs/>
          <w:sz w:val="32"/>
          <w:szCs w:val="32"/>
          <w:lang w:val="en-US" w:eastAsia="zh-CN"/>
        </w:rPr>
        <w:t>，并通过清晰、可衡量的指标值予以体现</w:t>
      </w:r>
      <w:r>
        <w:rPr>
          <w:rFonts w:ascii="仿宋_GB2312" w:eastAsia="仿宋_GB2312" w:cs="仿宋" w:hAnsi="仿宋" w:hint="eastAsia"/>
          <w:bCs/>
          <w:sz w:val="32"/>
          <w:szCs w:val="32"/>
          <w:lang w:val="en-US" w:eastAsia="zh-CN"/>
          <w:highlight w:val="auto"/>
        </w:rPr>
        <w:t>国有企业退休人员社会化管理</w:t>
      </w:r>
      <w:r>
        <w:rPr>
          <w:rFonts w:ascii="仿宋_GB2312" w:eastAsia="仿宋_GB2312" w:cs="仿宋" w:hAnsi="仿宋" w:hint="eastAsia"/>
          <w:bCs/>
          <w:sz w:val="32"/>
          <w:szCs w:val="32"/>
          <w:lang w:val="en-US" w:eastAsia="zh-CN"/>
        </w:rPr>
        <w:t>项目的全貌。</w:t>
      </w:r>
    </w:p>
    <w:p>
      <w:pPr>
        <w:autoSpaceDN w:val="0"/>
        <w:adjustRightInd w:val="0"/>
        <w:snapToGrid w:val="0"/>
        <w:spacing w:line="560" w:lineRule="exact"/>
        <w:ind w:firstLineChars="200" w:firstLine="640"/>
        <w:rPr>
          <w:rFonts w:ascii="仿宋_GB2312" w:eastAsia="仿宋_GB2312" w:cs="仿宋" w:hAnsi="仿宋" w:hint="eastAsia"/>
          <w:bCs/>
          <w:sz w:val="32"/>
          <w:szCs w:val="32"/>
          <w:lang w:val="en-US" w:eastAsia="zh-CN"/>
        </w:rPr>
      </w:pPr>
      <w:r>
        <w:rPr>
          <w:rFonts w:ascii="仿宋_GB2312" w:eastAsia="仿宋_GB2312" w:cs="仿宋" w:hAnsi="仿宋" w:hint="eastAsia"/>
          <w:bCs/>
          <w:sz w:val="32"/>
          <w:szCs w:val="32"/>
        </w:rPr>
        <w:t>4、资金到位率（设定5分，得分5分）：</w:t>
      </w:r>
      <w:r>
        <w:rPr>
          <w:rFonts w:ascii="仿宋_GB2312" w:eastAsia="仿宋_GB2312" w:cs="仿宋" w:hAnsi="仿宋" w:hint="eastAsia"/>
          <w:bCs/>
          <w:sz w:val="32"/>
          <w:szCs w:val="32"/>
          <w:lang w:val="en-US" w:eastAsia="zh-CN"/>
        </w:rPr>
        <w:t>资金</w:t>
      </w:r>
      <w:r>
        <w:rPr>
          <w:rFonts w:ascii="仿宋_GB2312" w:eastAsia="仿宋_GB2312" w:cs="仿宋" w:hAnsi="仿宋" w:hint="eastAsia"/>
          <w:bCs/>
          <w:sz w:val="32"/>
          <w:szCs w:val="32"/>
        </w:rPr>
        <w:t>到位率100%</w:t>
      </w:r>
      <w:r>
        <w:rPr>
          <w:rFonts w:ascii="仿宋_GB2312" w:eastAsia="仿宋_GB2312" w:cs="仿宋" w:hAnsi="仿宋" w:hint="eastAsia"/>
          <w:bCs/>
          <w:sz w:val="32"/>
          <w:szCs w:val="32"/>
          <w:lang w:eastAsia="zh-CN"/>
        </w:rPr>
        <w:t>，</w:t>
      </w:r>
      <w:r>
        <w:rPr>
          <w:rFonts w:ascii="仿宋_GB2312" w:eastAsia="仿宋_GB2312" w:cs="仿宋" w:hAnsi="仿宋" w:hint="eastAsia"/>
          <w:bCs/>
          <w:sz w:val="32"/>
          <w:szCs w:val="32"/>
          <w:lang w:val="en-US" w:eastAsia="zh-CN"/>
        </w:rPr>
        <w:t>结合中央、省提前下达专项资金。</w:t>
      </w:r>
    </w:p>
    <w:p>
      <w:pPr>
        <w:autoSpaceDN w:val="0"/>
        <w:adjustRightInd w:val="0"/>
        <w:snapToGrid w:val="0"/>
        <w:spacing w:line="560" w:lineRule="exact"/>
        <w:ind w:firstLineChars="200" w:firstLine="640"/>
        <w:rPr>
          <w:rFonts w:ascii="仿宋_GB2312" w:eastAsia="仿宋_GB2312" w:cs="仿宋" w:hAnsi="仿宋" w:hint="eastAsia"/>
          <w:bCs/>
          <w:sz w:val="32"/>
          <w:szCs w:val="32"/>
        </w:rPr>
      </w:pPr>
      <w:r>
        <w:rPr>
          <w:rFonts w:ascii="仿宋_GB2312" w:eastAsia="仿宋_GB2312" w:cs="仿宋" w:hAnsi="仿宋" w:hint="eastAsia"/>
          <w:bCs/>
          <w:sz w:val="32"/>
          <w:szCs w:val="32"/>
        </w:rPr>
        <w:t>5、到位及时率（设定5分，得分5分）：</w:t>
      </w:r>
      <w:r>
        <w:rPr>
          <w:rFonts w:ascii="仿宋_GB2312" w:eastAsia="仿宋_GB2312" w:cs="仿宋" w:hAnsi="仿宋" w:hint="eastAsia"/>
          <w:bCs/>
          <w:sz w:val="32"/>
          <w:szCs w:val="32"/>
          <w:lang w:val="en-US" w:eastAsia="zh-CN"/>
        </w:rPr>
        <w:t>申请中央、省资金全部及时到位，</w:t>
      </w:r>
      <w:r>
        <w:rPr>
          <w:rFonts w:ascii="仿宋_GB2312" w:eastAsia="仿宋_GB2312" w:cs="仿宋" w:hAnsi="仿宋" w:hint="eastAsia"/>
          <w:bCs/>
          <w:sz w:val="32"/>
          <w:szCs w:val="32"/>
        </w:rPr>
        <w:t>到位及时率100%。</w:t>
      </w:r>
    </w:p>
    <w:p>
      <w:pPr>
        <w:autoSpaceDN w:val="0"/>
        <w:adjustRightInd w:val="0"/>
        <w:snapToGrid w:val="0"/>
        <w:spacing w:line="560" w:lineRule="exact"/>
        <w:ind w:firstLineChars="200" w:firstLine="640"/>
        <w:rPr>
          <w:rFonts w:ascii="仿宋_GB2312" w:eastAsia="仿宋_GB2312" w:cs="仿宋" w:hAnsi="仿宋" w:hint="eastAsia"/>
          <w:bCs/>
          <w:sz w:val="32"/>
          <w:szCs w:val="32"/>
          <w:highlight w:val="auto"/>
        </w:rPr>
      </w:pPr>
      <w:r>
        <w:rPr>
          <w:rFonts w:ascii="仿宋_GB2312" w:eastAsia="仿宋_GB2312" w:cs="仿宋" w:hAnsi="仿宋" w:hint="eastAsia"/>
          <w:bCs/>
          <w:sz w:val="32"/>
          <w:szCs w:val="32"/>
          <w:highlight w:val="auto"/>
        </w:rPr>
        <w:t>6、数量指标（设定15分，得分15分）：国有企业已退休人员管理服务工作与原企业分离比例达到100%。</w:t>
      </w:r>
    </w:p>
    <w:p>
      <w:pPr>
        <w:autoSpaceDN w:val="0"/>
        <w:adjustRightInd w:val="0"/>
        <w:snapToGrid w:val="0"/>
        <w:spacing w:line="560" w:lineRule="exact"/>
        <w:ind w:firstLineChars="200" w:firstLine="640"/>
        <w:rPr>
          <w:rFonts w:ascii="仿宋_GB2312" w:eastAsia="仿宋_GB2312" w:cs="仿宋" w:hAnsi="仿宋" w:hint="eastAsia"/>
          <w:bCs/>
          <w:sz w:val="32"/>
          <w:szCs w:val="32"/>
          <w:lang w:eastAsia="zh-CN"/>
        </w:rPr>
      </w:pPr>
      <w:r>
        <w:rPr>
          <w:rFonts w:ascii="仿宋_GB2312" w:eastAsia="仿宋_GB2312" w:cs="仿宋" w:hAnsi="仿宋" w:hint="eastAsia"/>
          <w:bCs/>
          <w:sz w:val="32"/>
          <w:szCs w:val="32"/>
        </w:rPr>
        <w:t>7、经济效益指标（设定15分，得分15分）：国有企业不承担移交后的退休人员社会化管理服务费用的比例达到100%。</w:t>
      </w:r>
    </w:p>
    <w:p>
      <w:pPr>
        <w:keepNext w:val="0"/>
        <w:keepLines w:val="0"/>
        <w:widowControl/>
        <w:suppressLineNumbers w:val="0"/>
        <w:ind w:firstLineChars="200" w:firstLine="640"/>
        <w:jc w:val="left"/>
        <w:rPr>
          <w:rFonts w:ascii="仿宋_GB2312" w:eastAsia="仿宋_GB2312" w:cs="仿宋" w:hAnsi="仿宋" w:hint="eastAsia"/>
          <w:bCs/>
          <w:sz w:val="32"/>
          <w:szCs w:val="32"/>
        </w:rPr>
      </w:pPr>
      <w:r>
        <w:rPr>
          <w:rFonts w:ascii="仿宋_GB2312" w:eastAsia="仿宋_GB2312" w:cs="仿宋" w:hAnsi="仿宋" w:hint="eastAsia"/>
          <w:bCs/>
          <w:sz w:val="32"/>
          <w:szCs w:val="32"/>
        </w:rPr>
        <w:t>8、资金使用合规性（设定15分，得分15分）：项目资金拨付有完整的审批程序和手续，项目资金无截留、挤占、挪用、虚列支出情况。</w:t>
      </w:r>
    </w:p>
    <w:p>
      <w:pPr>
        <w:autoSpaceDN w:val="0"/>
        <w:adjustRightInd w:val="0"/>
        <w:snapToGrid w:val="0"/>
        <w:spacing w:line="560" w:lineRule="exact"/>
        <w:ind w:firstLineChars="200" w:firstLine="640"/>
        <w:rPr>
          <w:rFonts w:ascii="仿宋_GB2312" w:eastAsia="仿宋_GB2312" w:cs="仿宋" w:hAnsi="仿宋" w:hint="eastAsia"/>
          <w:bCs/>
          <w:sz w:val="32"/>
          <w:szCs w:val="32"/>
        </w:rPr>
      </w:pPr>
      <w:r>
        <w:rPr>
          <w:rFonts w:ascii="仿宋_GB2312" w:eastAsia="仿宋_GB2312" w:cs="仿宋" w:hAnsi="仿宋" w:hint="eastAsia"/>
          <w:bCs/>
          <w:sz w:val="32"/>
          <w:szCs w:val="32"/>
        </w:rPr>
        <w:t>9、财务监控有效性（设定15分，得分15分）：严格按照内控制度执行内部财务监督职责，资金使用方向及用途进行审核，实现有效监控。</w:t>
      </w:r>
    </w:p>
    <w:p>
      <w:pPr>
        <w:autoSpaceDN w:val="0"/>
        <w:adjustRightInd w:val="0"/>
        <w:snapToGrid w:val="0"/>
        <w:spacing w:line="560" w:lineRule="exact"/>
        <w:ind w:firstLineChars="200" w:firstLine="640"/>
        <w:rPr>
          <w:rFonts w:ascii="仿宋_GB2312" w:eastAsia="仿宋_GB2312" w:cs="仿宋" w:hAnsi="仿宋" w:hint="eastAsia"/>
          <w:bCs/>
          <w:sz w:val="32"/>
          <w:szCs w:val="32"/>
        </w:rPr>
      </w:pPr>
      <w:r>
        <w:rPr>
          <w:rFonts w:ascii="仿宋_GB2312" w:eastAsia="仿宋_GB2312" w:cs="仿宋" w:hAnsi="仿宋" w:hint="eastAsia"/>
          <w:bCs/>
          <w:sz w:val="32"/>
          <w:szCs w:val="32"/>
        </w:rPr>
        <w:t>10、企业满意度指标（设定15分，得分15分）：通过企业满意度调查问卷，移交企业的综合满意程度达到100%。</w:t>
      </w:r>
    </w:p>
    <w:p>
      <w:pPr>
        <w:autoSpaceDN w:val="0"/>
        <w:adjustRightInd w:val="0"/>
        <w:snapToGrid w:val="0"/>
        <w:spacing w:line="560" w:lineRule="exact"/>
        <w:ind w:firstLineChars="200" w:firstLine="640"/>
        <w:rPr>
          <w:rFonts w:ascii="仿宋_GB2312" w:eastAsia="仿宋_GB2312" w:cs="仿宋" w:hAnsi="仿宋" w:hint="eastAsia"/>
          <w:bCs/>
          <w:sz w:val="32"/>
          <w:szCs w:val="32"/>
          <w:lang w:val="en-US" w:eastAsia="zh-CN"/>
        </w:rPr>
      </w:pPr>
      <w:r>
        <w:rPr>
          <w:rFonts w:ascii="仿宋_GB2312" w:eastAsia="仿宋_GB2312" w:cs="仿宋" w:hAnsi="仿宋" w:hint="eastAsia"/>
          <w:bCs/>
          <w:sz w:val="32"/>
          <w:szCs w:val="32"/>
        </w:rPr>
        <w:t>（二）评价结论</w:t>
      </w:r>
    </w:p>
    <w:p>
      <w:pPr>
        <w:autoSpaceDN w:val="0"/>
        <w:adjustRightInd w:val="0"/>
        <w:snapToGrid w:val="0"/>
        <w:spacing w:line="560" w:lineRule="exact"/>
        <w:ind w:firstLineChars="200" w:firstLine="640"/>
        <w:rPr>
          <w:rFonts w:ascii="仿宋_GB2312" w:eastAsia="仿宋_GB2312" w:cs="仿宋" w:hAnsi="仿宋" w:hint="eastAsia"/>
          <w:bCs/>
          <w:sz w:val="32"/>
          <w:szCs w:val="32"/>
        </w:rPr>
      </w:pPr>
      <w:r>
        <w:rPr>
          <w:rFonts w:ascii="仿宋_GB2312" w:eastAsia="仿宋_GB2312" w:cs="仿宋" w:hAnsi="仿宋" w:hint="eastAsia"/>
          <w:bCs/>
          <w:sz w:val="32"/>
          <w:szCs w:val="32"/>
        </w:rPr>
        <w:t>该项目评价得分100分，评价结果为优秀。</w:t>
      </w:r>
    </w:p>
    <w:p>
      <w:pPr>
        <w:autoSpaceDN w:val="0"/>
        <w:adjustRightInd w:val="0"/>
        <w:snapToGrid w:val="0"/>
        <w:spacing w:line="560" w:lineRule="exact"/>
        <w:ind w:firstLineChars="200" w:firstLine="640"/>
        <w:rPr>
          <w:rFonts w:ascii="仿宋_GB2312" w:eastAsia="仿宋_GB2312" w:cs="仿宋" w:hAnsi="仿宋" w:hint="eastAsia"/>
          <w:bCs/>
          <w:sz w:val="32"/>
          <w:szCs w:val="32"/>
        </w:rPr>
      </w:pPr>
      <w:r>
        <w:rPr>
          <w:rFonts w:ascii="仿宋_GB2312" w:eastAsia="仿宋_GB2312" w:cs="仿宋" w:hAnsi="仿宋" w:hint="eastAsia"/>
          <w:bCs/>
          <w:sz w:val="32"/>
          <w:szCs w:val="32"/>
          <w:lang w:val="en-US" w:eastAsia="zh-CN"/>
        </w:rPr>
        <w:t>该项目的实施，深化国有企业改革，剥离国有企业办社会职能和解决历史遗留问题，国有企业不再承担移交后的退休人员社会化管理费用。</w:t>
      </w:r>
    </w:p>
    <w:p>
      <w:pPr>
        <w:numPr>
          <w:ilvl w:val="0"/>
          <w:numId w:val="1"/>
        </w:numPr>
        <w:autoSpaceDN w:val="0"/>
        <w:adjustRightInd w:val="0"/>
        <w:snapToGrid w:val="0"/>
        <w:spacing w:line="560" w:lineRule="exact"/>
        <w:ind w:left="0" w:firstLineChars="200" w:firstLine="640"/>
        <w:rPr>
          <w:rFonts w:ascii="仿宋_GB2312" w:eastAsia="仿宋_GB2312" w:cs="仿宋" w:hAnsi="仿宋" w:hint="eastAsia"/>
          <w:bCs/>
          <w:sz w:val="32"/>
          <w:szCs w:val="32"/>
        </w:rPr>
      </w:pPr>
      <w:r>
        <w:rPr>
          <w:rFonts w:ascii="仿宋_GB2312" w:eastAsia="仿宋_GB2312" w:cs="仿宋" w:hAnsi="仿宋" w:hint="eastAsia"/>
          <w:bCs/>
          <w:sz w:val="32"/>
          <w:szCs w:val="32"/>
        </w:rPr>
        <w:t>建议</w:t>
      </w:r>
    </w:p>
    <w:p>
      <w:pPr>
        <w:widowControl w:val="0"/>
        <w:autoSpaceDN w:val="0"/>
        <w:adjustRightInd w:val="0"/>
        <w:snapToGrid w:val="0"/>
        <w:spacing w:line="560" w:lineRule="exact"/>
        <w:ind w:left="0" w:firstLineChars="200" w:firstLine="640"/>
        <w:jc w:val="both"/>
        <w:rPr>
          <w:rFonts w:ascii="仿宋_GB2312" w:eastAsia="仿宋_GB2312" w:cs="仿宋" w:hAnsi="仿宋" w:hint="eastAsia"/>
          <w:bCs/>
          <w:sz w:val="32"/>
          <w:szCs w:val="32"/>
          <w:highlight w:val="auto"/>
        </w:rPr>
      </w:pPr>
      <w:r>
        <w:rPr>
          <w:rFonts w:ascii="仿宋_GB2312" w:eastAsia="仿宋_GB2312" w:cs="仿宋" w:hAnsi="仿宋" w:hint="eastAsia"/>
          <w:bCs/>
          <w:sz w:val="32"/>
          <w:szCs w:val="32"/>
          <w:highlight w:val="auto"/>
        </w:rPr>
        <w:t>上级拨付专项资金应按接收国有企业退休人员规模分配资金。</w:t>
      </w:r>
    </w:p>
    <w:p>
      <w:pPr>
        <w:autoSpaceDN w:val="0"/>
        <w:adjustRightInd w:val="0"/>
        <w:snapToGrid w:val="0"/>
        <w:spacing w:line="560" w:lineRule="exact"/>
        <w:ind w:left="0" w:firstLineChars="200" w:firstLine="640"/>
        <w:rPr>
          <w:rFonts w:ascii="仿宋_GB2312" w:eastAsia="仿宋_GB2312" w:cs="仿宋" w:hAnsi="仿宋" w:hint="eastAsia"/>
          <w:bCs/>
          <w:sz w:val="32"/>
          <w:szCs w:val="32"/>
          <w:lang w:val="en-US" w:eastAsia="zh-CN"/>
        </w:rPr>
      </w:pPr>
    </w:p>
    <w:p>
      <w:pPr>
        <w:autoSpaceDN w:val="0"/>
        <w:adjustRightInd w:val="0"/>
        <w:snapToGrid w:val="0"/>
        <w:spacing w:line="560" w:lineRule="exact"/>
        <w:ind w:left="0" w:firstLineChars="200" w:firstLine="640"/>
        <w:rPr>
          <w:rFonts w:ascii="仿宋_GB2312" w:eastAsia="仿宋_GB2312" w:cs="仿宋" w:hAnsi="仿宋" w:hint="eastAsia"/>
          <w:bCs/>
          <w:sz w:val="32"/>
          <w:szCs w:val="32"/>
          <w:lang w:val="en-US" w:eastAsia="zh-CN"/>
        </w:rPr>
      </w:pPr>
    </w:p>
    <w:p>
      <w:pPr>
        <w:autoSpaceDN w:val="0"/>
        <w:adjustRightInd w:val="0"/>
        <w:snapToGrid w:val="0"/>
        <w:spacing w:line="560" w:lineRule="exact"/>
        <w:ind w:left="0" w:firstLineChars="200" w:firstLine="640"/>
        <w:rPr>
          <w:rFonts w:ascii="仿宋_GB2312" w:eastAsia="仿宋_GB2312" w:cs="仿宋" w:hAnsi="仿宋" w:hint="eastAsia"/>
          <w:bCs/>
          <w:sz w:val="32"/>
          <w:szCs w:val="32"/>
        </w:rPr>
      </w:pPr>
    </w:p>
    <w:p>
      <w:pPr>
        <w:autoSpaceDN w:val="0"/>
        <w:adjustRightInd w:val="0"/>
        <w:snapToGrid w:val="0"/>
        <w:spacing w:line="560" w:lineRule="exact"/>
        <w:jc w:val="right"/>
        <w:rPr>
          <w:rFonts w:ascii="仿宋_GB2312" w:eastAsia="仿宋_GB2312" w:cs="仿宋" w:hAnsi="仿宋" w:hint="eastAsia"/>
          <w:bCs/>
          <w:sz w:val="32"/>
          <w:szCs w:val="32"/>
        </w:rPr>
      </w:pPr>
      <w:r>
        <w:rPr>
          <w:rFonts w:ascii="仿宋_GB2312" w:eastAsia="仿宋_GB2312" w:cs="仿宋" w:hAnsi="仿宋" w:hint="eastAsia"/>
          <w:bCs/>
          <w:sz w:val="32"/>
          <w:szCs w:val="32"/>
        </w:rPr>
        <w:t xml:space="preserve"> 202</w:t>
      </w:r>
      <w:r>
        <w:rPr>
          <w:rFonts w:ascii="仿宋_GB2312" w:eastAsia="仿宋_GB2312" w:cs="仿宋" w:hAnsi="仿宋"/>
          <w:bCs/>
          <w:sz w:val="32"/>
          <w:szCs w:val="32"/>
        </w:rPr>
        <w:t>4</w:t>
      </w:r>
      <w:r>
        <w:rPr>
          <w:rFonts w:ascii="仿宋_GB2312" w:eastAsia="仿宋_GB2312" w:cs="仿宋" w:hAnsi="仿宋" w:hint="eastAsia"/>
          <w:bCs/>
          <w:sz w:val="32"/>
          <w:szCs w:val="32"/>
        </w:rPr>
        <w:t>年</w:t>
      </w:r>
      <w:r>
        <w:rPr>
          <w:rFonts w:ascii="仿宋_GB2312" w:eastAsia="仿宋_GB2312" w:cs="仿宋" w:hAnsi="仿宋"/>
          <w:bCs/>
          <w:sz w:val="32"/>
          <w:szCs w:val="32"/>
        </w:rPr>
        <w:t>6</w:t>
      </w:r>
      <w:r>
        <w:rPr>
          <w:rFonts w:ascii="仿宋_GB2312" w:eastAsia="仿宋_GB2312" w:cs="仿宋" w:hAnsi="仿宋" w:hint="eastAsia"/>
          <w:bCs/>
          <w:sz w:val="32"/>
          <w:szCs w:val="32"/>
        </w:rPr>
        <w:t>月</w:t>
      </w:r>
      <w:bookmarkStart w:id="0" w:name="_GoBack"/>
      <w:bookmarkEnd w:id="0"/>
      <w:r>
        <w:rPr>
          <w:rFonts w:ascii="仿宋_GB2312" w:eastAsia="仿宋_GB2312" w:cs="仿宋" w:hAnsi="仿宋"/>
          <w:bCs/>
          <w:sz w:val="32"/>
          <w:szCs w:val="32"/>
        </w:rPr>
        <w:t>20</w:t>
      </w:r>
      <w:r>
        <w:rPr>
          <w:rFonts w:ascii="仿宋_GB2312" w:eastAsia="仿宋_GB2312" w:cs="仿宋" w:hAnsi="仿宋" w:hint="eastAsia"/>
          <w:bCs/>
          <w:sz w:val="32"/>
          <w:szCs w:val="32"/>
        </w:rPr>
        <w:t>日</w:t>
      </w:r>
    </w:p>
    <w:sectPr>
      <w:footerReference w:type="default" r:id="rId2"/>
      <w:footerReference w:type="even" r:id="rId3"/>
      <w:footerReference w:type="first" r:id="rId4"/>
      <w:pgSz w:w="11906" w:h="16838"/>
      <w:pgMar w:top="1440" w:right="1803" w:bottom="1440" w:left="1803"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仿宋_GB2312">
    <w:altName w:val="仿宋"/>
    <w:panose1 w:val="02010609030101010101"/>
    <w:charset w:val="86"/>
    <w:family w:val="modern"/>
    <w:pitch w:val="variable"/>
    <w:sig w:usb0="00000000" w:usb1="00000000" w:usb2="00000010" w:usb3="00000000" w:csb0="00040000" w:csb1="00000000"/>
  </w:font>
  <w:font w:name="黑体">
    <w:panose1 w:val="02010609060101010101"/>
    <w:charset w:val="86"/>
    <w:family w:val="auto"/>
    <w:pitch w:val="variable"/>
    <w:sig w:usb0="800002BF" w:usb1="38CF7CFA" w:usb2="00000016" w:usb3="00000000" w:csb0="00040001" w:csb1="00000000"/>
  </w:font>
  <w:font w:name="仿宋">
    <w:altName w:val="仿宋_GB2312"/>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1"/>
    <w:family w:val="swiss"/>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9"/>
      </w:rPr>
      <w:fldChar w:fldCharType="begin"/>
    </w:r>
    <w:r>
      <w:rPr>
        <w:rStyle w:val="19"/>
      </w:rPr>
      <w:instrText>Page</w:instrText>
    </w:r>
    <w:r>
      <w:rPr>
        <w:rStyle w:val="19"/>
      </w:rPr>
      <w:fldChar w:fldCharType="separate"/>
    </w:r>
    <w:r>
      <w:rPr>
        <w:rStyle w:val="19"/>
      </w:rPr>
      <w:t>1</w:t>
    </w:r>
    <w:r>
      <w:rPr>
        <w:rStyle w:val="19"/>
      </w:rPr>
      <w:fldChar w:fldCharType="end"/>
    </w:r>
  </w:p>
  <w:p>
    <w:pPr>
      <w:pStyle w:val="18"/>
      <w:tabs>
        <w:tab w:val="center" w:pos="4153"/>
        <w:tab w:val="right" w:pos="8307"/>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9"/>
      </w:rPr>
      <w:fldChar w:fldCharType="begin"/>
    </w:r>
    <w:r>
      <w:rPr>
        <w:rStyle w:val="19"/>
      </w:rPr>
      <w:instrText>Page</w:instrText>
    </w:r>
    <w:r>
      <w:rPr>
        <w:rStyle w:val="19"/>
      </w:rPr>
      <w:fldChar w:fldCharType="separate"/>
    </w:r>
    <w:r>
      <w:rPr>
        <w:rStyle w:val="19"/>
      </w:rPr>
      <w:t>1</w:t>
    </w:r>
    <w:r>
      <w:rPr>
        <w:rStyle w:val="19"/>
      </w:rPr>
      <w:fldChar w:fldCharType="end"/>
    </w:r>
  </w:p>
  <w:p>
    <w:pPr>
      <w:pStyle w:val="18"/>
      <w:tabs>
        <w:tab w:val="center" w:pos="4153"/>
        <w:tab w:val="right" w:pos="8307"/>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9"/>
      </w:rPr>
      <w:fldChar w:fldCharType="begin"/>
    </w:r>
    <w:r>
      <w:rPr>
        <w:rStyle w:val="19"/>
      </w:rPr>
      <w:instrText>Page</w:instrText>
    </w:r>
    <w:r>
      <w:rPr>
        <w:rStyle w:val="19"/>
      </w:rPr>
      <w:fldChar w:fldCharType="separate"/>
    </w:r>
    <w:r>
      <w:rPr>
        <w:rStyle w:val="19"/>
      </w:rPr>
      <w:t>1</w:t>
    </w:r>
    <w:r>
      <w:rPr>
        <w:rStyle w:val="19"/>
      </w:rPr>
      <w:fldChar w:fldCharType="end"/>
    </w:r>
  </w:p>
  <w:p>
    <w:pPr>
      <w:pStyle w:val="18"/>
      <w:tabs>
        <w:tab w:val="center" w:pos="4153"/>
        <w:tab w:val="right" w:pos="8307"/>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A5B6BE08"/>
    <w:multiLevelType w:val="singleLevel"/>
    <w:tmpl w:val="A5B6BE08"/>
    <w:lvl w:ilvl="0">
      <w:start w:val="4"/>
      <w:numFmt w:val="chineseCounting"/>
      <w:lvlRestart w:val="0"/>
      <w:suff w:val="nothing"/>
      <w:lvlText w:val="%1、"/>
      <w:lvlJc w:val="left"/>
      <w:pPr>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1"/>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index 5"/>
    <w:basedOn w:val="0"/>
    <w:next w:val="0"/>
    <w:pPr>
      <w:ind w:leftChars="800" w:left="800"/>
    </w:pPr>
  </w:style>
  <w:style w:type="paragraph" w:styleId="16">
    <w:name w:val="Normal (Web)"/>
    <w:next w:val="15"/>
    <w:pPr>
      <w:widowControl w:val="0"/>
      <w:spacing w:before="100" w:beforeAutospacing="1" w:after="100" w:afterAutospacing="1"/>
    </w:pPr>
    <w:rPr>
      <w:rFonts w:ascii="宋体" w:eastAsia="宋体" w:cs="Times New Roman" w:hAnsi="Times New Roman"/>
      <w:kern w:val="2"/>
      <w:sz w:val="24"/>
      <w:szCs w:val="21"/>
      <w:lang w:val="en-US" w:eastAsia="zh-CN" w:bidi="ar-SA"/>
    </w:rPr>
  </w:style>
  <w:style w:type="paragraph" w:styleId="17">
    <w:name w:val="header"/>
    <w:basedOn w:val="0"/>
    <w:pPr>
      <w:pBdr>
        <w:bottom w:val="single" w:sz="6" w:space="1" w:color="auto"/>
      </w:pBdr>
      <w:tabs>
        <w:tab w:val="center" w:pos="4153"/>
        <w:tab w:val="right" w:pos="8307"/>
      </w:tabs>
      <w:snapToGrid w:val="0"/>
      <w:jc w:val="center"/>
    </w:pPr>
    <w:rPr>
      <w:sz w:val="18"/>
    </w:rPr>
  </w:style>
  <w:style w:type="paragraph" w:styleId="18">
    <w:name w:val="footer"/>
    <w:basedOn w:val="0"/>
    <w:pPr>
      <w:tabs>
        <w:tab w:val="center" w:pos="4153"/>
        <w:tab w:val="right" w:pos="8307"/>
      </w:tabs>
      <w:snapToGrid w:val="0"/>
      <w:jc w:val="left"/>
    </w:pPr>
    <w:rPr>
      <w:sz w:val="18"/>
    </w:rPr>
  </w:style>
  <w:style w:type="character" w:styleId="19">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4C54F6DA-8E14-484D-A07A-8996C5D794F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345</TotalTime>
  <Application>Yozo_Office27021597764231179</Application>
  <Pages>4</Pages>
  <Words>0</Words>
  <Characters>1335</Characters>
  <Lines>0</Lines>
  <Paragraphs>38</Paragraphs>
  <CharactersWithSpaces>1781</CharactersWithSpaces>
  <Company>微软公司</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lenovo</cp:lastModifiedBy>
  <cp:revision>3</cp:revision>
  <cp:lastPrinted>2023-07-24T01:50:27Z</cp:lastPrinted>
  <dcterms:created xsi:type="dcterms:W3CDTF">2021-09-07T08:26:00Z</dcterms:created>
  <dcterms:modified xsi:type="dcterms:W3CDTF">2024-10-12T06:16:30Z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2052-11.1.0.10314</vt:lpwstr>
  </property>
</Properties>
</file>