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adjustRightInd w:val="0"/>
        <w:snapToGrid w:val="0"/>
        <w:spacing w:line="560" w:lineRule="exact"/>
        <w:jc w:val="center"/>
        <w:rPr>
          <w:rFonts w:ascii="宋体" w:eastAsia="宋体" w:cs="宋体"/>
          <w:b/>
          <w:bCs/>
          <w:sz w:val="44"/>
          <w:szCs w:val="44"/>
          <w:lang w:val="en-US" w:eastAsia="zh-CN"/>
        </w:rPr>
      </w:pPr>
      <w:r>
        <w:rPr>
          <w:rFonts w:ascii="宋体" w:eastAsia="宋体" w:cs="宋体"/>
          <w:b/>
          <w:bCs/>
          <w:sz w:val="44"/>
          <w:szCs w:val="44"/>
          <w:lang w:val="en-US" w:eastAsia="zh-CN"/>
        </w:rPr>
        <w:t>唐山市丰南区财政局</w:t>
      </w:r>
    </w:p>
    <w:p>
      <w:pPr>
        <w:widowControl/>
        <w:adjustRightInd w:val="0"/>
        <w:snapToGrid w:val="0"/>
        <w:spacing w:line="560" w:lineRule="exact"/>
        <w:jc w:val="center"/>
        <w:rPr>
          <w:rFonts w:ascii="宋体" w:eastAsia="宋体" w:cs="宋体"/>
          <w:b/>
          <w:bCs/>
          <w:sz w:val="44"/>
          <w:szCs w:val="44"/>
          <w:lang w:val="en-US" w:eastAsia="zh-CN"/>
        </w:rPr>
      </w:pPr>
      <w:r>
        <w:rPr>
          <w:rFonts w:ascii="宋体" w:eastAsia="宋体" w:cs="宋体"/>
          <w:b/>
          <w:bCs/>
          <w:sz w:val="44"/>
          <w:szCs w:val="44"/>
          <w:lang w:val="en-US" w:eastAsia="zh-CN"/>
        </w:rPr>
        <w:t>2023年餐厨废弃物处理补贴项目</w:t>
      </w:r>
      <w:r>
        <w:rPr>
          <w:rFonts w:ascii="宋体" w:eastAsia="宋体" w:cs="宋体" w:hint="eastAsia"/>
          <w:b/>
          <w:bCs/>
          <w:sz w:val="44"/>
          <w:szCs w:val="44"/>
          <w:lang w:val="en-US" w:eastAsia="zh-CN"/>
        </w:rPr>
        <w:t>绩效评价报告</w:t>
      </w:r>
    </w:p>
    <w:p>
      <w:pPr>
        <w:widowControl/>
        <w:adjustRightInd w:val="0"/>
        <w:snapToGrid w:val="0"/>
        <w:spacing w:line="560" w:lineRule="exact"/>
        <w:jc w:val="center"/>
        <w:rPr>
          <w:rFonts w:ascii="宋体" w:eastAsia="宋体" w:cs="宋体"/>
          <w:b/>
          <w:bCs/>
          <w:sz w:val="44"/>
          <w:szCs w:val="44"/>
          <w:lang w:val="en-US" w:eastAsia="zh-CN"/>
        </w:rPr>
      </w:pPr>
      <w:bookmarkStart w:id="0" w:name="_GoBack"/>
      <w:bookmarkEnd w:id="0"/>
    </w:p>
    <w:p>
      <w:pPr>
        <w:spacing w:line="560" w:lineRule="exact"/>
        <w:ind w:firstLineChars="200" w:firstLine="640"/>
        <w:jc w:val="left"/>
        <w:outlineLvl w:val="0"/>
        <w:rPr>
          <w:rFonts w:ascii="仿宋" w:eastAsia="仿宋" w:cs="宋体" w:hint="eastAsia"/>
          <w:sz w:val="32"/>
          <w:szCs w:val="32"/>
        </w:rPr>
      </w:pPr>
      <w:r>
        <w:rPr>
          <w:rFonts w:ascii="仿宋" w:eastAsia="仿宋" w:cs="宋体" w:hint="eastAsia"/>
          <w:sz w:val="32"/>
          <w:szCs w:val="32"/>
        </w:rPr>
        <w:t>按照《</w:t>
      </w:r>
      <w:r>
        <w:rPr>
          <w:rFonts w:ascii="仿宋" w:eastAsia="仿宋" w:cs="宋体"/>
          <w:sz w:val="32"/>
          <w:szCs w:val="32"/>
        </w:rPr>
        <w:t>唐山市丰南区财政局关于印发&lt;</w:t>
      </w:r>
      <w:r>
        <w:rPr>
          <w:rFonts w:ascii="仿宋" w:eastAsia="仿宋" w:cs="宋体" w:hint="eastAsia"/>
          <w:sz w:val="32"/>
          <w:szCs w:val="32"/>
        </w:rPr>
        <w:t>202</w:t>
      </w:r>
      <w:r>
        <w:rPr>
          <w:rFonts w:ascii="仿宋" w:eastAsia="仿宋" w:cs="宋体"/>
          <w:sz w:val="32"/>
          <w:szCs w:val="32"/>
        </w:rPr>
        <w:t>3</w:t>
      </w:r>
      <w:r>
        <w:rPr>
          <w:rFonts w:ascii="仿宋" w:eastAsia="仿宋" w:cs="宋体" w:hint="eastAsia"/>
          <w:sz w:val="32"/>
          <w:szCs w:val="32"/>
        </w:rPr>
        <w:t>年</w:t>
      </w:r>
      <w:r>
        <w:rPr>
          <w:rFonts w:ascii="仿宋" w:eastAsia="仿宋" w:cs="宋体"/>
          <w:sz w:val="32"/>
          <w:szCs w:val="32"/>
        </w:rPr>
        <w:t>餐厨废弃物处理补贴</w:t>
      </w:r>
      <w:r>
        <w:rPr>
          <w:rFonts w:ascii="仿宋" w:eastAsia="仿宋" w:cs="宋体" w:hint="eastAsia"/>
          <w:sz w:val="32"/>
          <w:szCs w:val="32"/>
        </w:rPr>
        <w:t>项</w:t>
      </w:r>
      <w:r>
        <w:rPr>
          <w:rFonts w:ascii="仿宋" w:eastAsia="仿宋" w:cs="仿宋" w:hint="eastAsia"/>
          <w:sz w:val="32"/>
          <w:szCs w:val="32"/>
        </w:rPr>
        <w:t>目绩效评价工作方案</w:t>
      </w:r>
      <w:r>
        <w:rPr>
          <w:rFonts w:ascii="仿宋" w:eastAsia="仿宋" w:cs="宋体"/>
          <w:sz w:val="32"/>
          <w:szCs w:val="32"/>
        </w:rPr>
        <w:t>&gt;的通知</w:t>
      </w:r>
      <w:r>
        <w:rPr>
          <w:rFonts w:ascii="仿宋" w:eastAsia="仿宋" w:cs="仿宋" w:hint="eastAsia"/>
          <w:sz w:val="32"/>
          <w:szCs w:val="32"/>
        </w:rPr>
        <w:t>》</w:t>
      </w:r>
      <w:r>
        <w:rPr>
          <w:rFonts w:ascii="仿宋" w:eastAsia="仿宋" w:cs="仿宋"/>
          <w:sz w:val="32"/>
          <w:szCs w:val="32"/>
        </w:rPr>
        <w:t>（丰财建[2024]21号），</w:t>
      </w:r>
      <w:r>
        <w:rPr>
          <w:rFonts w:ascii="仿宋" w:eastAsia="仿宋" w:cs="仿宋" w:hint="eastAsia"/>
          <w:sz w:val="32"/>
          <w:szCs w:val="32"/>
        </w:rPr>
        <w:t>我局对区</w:t>
      </w:r>
      <w:r>
        <w:rPr>
          <w:rFonts w:ascii="仿宋" w:eastAsia="仿宋" w:cs="仿宋"/>
          <w:sz w:val="32"/>
          <w:szCs w:val="32"/>
        </w:rPr>
        <w:t>市场监督管理局</w:t>
      </w:r>
      <w:r>
        <w:rPr>
          <w:rFonts w:ascii="仿宋" w:eastAsia="仿宋" w:cs="宋体" w:hint="eastAsia"/>
          <w:sz w:val="32"/>
          <w:szCs w:val="32"/>
        </w:rPr>
        <w:t>202</w:t>
      </w:r>
      <w:r>
        <w:rPr>
          <w:rFonts w:ascii="仿宋" w:eastAsia="仿宋" w:cs="宋体"/>
          <w:sz w:val="32"/>
          <w:szCs w:val="32"/>
        </w:rPr>
        <w:t>3</w:t>
      </w:r>
      <w:r>
        <w:rPr>
          <w:rFonts w:ascii="仿宋" w:eastAsia="仿宋" w:cs="宋体" w:hint="eastAsia"/>
          <w:sz w:val="32"/>
          <w:szCs w:val="32"/>
        </w:rPr>
        <w:t>年</w:t>
      </w:r>
      <w:r>
        <w:rPr>
          <w:rFonts w:ascii="仿宋" w:eastAsia="仿宋" w:cs="宋体"/>
          <w:sz w:val="32"/>
          <w:szCs w:val="32"/>
        </w:rPr>
        <w:t>餐厨废弃物处理补贴项目</w:t>
      </w:r>
      <w:r>
        <w:rPr>
          <w:rFonts w:ascii="仿宋" w:eastAsia="仿宋" w:cs="仿宋" w:hint="eastAsia"/>
          <w:sz w:val="32"/>
          <w:szCs w:val="32"/>
        </w:rPr>
        <w:t>开展了绩效评价。</w:t>
      </w:r>
      <w:r>
        <w:rPr>
          <w:rFonts w:ascii="仿宋" w:eastAsia="仿宋" w:cs="仿宋"/>
          <w:sz w:val="32"/>
          <w:szCs w:val="32"/>
        </w:rPr>
        <w:t>评价情况如下：</w:t>
      </w:r>
    </w:p>
    <w:p>
      <w:pPr>
        <w:widowControl/>
        <w:adjustRightInd w:val="0"/>
        <w:snapToGrid w:val="0"/>
        <w:spacing w:line="560" w:lineRule="exact"/>
        <w:ind w:firstLineChars="200" w:firstLine="640"/>
        <w:rPr>
          <w:rFonts w:ascii="仿宋" w:eastAsia="仿宋" w:cs="宋体" w:hint="eastAsia"/>
          <w:sz w:val="32"/>
          <w:szCs w:val="32"/>
          <w:lang w:val="en-US" w:eastAsia="zh-CN"/>
        </w:rPr>
      </w:pPr>
      <w:r>
        <w:rPr>
          <w:rFonts w:ascii="仿宋" w:eastAsia="仿宋" w:cs="宋体"/>
          <w:sz w:val="32"/>
          <w:szCs w:val="32"/>
          <w:lang w:val="en-US" w:eastAsia="zh-CN"/>
        </w:rPr>
        <w:t>一、</w:t>
      </w:r>
      <w:r>
        <w:rPr>
          <w:rFonts w:ascii="仿宋" w:eastAsia="仿宋" w:cs="宋体" w:hint="eastAsia"/>
          <w:sz w:val="32"/>
          <w:szCs w:val="32"/>
          <w:lang w:val="en-US" w:eastAsia="zh-CN"/>
        </w:rPr>
        <w:t>评价工作组织开展情况</w:t>
      </w:r>
    </w:p>
    <w:p>
      <w:pPr>
        <w:widowControl/>
        <w:adjustRightInd w:val="0"/>
        <w:snapToGrid w:val="0"/>
        <w:spacing w:line="560" w:lineRule="exact"/>
        <w:ind w:firstLineChars="200" w:firstLine="640"/>
        <w:rPr>
          <w:rFonts w:ascii="仿宋" w:eastAsia="仿宋" w:cs="宋体" w:hint="eastAsia"/>
          <w:sz w:val="32"/>
          <w:szCs w:val="32"/>
          <w:lang w:val="en-US" w:eastAsia="zh-CN"/>
        </w:rPr>
      </w:pPr>
      <w:r>
        <w:rPr>
          <w:rFonts w:ascii="仿宋" w:eastAsia="仿宋" w:cs="宋体" w:hint="eastAsia"/>
          <w:sz w:val="32"/>
          <w:szCs w:val="32"/>
          <w:lang w:val="en-US" w:eastAsia="zh-CN"/>
        </w:rPr>
        <w:t>（一）设立评价工作组</w:t>
      </w:r>
    </w:p>
    <w:p>
      <w:pPr>
        <w:widowControl/>
        <w:adjustRightInd w:val="0"/>
        <w:snapToGrid w:val="0"/>
        <w:spacing w:line="560" w:lineRule="exact"/>
        <w:ind w:firstLineChars="200" w:firstLine="640"/>
        <w:rPr>
          <w:rFonts w:ascii="仿宋" w:eastAsia="仿宋" w:cs="仿宋_GB2312" w:hint="eastAsia"/>
          <w:sz w:val="32"/>
          <w:szCs w:val="32"/>
          <w:lang w:val="en-US" w:eastAsia="zh-CN"/>
        </w:rPr>
      </w:pPr>
      <w:r>
        <w:rPr>
          <w:rFonts w:ascii="仿宋" w:eastAsia="仿宋" w:cs="宋体" w:hint="eastAsia"/>
          <w:sz w:val="32"/>
          <w:szCs w:val="32"/>
        </w:rPr>
        <w:t>区财政局成立绩效</w:t>
      </w:r>
      <w:r>
        <w:rPr>
          <w:rFonts w:ascii="仿宋" w:eastAsia="仿宋" w:cs="仿宋_GB2312" w:hint="eastAsia"/>
          <w:sz w:val="32"/>
          <w:szCs w:val="32"/>
        </w:rPr>
        <w:t>评价工作组，组长由主管局长朱玉广同志担任，经建</w:t>
      </w:r>
      <w:r>
        <w:rPr>
          <w:rFonts w:ascii="仿宋" w:eastAsia="仿宋" w:cs="仿宋_GB2312"/>
          <w:sz w:val="32"/>
          <w:szCs w:val="32"/>
        </w:rPr>
        <w:t>股毕晓琴</w:t>
      </w:r>
      <w:r>
        <w:rPr>
          <w:rFonts w:ascii="仿宋" w:eastAsia="仿宋" w:cs="仿宋_GB2312" w:hint="eastAsia"/>
          <w:sz w:val="32"/>
          <w:szCs w:val="32"/>
        </w:rPr>
        <w:t>、</w:t>
      </w:r>
      <w:r>
        <w:rPr>
          <w:rFonts w:ascii="仿宋" w:eastAsia="仿宋" w:cs="仿宋_GB2312"/>
          <w:sz w:val="32"/>
          <w:szCs w:val="32"/>
        </w:rPr>
        <w:t>薄建华</w:t>
      </w:r>
      <w:r>
        <w:rPr>
          <w:rFonts w:ascii="仿宋" w:eastAsia="仿宋" w:cs="仿宋_GB2312" w:hint="eastAsia"/>
          <w:sz w:val="32"/>
          <w:szCs w:val="32"/>
        </w:rPr>
        <w:t>为成员。</w:t>
      </w:r>
    </w:p>
    <w:p>
      <w:pPr>
        <w:widowControl/>
        <w:adjustRightInd w:val="0"/>
        <w:snapToGrid w:val="0"/>
        <w:spacing w:line="560" w:lineRule="exact"/>
        <w:ind w:firstLineChars="200" w:firstLine="640"/>
        <w:rPr>
          <w:rFonts w:ascii="仿宋" w:eastAsia="仿宋" w:cs="仿宋_GB2312"/>
          <w:sz w:val="32"/>
          <w:szCs w:val="32"/>
          <w:lang w:val="en-US" w:eastAsia="zh-CN"/>
        </w:rPr>
      </w:pPr>
      <w:r>
        <w:rPr>
          <w:rFonts w:ascii="仿宋" w:eastAsia="仿宋" w:cs="仿宋_GB2312" w:hint="eastAsia"/>
          <w:sz w:val="32"/>
          <w:szCs w:val="32"/>
          <w:lang w:val="en-US" w:eastAsia="zh-CN"/>
        </w:rPr>
        <w:t>（二）确立评价对象</w:t>
      </w:r>
    </w:p>
    <w:p>
      <w:pPr>
        <w:widowControl/>
        <w:adjustRightInd w:val="0"/>
        <w:snapToGrid w:val="0"/>
        <w:spacing w:line="560" w:lineRule="exact"/>
        <w:ind w:firstLineChars="200" w:firstLine="640"/>
        <w:rPr>
          <w:rFonts w:ascii="仿宋" w:eastAsia="仿宋" w:cs="仿宋"/>
          <w:sz w:val="32"/>
          <w:szCs w:val="32"/>
        </w:rPr>
      </w:pPr>
      <w:r>
        <w:rPr>
          <w:rFonts w:ascii="仿宋" w:eastAsia="仿宋" w:cs="仿宋_GB2312" w:hint="eastAsia"/>
          <w:sz w:val="32"/>
          <w:szCs w:val="32"/>
        </w:rPr>
        <w:t>评价对象</w:t>
      </w:r>
      <w:r>
        <w:rPr>
          <w:rFonts w:ascii="仿宋" w:eastAsia="仿宋" w:cs="仿宋_GB2312"/>
          <w:sz w:val="32"/>
          <w:szCs w:val="32"/>
        </w:rPr>
        <w:t>为</w:t>
      </w:r>
      <w:r>
        <w:rPr>
          <w:rFonts w:ascii="仿宋" w:eastAsia="仿宋" w:cs="仿宋" w:hint="eastAsia"/>
          <w:sz w:val="32"/>
          <w:szCs w:val="32"/>
        </w:rPr>
        <w:t>区</w:t>
      </w:r>
      <w:r>
        <w:rPr>
          <w:rFonts w:ascii="仿宋" w:eastAsia="仿宋" w:cs="仿宋"/>
          <w:sz w:val="32"/>
          <w:szCs w:val="32"/>
        </w:rPr>
        <w:t>市场监督管理局</w:t>
      </w:r>
      <w:r>
        <w:rPr>
          <w:rFonts w:ascii="仿宋" w:eastAsia="仿宋" w:cs="宋体" w:hint="eastAsia"/>
          <w:sz w:val="32"/>
          <w:szCs w:val="32"/>
        </w:rPr>
        <w:t>202</w:t>
      </w:r>
      <w:r>
        <w:rPr>
          <w:rFonts w:ascii="仿宋" w:eastAsia="仿宋" w:cs="宋体"/>
          <w:sz w:val="32"/>
          <w:szCs w:val="32"/>
        </w:rPr>
        <w:t>3</w:t>
      </w:r>
      <w:r>
        <w:rPr>
          <w:rFonts w:ascii="仿宋" w:eastAsia="仿宋" w:cs="宋体" w:hint="eastAsia"/>
          <w:sz w:val="32"/>
          <w:szCs w:val="32"/>
        </w:rPr>
        <w:t>年</w:t>
      </w:r>
      <w:r>
        <w:rPr>
          <w:rFonts w:ascii="仿宋" w:eastAsia="仿宋" w:cs="宋体"/>
          <w:sz w:val="32"/>
          <w:szCs w:val="32"/>
        </w:rPr>
        <w:t>餐厨废弃物处理补贴</w:t>
      </w:r>
      <w:r>
        <w:rPr>
          <w:rFonts w:ascii="仿宋" w:eastAsia="仿宋" w:cs="宋体" w:hint="eastAsia"/>
          <w:sz w:val="32"/>
          <w:szCs w:val="32"/>
        </w:rPr>
        <w:t>项</w:t>
      </w:r>
      <w:r>
        <w:rPr>
          <w:rFonts w:ascii="仿宋" w:eastAsia="仿宋" w:cs="仿宋" w:hint="eastAsia"/>
          <w:sz w:val="32"/>
          <w:szCs w:val="32"/>
        </w:rPr>
        <w:t>目</w:t>
      </w:r>
      <w:r>
        <w:rPr>
          <w:rFonts w:ascii="仿宋" w:eastAsia="仿宋" w:cs="仿宋"/>
          <w:sz w:val="32"/>
          <w:szCs w:val="32"/>
        </w:rPr>
        <w:t>，资金总额5740200元，其中：上级专款740200元；区级资金5000000元。</w:t>
      </w:r>
    </w:p>
    <w:p>
      <w:pPr>
        <w:widowControl/>
        <w:adjustRightInd w:val="0"/>
        <w:snapToGrid w:val="0"/>
        <w:spacing w:line="560" w:lineRule="exact"/>
        <w:ind w:firstLineChars="200" w:firstLine="640"/>
        <w:rPr>
          <w:rFonts w:ascii="仿宋" w:eastAsia="仿宋" w:cs="仿宋_GB2312" w:hint="eastAsia"/>
          <w:sz w:val="32"/>
          <w:szCs w:val="32"/>
          <w:lang w:val="en-US" w:eastAsia="zh-CN"/>
        </w:rPr>
      </w:pPr>
      <w:r>
        <w:rPr>
          <w:rFonts w:ascii="仿宋" w:eastAsia="仿宋" w:cs="仿宋_GB2312" w:hint="eastAsia"/>
          <w:sz w:val="32"/>
          <w:szCs w:val="32"/>
          <w:lang w:val="en-US" w:eastAsia="zh-CN"/>
        </w:rPr>
        <w:t>（三）制定工作方案</w:t>
      </w:r>
    </w:p>
    <w:p>
      <w:pPr>
        <w:widowControl/>
        <w:adjustRightInd w:val="0"/>
        <w:snapToGrid w:val="0"/>
        <w:spacing w:line="560" w:lineRule="exact"/>
        <w:ind w:firstLineChars="200" w:firstLine="640"/>
        <w:rPr>
          <w:rFonts w:ascii="仿宋" w:eastAsia="仿宋" w:cs="仿宋_GB2312" w:hint="eastAsia"/>
          <w:sz w:val="32"/>
          <w:szCs w:val="32"/>
          <w:lang w:val="en-US" w:eastAsia="zh-CN"/>
        </w:rPr>
      </w:pPr>
      <w:r>
        <w:rPr>
          <w:rFonts w:ascii="仿宋" w:eastAsia="仿宋" w:cs="仿宋_GB2312"/>
          <w:sz w:val="32"/>
          <w:szCs w:val="32"/>
        </w:rPr>
        <w:t>评价工作组</w:t>
      </w:r>
      <w:r>
        <w:rPr>
          <w:rFonts w:ascii="仿宋" w:eastAsia="仿宋" w:cs="仿宋_GB2312" w:hint="eastAsia"/>
          <w:sz w:val="32"/>
          <w:szCs w:val="32"/>
        </w:rPr>
        <w:t>根据《唐山市丰南区财政局关于开展项目支出绩效财政重点评价工作的通知》（丰财监[202</w:t>
      </w:r>
      <w:r>
        <w:rPr>
          <w:rFonts w:ascii="仿宋" w:eastAsia="仿宋" w:cs="仿宋_GB2312"/>
          <w:sz w:val="32"/>
          <w:szCs w:val="32"/>
        </w:rPr>
        <w:t>4</w:t>
      </w:r>
      <w:r>
        <w:rPr>
          <w:rFonts w:ascii="仿宋" w:eastAsia="仿宋" w:cs="仿宋_GB2312" w:hint="eastAsia"/>
          <w:sz w:val="32"/>
          <w:szCs w:val="32"/>
        </w:rPr>
        <w:t>]</w:t>
      </w:r>
      <w:r>
        <w:rPr>
          <w:rFonts w:ascii="仿宋" w:eastAsia="仿宋" w:cs="仿宋_GB2312"/>
          <w:sz w:val="32"/>
          <w:szCs w:val="32"/>
        </w:rPr>
        <w:t>6</w:t>
      </w:r>
      <w:r>
        <w:rPr>
          <w:rFonts w:ascii="仿宋" w:eastAsia="仿宋" w:cs="仿宋_GB2312" w:hint="eastAsia"/>
          <w:sz w:val="32"/>
          <w:szCs w:val="32"/>
        </w:rPr>
        <w:t>号）要求</w:t>
      </w:r>
      <w:r>
        <w:rPr>
          <w:rFonts w:ascii="仿宋" w:eastAsia="仿宋" w:cs="仿宋_GB2312"/>
          <w:sz w:val="32"/>
          <w:szCs w:val="32"/>
        </w:rPr>
        <w:t>，制定《</w:t>
      </w:r>
      <w:r>
        <w:rPr>
          <w:rFonts w:ascii="仿宋" w:eastAsia="仿宋" w:cs="宋体" w:hint="eastAsia"/>
          <w:sz w:val="32"/>
          <w:szCs w:val="32"/>
        </w:rPr>
        <w:t>202</w:t>
      </w:r>
      <w:r>
        <w:rPr>
          <w:rFonts w:ascii="仿宋" w:eastAsia="仿宋" w:cs="宋体"/>
          <w:sz w:val="32"/>
          <w:szCs w:val="32"/>
        </w:rPr>
        <w:t>3</w:t>
      </w:r>
      <w:r>
        <w:rPr>
          <w:rFonts w:ascii="仿宋" w:eastAsia="仿宋" w:cs="宋体" w:hint="eastAsia"/>
          <w:sz w:val="32"/>
          <w:szCs w:val="32"/>
        </w:rPr>
        <w:t>年</w:t>
      </w:r>
      <w:r>
        <w:rPr>
          <w:rFonts w:ascii="仿宋" w:eastAsia="仿宋" w:cs="宋体"/>
          <w:sz w:val="32"/>
          <w:szCs w:val="32"/>
        </w:rPr>
        <w:t>餐厨废弃物处理补贴资金</w:t>
      </w:r>
      <w:r>
        <w:rPr>
          <w:rFonts w:ascii="仿宋" w:eastAsia="仿宋" w:cs="宋体" w:hint="eastAsia"/>
          <w:sz w:val="32"/>
          <w:szCs w:val="32"/>
        </w:rPr>
        <w:t>项</w:t>
      </w:r>
      <w:r>
        <w:rPr>
          <w:rFonts w:ascii="仿宋" w:eastAsia="仿宋" w:cs="仿宋" w:hint="eastAsia"/>
          <w:sz w:val="32"/>
          <w:szCs w:val="32"/>
        </w:rPr>
        <w:t>目绩效评价工作方案</w:t>
      </w:r>
      <w:r>
        <w:rPr>
          <w:rFonts w:ascii="仿宋" w:eastAsia="仿宋" w:cs="仿宋_GB2312"/>
          <w:sz w:val="32"/>
          <w:szCs w:val="32"/>
        </w:rPr>
        <w:t>》，印发区市场监督管理局执行。</w:t>
      </w:r>
    </w:p>
    <w:p>
      <w:pPr>
        <w:widowControl/>
        <w:adjustRightInd w:val="0"/>
        <w:snapToGrid w:val="0"/>
        <w:spacing w:line="560" w:lineRule="exact"/>
        <w:ind w:firstLineChars="200" w:firstLine="640"/>
        <w:rPr>
          <w:rFonts w:ascii="仿宋" w:eastAsia="仿宋" w:cs="仿宋_GB2312"/>
          <w:sz w:val="32"/>
          <w:szCs w:val="32"/>
          <w:lang w:val="en-US" w:eastAsia="zh-CN"/>
        </w:rPr>
      </w:pPr>
      <w:r>
        <w:rPr>
          <w:rFonts w:ascii="仿宋" w:eastAsia="仿宋" w:cs="仿宋_GB2312" w:hint="eastAsia"/>
          <w:sz w:val="32"/>
          <w:szCs w:val="32"/>
          <w:lang w:val="en-US" w:eastAsia="zh-CN"/>
        </w:rPr>
        <w:t>（四）开展工作过程</w:t>
      </w:r>
    </w:p>
    <w:p>
      <w:pPr>
        <w:widowControl/>
        <w:adjustRightInd w:val="0"/>
        <w:snapToGrid w:val="0"/>
        <w:spacing w:line="560" w:lineRule="exact"/>
        <w:ind w:firstLineChars="200" w:firstLine="640"/>
        <w:rPr>
          <w:rFonts w:ascii="宋体" w:eastAsia="宋体" w:cs="宋体" w:hint="eastAsia"/>
          <w:b/>
          <w:bCs/>
          <w:sz w:val="44"/>
          <w:szCs w:val="44"/>
          <w:lang w:val="en-US" w:eastAsia="zh-CN"/>
        </w:rPr>
      </w:pPr>
      <w:r>
        <w:rPr>
          <w:rFonts w:ascii="仿宋" w:eastAsia="仿宋" w:cs="仿宋_GB2312" w:hint="eastAsia"/>
          <w:sz w:val="32"/>
          <w:szCs w:val="32"/>
        </w:rPr>
        <w:t>绩效评价工作组</w:t>
      </w:r>
      <w:r>
        <w:rPr>
          <w:rFonts w:ascii="仿宋" w:eastAsia="仿宋" w:cs="仿宋_GB2312"/>
          <w:sz w:val="32"/>
          <w:szCs w:val="32"/>
        </w:rPr>
        <w:t>查阅、分析</w:t>
      </w:r>
      <w:r>
        <w:rPr>
          <w:rFonts w:ascii="仿宋" w:eastAsia="仿宋" w:cs="仿宋_GB2312" w:hint="eastAsia"/>
          <w:sz w:val="32"/>
          <w:szCs w:val="32"/>
        </w:rPr>
        <w:t>区</w:t>
      </w:r>
      <w:r>
        <w:rPr>
          <w:rFonts w:ascii="仿宋" w:eastAsia="仿宋" w:cs="仿宋_GB2312"/>
          <w:sz w:val="32"/>
          <w:szCs w:val="32"/>
        </w:rPr>
        <w:t>市场监督管理</w:t>
      </w:r>
      <w:r>
        <w:rPr>
          <w:rFonts w:ascii="仿宋" w:eastAsia="仿宋" w:cs="仿宋_GB2312" w:hint="eastAsia"/>
          <w:sz w:val="32"/>
          <w:szCs w:val="32"/>
        </w:rPr>
        <w:t>局提交</w:t>
      </w:r>
      <w:r>
        <w:rPr>
          <w:rFonts w:ascii="仿宋" w:eastAsia="仿宋" w:cs="仿宋_GB2312"/>
          <w:sz w:val="32"/>
          <w:szCs w:val="32"/>
        </w:rPr>
        <w:t>的项目管理、资金使用等相关</w:t>
      </w:r>
      <w:r>
        <w:rPr>
          <w:rFonts w:ascii="仿宋" w:eastAsia="仿宋" w:cs="方正仿宋简体"/>
          <w:spacing w:val="6"/>
          <w:sz w:val="32"/>
          <w:szCs w:val="32"/>
          <w:lang w:bidi="ar-SA"/>
        </w:rPr>
        <w:t>资料，开展</w:t>
      </w:r>
      <w:r>
        <w:rPr>
          <w:rFonts w:ascii="仿宋" w:eastAsia="仿宋" w:cs="方正仿宋简体" w:hint="eastAsia"/>
          <w:spacing w:val="6"/>
          <w:sz w:val="32"/>
          <w:szCs w:val="32"/>
          <w:lang w:bidi="ar-SA"/>
        </w:rPr>
        <w:t>问卷调查</w:t>
      </w:r>
      <w:r>
        <w:rPr>
          <w:rFonts w:ascii="仿宋" w:eastAsia="仿宋" w:cs="方正仿宋简体"/>
          <w:spacing w:val="6"/>
          <w:sz w:val="32"/>
          <w:szCs w:val="32"/>
          <w:lang w:bidi="ar-SA"/>
        </w:rPr>
        <w:t>，进行必要的</w:t>
      </w:r>
      <w:r>
        <w:rPr>
          <w:rFonts w:ascii="仿宋" w:eastAsia="仿宋" w:cs="方正仿宋简体" w:hint="eastAsia"/>
          <w:spacing w:val="6"/>
          <w:sz w:val="32"/>
          <w:szCs w:val="32"/>
          <w:lang w:bidi="ar-SA"/>
        </w:rPr>
        <w:t>访谈</w:t>
      </w:r>
      <w:r>
        <w:rPr>
          <w:rFonts w:ascii="仿宋" w:eastAsia="仿宋" w:cs="方正仿宋简体"/>
          <w:spacing w:val="6"/>
          <w:sz w:val="32"/>
          <w:szCs w:val="32"/>
          <w:lang w:bidi="ar-SA"/>
        </w:rPr>
        <w:t>，</w:t>
      </w:r>
      <w:r>
        <w:rPr>
          <w:rFonts w:ascii="仿宋" w:eastAsia="仿宋" w:cs="方正仿宋简体" w:hint="eastAsia"/>
          <w:spacing w:val="6"/>
          <w:sz w:val="32"/>
          <w:szCs w:val="32"/>
          <w:lang w:bidi="ar-SA"/>
        </w:rPr>
        <w:t>对</w:t>
      </w:r>
      <w:r>
        <w:rPr>
          <w:rFonts w:ascii="仿宋" w:eastAsia="仿宋" w:cs="方正仿宋简体"/>
          <w:spacing w:val="6"/>
          <w:sz w:val="32"/>
          <w:szCs w:val="32"/>
          <w:lang w:bidi="ar-SA"/>
        </w:rPr>
        <w:t>项目</w:t>
      </w:r>
      <w:r>
        <w:rPr>
          <w:rFonts w:ascii="仿宋" w:eastAsia="仿宋" w:cs="方正仿宋简体" w:hint="eastAsia"/>
          <w:spacing w:val="6"/>
          <w:sz w:val="32"/>
          <w:szCs w:val="32"/>
          <w:lang w:bidi="ar-SA"/>
        </w:rPr>
        <w:t>绩效情况进行全面的定量、定性分析，形成评价初步结论</w:t>
      </w:r>
      <w:r>
        <w:rPr>
          <w:rFonts w:ascii="仿宋" w:eastAsia="仿宋" w:cs="方正仿宋简体"/>
          <w:spacing w:val="6"/>
          <w:sz w:val="32"/>
          <w:szCs w:val="32"/>
          <w:lang w:bidi="ar-SA"/>
        </w:rPr>
        <w:t>。通过</w:t>
      </w:r>
      <w:r>
        <w:rPr>
          <w:rFonts w:ascii="仿宋" w:eastAsia="仿宋" w:cs="方正仿宋简体" w:hint="eastAsia"/>
          <w:spacing w:val="6"/>
          <w:sz w:val="32"/>
          <w:szCs w:val="32"/>
          <w:lang w:bidi="ar-SA"/>
        </w:rPr>
        <w:t>征求</w:t>
      </w:r>
      <w:r>
        <w:rPr>
          <w:rFonts w:ascii="仿宋" w:eastAsia="仿宋" w:cs="方正仿宋简体"/>
          <w:spacing w:val="6"/>
          <w:sz w:val="32"/>
          <w:szCs w:val="32"/>
          <w:lang w:bidi="ar-SA"/>
        </w:rPr>
        <w:t>区市场监督管理局</w:t>
      </w:r>
      <w:r>
        <w:rPr>
          <w:rFonts w:ascii="仿宋" w:eastAsia="仿宋" w:cs="方正仿宋简体" w:hint="eastAsia"/>
          <w:spacing w:val="6"/>
          <w:sz w:val="32"/>
          <w:szCs w:val="32"/>
          <w:lang w:bidi="ar-SA"/>
        </w:rPr>
        <w:t>意见</w:t>
      </w:r>
      <w:r>
        <w:rPr>
          <w:rFonts w:ascii="仿宋" w:eastAsia="仿宋" w:cs="方正仿宋简体"/>
          <w:spacing w:val="6"/>
          <w:sz w:val="32"/>
          <w:szCs w:val="32"/>
          <w:lang w:bidi="ar-SA"/>
        </w:rPr>
        <w:t>，对初步结论进一步修改确认，形成最终评价报告。</w:t>
      </w:r>
    </w:p>
    <w:p>
      <w:pPr>
        <w:widowControl/>
        <w:adjustRightInd w:val="0"/>
        <w:snapToGrid w:val="0"/>
        <w:spacing w:line="560" w:lineRule="exact"/>
        <w:ind w:firstLineChars="200" w:firstLine="640"/>
        <w:rPr>
          <w:rFonts w:ascii="仿宋" w:eastAsia="仿宋" w:cs="仿宋" w:hAnsi="仿宋" w:hint="eastAsia"/>
          <w:bCs/>
          <w:color w:val="000000"/>
          <w:sz w:val="32"/>
          <w:szCs w:val="32"/>
          <w14:textFill>
            <w14:solidFill>
              <w14:srgbClr w14:val="000000"/>
            </w14:solidFill>
          </w14:textFill>
          <w:lang w:val="en-US" w:eastAsia="zh-CN"/>
        </w:rPr>
      </w:pPr>
      <w:r>
        <w:rPr>
          <w:rFonts w:ascii="仿宋" w:eastAsia="仿宋" w:cs="仿宋" w:hAnsi="仿宋" w:hint="eastAsia"/>
          <w:bCs/>
          <w:color w:val="000000"/>
          <w:sz w:val="32"/>
          <w:szCs w:val="32"/>
          <w14:textFill>
            <w14:solidFill>
              <w14:srgbClr w14:val="000000"/>
            </w14:solidFill>
          </w14:textFill>
          <w:lang w:val="en-US" w:eastAsia="zh-CN"/>
        </w:rPr>
        <w:t>二、绩效评价情况</w:t>
      </w:r>
    </w:p>
    <w:p>
      <w:pPr>
        <w:widowControl/>
        <w:adjustRightInd w:val="0"/>
        <w:snapToGrid w:val="0"/>
        <w:spacing w:line="560" w:lineRule="exact"/>
        <w:ind w:left="0" w:firstLineChars="200" w:firstLine="640"/>
        <w:jc w:val="left"/>
        <w:rPr>
          <w:rFonts w:ascii="仿宋" w:eastAsia="仿宋" w:cs="仿宋" w:hAnsi="仿宋" w:hint="eastAsia"/>
          <w:bCs/>
          <w:color w:val="000000"/>
          <w:sz w:val="32"/>
          <w:szCs w:val="32"/>
          <w14:textFill>
            <w14:solidFill>
              <w14:srgbClr w14:val="000000"/>
            </w14:solidFill>
          </w14:textFill>
          <w:lang w:val="en-US" w:eastAsia="zh-CN"/>
        </w:rPr>
      </w:pPr>
      <w:r>
        <w:rPr>
          <w:rFonts w:ascii="仿宋" w:eastAsia="仿宋" w:cs="仿宋" w:hAnsi="仿宋" w:hint="eastAsia"/>
          <w:bCs/>
          <w:color w:val="000000"/>
          <w:sz w:val="32"/>
          <w:szCs w:val="32"/>
          <w14:textFill>
            <w14:solidFill>
              <w14:srgbClr w14:val="000000"/>
            </w14:solidFill>
          </w14:textFill>
          <w:lang w:val="en-US" w:eastAsia="zh-CN"/>
        </w:rPr>
        <w:t>（一）项目概况</w:t>
      </w:r>
    </w:p>
    <w:p>
      <w:pPr>
        <w:widowControl/>
        <w:adjustRightInd w:val="0"/>
        <w:snapToGrid w:val="0"/>
        <w:spacing w:line="560" w:lineRule="exact"/>
        <w:ind w:firstLineChars="200" w:firstLine="640"/>
        <w:jc w:val="left"/>
        <w:rPr>
          <w:rFonts w:ascii="仿宋" w:eastAsia="仿宋" w:cs="仿宋" w:hAnsi="仿宋" w:hint="eastAsia"/>
          <w:bCs/>
          <w:color w:val="000000"/>
          <w:sz w:val="32"/>
          <w:szCs w:val="32"/>
          <w14:textFill>
            <w14:solidFill>
              <w14:srgbClr w14:val="000000"/>
            </w14:solidFill>
          </w14:textFill>
          <w:lang w:val="en-US" w:eastAsia="zh-CN"/>
        </w:rPr>
      </w:pPr>
      <w:r>
        <w:rPr>
          <w:rFonts w:ascii="仿宋" w:eastAsia="仿宋" w:cs="仿宋" w:hAnsi="仿宋" w:hint="eastAsia"/>
          <w:bCs/>
          <w:color w:val="000000"/>
          <w:sz w:val="32"/>
          <w:szCs w:val="32"/>
          <w14:textFill>
            <w14:solidFill>
              <w14:srgbClr w14:val="000000"/>
            </w14:solidFill>
          </w14:textFill>
          <w:lang w:val="en-US" w:eastAsia="zh-CN"/>
        </w:rPr>
        <w:t xml:space="preserve">1、立项背景 </w:t>
      </w:r>
    </w:p>
    <w:p>
      <w:pPr>
        <w:widowControl/>
        <w:adjustRightInd w:val="0"/>
        <w:snapToGrid w:val="0"/>
        <w:spacing w:line="560" w:lineRule="exact"/>
        <w:ind w:firstLineChars="200" w:firstLine="640"/>
        <w:jc w:val="left"/>
        <w:rPr>
          <w:rFonts w:ascii="仿宋" w:eastAsia="仿宋" w:cs="仿宋" w:hAnsi="仿宋" w:hint="eastAsia"/>
          <w:bCs/>
          <w:color w:val="000000"/>
          <w:sz w:val="32"/>
          <w:szCs w:val="32"/>
          <w14:textFill>
            <w14:solidFill>
              <w14:srgbClr w14:val="000000"/>
            </w14:solidFill>
          </w14:textFill>
        </w:rPr>
      </w:pPr>
      <w:r>
        <w:rPr>
          <w:rFonts w:ascii="仿宋" w:eastAsia="仿宋" w:cs="仿宋" w:hAnsi="仿宋" w:hint="eastAsia"/>
          <w:bCs/>
          <w:color w:val="000000"/>
          <w:sz w:val="32"/>
          <w:szCs w:val="32"/>
        </w:rPr>
        <w:t>按照国家发展和改革委员会办公厅、财政部办公厅、住建部办公厅、环保部办公厅、农业部办公厅下发的【2012】3009号文件通知精神，唐山市列入第二批餐厨废弃物资源化利用和无害化处理试点城市。该项目由唐山环洁能源有限公司承建运营，总投资1.8亿元，占地60亩，于2013年3月开工建设，2015年9月投入试运营。按照2015年6月17日市餐厨废弃物资源化利用和无害化处理项目现场协调会要求，本着“先行先试、逐步推开”的思路，项目试运营期间，先行在丰南区试点开展餐厨废弃物集中收运、处置，丰南区组织辖区有关单位协助企业做好调查摸底及签订委托收运协议工作，唐山环洁能源有限公司负责为签约单位配置统一标准的餐厨废弃物收集设施，并科学制定收集的时间、路线。2016年7月，唐山环洁能源有限公司正式投入运营。</w:t>
      </w:r>
    </w:p>
    <w:p>
      <w:pPr>
        <w:widowControl/>
        <w:adjustRightInd w:val="0"/>
        <w:snapToGrid w:val="0"/>
        <w:spacing w:line="560" w:lineRule="exact"/>
        <w:ind w:left="0" w:firstLineChars="200" w:firstLine="640"/>
        <w:jc w:val="left"/>
        <w:rPr>
          <w:rFonts w:ascii="仿宋" w:eastAsia="仿宋" w:cs="仿宋" w:hAnsi="仿宋" w:hint="eastAsia"/>
          <w:bCs/>
          <w:color w:val="000000"/>
          <w:sz w:val="32"/>
          <w:szCs w:val="32"/>
          <w14:textFill>
            <w14:solidFill>
              <w14:srgbClr w14:val="000000"/>
            </w14:solidFill>
          </w14:textFill>
          <w:lang w:val="en-US" w:eastAsia="zh-CN"/>
        </w:rPr>
      </w:pPr>
      <w:r>
        <w:rPr>
          <w:rFonts w:ascii="仿宋" w:eastAsia="仿宋" w:cs="仿宋" w:hAnsi="仿宋" w:hint="eastAsia"/>
          <w:bCs/>
          <w:color w:val="000000"/>
          <w:sz w:val="32"/>
          <w:szCs w:val="32"/>
          <w14:textFill>
            <w14:solidFill>
              <w14:srgbClr w14:val="000000"/>
            </w14:solidFill>
          </w14:textFill>
          <w:lang w:val="en-US" w:eastAsia="zh-CN"/>
        </w:rPr>
        <w:t>2、实施情况</w:t>
      </w:r>
    </w:p>
    <w:p>
      <w:pPr>
        <w:spacing w:line="560" w:lineRule="exact"/>
        <w:ind w:firstLineChars="200" w:firstLine="640"/>
        <w:rPr>
          <w:rFonts w:ascii="仿宋" w:eastAsia="仿宋" w:cs="仿宋" w:hAnsi="仿宋"/>
          <w:bCs/>
          <w:color w:val="000000"/>
          <w:sz w:val="32"/>
          <w:szCs w:val="32"/>
        </w:rPr>
      </w:pPr>
      <w:r>
        <w:rPr>
          <w:rFonts w:ascii="仿宋" w:eastAsia="仿宋" w:cs="仿宋" w:hAnsi="仿宋" w:hint="eastAsia"/>
          <w:bCs/>
          <w:color w:val="000000"/>
          <w:sz w:val="32"/>
          <w:szCs w:val="32"/>
        </w:rPr>
        <w:t>我区每月将餐厨废弃物收集量及考核结果报市城管局，市城管局汇总审核后将审核结果分别报市财政局及我区政府，市财政局及我区政府根据市城管局核定的餐厨废弃物收集处理量计算补贴金额。2023年按照市政工程环境卫生管理处的审核意见，共处理餐厨废弃物17599.44吨。餐厨废弃物财政补贴标准依据成本进行测算，按照320元/吨的补贴标准， 2023年餐厨废弃物市、区两级共支付补贴金额合计574.02万元。</w:t>
      </w:r>
    </w:p>
    <w:p>
      <w:pPr>
        <w:snapToGrid w:val="0"/>
        <w:spacing w:line="560" w:lineRule="exact"/>
        <w:ind w:firstLineChars="200" w:firstLine="640"/>
        <w:rPr>
          <w:rFonts w:ascii="仿宋" w:eastAsia="仿宋" w:cs="仿宋" w:hAnsi="仿宋"/>
          <w:bCs/>
          <w:color w:val="000000"/>
          <w:sz w:val="32"/>
          <w:szCs w:val="32"/>
        </w:rPr>
      </w:pPr>
      <w:r>
        <w:rPr>
          <w:rFonts w:ascii="仿宋" w:eastAsia="仿宋" w:cs="仿宋" w:hAnsi="仿宋" w:hint="eastAsia"/>
          <w:bCs/>
          <w:color w:val="000000"/>
          <w:sz w:val="32"/>
          <w:szCs w:val="32"/>
        </w:rPr>
        <w:t>3、资金来源和使用情况</w:t>
      </w:r>
    </w:p>
    <w:p>
      <w:pPr>
        <w:spacing w:line="560" w:lineRule="exact"/>
        <w:ind w:firstLineChars="200" w:firstLine="640"/>
        <w:rPr>
          <w:rFonts w:ascii="仿宋" w:eastAsia="仿宋" w:cs="仿宋" w:hAnsi="仿宋"/>
          <w:bCs/>
          <w:color w:val="000000"/>
          <w:sz w:val="32"/>
          <w:szCs w:val="32"/>
        </w:rPr>
      </w:pPr>
      <w:r>
        <w:rPr>
          <w:rFonts w:ascii="仿宋" w:eastAsia="仿宋" w:cs="仿宋" w:hAnsi="仿宋" w:hint="eastAsia"/>
          <w:bCs/>
          <w:color w:val="000000"/>
          <w:sz w:val="32"/>
          <w:szCs w:val="32"/>
        </w:rPr>
        <w:t>餐厨废弃物财政补贴根据餐厨废弃物收集处理量和补贴标准确定，采取分级负担的原则，由市、区两级财政共同承担，其中，市级负担20%，区级负担80%，市级承担部分列入市级财政预算，区级承担部分列入区级预算。2023年餐厨废弃物处理补贴资金来源是市级补助资金74.02万元，区级资金500万元，合计574.02万元。</w:t>
      </w:r>
    </w:p>
    <w:p>
      <w:pPr>
        <w:snapToGrid w:val="0"/>
        <w:spacing w:line="560" w:lineRule="exact"/>
        <w:ind w:firstLineChars="200" w:firstLine="640"/>
        <w:rPr>
          <w:rFonts w:ascii="仿宋" w:eastAsia="仿宋" w:cs="仿宋" w:hAnsi="仿宋"/>
          <w:bCs/>
          <w:color w:val="000000"/>
          <w:sz w:val="32"/>
          <w:szCs w:val="32"/>
        </w:rPr>
      </w:pPr>
      <w:r>
        <w:rPr>
          <w:rFonts w:ascii="仿宋" w:eastAsia="仿宋" w:cs="仿宋" w:hAnsi="仿宋" w:hint="eastAsia"/>
          <w:bCs/>
          <w:color w:val="000000"/>
          <w:sz w:val="32"/>
          <w:szCs w:val="32"/>
        </w:rPr>
        <w:t>4、绩效目标完成情况</w:t>
      </w:r>
    </w:p>
    <w:p>
      <w:pPr>
        <w:spacing w:line="560" w:lineRule="exact"/>
        <w:ind w:firstLineChars="200" w:firstLine="640"/>
        <w:rPr>
          <w:rFonts w:ascii="仿宋" w:eastAsia="仿宋" w:cs="仿宋" w:hAnsi="仿宋"/>
          <w:bCs/>
          <w:color w:val="000000"/>
          <w:sz w:val="32"/>
          <w:szCs w:val="32"/>
        </w:rPr>
      </w:pPr>
      <w:r>
        <w:rPr>
          <w:rFonts w:ascii="仿宋" w:eastAsia="仿宋" w:cs="仿宋" w:hAnsi="仿宋" w:hint="eastAsia"/>
          <w:bCs/>
          <w:color w:val="000000"/>
          <w:sz w:val="32"/>
          <w:szCs w:val="32"/>
        </w:rPr>
        <w:t>此项目主要是为规范餐厨废弃物收集、运输、处置管理，保障公众利益。2023年该项目各项绩效目标均已完成，通过餐厨废弃物处理补贴项目的实施，不仅为企业带来了经济效益，也在一定程度上促进了我区环境建设，保障了人民群众用饭安全，杜绝了食品安全事故的发生，使政府放心，人民满意。</w:t>
      </w:r>
    </w:p>
    <w:p>
      <w:pPr>
        <w:widowControl/>
        <w:adjustRightInd w:val="0"/>
        <w:snapToGrid w:val="0"/>
        <w:spacing w:line="560" w:lineRule="exact"/>
        <w:ind w:firstLineChars="200" w:firstLine="640"/>
        <w:jc w:val="left"/>
        <w:rPr>
          <w:rFonts w:ascii="仿宋" w:eastAsia="仿宋" w:cs="仿宋" w:hAnsi="仿宋"/>
          <w:bCs/>
          <w:color w:val="000000"/>
          <w:sz w:val="32"/>
          <w:szCs w:val="32"/>
        </w:rPr>
      </w:pPr>
      <w:r>
        <w:rPr>
          <w:rFonts w:ascii="仿宋" w:eastAsia="仿宋" w:cs="仿宋" w:hAnsi="仿宋" w:hint="eastAsia"/>
          <w:bCs/>
          <w:color w:val="000000"/>
          <w:sz w:val="32"/>
          <w:szCs w:val="32"/>
        </w:rPr>
        <w:t>（二）绩效分析及评价结论</w:t>
      </w:r>
    </w:p>
    <w:p>
      <w:pPr>
        <w:widowControl/>
        <w:adjustRightInd w:val="0"/>
        <w:snapToGrid w:val="0"/>
        <w:spacing w:line="560" w:lineRule="exact"/>
        <w:ind w:firstLineChars="200" w:firstLine="640"/>
        <w:jc w:val="left"/>
        <w:rPr>
          <w:rFonts w:ascii="仿宋" w:eastAsia="仿宋" w:cs="仿宋" w:hAnsi="仿宋"/>
          <w:color w:val="000000"/>
          <w:sz w:val="32"/>
          <w:szCs w:val="32"/>
        </w:rPr>
      </w:pPr>
      <w:r>
        <w:rPr>
          <w:rFonts w:ascii="仿宋" w:eastAsia="仿宋" w:cs="仿宋" w:hAnsi="仿宋" w:hint="eastAsia"/>
          <w:bCs/>
          <w:color w:val="000000"/>
          <w:sz w:val="32"/>
          <w:szCs w:val="32"/>
        </w:rPr>
        <w:t>1、</w:t>
      </w:r>
      <w:r>
        <w:rPr>
          <w:rFonts w:ascii="仿宋" w:eastAsia="仿宋" w:cs="仿宋" w:hAnsi="仿宋" w:hint="eastAsia"/>
          <w:color w:val="000000"/>
          <w:sz w:val="32"/>
          <w:szCs w:val="32"/>
        </w:rPr>
        <w:t>根据绩效评价指标评分表逐项分析</w:t>
      </w:r>
    </w:p>
    <w:p>
      <w:pPr>
        <w:spacing w:line="560" w:lineRule="exact"/>
        <w:ind w:firstLineChars="200" w:firstLine="640"/>
        <w:rPr>
          <w:rFonts w:ascii="仿宋" w:eastAsia="仿宋" w:cs="仿宋" w:hAnsi="仿宋"/>
          <w:bCs/>
          <w:color w:val="000000"/>
          <w:sz w:val="32"/>
          <w:szCs w:val="32"/>
        </w:rPr>
      </w:pPr>
      <w:r>
        <w:rPr>
          <w:rFonts w:ascii="仿宋" w:eastAsia="仿宋" w:cs="仿宋" w:hAnsi="仿宋" w:hint="eastAsia"/>
          <w:bCs/>
          <w:color w:val="000000"/>
          <w:sz w:val="32"/>
          <w:szCs w:val="32"/>
        </w:rPr>
        <w:t>（1）项目立项规范性（设定6分，得分6分）。按照国家发展和改革委员会办公厅、财政部办公厅、住建部办公厅、环保部办公厅、农业部办公厅下发的【2012】3009号文件通知精神，开展我区餐厨废弃物处理补贴工作。该项目是我区环境建设工作的重要组成部分，得分6分。</w:t>
      </w:r>
    </w:p>
    <w:p>
      <w:pPr>
        <w:spacing w:line="560" w:lineRule="exact"/>
        <w:ind w:firstLineChars="200" w:firstLine="640"/>
        <w:rPr>
          <w:rFonts w:ascii="仿宋" w:eastAsia="仿宋" w:cs="仿宋" w:hAnsi="仿宋"/>
          <w:bCs/>
          <w:color w:val="000000"/>
          <w:sz w:val="32"/>
          <w:szCs w:val="32"/>
        </w:rPr>
      </w:pPr>
      <w:r>
        <w:rPr>
          <w:rFonts w:ascii="仿宋" w:eastAsia="仿宋" w:cs="仿宋" w:hAnsi="仿宋" w:hint="eastAsia"/>
          <w:bCs/>
          <w:color w:val="000000"/>
          <w:sz w:val="32"/>
          <w:szCs w:val="32"/>
        </w:rPr>
        <w:t>（2）绩效目标合理性（设定4分，得分4分）。该项目绩效目标设定符合国家相关法律法规、符合经济社会发展规划和区委区政府决策，有效促进我区环境建设和餐饮业的健康发展，且绩效目标可具体量化、科学准确、合理可行，得分4分。</w:t>
      </w:r>
    </w:p>
    <w:p>
      <w:pPr>
        <w:spacing w:line="560" w:lineRule="exact"/>
        <w:ind w:firstLineChars="200" w:firstLine="640"/>
        <w:rPr>
          <w:rFonts w:ascii="仿宋" w:eastAsia="仿宋" w:cs="仿宋" w:hAnsi="仿宋"/>
          <w:bCs/>
          <w:color w:val="000000"/>
          <w:sz w:val="32"/>
          <w:szCs w:val="32"/>
        </w:rPr>
      </w:pPr>
      <w:r>
        <w:rPr>
          <w:rFonts w:ascii="仿宋" w:eastAsia="仿宋" w:cs="仿宋" w:hAnsi="仿宋" w:hint="eastAsia"/>
          <w:bCs/>
          <w:color w:val="000000"/>
          <w:sz w:val="32"/>
          <w:szCs w:val="32"/>
        </w:rPr>
        <w:t>（3）绩效指标明确性（设定3分，得分3分）。该项目设定的绩效指标明确且量化，得分3分。</w:t>
      </w:r>
    </w:p>
    <w:p>
      <w:pPr>
        <w:spacing w:line="560" w:lineRule="exact"/>
        <w:ind w:firstLineChars="200" w:firstLine="640"/>
        <w:rPr>
          <w:rFonts w:ascii="仿宋" w:eastAsia="仿宋" w:cs="仿宋" w:hAnsi="仿宋"/>
          <w:bCs/>
          <w:color w:val="000000"/>
          <w:sz w:val="32"/>
          <w:szCs w:val="32"/>
        </w:rPr>
      </w:pPr>
      <w:r>
        <w:rPr>
          <w:rFonts w:ascii="仿宋" w:eastAsia="仿宋" w:cs="仿宋" w:hAnsi="仿宋" w:hint="eastAsia"/>
          <w:bCs/>
          <w:color w:val="000000"/>
          <w:sz w:val="32"/>
          <w:szCs w:val="32"/>
        </w:rPr>
        <w:t>（4）资金使用合规性（设定4分，得分4分）。资金使用符合国家财经法规和财务管理制度，有项目领导小组统一进行管理和考核；支出有完整的审批程序和手续，符合资金管理办法规定的用途，并根据餐厨废弃物收运补贴拨付意见书及时拨付项目资金，实施过程均有记载，未出现截留挤占、挪用、虚列支出等情况。得分4分。</w:t>
      </w:r>
    </w:p>
    <w:p>
      <w:pPr>
        <w:spacing w:line="560" w:lineRule="exact"/>
        <w:ind w:firstLineChars="200" w:firstLine="640"/>
        <w:rPr>
          <w:rFonts w:ascii="仿宋" w:eastAsia="仿宋" w:cs="仿宋" w:hAnsi="仿宋"/>
          <w:bCs/>
          <w:color w:val="000000"/>
          <w:sz w:val="32"/>
          <w:szCs w:val="32"/>
        </w:rPr>
      </w:pPr>
      <w:r>
        <w:rPr>
          <w:rFonts w:ascii="仿宋" w:eastAsia="仿宋" w:cs="仿宋" w:hAnsi="仿宋" w:hint="eastAsia"/>
          <w:bCs/>
          <w:color w:val="000000"/>
          <w:sz w:val="32"/>
          <w:szCs w:val="32"/>
        </w:rPr>
        <w:t>（5）财务监控有效性（设定3分，得分3分）。单位制度完善，制定了内部控制手册，实现了项目从核查到付款的全过程监控。得分3分。</w:t>
      </w:r>
    </w:p>
    <w:p>
      <w:pPr>
        <w:spacing w:line="560" w:lineRule="exact"/>
        <w:ind w:firstLineChars="200" w:firstLine="640"/>
        <w:rPr>
          <w:rFonts w:ascii="仿宋" w:eastAsia="仿宋" w:cs="仿宋" w:hAnsi="仿宋"/>
          <w:bCs/>
          <w:color w:val="000000"/>
          <w:sz w:val="32"/>
          <w:szCs w:val="32"/>
        </w:rPr>
      </w:pPr>
      <w:r>
        <w:rPr>
          <w:rFonts w:ascii="仿宋" w:eastAsia="仿宋" w:cs="仿宋" w:hAnsi="仿宋" w:hint="eastAsia"/>
          <w:bCs/>
          <w:color w:val="000000"/>
          <w:sz w:val="32"/>
          <w:szCs w:val="32"/>
        </w:rPr>
        <w:t>（6）资金到位率（设定5分，得分5分）。预算资金100%到位，得5分。</w:t>
      </w:r>
    </w:p>
    <w:p>
      <w:pPr>
        <w:spacing w:line="560" w:lineRule="exact"/>
        <w:ind w:firstLineChars="200" w:firstLine="640"/>
        <w:rPr>
          <w:rFonts w:ascii="仿宋" w:eastAsia="仿宋" w:cs="仿宋" w:hAnsi="仿宋"/>
          <w:bCs/>
          <w:color w:val="000000"/>
          <w:sz w:val="32"/>
          <w:szCs w:val="32"/>
        </w:rPr>
      </w:pPr>
      <w:r>
        <w:rPr>
          <w:rFonts w:ascii="仿宋" w:eastAsia="仿宋" w:cs="仿宋" w:hAnsi="仿宋" w:hint="eastAsia"/>
          <w:bCs/>
          <w:color w:val="000000"/>
          <w:sz w:val="32"/>
          <w:szCs w:val="32"/>
        </w:rPr>
        <w:t>（7）资金支出进度（设定5分，得分4分）。该项目服务周期为2023年1月1日至2023年12月31日，2023年2月支出354.28万元，2023年11月分别支出15.03万元和60.12万元，2023年12月分别支出58.99万元和85.6万元，及时性稍差。得分4分。</w:t>
      </w:r>
    </w:p>
    <w:p>
      <w:pPr>
        <w:spacing w:line="560" w:lineRule="exact"/>
        <w:ind w:firstLineChars="200" w:firstLine="640"/>
        <w:rPr>
          <w:rFonts w:ascii="仿宋" w:eastAsia="仿宋" w:cs="仿宋" w:hAnsi="仿宋"/>
          <w:bCs/>
          <w:color w:val="000000"/>
          <w:sz w:val="32"/>
          <w:szCs w:val="32"/>
        </w:rPr>
      </w:pPr>
      <w:r>
        <w:rPr>
          <w:rFonts w:ascii="仿宋" w:eastAsia="仿宋" w:cs="仿宋" w:hAnsi="仿宋" w:hint="eastAsia"/>
          <w:bCs/>
          <w:color w:val="000000"/>
          <w:sz w:val="32"/>
          <w:szCs w:val="32"/>
        </w:rPr>
        <w:t>（8）</w:t>
      </w:r>
      <w:r>
        <w:rPr>
          <w:rFonts w:ascii="仿宋" w:eastAsia="仿宋" w:cs="仿宋" w:hAnsi="仿宋" w:hint="eastAsia"/>
          <w:bCs/>
          <w:sz w:val="32"/>
          <w:szCs w:val="32"/>
        </w:rPr>
        <w:t>管理制度健全性（设定6分，得分</w:t>
      </w:r>
      <w:r>
        <w:rPr>
          <w:rFonts w:ascii="仿宋" w:eastAsia="仿宋" w:cs="仿宋" w:hAnsi="仿宋" w:hint="eastAsia"/>
          <w:bCs/>
          <w:sz w:val="32"/>
          <w:szCs w:val="32"/>
          <w:lang w:val="en-US" w:eastAsia="zh-CN"/>
        </w:rPr>
        <w:t>5</w:t>
      </w:r>
      <w:r>
        <w:rPr>
          <w:rFonts w:ascii="仿宋" w:eastAsia="仿宋" w:cs="仿宋" w:hAnsi="仿宋" w:hint="eastAsia"/>
          <w:bCs/>
          <w:sz w:val="32"/>
          <w:szCs w:val="32"/>
        </w:rPr>
        <w:t>分）。</w:t>
      </w:r>
      <w:r>
        <w:rPr>
          <w:rFonts w:ascii="仿宋" w:eastAsia="仿宋" w:cs="仿宋" w:hAnsi="仿宋" w:hint="eastAsia"/>
          <w:bCs/>
          <w:sz w:val="32"/>
          <w:szCs w:val="32"/>
          <w:lang w:eastAsia="zh-CN"/>
        </w:rPr>
        <w:t>项目实施过程有明确的实施方案和时间节点，资金使用环节有完善的财务管理制度</w:t>
      </w:r>
      <w:r>
        <w:rPr>
          <w:rFonts w:ascii="仿宋" w:eastAsia="仿宋" w:cs="仿宋" w:hAnsi="仿宋"/>
          <w:bCs/>
          <w:sz w:val="32"/>
          <w:szCs w:val="32"/>
          <w:lang w:eastAsia="zh-CN"/>
        </w:rPr>
        <w:t>。具体</w:t>
      </w:r>
      <w:r>
        <w:rPr>
          <w:rFonts w:ascii="仿宋" w:eastAsia="仿宋" w:cs="仿宋" w:hAnsi="仿宋"/>
          <w:bCs/>
          <w:sz w:val="32"/>
          <w:szCs w:val="32"/>
        </w:rPr>
        <w:t>项目管理制度需进一步完善，</w:t>
      </w:r>
      <w:r>
        <w:rPr>
          <w:rFonts w:ascii="仿宋" w:eastAsia="仿宋" w:cs="仿宋" w:hAnsi="仿宋" w:hint="eastAsia"/>
          <w:bCs/>
          <w:sz w:val="32"/>
          <w:szCs w:val="32"/>
        </w:rPr>
        <w:t>得</w:t>
      </w:r>
      <w:r>
        <w:rPr>
          <w:rFonts w:ascii="仿宋" w:eastAsia="仿宋" w:cs="仿宋" w:hAnsi="仿宋" w:hint="eastAsia"/>
          <w:bCs/>
          <w:sz w:val="32"/>
          <w:szCs w:val="32"/>
          <w:lang w:val="en-US" w:eastAsia="zh-CN"/>
        </w:rPr>
        <w:t>5</w:t>
      </w:r>
      <w:r>
        <w:rPr>
          <w:rFonts w:ascii="仿宋" w:eastAsia="仿宋" w:cs="仿宋" w:hAnsi="仿宋" w:hint="eastAsia"/>
          <w:bCs/>
          <w:sz w:val="32"/>
          <w:szCs w:val="32"/>
        </w:rPr>
        <w:t>分。</w:t>
      </w:r>
    </w:p>
    <w:p>
      <w:pPr>
        <w:spacing w:line="560" w:lineRule="exact"/>
        <w:ind w:firstLineChars="200" w:firstLine="640"/>
        <w:rPr>
          <w:rFonts w:ascii="仿宋" w:eastAsia="仿宋" w:cs="仿宋" w:hAnsi="仿宋"/>
          <w:bCs/>
          <w:color w:val="000000"/>
          <w:sz w:val="32"/>
          <w:szCs w:val="32"/>
        </w:rPr>
      </w:pPr>
      <w:r>
        <w:rPr>
          <w:rFonts w:ascii="仿宋" w:eastAsia="仿宋" w:cs="仿宋" w:hAnsi="仿宋" w:hint="eastAsia"/>
          <w:bCs/>
          <w:color w:val="000000"/>
          <w:sz w:val="32"/>
          <w:szCs w:val="32"/>
        </w:rPr>
        <w:t>（9）制度执行有效性（设置4分，得分4分）。项目实施遵守相关的法律法规和各项管理规定，市级拨款文件、补贴拨付意见书等资料齐全并及时归档，严格执行项目管理程序及餐厨废弃物收集处理量的审核等，得分4分。</w:t>
      </w:r>
    </w:p>
    <w:p>
      <w:pPr>
        <w:spacing w:line="560" w:lineRule="exact"/>
        <w:ind w:firstLineChars="200" w:firstLine="640"/>
        <w:rPr>
          <w:rFonts w:ascii="仿宋" w:eastAsia="仿宋" w:cs="仿宋" w:hAnsi="仿宋"/>
          <w:bCs/>
          <w:color w:val="000000"/>
          <w:sz w:val="32"/>
          <w:szCs w:val="32"/>
        </w:rPr>
      </w:pPr>
      <w:r>
        <w:rPr>
          <w:rFonts w:ascii="仿宋" w:eastAsia="仿宋" w:cs="仿宋" w:hAnsi="仿宋" w:hint="eastAsia"/>
          <w:bCs/>
          <w:color w:val="000000"/>
          <w:sz w:val="32"/>
          <w:szCs w:val="32"/>
        </w:rPr>
        <w:t>（10）补贴标准（设定10分，得分10分）。2023年我区餐厨废弃物财政补贴标准依据成本进行测算，补贴标准为320元/吨。得分10分。</w:t>
      </w:r>
    </w:p>
    <w:p>
      <w:pPr>
        <w:spacing w:line="560" w:lineRule="exact"/>
        <w:ind w:firstLineChars="200" w:firstLine="640"/>
        <w:rPr>
          <w:rFonts w:ascii="仿宋" w:eastAsia="仿宋" w:cs="仿宋" w:hAnsi="仿宋"/>
          <w:bCs/>
          <w:color w:val="000000"/>
          <w:sz w:val="32"/>
          <w:szCs w:val="32"/>
        </w:rPr>
      </w:pPr>
      <w:r>
        <w:rPr>
          <w:rFonts w:ascii="仿宋" w:eastAsia="仿宋" w:cs="仿宋" w:hAnsi="仿宋" w:hint="eastAsia"/>
          <w:bCs/>
          <w:color w:val="000000"/>
          <w:sz w:val="32"/>
          <w:szCs w:val="32"/>
        </w:rPr>
        <w:t>（11）检查次数（设定10分，得分10分）。2023年</w:t>
      </w:r>
      <w:r>
        <w:rPr>
          <w:rFonts w:ascii="仿宋" w:eastAsia="仿宋" w:cs="仿宋" w:hAnsi="仿宋"/>
          <w:bCs/>
          <w:color w:val="000000"/>
          <w:sz w:val="32"/>
          <w:szCs w:val="32"/>
        </w:rPr>
        <w:t>区市场监督管理局</w:t>
      </w:r>
      <w:r>
        <w:rPr>
          <w:rFonts w:ascii="仿宋" w:eastAsia="仿宋" w:cs="仿宋" w:hAnsi="仿宋" w:hint="eastAsia"/>
          <w:bCs/>
          <w:color w:val="000000"/>
          <w:sz w:val="32"/>
          <w:szCs w:val="32"/>
        </w:rPr>
        <w:t>每季度都对承担任务企业进行监督检查，确保无违规处理餐厨废弃物事件发生。得分10分。</w:t>
      </w:r>
    </w:p>
    <w:p>
      <w:pPr>
        <w:spacing w:line="560" w:lineRule="exact"/>
        <w:ind w:firstLineChars="200" w:firstLine="640"/>
        <w:rPr>
          <w:rFonts w:ascii="仿宋" w:eastAsia="仿宋" w:cs="仿宋" w:hAnsi="仿宋"/>
          <w:bCs/>
          <w:color w:val="000000"/>
          <w:sz w:val="32"/>
          <w:szCs w:val="32"/>
        </w:rPr>
      </w:pPr>
      <w:r>
        <w:rPr>
          <w:rFonts w:ascii="仿宋" w:eastAsia="仿宋" w:cs="仿宋" w:hAnsi="仿宋" w:hint="eastAsia"/>
          <w:bCs/>
          <w:color w:val="000000"/>
          <w:sz w:val="32"/>
          <w:szCs w:val="32"/>
        </w:rPr>
        <w:t>（12）餐厨废弃物处置完成率（设定15分，得分15分）。2023年我区共处理餐厨废弃物17599.44吨，处置完成率为100%，得分15分。</w:t>
      </w:r>
    </w:p>
    <w:p>
      <w:pPr>
        <w:spacing w:line="560" w:lineRule="exact"/>
        <w:ind w:firstLineChars="200" w:firstLine="640"/>
        <w:rPr>
          <w:rFonts w:ascii="仿宋" w:eastAsia="仿宋" w:cs="仿宋" w:hAnsi="仿宋"/>
          <w:bCs/>
          <w:color w:val="000000"/>
          <w:sz w:val="32"/>
          <w:szCs w:val="32"/>
        </w:rPr>
      </w:pPr>
      <w:r>
        <w:rPr>
          <w:rFonts w:ascii="仿宋" w:eastAsia="仿宋" w:cs="仿宋" w:hAnsi="仿宋" w:hint="eastAsia"/>
          <w:bCs/>
          <w:color w:val="000000"/>
          <w:sz w:val="32"/>
          <w:szCs w:val="32"/>
        </w:rPr>
        <w:t>（13）重大事故发生次数（设定15分，得分15分）。2023年我区餐饮业未发生重大安全事故，得分15分。</w:t>
      </w:r>
    </w:p>
    <w:p>
      <w:pPr>
        <w:spacing w:line="560" w:lineRule="exact"/>
        <w:ind w:firstLineChars="200" w:firstLine="640"/>
        <w:rPr>
          <w:rFonts w:ascii="仿宋" w:eastAsia="仿宋" w:cs="仿宋" w:hAnsi="仿宋"/>
          <w:bCs/>
          <w:color w:val="000000"/>
          <w:sz w:val="32"/>
          <w:szCs w:val="32"/>
        </w:rPr>
      </w:pPr>
      <w:r>
        <w:rPr>
          <w:rFonts w:ascii="仿宋" w:eastAsia="仿宋" w:cs="仿宋" w:hAnsi="仿宋" w:hint="eastAsia"/>
          <w:bCs/>
          <w:color w:val="000000"/>
          <w:sz w:val="32"/>
          <w:szCs w:val="32"/>
        </w:rPr>
        <w:t>（14）群体满意度（设定10分，得分10分）。随机抽取餐饮单位通过问卷调查形式进行满意度调查，满意率100%，得分10分。</w:t>
      </w:r>
    </w:p>
    <w:p>
      <w:pPr>
        <w:widowControl/>
        <w:adjustRightInd w:val="0"/>
        <w:snapToGrid w:val="0"/>
        <w:spacing w:line="560" w:lineRule="exact"/>
        <w:ind w:firstLineChars="200" w:firstLine="640"/>
        <w:jc w:val="left"/>
        <w:rPr>
          <w:rFonts w:ascii="仿宋" w:eastAsia="仿宋" w:cs="仿宋" w:hAnsi="仿宋"/>
          <w:bCs/>
          <w:color w:val="000000"/>
          <w:sz w:val="32"/>
          <w:szCs w:val="32"/>
        </w:rPr>
      </w:pPr>
      <w:r>
        <w:rPr>
          <w:rFonts w:ascii="仿宋" w:eastAsia="仿宋" w:cs="仿宋" w:hAnsi="仿宋" w:hint="eastAsia"/>
          <w:bCs/>
          <w:color w:val="000000"/>
          <w:sz w:val="32"/>
          <w:szCs w:val="32"/>
        </w:rPr>
        <w:t>2、评价结论</w:t>
      </w:r>
    </w:p>
    <w:p>
      <w:pPr>
        <w:widowControl/>
        <w:adjustRightInd w:val="0"/>
        <w:snapToGrid w:val="0"/>
        <w:spacing w:line="560" w:lineRule="exact"/>
        <w:ind w:firstLineChars="200" w:firstLine="640"/>
        <w:jc w:val="left"/>
        <w:rPr>
          <w:rFonts w:ascii="仿宋" w:eastAsia="仿宋" w:cs="仿宋" w:hAnsi="仿宋"/>
          <w:bCs/>
          <w:color w:val="000000"/>
          <w:sz w:val="32"/>
          <w:szCs w:val="32"/>
        </w:rPr>
      </w:pPr>
      <w:r>
        <w:rPr>
          <w:rFonts w:ascii="仿宋" w:eastAsia="仿宋" w:cs="仿宋" w:hAnsi="仿宋" w:hint="eastAsia"/>
          <w:bCs/>
          <w:color w:val="000000"/>
          <w:sz w:val="32"/>
          <w:szCs w:val="32"/>
        </w:rPr>
        <w:t>对照绩效评分表逐项分析，该项目得分9</w:t>
      </w:r>
      <w:r>
        <w:rPr>
          <w:rFonts w:ascii="仿宋" w:eastAsia="仿宋" w:cs="仿宋" w:hAnsi="仿宋"/>
          <w:bCs/>
          <w:color w:val="000000"/>
          <w:sz w:val="32"/>
          <w:szCs w:val="32"/>
        </w:rPr>
        <w:t>8</w:t>
      </w:r>
      <w:r>
        <w:rPr>
          <w:rFonts w:ascii="仿宋" w:eastAsia="仿宋" w:cs="仿宋" w:hAnsi="仿宋" w:hint="eastAsia"/>
          <w:bCs/>
          <w:color w:val="000000"/>
          <w:sz w:val="32"/>
          <w:szCs w:val="32"/>
        </w:rPr>
        <w:t>分。</w:t>
      </w:r>
    </w:p>
    <w:p>
      <w:pPr>
        <w:widowControl/>
        <w:adjustRightInd w:val="0"/>
        <w:snapToGrid w:val="0"/>
        <w:spacing w:line="560" w:lineRule="exact"/>
        <w:ind w:firstLineChars="200" w:firstLine="640"/>
        <w:jc w:val="left"/>
        <w:rPr>
          <w:rFonts w:ascii="仿宋" w:eastAsia="仿宋" w:cs="仿宋" w:hAnsi="仿宋"/>
          <w:bCs/>
          <w:color w:val="000000"/>
          <w:sz w:val="32"/>
          <w:szCs w:val="32"/>
        </w:rPr>
      </w:pPr>
      <w:r>
        <w:rPr>
          <w:rFonts w:ascii="仿宋" w:eastAsia="仿宋" w:cs="仿宋" w:hAnsi="仿宋" w:hint="eastAsia"/>
          <w:bCs/>
          <w:color w:val="000000"/>
          <w:sz w:val="32"/>
          <w:szCs w:val="32"/>
        </w:rPr>
        <w:t>绩效目标完成较好，评定等级为优。</w:t>
      </w:r>
    </w:p>
    <w:p>
      <w:pPr>
        <w:widowControl/>
        <w:adjustRightInd w:val="0"/>
        <w:snapToGrid w:val="0"/>
        <w:spacing w:line="560" w:lineRule="exact"/>
        <w:ind w:firstLineChars="200" w:firstLine="640"/>
        <w:jc w:val="left"/>
        <w:rPr>
          <w:rFonts w:ascii="仿宋" w:eastAsia="仿宋" w:cs="仿宋" w:hAnsi="仿宋" w:hint="eastAsia"/>
          <w:bCs/>
          <w:color w:val="000000"/>
          <w:sz w:val="32"/>
          <w:szCs w:val="32"/>
        </w:rPr>
      </w:pPr>
      <w:r>
        <w:rPr>
          <w:rFonts w:ascii="仿宋" w:eastAsia="仿宋" w:cs="仿宋" w:hAnsi="仿宋" w:hint="eastAsia"/>
          <w:bCs/>
          <w:color w:val="000000"/>
          <w:sz w:val="32"/>
          <w:szCs w:val="32"/>
        </w:rPr>
        <w:t>三、主要经验及做法、存在的问题</w:t>
      </w:r>
    </w:p>
    <w:p>
      <w:pPr>
        <w:spacing w:line="560" w:lineRule="exact"/>
        <w:ind w:firstLineChars="200" w:firstLine="640"/>
        <w:rPr>
          <w:rFonts w:ascii="仿宋" w:eastAsia="仿宋" w:cs="仿宋" w:hAnsi="仿宋"/>
          <w:bCs/>
          <w:color w:val="000000"/>
          <w:sz w:val="32"/>
          <w:szCs w:val="32"/>
        </w:rPr>
      </w:pPr>
      <w:r>
        <w:rPr>
          <w:rFonts w:ascii="仿宋" w:eastAsia="仿宋" w:cs="仿宋" w:hAnsi="仿宋" w:hint="eastAsia"/>
          <w:bCs/>
          <w:color w:val="000000"/>
          <w:sz w:val="32"/>
          <w:szCs w:val="32"/>
        </w:rPr>
        <w:t>为保障项目实施的真实性、准确性，丰南区人民政府、丰南区市场监督管理局和丰南区住房和城乡建设局负责联合审批每月的餐厨废弃物收运补贴拨付意见书。丰南区市场监督管理局项目领导小组负责对每月的餐厨废弃物收运工作进行考核打分，综办财务人员负责该项目补贴的申报、拨付和绩效评价工作。项目实施分工明确，确保不编造餐厨废弃物收运量，无骗取财政资金行为。在2023 年该项目资金申请和拨付工作中，第三、四季度区级补贴预算不够，需要在第二年预算中列支，因此第三、四季度区级部分补贴拨付不及时，不足部分需要跨年度发放。</w:t>
      </w:r>
    </w:p>
    <w:p>
      <w:pPr>
        <w:widowControl/>
        <w:adjustRightInd w:val="0"/>
        <w:snapToGrid w:val="0"/>
        <w:spacing w:line="560" w:lineRule="exact"/>
        <w:ind w:firstLineChars="200" w:firstLine="640"/>
        <w:jc w:val="left"/>
        <w:rPr>
          <w:rFonts w:ascii="仿宋" w:eastAsia="仿宋" w:cs="仿宋" w:hAnsi="仿宋"/>
          <w:bCs/>
          <w:color w:val="000000"/>
          <w:sz w:val="32"/>
          <w:szCs w:val="32"/>
        </w:rPr>
      </w:pPr>
      <w:r>
        <w:rPr>
          <w:rFonts w:ascii="仿宋" w:eastAsia="仿宋" w:cs="仿宋" w:hAnsi="仿宋" w:hint="eastAsia"/>
          <w:bCs/>
          <w:color w:val="000000"/>
          <w:sz w:val="32"/>
          <w:szCs w:val="32"/>
        </w:rPr>
        <w:t>四、项目管理及资金安排建议</w:t>
      </w:r>
    </w:p>
    <w:p>
      <w:pPr>
        <w:widowControl/>
        <w:adjustRightInd w:val="0"/>
        <w:snapToGrid w:val="0"/>
        <w:spacing w:line="560" w:lineRule="exact"/>
        <w:ind w:firstLineChars="200" w:firstLine="640"/>
        <w:jc w:val="left"/>
        <w:rPr>
          <w:rFonts w:ascii="仿宋" w:eastAsia="仿宋" w:cs="仿宋" w:hAnsi="仿宋"/>
          <w:bCs/>
          <w:color w:val="000000"/>
          <w:sz w:val="32"/>
          <w:szCs w:val="32"/>
        </w:rPr>
      </w:pPr>
      <w:r>
        <w:rPr>
          <w:rFonts w:ascii="仿宋" w:eastAsia="仿宋" w:cs="仿宋" w:hAnsi="仿宋" w:hint="eastAsia"/>
          <w:bCs/>
          <w:color w:val="000000"/>
          <w:sz w:val="32"/>
          <w:szCs w:val="32"/>
        </w:rPr>
        <w:t>针对上述问题，一方面建议区市场监督管理局充分考虑实际情况，做好年度预算；另一方面，也请区市场监督管理局严格规范资金支</w:t>
      </w:r>
      <w:r>
        <w:rPr>
          <w:rFonts w:ascii="仿宋" w:eastAsia="仿宋" w:cs="仿宋" w:hAnsi="仿宋"/>
          <w:bCs/>
          <w:color w:val="000000"/>
          <w:sz w:val="32"/>
          <w:szCs w:val="32"/>
        </w:rPr>
        <w:t>出</w:t>
      </w:r>
      <w:r>
        <w:rPr>
          <w:rFonts w:ascii="仿宋" w:eastAsia="仿宋" w:cs="仿宋" w:hAnsi="仿宋" w:hint="eastAsia"/>
          <w:bCs/>
          <w:color w:val="000000"/>
          <w:sz w:val="32"/>
          <w:szCs w:val="32"/>
        </w:rPr>
        <w:t>进度，及时准确的进行资金申请和拨付，做到不拖延、不马虎。</w:t>
      </w:r>
    </w:p>
    <w:p>
      <w:pPr>
        <w:widowControl/>
        <w:adjustRightInd w:val="0"/>
        <w:snapToGrid w:val="0"/>
        <w:spacing w:line="560" w:lineRule="exact"/>
        <w:ind w:firstLineChars="200" w:firstLine="640"/>
        <w:jc w:val="left"/>
        <w:rPr>
          <w:rFonts w:ascii="仿宋" w:eastAsia="仿宋" w:cs="仿宋" w:hAnsi="仿宋" w:hint="eastAsia"/>
          <w:bCs/>
          <w:color w:val="000000"/>
          <w:sz w:val="32"/>
          <w:szCs w:val="32"/>
          <w14:textFill>
            <w14:solidFill>
              <w14:srgbClr w14:val="000000"/>
            </w14:solidFill>
          </w14:textFill>
        </w:rPr>
      </w:pPr>
      <w:r>
        <w:rPr>
          <w:rFonts w:ascii="仿宋" w:eastAsia="仿宋" w:cs="仿宋" w:hAnsi="仿宋"/>
          <w:bCs/>
          <w:color w:val="000000"/>
          <w:sz w:val="32"/>
          <w:szCs w:val="32"/>
          <w14:textFill>
            <w14:solidFill>
              <w14:srgbClr w14:val="000000"/>
            </w14:solidFill>
          </w14:textFill>
        </w:rPr>
        <w:t>请区市场监督管理局加强项目管理，结合实际进一步完善具体项目管理制度，及时请拨资金，为发挥财政资金效益树立制度屏障。</w:t>
      </w:r>
    </w:p>
    <w:p>
      <w:pPr>
        <w:snapToGrid w:val="0"/>
        <w:spacing w:line="560" w:lineRule="exact"/>
        <w:ind w:firstLineChars="200" w:firstLine="640"/>
        <w:rPr>
          <w:rFonts w:ascii="仿宋" w:eastAsia="仿宋" w:cs="仿宋" w:hAnsi="仿宋" w:hint="eastAsia"/>
          <w:bCs/>
          <w:color w:val="000000"/>
          <w:sz w:val="32"/>
          <w:szCs w:val="32"/>
          <w14:textFill>
            <w14:solidFill>
              <w14:srgbClr w14:val="000000"/>
            </w14:solidFill>
          </w14:textFill>
        </w:rPr>
      </w:pPr>
    </w:p>
    <w:sectPr>
      <w:footerReference w:type="default" r:id="rId2"/>
      <w:footerReference w:type="even" r:id="rId3"/>
      <w:footerReference w:type="first" r:id="rId4"/>
      <w:pgSz w:w="11907" w:h="16840"/>
      <w:pgMar w:top="1928" w:right="1531" w:bottom="1644" w:left="1531"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仿宋_GB2312">
    <w:altName w:val="仿宋"/>
    <w:panose1 w:val="02010609030101010101"/>
    <w:charset w:val="86"/>
    <w:family w:val="auto"/>
    <w:pitch w:val="variable"/>
    <w:sig w:usb0="00000001" w:usb1="080E0000" w:usb2="00000000" w:usb3="00000000" w:csb0="00040000" w:csb1="00000000"/>
  </w:font>
  <w:font w:name="方正仿宋简体">
    <w:panose1 w:val="03000509000000000000"/>
    <w:charset w:val="86"/>
    <w:family w:val="script"/>
    <w:pitch w:val="variable"/>
    <w:sig w:usb0="00000001" w:usb1="080E0000" w:usb2="00000000" w:usb3="00000000" w:csb0="00040000" w:csb1="00000000"/>
  </w:font>
  <w:font w:name="Times New Roman">
    <w:panose1 w:val="02020603050405020304"/>
    <w:charset w:val="01"/>
    <w:family w:val="swiss"/>
    <w:pitch w:val="variable"/>
    <w:sig w:usb0="E0002AFF" w:usb1="C0007841" w:usb2="00000009" w:usb3="00000000" w:csb0="400001FF" w:csb1="FFFF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10002FF" w:usb1="4000ACFF" w:usb2="00000009" w:usb3="00000000" w:csb0="2000019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6"/>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6"/>
      <w:tabs>
        <w:tab w:val="center" w:pos="4153"/>
        <w:tab w:val="right" w:pos="8307"/>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6"/>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mE4MjcyYjVmNjRkMzc4YjlkMTFjY2MwOTYzNmZhZj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Calibri" w:hAnsi="Calibri"/>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7"/>
      </w:tabs>
      <w:snapToGrid w:val="0"/>
      <w:jc w:val="center"/>
    </w:pPr>
    <w:rPr>
      <w:sz w:val="18"/>
      <w:szCs w:val="18"/>
    </w:rPr>
  </w:style>
  <w:style w:type="paragraph" w:styleId="16">
    <w:name w:val="footer"/>
    <w:basedOn w:val="0"/>
    <w:pPr>
      <w:tabs>
        <w:tab w:val="center" w:pos="4153"/>
        <w:tab w:val="right" w:pos="8307"/>
      </w:tabs>
      <w:snapToGrid w:val="0"/>
      <w:jc w:val="left"/>
    </w:pPr>
    <w:rPr>
      <w:sz w:val="18"/>
      <w:szCs w:val="18"/>
    </w:rPr>
  </w:style>
  <w:style w:type="character" w:styleId="17">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03B2844-7CC0-47A1-822E-BC65E249F18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492</TotalTime>
  <Application>Yozo_Office27021597764231179</Application>
  <Pages>6</Pages>
  <Words>0</Words>
  <Characters>2318</Characters>
  <Lines>0</Lines>
  <Paragraphs>48</Paragraphs>
  <CharactersWithSpaces>3091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LENOVO</cp:lastModifiedBy>
  <cp:revision>0</cp:revision>
  <cp:lastPrinted>2023-08-03T02:50:46Z</cp:lastPrinted>
  <dcterms:created xsi:type="dcterms:W3CDTF">2014-10-29T12:08:00Z</dcterms:created>
  <dcterms:modified xsi:type="dcterms:W3CDTF">2024-08-30T02:07:03Z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C429FCC3744E4DF1BA37116AB210FE09_12</vt:lpwstr>
  </property>
</Properties>
</file>