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Times New Roman" w:hAnsi="宋体"/>
          <w:b/>
          <w:sz w:val="44"/>
          <w:szCs w:val="44"/>
        </w:rPr>
      </w:pPr>
      <w:r>
        <w:rPr>
          <w:rFonts w:ascii="宋体" w:eastAsia="宋体" w:cs="Times New Roman" w:hAnsi="宋体" w:hint="eastAsia"/>
          <w:b/>
          <w:sz w:val="44"/>
          <w:szCs w:val="44"/>
        </w:rPr>
        <w:t>唐山市丰南区财政局</w:t>
      </w:r>
    </w:p>
    <w:p>
      <w:pPr>
        <w:jc w:val="center"/>
        <w:rPr>
          <w:rFonts w:ascii="宋体" w:eastAsia="宋体" w:cs="Times New Roman" w:hAnsi="宋体"/>
          <w:b/>
          <w:sz w:val="44"/>
          <w:szCs w:val="44"/>
        </w:rPr>
      </w:pPr>
      <w:r>
        <w:rPr>
          <w:rFonts w:ascii="宋体" w:eastAsia="宋体" w:cs="Times New Roman" w:hAnsi="宋体"/>
          <w:b/>
          <w:sz w:val="44"/>
          <w:szCs w:val="44"/>
        </w:rPr>
        <w:t>对</w:t>
      </w:r>
      <w:r>
        <w:rPr>
          <w:rFonts w:ascii="宋体" w:eastAsia="宋体" w:cs="Times New Roman" w:hAnsi="宋体" w:hint="eastAsia"/>
          <w:b/>
          <w:sz w:val="44"/>
          <w:szCs w:val="44"/>
        </w:rPr>
        <w:t>区融媒体中心2023年部门整体支出绩效</w:t>
      </w:r>
    </w:p>
    <w:p>
      <w:pPr>
        <w:jc w:val="center"/>
        <w:rPr>
          <w:rFonts w:ascii="宋体" w:eastAsia="宋体" w:cs="Times New Roman" w:hAnsi="宋体"/>
          <w:b/>
          <w:sz w:val="44"/>
          <w:szCs w:val="44"/>
        </w:rPr>
      </w:pPr>
      <w:r>
        <w:rPr>
          <w:rFonts w:ascii="宋体" w:eastAsia="宋体" w:cs="Times New Roman" w:hAnsi="宋体" w:hint="eastAsia"/>
          <w:b/>
          <w:sz w:val="44"/>
          <w:szCs w:val="44"/>
        </w:rPr>
        <w:t>评价报告</w:t>
      </w:r>
    </w:p>
    <w:p>
      <w:pPr>
        <w:spacing w:line="560" w:lineRule="exact"/>
        <w:ind w:firstLineChars="200" w:firstLine="640"/>
        <w:jc w:val="center"/>
        <w:rPr>
          <w:rFonts w:ascii="仿宋" w:eastAsia="仿宋" w:cs="Times New Roman"/>
          <w:sz w:val="32"/>
          <w:szCs w:val="32"/>
        </w:rPr>
      </w:pPr>
    </w:p>
    <w:p>
      <w:pPr>
        <w:spacing w:line="560" w:lineRule="exact"/>
        <w:ind w:firstLineChars="200" w:firstLine="640"/>
        <w:rPr>
          <w:rFonts w:ascii="仿宋" w:eastAsia="仿宋" w:cs="仿宋" w:hAnsi="仿宋"/>
          <w:sz w:val="32"/>
          <w:szCs w:val="32"/>
        </w:rPr>
      </w:pPr>
      <w:r>
        <w:rPr>
          <w:rFonts w:ascii="仿宋" w:eastAsia="仿宋" w:cs="仿宋" w:hAnsi="仿宋" w:hint="eastAsia"/>
          <w:sz w:val="32"/>
          <w:szCs w:val="32"/>
        </w:rPr>
        <w:t>按照</w:t>
      </w:r>
      <w:r>
        <w:rPr>
          <w:rFonts w:ascii="仿宋" w:eastAsia="仿宋" w:cs="仿宋" w:hAnsi="仿宋"/>
          <w:sz w:val="32"/>
          <w:szCs w:val="32"/>
        </w:rPr>
        <w:t>《唐山市丰南区财政局关于开展部门整体支出重点评价的通知》（丰财监[2024]7号）要</w:t>
      </w:r>
      <w:r>
        <w:rPr>
          <w:rFonts w:ascii="仿宋" w:eastAsia="仿宋" w:cs="仿宋" w:hAnsi="仿宋" w:hint="eastAsia"/>
          <w:sz w:val="32"/>
          <w:szCs w:val="32"/>
        </w:rPr>
        <w:t>求，并依据《中共唐山市丰南区委 唐山市丰南区人民政府关于全面实施预算绩效管理的实施意见》（丰南发[2020]3号）及《唐山市丰南区部门预算绩效管理办法》（丰财预[2019]12号）文件规定，对区融媒体中心2023年部门整体支出情况开展财政重点绩效评价。具体情况如下：</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sz w:val="32"/>
          <w:szCs w:val="32"/>
        </w:rPr>
        <w:t>一、评价组建立及工作开展情况</w:t>
      </w:r>
    </w:p>
    <w:p>
      <w:pPr>
        <w:spacing w:line="560" w:lineRule="exact"/>
        <w:ind w:firstLineChars="200" w:firstLine="640"/>
        <w:rPr>
          <w:rFonts w:ascii="仿宋" w:eastAsia="仿宋" w:cs="仿宋" w:hAnsi="仿宋"/>
          <w:sz w:val="32"/>
          <w:szCs w:val="32"/>
        </w:rPr>
      </w:pPr>
      <w:r>
        <w:rPr>
          <w:rFonts w:ascii="仿宋" w:eastAsia="仿宋" w:cs="仿宋" w:hAnsi="仿宋" w:hint="eastAsia"/>
          <w:sz w:val="32"/>
          <w:szCs w:val="32"/>
        </w:rPr>
        <w:t>根据重点绩效评价工作分工，区财政局成立由李任东同志任组长、赵军玲同志任副组长、毕佳丽等同志为成员的2023年融媒体中心整体支出财政重点绩效评价工作组。</w:t>
      </w:r>
    </w:p>
    <w:p>
      <w:pPr>
        <w:widowControl/>
        <w:autoSpaceDN w:val="0"/>
        <w:adjustRightInd w:val="0"/>
        <w:snapToGrid w:val="0"/>
        <w:spacing w:line="560" w:lineRule="exact"/>
        <w:ind w:firstLineChars="200" w:firstLine="640"/>
        <w:jc w:val="left"/>
        <w:rPr>
          <w:rFonts w:ascii="仿宋" w:eastAsia="仿宋" w:cs="仿宋" w:hAnsi="仿宋"/>
          <w:bCs/>
          <w:spacing w:val="6"/>
          <w:sz w:val="32"/>
          <w:szCs w:val="32"/>
        </w:rPr>
      </w:pPr>
      <w:r>
        <w:rPr>
          <w:rFonts w:ascii="仿宋" w:eastAsia="仿宋" w:cs="仿宋" w:hAnsi="仿宋" w:hint="eastAsia"/>
          <w:sz w:val="32"/>
          <w:szCs w:val="32"/>
        </w:rPr>
        <w:t>评价组通过收集、分析、对比融媒体中心提交的资料，深入了解融媒体中心整体情况，对融媒体中心整体预算编制、执行、绩效管理、业务管理及履职效益等方面</w:t>
      </w:r>
      <w:r>
        <w:rPr>
          <w:rFonts w:ascii="仿宋" w:eastAsia="仿宋" w:cs="仿宋" w:hAnsi="仿宋" w:hint="eastAsia"/>
          <w:bCs/>
          <w:spacing w:val="6"/>
          <w:sz w:val="32"/>
          <w:szCs w:val="32"/>
        </w:rPr>
        <w:t>进行了全面的定量、定性分析，形成初步评价结论</w:t>
      </w:r>
      <w:r>
        <w:rPr>
          <w:rFonts w:ascii="仿宋" w:eastAsia="仿宋" w:cs="仿宋" w:hAnsi="仿宋" w:hint="eastAsia"/>
          <w:sz w:val="32"/>
          <w:szCs w:val="32"/>
        </w:rPr>
        <w:t>。在</w:t>
      </w:r>
      <w:r>
        <w:rPr>
          <w:rFonts w:ascii="仿宋" w:eastAsia="仿宋" w:cs="仿宋" w:hAnsi="仿宋" w:hint="eastAsia"/>
          <w:bCs/>
          <w:spacing w:val="6"/>
          <w:sz w:val="32"/>
          <w:szCs w:val="32"/>
        </w:rPr>
        <w:t>征求</w:t>
      </w:r>
      <w:r>
        <w:rPr>
          <w:rFonts w:ascii="仿宋" w:eastAsia="仿宋" w:cs="仿宋" w:hAnsi="仿宋" w:hint="eastAsia"/>
          <w:sz w:val="32"/>
          <w:szCs w:val="32"/>
        </w:rPr>
        <w:t>融媒体中心</w:t>
      </w:r>
      <w:r>
        <w:rPr>
          <w:rFonts w:ascii="仿宋" w:eastAsia="仿宋" w:cs="仿宋" w:hAnsi="仿宋" w:hint="eastAsia"/>
          <w:bCs/>
          <w:spacing w:val="6"/>
          <w:sz w:val="32"/>
          <w:szCs w:val="32"/>
        </w:rPr>
        <w:t>意见后，根据反馈意见作进一步核实、修改和确认，最终形成了评价报告。</w:t>
      </w:r>
    </w:p>
    <w:p>
      <w:pPr>
        <w:widowControl/>
        <w:autoSpaceDN w:val="0"/>
        <w:adjustRightInd w:val="0"/>
        <w:snapToGrid w:val="0"/>
        <w:spacing w:line="560" w:lineRule="exact"/>
        <w:ind w:firstLineChars="200" w:firstLine="664"/>
        <w:rPr>
          <w:rFonts w:ascii="仿宋" w:eastAsia="仿宋" w:cs="仿宋" w:hAnsi="仿宋"/>
          <w:b/>
          <w:sz w:val="32"/>
          <w:szCs w:val="32"/>
        </w:rPr>
      </w:pPr>
      <w:r>
        <w:rPr>
          <w:rFonts w:ascii="仿宋" w:eastAsia="仿宋" w:cs="仿宋" w:hAnsi="仿宋" w:hint="eastAsia"/>
          <w:b/>
          <w:bCs/>
          <w:spacing w:val="6"/>
          <w:sz w:val="32"/>
          <w:szCs w:val="32"/>
        </w:rPr>
        <w:t>二、部门概况</w:t>
      </w:r>
    </w:p>
    <w:p>
      <w:pPr>
        <w:spacing w:line="560" w:lineRule="exact"/>
        <w:ind w:firstLineChars="200" w:firstLine="640"/>
        <w:rPr>
          <w:rFonts w:ascii="仿宋" w:eastAsia="仿宋" w:cs="仿宋" w:hAnsi="仿宋"/>
          <w:b/>
          <w:sz w:val="32"/>
          <w:szCs w:val="32"/>
        </w:rPr>
      </w:pPr>
      <w:r>
        <w:rPr>
          <w:rFonts w:ascii="仿宋" w:eastAsia="仿宋" w:cs="仿宋" w:hAnsi="仿宋" w:hint="eastAsia"/>
          <w:b/>
          <w:sz w:val="32"/>
          <w:szCs w:val="32"/>
        </w:rPr>
        <w:t>（一）部门主要职责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s="仿宋" w:hAnsi="仿宋"/>
          <w:sz w:val="32"/>
          <w:szCs w:val="32"/>
        </w:rPr>
      </w:pPr>
      <w:r>
        <w:rPr>
          <w:rFonts w:ascii="仿宋" w:eastAsia="仿宋" w:cs="仿宋" w:hAnsi="仿宋" w:hint="eastAsia"/>
          <w:sz w:val="32"/>
          <w:szCs w:val="32"/>
        </w:rPr>
        <w:t>区融媒体中心是区委宣传部所属公益一类事业单位，立足引导舆论、传播信息，负责新闻宣传与文化传播工作。具体担负着以下职责：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olor w:val="000000"/>
          <w:sz w:val="32"/>
          <w:szCs w:val="32"/>
        </w:rPr>
      </w:pPr>
      <w:r>
        <w:rPr>
          <w:rFonts w:ascii="仿宋" w:eastAsia="仿宋" w:hint="eastAsia"/>
          <w:color w:val="000000"/>
          <w:sz w:val="32"/>
          <w:szCs w:val="32"/>
        </w:rPr>
        <w:t>1.贯彻执行中央新闻宣传工作的路线、方针、政策，制定实施中心发展规划和管理办法，巩固宣传思想文化阵地，壮大主流思想舆论，把握正确舆论导向，不断提高新闻舆论传播力、引导力、影响力、竞争力。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olor w:val="000000"/>
          <w:sz w:val="32"/>
          <w:szCs w:val="32"/>
        </w:rPr>
      </w:pPr>
      <w:r>
        <w:rPr>
          <w:rFonts w:ascii="仿宋" w:eastAsia="仿宋" w:hint="eastAsia"/>
          <w:color w:val="000000"/>
          <w:sz w:val="32"/>
          <w:szCs w:val="32"/>
        </w:rPr>
        <w:t>2.围绕区委、区政府中心工作，聚焦项目建设、经济发展和社会民生，充分利用广播电视、报纸和新媒体平台等媒体资源，组织实施全区新闻宣传工作和重大宣传报道活动，发挥好舆论监督作用。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olor w:val="000000"/>
          <w:sz w:val="32"/>
          <w:szCs w:val="32"/>
        </w:rPr>
      </w:pPr>
      <w:r>
        <w:rPr>
          <w:rFonts w:ascii="仿宋" w:eastAsia="仿宋" w:hint="eastAsia"/>
          <w:color w:val="000000"/>
          <w:sz w:val="32"/>
          <w:szCs w:val="32"/>
        </w:rPr>
        <w:t>3.负责报纸、广播电视、新媒体、应急广播等传播媒介的科技工作，抓好新技术引进和开发，实施国家有关广播电视、新媒体技术政策和标准，开发广播电视和新媒体资源，增强综合发展能力。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olor w:val="000000"/>
          <w:sz w:val="32"/>
          <w:szCs w:val="32"/>
        </w:rPr>
      </w:pPr>
      <w:r>
        <w:rPr>
          <w:rFonts w:ascii="仿宋" w:eastAsia="仿宋" w:hint="eastAsia"/>
          <w:color w:val="000000"/>
          <w:sz w:val="32"/>
          <w:szCs w:val="32"/>
        </w:rPr>
        <w:t>4.贯彻行业有关管理规定，加强广播电视节目的优质安全传输、播出以及报纸、新媒体平台的安全刊发、设备设施安全防范等工作。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olor w:val="000000"/>
          <w:sz w:val="32"/>
          <w:szCs w:val="32"/>
        </w:rPr>
      </w:pPr>
      <w:r>
        <w:rPr>
          <w:rFonts w:ascii="仿宋" w:eastAsia="仿宋" w:hint="eastAsia"/>
          <w:color w:val="000000"/>
          <w:sz w:val="32"/>
          <w:szCs w:val="32"/>
        </w:rPr>
        <w:t>5.加强队伍的思想政治建设、职业道德教育、技术业务培训和人才培养工作，研究和推进内部管理体制的改革。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olor w:val="000000"/>
          <w:sz w:val="32"/>
          <w:szCs w:val="32"/>
        </w:rPr>
      </w:pPr>
      <w:r>
        <w:rPr>
          <w:rFonts w:ascii="仿宋" w:eastAsia="仿宋" w:hint="eastAsia"/>
          <w:color w:val="000000"/>
          <w:sz w:val="32"/>
          <w:szCs w:val="32"/>
        </w:rPr>
        <w:t>6.完成区委、区政府交办的其他工作任务。</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sz w:val="32"/>
          <w:szCs w:val="32"/>
        </w:rPr>
        <w:t>（二）人员情况</w:t>
      </w:r>
    </w:p>
    <w:p>
      <w:pPr>
        <w:ind w:left="648"/>
        <w:rPr>
          <w:rFonts w:ascii="仿宋" w:eastAsia="仿宋" w:cs="Times New Roman" w:hAnsi="仿宋"/>
          <w:bCs/>
          <w:sz w:val="32"/>
          <w:szCs w:val="32"/>
        </w:rPr>
      </w:pPr>
      <w:r>
        <w:rPr>
          <w:rFonts w:ascii="仿宋" w:eastAsia="仿宋" w:cs="Times New Roman" w:hAnsi="仿宋" w:hint="eastAsia"/>
          <w:bCs/>
          <w:sz w:val="32"/>
          <w:szCs w:val="32"/>
        </w:rPr>
        <w:t>区融媒体中心2023年人员编制数</w:t>
      </w:r>
      <w:r>
        <w:rPr>
          <w:rFonts w:ascii="仿宋" w:eastAsia="仿宋" w:cs="Times New Roman" w:hAnsi="仿宋"/>
          <w:bCs/>
          <w:sz w:val="32"/>
          <w:szCs w:val="32"/>
        </w:rPr>
        <w:t>96</w:t>
      </w:r>
      <w:r>
        <w:rPr>
          <w:rFonts w:ascii="仿宋" w:eastAsia="仿宋" w:cs="Times New Roman" w:hAnsi="仿宋" w:hint="eastAsia"/>
          <w:bCs/>
          <w:sz w:val="32"/>
          <w:szCs w:val="32"/>
        </w:rPr>
        <w:t>人，实有在职102人，</w:t>
      </w:r>
    </w:p>
    <w:p>
      <w:pPr>
        <w:rPr>
          <w:rFonts w:ascii="仿宋" w:eastAsia="仿宋" w:cs="Times New Roman" w:hAnsi="仿宋"/>
          <w:bCs/>
          <w:sz w:val="32"/>
          <w:szCs w:val="32"/>
        </w:rPr>
      </w:pPr>
      <w:r>
        <w:rPr>
          <w:rFonts w:ascii="仿宋" w:eastAsia="仿宋" w:cs="Times New Roman" w:hAnsi="仿宋" w:hint="eastAsia"/>
          <w:bCs/>
          <w:sz w:val="32"/>
          <w:szCs w:val="32"/>
        </w:rPr>
        <w:t>其中参公6人、全额事业编制</w:t>
      </w:r>
      <w:r>
        <w:rPr>
          <w:rFonts w:ascii="仿宋" w:eastAsia="仿宋" w:cs="Times New Roman" w:hAnsi="仿宋"/>
          <w:bCs/>
          <w:sz w:val="32"/>
          <w:szCs w:val="32"/>
        </w:rPr>
        <w:t>1</w:t>
      </w:r>
      <w:r>
        <w:rPr>
          <w:rFonts w:ascii="仿宋" w:eastAsia="仿宋" w:cs="Times New Roman" w:hAnsi="仿宋" w:hint="eastAsia"/>
          <w:bCs/>
          <w:sz w:val="32"/>
          <w:szCs w:val="32"/>
        </w:rPr>
        <w:t>8人、自收自支事业编制</w:t>
      </w:r>
      <w:r>
        <w:rPr>
          <w:rFonts w:ascii="仿宋" w:eastAsia="仿宋" w:cs="Times New Roman" w:hAnsi="仿宋"/>
          <w:bCs/>
          <w:sz w:val="32"/>
          <w:szCs w:val="32"/>
        </w:rPr>
        <w:t>6</w:t>
      </w:r>
      <w:r>
        <w:rPr>
          <w:rFonts w:ascii="仿宋" w:eastAsia="仿宋" w:cs="Times New Roman" w:hAnsi="仿宋" w:hint="eastAsia"/>
          <w:bCs/>
          <w:sz w:val="32"/>
          <w:szCs w:val="32"/>
        </w:rPr>
        <w:t>3人、人事代理6人、非编聘用制9人。劳务派遣人员</w:t>
      </w:r>
      <w:r>
        <w:rPr>
          <w:rFonts w:ascii="仿宋" w:eastAsia="仿宋" w:cs="Times New Roman" w:hAnsi="仿宋"/>
          <w:bCs/>
          <w:sz w:val="32"/>
          <w:szCs w:val="32"/>
        </w:rPr>
        <w:t>3</w:t>
      </w:r>
      <w:r>
        <w:rPr>
          <w:rFonts w:ascii="仿宋" w:eastAsia="仿宋" w:cs="Times New Roman" w:hAnsi="仿宋" w:hint="eastAsia"/>
          <w:bCs/>
          <w:sz w:val="32"/>
          <w:szCs w:val="32"/>
        </w:rPr>
        <w:t>3人。</w:t>
      </w:r>
    </w:p>
    <w:p>
      <w:pPr>
        <w:spacing w:line="560" w:lineRule="exact"/>
        <w:ind w:firstLineChars="200" w:firstLine="640"/>
        <w:rPr>
          <w:rFonts w:ascii="仿宋" w:eastAsia="仿宋" w:cs="仿宋" w:hAnsi="仿宋"/>
          <w:b/>
          <w:sz w:val="32"/>
          <w:szCs w:val="32"/>
        </w:rPr>
      </w:pPr>
      <w:r>
        <w:rPr>
          <w:rFonts w:ascii="仿宋" w:eastAsia="仿宋" w:cs="仿宋" w:hAnsi="仿宋" w:hint="eastAsia"/>
          <w:b/>
          <w:sz w:val="32"/>
          <w:szCs w:val="32"/>
        </w:rPr>
        <w:t>（三）部门预算执行情况</w:t>
      </w:r>
    </w:p>
    <w:p>
      <w:pPr>
        <w:spacing w:line="560" w:lineRule="exact"/>
        <w:ind w:firstLineChars="200" w:firstLine="640"/>
        <w:rPr>
          <w:rFonts w:ascii="仿宋" w:eastAsia="仿宋" w:cs="仿宋" w:hAnsi="仿宋"/>
          <w:sz w:val="32"/>
          <w:szCs w:val="32"/>
        </w:rPr>
      </w:pPr>
      <w:r>
        <w:rPr>
          <w:rFonts w:ascii="仿宋" w:eastAsia="仿宋" w:cs="仿宋" w:hAnsi="仿宋" w:hint="eastAsia"/>
          <w:sz w:val="32"/>
          <w:szCs w:val="32"/>
        </w:rPr>
        <w:t>区融媒体中心</w:t>
      </w:r>
      <w:r>
        <w:rPr>
          <w:rFonts w:ascii="仿宋" w:eastAsia="仿宋" w:cs="仿宋" w:hAnsi="仿宋" w:hint="eastAsia"/>
          <w:bCs/>
          <w:sz w:val="32"/>
          <w:szCs w:val="32"/>
        </w:rPr>
        <w:t>2023年度申请预算资金2869.01万元，其中：</w:t>
      </w:r>
      <w:r>
        <w:rPr>
          <w:rFonts w:ascii="仿宋" w:eastAsia="仿宋" w:cs="仿宋_GB2312" w:hAnsi="仿宋" w:hint="eastAsia"/>
          <w:bCs/>
          <w:sz w:val="32"/>
          <w:szCs w:val="32"/>
        </w:rPr>
        <w:t>共同财政事权转移支付0万元，专项转移支付0万元，债券资金0万元</w:t>
      </w:r>
      <w:r>
        <w:rPr>
          <w:rFonts w:ascii="仿宋" w:eastAsia="仿宋" w:cs="仿宋" w:hAnsi="仿宋" w:hint="eastAsia"/>
          <w:bCs/>
          <w:sz w:val="32"/>
          <w:szCs w:val="32"/>
        </w:rPr>
        <w:t>；实际支出2869.01万元，其中：</w:t>
      </w:r>
      <w:r>
        <w:rPr>
          <w:rFonts w:ascii="仿宋" w:eastAsia="仿宋" w:cs="仿宋_GB2312" w:hAnsi="仿宋" w:hint="eastAsia"/>
          <w:bCs/>
          <w:sz w:val="32"/>
          <w:szCs w:val="32"/>
        </w:rPr>
        <w:t>共同财政事权转移支付0万元，专项转移支付0万元，债券资金0万元</w:t>
      </w:r>
      <w:r>
        <w:rPr>
          <w:rFonts w:ascii="仿宋" w:eastAsia="仿宋" w:cs="仿宋" w:hAnsi="仿宋" w:hint="eastAsia"/>
          <w:bCs/>
          <w:sz w:val="32"/>
          <w:szCs w:val="32"/>
        </w:rPr>
        <w:t>。其中：项目18个，金额合计</w:t>
      </w:r>
      <w:r>
        <w:rPr>
          <w:rFonts w:ascii="仿宋" w:eastAsia="仿宋" w:cs="仿宋_GB2312" w:hAnsi="仿宋" w:hint="eastAsia"/>
          <w:bCs/>
          <w:sz w:val="32"/>
          <w:szCs w:val="32"/>
        </w:rPr>
        <w:t>918.56</w:t>
      </w:r>
      <w:r>
        <w:rPr>
          <w:rFonts w:ascii="仿宋" w:eastAsia="仿宋" w:cs="仿宋" w:hAnsi="仿宋" w:hint="eastAsia"/>
          <w:bCs/>
          <w:sz w:val="32"/>
          <w:szCs w:val="32"/>
        </w:rPr>
        <w:t>万元，实际支出</w:t>
      </w:r>
      <w:r>
        <w:rPr>
          <w:rFonts w:ascii="仿宋" w:eastAsia="仿宋" w:cs="仿宋_GB2312" w:hAnsi="仿宋" w:hint="eastAsia"/>
          <w:bCs/>
          <w:sz w:val="32"/>
          <w:szCs w:val="32"/>
        </w:rPr>
        <w:t>918.56</w:t>
      </w:r>
      <w:r>
        <w:rPr>
          <w:rFonts w:ascii="仿宋" w:eastAsia="仿宋" w:cs="仿宋" w:hAnsi="仿宋" w:hint="eastAsia"/>
          <w:bCs/>
          <w:sz w:val="32"/>
          <w:szCs w:val="32"/>
        </w:rPr>
        <w:t>万元，执行率为100%。</w:t>
      </w:r>
    </w:p>
    <w:p>
      <w:pPr>
        <w:spacing w:line="560" w:lineRule="exact"/>
        <w:ind w:firstLineChars="200" w:firstLine="640"/>
        <w:jc w:val="left"/>
        <w:rPr>
          <w:rFonts w:ascii="仿宋" w:eastAsia="仿宋" w:cs="仿宋" w:hAnsi="仿宋"/>
          <w:b/>
          <w:color w:val="000000"/>
          <w:sz w:val="32"/>
          <w:szCs w:val="32"/>
        </w:rPr>
      </w:pPr>
      <w:r>
        <w:rPr>
          <w:rFonts w:ascii="仿宋" w:eastAsia="仿宋" w:cs="仿宋" w:hAnsi="仿宋" w:hint="eastAsia"/>
          <w:b/>
          <w:color w:val="000000"/>
          <w:sz w:val="32"/>
          <w:szCs w:val="32"/>
        </w:rPr>
        <w:t>三、预算绩效管理开展情况</w:t>
      </w:r>
    </w:p>
    <w:p>
      <w:pPr>
        <w:spacing w:line="560" w:lineRule="exact"/>
        <w:ind w:firstLineChars="200" w:firstLine="640"/>
        <w:rPr>
          <w:rFonts w:ascii="仿宋" w:eastAsia="仿宋" w:cs="仿宋" w:hAnsi="仿宋"/>
          <w:b/>
          <w:sz w:val="32"/>
          <w:szCs w:val="32"/>
        </w:rPr>
      </w:pPr>
      <w:r>
        <w:rPr>
          <w:rFonts w:ascii="仿宋" w:eastAsia="仿宋" w:cs="仿宋" w:hAnsi="仿宋" w:hint="eastAsia"/>
          <w:b/>
          <w:sz w:val="32"/>
          <w:szCs w:val="32"/>
        </w:rPr>
        <w:t>（一）部门年度绩效目标</w:t>
      </w:r>
    </w:p>
    <w:p>
      <w:pPr>
        <w:spacing w:line="560" w:lineRule="exact"/>
        <w:ind w:firstLineChars="200" w:firstLine="640"/>
        <w:rPr>
          <w:rFonts w:ascii="仿宋" w:eastAsia="仿宋" w:cs="仿宋" w:hAnsi="仿宋"/>
          <w:bCs/>
          <w:sz w:val="32"/>
          <w:szCs w:val="32"/>
        </w:rPr>
      </w:pPr>
      <w:r>
        <w:rPr>
          <w:rFonts w:ascii="仿宋" w:eastAsia="仿宋" w:cs="仿宋" w:hAnsi="仿宋" w:hint="eastAsia"/>
          <w:sz w:val="32"/>
          <w:szCs w:val="32"/>
        </w:rPr>
        <w:t>2023年，区融媒体中心坚持以学习宣传贯彻习近平新时代中国特色社会主义思想和党的二十大精神为主线，紧紧围绕区委、区政府中心工作，把握重点，突出亮点，高效推进融媒宣传主责主业，全力为加快建设“高质量发展示范区、生态宜居样板区”营造良好氛围。</w:t>
      </w:r>
      <w:r>
        <w:rPr>
          <w:rFonts w:ascii="仿宋" w:eastAsia="仿宋" w:cs="仿宋" w:hAnsi="仿宋" w:hint="eastAsia"/>
          <w:bCs/>
          <w:sz w:val="32"/>
          <w:szCs w:val="32"/>
        </w:rPr>
        <w:t>一是聚能融合党建引领，持续强化队伍建设；二是聚焦中心精准发力，有效壮大主流舆论；三是聚焦亮点做强外宣，全面展示丰南形象；四是聚力创新拓展矩阵，不断扩大宣传覆盖；五是聚力优质传输刊播，落实安全生产责任。</w:t>
      </w:r>
    </w:p>
    <w:p>
      <w:pPr>
        <w:spacing w:line="560" w:lineRule="exact"/>
        <w:ind w:firstLineChars="200" w:firstLine="640"/>
        <w:rPr>
          <w:rFonts w:ascii="仿宋" w:eastAsia="仿宋" w:cs="仿宋" w:hAnsi="仿宋"/>
          <w:b/>
          <w:bCs/>
          <w:sz w:val="32"/>
          <w:szCs w:val="32"/>
        </w:rPr>
      </w:pPr>
      <w:r>
        <w:rPr>
          <w:rFonts w:ascii="仿宋" w:eastAsia="仿宋" w:cs="仿宋" w:hAnsi="仿宋" w:hint="eastAsia"/>
          <w:b/>
          <w:bCs/>
          <w:sz w:val="32"/>
          <w:szCs w:val="32"/>
        </w:rPr>
        <w:t>（二）部门整体绩效指标</w:t>
      </w:r>
    </w:p>
    <w:tbl>
      <w:tblPr>
        <w:tblpPr w:leftFromText="180" w:rightFromText="180" w:vertAnchor="text" w:horzAnchor="page" w:tblpX="1946" w:tblpY="334"/>
        <w:tblOverlap w:val="never"/>
        <w:tblW w:w="890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03"/>
        <w:gridCol w:w="780"/>
        <w:gridCol w:w="705"/>
        <w:gridCol w:w="930"/>
        <w:gridCol w:w="1110"/>
        <w:gridCol w:w="780"/>
        <w:gridCol w:w="3764"/>
        <w:gridCol w:w="137"/>
      </w:tblGrid>
      <w:tr>
        <w:trPr>
          <w:trHeight w:val="1121"/>
          <w:gridAfter w:val="1"/>
          <w:wAfter w:w="137" w:type="dxa"/>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color w:val="000000"/>
                <w:sz w:val="20"/>
                <w:szCs w:val="20"/>
              </w:rPr>
              <w:t>一级指标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分值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二级指标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分值</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三级指标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分值</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评价标准</w:t>
            </w:r>
          </w:p>
        </w:tc>
      </w:tr>
      <w:tr>
        <w:trPr>
          <w:trHeight w:val="1225"/>
          <w:gridAfter w:val="1"/>
          <w:wAfter w:w="137" w:type="dxa"/>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投入</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8</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预算编制</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预算编制完整性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4</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编制部门预算及部门绩效预算，得1分；准确地编制部门收入、支出、政府采购等预算，得3分。</w:t>
            </w:r>
          </w:p>
        </w:tc>
      </w:tr>
      <w:tr>
        <w:trPr>
          <w:trHeight w:val="889"/>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预算编制及时性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4</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按规定时点报送部门预算及相关资料</w:t>
            </w:r>
          </w:p>
        </w:tc>
      </w:tr>
      <w:tr>
        <w:trPr>
          <w:trHeight w:val="660"/>
          <w:gridAfter w:val="1"/>
          <w:wAfter w:w="137" w:type="dxa"/>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过程</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55</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预算执行</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预算执行率（年末实际支出/年初预算安排）≥95%，得满分；低于或高于1个百分点，扣0.5分；扣完为止。</w:t>
            </w:r>
          </w:p>
        </w:tc>
      </w:tr>
      <w:tr>
        <w:trPr>
          <w:trHeight w:val="660"/>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部门整体支出进度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6月份部门整体支出进度达到序时进度50%，低于1个百分点，扣0.2分，扣完为止。</w:t>
            </w:r>
          </w:p>
        </w:tc>
      </w:tr>
      <w:tr>
        <w:trPr>
          <w:trHeight w:val="840"/>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预算管理</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25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公用经费控制率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公用经费控制率=实际支出公用经费/预算安排公用经费*100%；100%以下（含）计满分，每超出1%扣1分，扣完为止</w:t>
            </w:r>
          </w:p>
        </w:tc>
      </w:tr>
      <w:tr>
        <w:trPr>
          <w:trHeight w:val="900"/>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“三公经费”控制率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总体控制较好，三公经费控制率=三公经费实际支出数/三公经费预算安排数*100%；100%以下（含）计满分，每超出1%扣1分，扣完为止。</w:t>
            </w:r>
          </w:p>
        </w:tc>
      </w:tr>
      <w:tr>
        <w:trPr>
          <w:trHeight w:val="720"/>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预决算信息公开性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①按规定内容公开预决算信息，3分；②按规定时限公开预决算信息，2分。</w:t>
            </w:r>
          </w:p>
        </w:tc>
      </w:tr>
      <w:tr>
        <w:trPr>
          <w:trHeight w:val="1455"/>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资金使用合规性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r>
      <w:tr>
        <w:trPr>
          <w:trHeight w:val="915"/>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管理制度健全性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①内部财务管理制度、内部控制制度、会计核算制度等管理制度等，3分；②相关管理制度得到有效执行，有考核制度2分。</w:t>
            </w:r>
          </w:p>
        </w:tc>
      </w:tr>
      <w:tr>
        <w:trPr>
          <w:trHeight w:val="1110"/>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预算绩效管理开展</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绩效目标设定情况</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4</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按照要求全面设置部门整体绩效目标、预算项目（专项资金）绩效目标指标，并全部通过审核的，得4分；财政审核或人大审查过程中，每发现一个问题扣0.5分，扣完为止。</w:t>
            </w:r>
          </w:p>
        </w:tc>
      </w:tr>
      <w:tr>
        <w:trPr>
          <w:trHeight w:val="1635"/>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绩效监控、评价管理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8</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①按照要求开展部门整体绩效目标监控、部门整体绩效自评、部门重点评价的，得4分；每发现一项不符合要求的，扣0.5分。②所有预算项目（专项资金）均开展绩效监控、绩效自评的，得4分；未全部开展的，分别按照开展比例*2计算得分。③在财政核查过程中发现绩效自评结果不实的，每发现一个，扣1分，扣完为止。                                                                                                                                                                                            </w:t>
            </w:r>
          </w:p>
        </w:tc>
      </w:tr>
      <w:tr>
        <w:trPr>
          <w:trHeight w:val="1000"/>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绩效结果应用</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4</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将本部门绩效监控结果、绩效自评结果、部门重点评价结果和财政重点评价结果应用于节约预算资金、改进管理和完善政策的，每应用一项得1分，最高得分4分。</w:t>
            </w:r>
          </w:p>
        </w:tc>
      </w:tr>
      <w:tr>
        <w:trPr>
          <w:trHeight w:val="1305"/>
          <w:gridAfter w:val="1"/>
          <w:wAfter w:w="137" w:type="dxa"/>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绩效信息公开</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4</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①向社会公开部门整体绩效目标、部门整体绩效自评结果的，得2分；每少公开一项扣1分。②向社会公开部门全部预算项目（专项资金）绩效目标、绩效自评结果的，得2分；未全部公开的，分别按照公开比例*1计算得分。                             </w:t>
            </w:r>
          </w:p>
        </w:tc>
      </w:tr>
      <w:tr>
        <w:trPr>
          <w:trHeight w:val="760"/>
          <w:gridAfter w:val="1"/>
          <w:wAfter w:w="137" w:type="dxa"/>
        </w:trPr>
        <w:tc>
          <w:tcPr>
            <w:tcW w:w="703" w:type="dxa"/>
            <w:vMerge w:val="restart"/>
            <w:tcBorders>
              <w:top w:val="single" w:sz="4" w:space="0" w:color="000000"/>
              <w:left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kern w:val="0"/>
                <w:sz w:val="20"/>
                <w:szCs w:val="20"/>
              </w:rPr>
            </w:pPr>
            <w:r>
              <w:rPr>
                <w:rFonts w:ascii="宋体" w:eastAsia="宋体" w:cs="宋体" w:hAnsi="宋体" w:hint="eastAsia"/>
                <w:color w:val="000000"/>
                <w:kern w:val="0"/>
                <w:sz w:val="20"/>
                <w:szCs w:val="20"/>
              </w:rPr>
              <w:t>产出及效益</w:t>
            </w:r>
          </w:p>
          <w:p>
            <w:pPr>
              <w:widowControl/>
              <w:jc w:val="center"/>
              <w:textAlignment w:val="center"/>
              <w:rPr>
                <w:rFonts w:ascii="宋体" w:eastAsia="宋体" w:cs="宋体" w:hAnsi="宋体"/>
                <w:color w:val="000000"/>
                <w:sz w:val="20"/>
                <w:szCs w:val="20"/>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37</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职责履行</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重点工作完成率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10</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反映重点工作任务完成情况。重点工作完成率=（重点工作实际完成数量/重点工作数量）*100%</w:t>
            </w:r>
          </w:p>
        </w:tc>
      </w:tr>
      <w:tr>
        <w:trPr>
          <w:trHeight w:val="700"/>
          <w:gridAfter w:val="1"/>
          <w:wAfter w:w="137" w:type="dxa"/>
        </w:trPr>
        <w:tc>
          <w:tcPr>
            <w:tcW w:w="570" w:type="dxa"/>
            <w:vMerge/>
            <w:tcBorders>
              <w:left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政策知晓率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相关政策知晓情况，≥95%以上得5分；每降低1个百分点，扣0.5分，扣完为止。</w:t>
            </w:r>
          </w:p>
        </w:tc>
      </w:tr>
      <w:tr>
        <w:trPr>
          <w:trHeight w:val="540"/>
          <w:gridAfter w:val="1"/>
          <w:wAfter w:w="137" w:type="dxa"/>
        </w:trPr>
        <w:tc>
          <w:tcPr>
            <w:tcW w:w="570" w:type="dxa"/>
            <w:vMerge/>
            <w:tcBorders>
              <w:left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履职  效益</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18"/>
                <w:szCs w:val="18"/>
              </w:rPr>
            </w:pPr>
            <w:r>
              <w:rPr>
                <w:rFonts w:ascii="宋体" w:eastAsia="宋体" w:cs="宋体" w:hAnsi="宋体" w:hint="eastAsia"/>
                <w:color w:val="000000"/>
                <w:kern w:val="0"/>
                <w:sz w:val="18"/>
                <w:szCs w:val="18"/>
              </w:rPr>
              <w:t>社会效益</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对照绩效目标评价社会效益（按优6分、良4分、中2分、差0分进行评分）</w:t>
            </w:r>
          </w:p>
        </w:tc>
      </w:tr>
      <w:tr>
        <w:trPr>
          <w:trHeight w:val="480"/>
          <w:gridAfter w:val="1"/>
          <w:wAfter w:w="137" w:type="dxa"/>
        </w:trPr>
        <w:tc>
          <w:tcPr>
            <w:tcW w:w="570" w:type="dxa"/>
            <w:vMerge/>
            <w:tcBorders>
              <w:left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18"/>
                <w:szCs w:val="18"/>
              </w:rPr>
            </w:pPr>
            <w:r>
              <w:rPr>
                <w:rFonts w:ascii="宋体" w:eastAsia="宋体" w:cs="宋体" w:hAnsi="宋体" w:hint="eastAsia"/>
                <w:color w:val="000000"/>
                <w:kern w:val="0"/>
                <w:sz w:val="18"/>
                <w:szCs w:val="18"/>
              </w:rPr>
              <w:t>可持续影响</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5</w:t>
            </w:r>
          </w:p>
        </w:tc>
        <w:tc>
          <w:tcPr>
            <w:tcW w:w="3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40"/>
          <w:gridAfter w:val="1"/>
          <w:wAfter w:w="137" w:type="dxa"/>
        </w:trPr>
        <w:tc>
          <w:tcPr>
            <w:tcW w:w="570" w:type="dxa"/>
            <w:vMerge/>
            <w:tcBorders>
              <w:left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机关工作整体满意度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根据区委年度考核结果计分，优秀得6分，良好得4分，合格得2分，不合格0分。</w:t>
            </w:r>
          </w:p>
        </w:tc>
      </w:tr>
      <w:tr>
        <w:trPr>
          <w:trHeight w:val="680"/>
          <w:gridAfter w:val="1"/>
          <w:wAfter w:w="137" w:type="dxa"/>
        </w:trPr>
        <w:tc>
          <w:tcPr>
            <w:tcW w:w="570" w:type="dxa"/>
            <w:vMerge/>
            <w:tcBorders>
              <w:left w:val="single" w:sz="4" w:space="0" w:color="000000"/>
              <w:bottom w:val="single" w:sz="4" w:space="0" w:color="000000"/>
              <w:right w:val="single" w:sz="4" w:space="0" w:color="000000"/>
            </w:tcBorders>
            <w:shd w:val="clear" w:color="auto" w:fill="auto"/>
            <w:vAlign w:val="center"/>
          </w:tc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社会公众服务对象满意度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90%（含）以上计6分；80%（含）-90%，计5分；70%（含）-80%，计3分；低于70%计2分。</w:t>
            </w:r>
          </w:p>
        </w:tc>
      </w:tr>
      <w:tr>
        <w:trPr>
          <w:trHeight w:val="500"/>
          <w:gridAfter w:val="1"/>
          <w:wAfter w:w="137" w:type="dxa"/>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0"/>
                <w:szCs w:val="20"/>
              </w:rPr>
            </w:pPr>
            <w:r>
              <w:rPr>
                <w:rFonts w:ascii="宋体" w:eastAsia="宋体" w:cs="宋体" w:hAnsi="宋体" w:hint="eastAsia"/>
                <w:b/>
                <w:bCs/>
                <w:color w:val="000000"/>
                <w:kern w:val="0"/>
                <w:sz w:val="20"/>
                <w:szCs w:val="20"/>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0"/>
                <w:szCs w:val="20"/>
              </w:rPr>
            </w:pPr>
            <w:r>
              <w:rPr>
                <w:rFonts w:ascii="宋体" w:eastAsia="宋体" w:cs="宋体" w:hAnsi="宋体" w:hint="eastAsia"/>
                <w:b/>
                <w:bCs/>
                <w:color w:val="000000"/>
                <w:kern w:val="0"/>
                <w:sz w:val="20"/>
                <w:szCs w:val="2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bCs/>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0"/>
                <w:szCs w:val="20"/>
              </w:rPr>
            </w:pPr>
            <w:r>
              <w:rPr>
                <w:rFonts w:ascii="宋体" w:eastAsia="宋体" w:cs="宋体" w:hAnsi="宋体" w:hint="eastAsia"/>
                <w:b/>
                <w:bCs/>
                <w:color w:val="000000"/>
                <w:kern w:val="0"/>
                <w:sz w:val="20"/>
                <w:szCs w:val="20"/>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bCs/>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0"/>
                <w:szCs w:val="20"/>
              </w:rPr>
            </w:pPr>
            <w:r>
              <w:rPr>
                <w:rFonts w:ascii="宋体" w:eastAsia="宋体" w:cs="宋体" w:hAnsi="宋体" w:hint="eastAsia"/>
                <w:b/>
                <w:bCs/>
                <w:color w:val="000000"/>
                <w:kern w:val="0"/>
                <w:sz w:val="20"/>
                <w:szCs w:val="20"/>
              </w:rPr>
              <w:t>100</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bCs/>
                <w:color w:val="000000"/>
                <w:sz w:val="20"/>
                <w:szCs w:val="20"/>
              </w:rPr>
            </w:pPr>
          </w:p>
        </w:tc>
      </w:tr>
      <w:tr>
        <w:trPr>
          <w:trHeight w:val="91"/>
        </w:trPr>
        <w:tc>
          <w:tcPr>
            <w:tcW w:w="8909" w:type="dxa"/>
            <w:gridSpan w:val="8"/>
            <w:tcBorders>
              <w:top w:val="nil"/>
              <w:left w:val="nil"/>
              <w:bottom w:val="nil"/>
              <w:right w:val="nil"/>
            </w:tcBorders>
            <w:shd w:val="clear" w:color="auto" w:fill="auto"/>
            <w:vAlign w:val="bottom"/>
          </w:tcPr>
          <w:p>
            <w:pPr>
              <w:widowControl/>
              <w:jc w:val="left"/>
              <w:textAlignment w:val="bottom"/>
              <w:rPr>
                <w:rFonts w:ascii="宋体" w:eastAsia="宋体" w:cs="宋体" w:hAnsi="宋体"/>
                <w:b/>
                <w:bCs/>
                <w:color w:val="000000"/>
                <w:sz w:val="20"/>
                <w:szCs w:val="20"/>
              </w:rPr>
            </w:pPr>
          </w:p>
        </w:tc>
      </w:tr>
    </w:tbl>
    <w:p>
      <w:pPr>
        <w:spacing w:line="560" w:lineRule="exact"/>
        <w:ind w:firstLineChars="200" w:firstLine="640"/>
        <w:jc w:val="left"/>
        <w:rPr>
          <w:rFonts w:ascii="仿宋" w:eastAsia="仿宋" w:cs="仿宋" w:hAnsi="仿宋"/>
          <w:b/>
          <w:bCs/>
          <w:sz w:val="32"/>
          <w:szCs w:val="32"/>
        </w:rPr>
      </w:pPr>
      <w:r>
        <w:rPr>
          <w:rFonts w:ascii="仿宋" w:eastAsia="仿宋" w:cs="仿宋" w:hAnsi="仿宋" w:hint="eastAsia"/>
          <w:b/>
          <w:bCs/>
          <w:sz w:val="32"/>
          <w:szCs w:val="32"/>
        </w:rPr>
        <w:t>（三）评价方法</w:t>
      </w:r>
    </w:p>
    <w:p>
      <w:pPr>
        <w:spacing w:line="560" w:lineRule="exact"/>
        <w:ind w:firstLineChars="200" w:firstLine="640"/>
        <w:jc w:val="left"/>
        <w:rPr>
          <w:rFonts w:ascii="仿宋" w:eastAsia="仿宋" w:cs="仿宋" w:hAnsi="仿宋"/>
          <w:sz w:val="32"/>
          <w:szCs w:val="32"/>
        </w:rPr>
      </w:pPr>
      <w:r>
        <w:rPr>
          <w:rFonts w:ascii="仿宋" w:eastAsia="仿宋" w:cs="仿宋" w:hAnsi="仿宋" w:hint="eastAsia"/>
          <w:sz w:val="32"/>
          <w:szCs w:val="32"/>
        </w:rPr>
        <w:t>采取定性与定量分析相结合的方法，通过对融媒体中心整体支出绩效目标与实施效果的比较，综合分析绩效目标实现程度并进行评议。</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bCs/>
          <w:sz w:val="32"/>
          <w:szCs w:val="32"/>
        </w:rPr>
        <w:t>（四）</w:t>
      </w:r>
      <w:r>
        <w:rPr>
          <w:rFonts w:ascii="仿宋" w:eastAsia="仿宋" w:cs="仿宋" w:hAnsi="仿宋" w:hint="eastAsia"/>
          <w:b/>
          <w:sz w:val="32"/>
          <w:szCs w:val="32"/>
        </w:rPr>
        <w:t>绩效评价情况</w:t>
      </w:r>
    </w:p>
    <w:p>
      <w:pPr>
        <w:spacing w:line="560" w:lineRule="exact"/>
        <w:ind w:leftChars="200" w:left="420" w:firstLineChars="100" w:firstLine="320"/>
        <w:jc w:val="left"/>
        <w:rPr>
          <w:rFonts w:ascii="仿宋" w:eastAsia="仿宋" w:cs="仿宋" w:hAnsi="仿宋"/>
          <w:b/>
          <w:color w:val="333333"/>
          <w:kern w:val="0"/>
          <w:sz w:val="32"/>
          <w:szCs w:val="32"/>
        </w:rPr>
      </w:pPr>
      <w:r>
        <w:rPr>
          <w:rFonts w:ascii="仿宋" w:eastAsia="仿宋" w:cs="仿宋" w:hAnsi="仿宋" w:hint="eastAsia"/>
          <w:b/>
          <w:color w:val="333333"/>
          <w:kern w:val="0"/>
          <w:sz w:val="32"/>
          <w:szCs w:val="32"/>
        </w:rPr>
        <w:t>1.绩效评价指标分析</w:t>
      </w:r>
    </w:p>
    <w:p>
      <w:pPr>
        <w:widowControl/>
        <w:shd w:val="clear" w:color="auto" w:fill="FFFFFF"/>
        <w:spacing w:line="560" w:lineRule="exact"/>
        <w:ind w:firstLine="640"/>
        <w:jc w:val="left"/>
        <w:rPr>
          <w:rFonts w:ascii="仿宋" w:eastAsia="仿宋" w:cs="仿宋" w:hAnsi="仿宋"/>
          <w:b/>
          <w:color w:val="333333"/>
          <w:kern w:val="0"/>
          <w:sz w:val="32"/>
          <w:szCs w:val="32"/>
        </w:rPr>
      </w:pPr>
      <w:r>
        <w:rPr>
          <w:rFonts w:ascii="仿宋" w:eastAsia="仿宋" w:cs="仿宋" w:hAnsi="仿宋" w:hint="eastAsia"/>
          <w:b/>
          <w:color w:val="333333"/>
          <w:kern w:val="0"/>
          <w:sz w:val="32"/>
          <w:szCs w:val="32"/>
        </w:rPr>
        <w:t>（1）投入（共8分，得</w:t>
      </w:r>
      <w:r>
        <w:rPr>
          <w:rFonts w:ascii="仿宋" w:eastAsia="仿宋" w:cs="仿宋" w:hAnsi="仿宋" w:hint="eastAsia"/>
          <w:b/>
          <w:color w:val="333333"/>
          <w:kern w:val="0"/>
          <w:sz w:val="32"/>
          <w:szCs w:val="32"/>
          <w:lang w:val="en-US" w:eastAsia="zh-CN"/>
        </w:rPr>
        <w:t>6</w:t>
      </w:r>
      <w:r>
        <w:rPr>
          <w:rFonts w:ascii="仿宋" w:eastAsia="仿宋" w:cs="仿宋" w:hAnsi="仿宋" w:hint="eastAsia"/>
          <w:b/>
          <w:color w:val="333333"/>
          <w:kern w:val="0"/>
          <w:sz w:val="32"/>
          <w:szCs w:val="32"/>
        </w:rPr>
        <w:t>分）</w:t>
      </w:r>
    </w:p>
    <w:p>
      <w:pPr>
        <w:widowControl/>
        <w:shd w:val="clear" w:color="auto" w:fill="FFFFFF"/>
        <w:spacing w:line="560" w:lineRule="exact"/>
        <w:ind w:firstLine="641"/>
        <w:rPr>
          <w:rFonts w:ascii="仿宋" w:eastAsia="仿宋" w:cs="仿宋" w:hAnsi="仿宋"/>
          <w:color w:val="000000"/>
          <w:kern w:val="0"/>
          <w:sz w:val="32"/>
          <w:szCs w:val="32"/>
        </w:rPr>
      </w:pPr>
      <w:r>
        <w:rPr>
          <w:rFonts w:ascii="仿宋" w:eastAsia="仿宋" w:cs="仿宋" w:hAnsi="仿宋" w:hint="eastAsia"/>
          <w:color w:val="000000"/>
          <w:kern w:val="0"/>
          <w:sz w:val="32"/>
          <w:szCs w:val="32"/>
        </w:rPr>
        <w:t>预算编制指标分值8分，得分</w:t>
      </w:r>
      <w:r>
        <w:rPr>
          <w:rFonts w:ascii="仿宋" w:eastAsia="仿宋" w:cs="仿宋" w:hAnsi="仿宋" w:hint="eastAsia"/>
          <w:color w:val="000000"/>
          <w:kern w:val="0"/>
          <w:sz w:val="32"/>
          <w:szCs w:val="32"/>
          <w:lang w:val="en-US" w:eastAsia="zh-CN"/>
        </w:rPr>
        <w:t>6</w:t>
      </w:r>
      <w:r>
        <w:rPr>
          <w:rFonts w:ascii="仿宋" w:eastAsia="仿宋" w:cs="仿宋" w:hAnsi="仿宋" w:hint="eastAsia"/>
          <w:color w:val="000000"/>
          <w:kern w:val="0"/>
          <w:sz w:val="32"/>
          <w:szCs w:val="32"/>
        </w:rPr>
        <w:t>分，其中预算编制完整性，</w:t>
      </w:r>
      <w:r>
        <w:rPr>
          <w:rFonts w:ascii="仿宋" w:eastAsia="仿宋" w:cs="仿宋" w:hAnsi="仿宋" w:hint="eastAsia"/>
          <w:color w:val="000000"/>
          <w:kern w:val="0"/>
          <w:sz w:val="32"/>
          <w:szCs w:val="32"/>
          <w:lang w:eastAsia="zh-CN"/>
        </w:rPr>
        <w:t>因预算调整率偏高，</w:t>
      </w:r>
      <w:r>
        <w:rPr>
          <w:rFonts w:ascii="仿宋" w:eastAsia="仿宋" w:cs="仿宋" w:hAnsi="仿宋" w:hint="eastAsia"/>
          <w:color w:val="000000"/>
          <w:kern w:val="0"/>
          <w:sz w:val="32"/>
          <w:szCs w:val="32"/>
        </w:rPr>
        <w:t>得分</w:t>
      </w:r>
      <w:r>
        <w:rPr>
          <w:rFonts w:ascii="仿宋" w:eastAsia="仿宋" w:cs="仿宋" w:hAnsi="仿宋" w:hint="eastAsia"/>
          <w:color w:val="000000"/>
          <w:kern w:val="0"/>
          <w:sz w:val="32"/>
          <w:szCs w:val="32"/>
          <w:lang w:val="en-US" w:eastAsia="zh-CN"/>
        </w:rPr>
        <w:t>2</w:t>
      </w:r>
      <w:r>
        <w:rPr>
          <w:rFonts w:ascii="仿宋" w:eastAsia="仿宋" w:cs="仿宋" w:hAnsi="仿宋" w:hint="eastAsia"/>
          <w:color w:val="000000"/>
          <w:kern w:val="0"/>
          <w:sz w:val="32"/>
          <w:szCs w:val="32"/>
        </w:rPr>
        <w:t>分，预算编制及时性，得分4分。做到完整编制部门预算及部门绩效预算，准确编制部门收入、支出、政府采购等预算，并按规定时点报送部门预算及相关资料。</w:t>
      </w:r>
    </w:p>
    <w:p>
      <w:pPr>
        <w:widowControl/>
        <w:shd w:val="clear" w:color="auto" w:fill="FFFFFF"/>
        <w:spacing w:line="560" w:lineRule="atLeast"/>
        <w:ind w:firstLine="640"/>
        <w:jc w:val="left"/>
        <w:rPr>
          <w:rFonts w:ascii="仿宋" w:eastAsia="仿宋" w:cs="仿宋" w:hAnsi="仿宋"/>
          <w:b/>
          <w:color w:val="333333"/>
          <w:kern w:val="0"/>
          <w:sz w:val="32"/>
          <w:szCs w:val="32"/>
        </w:rPr>
      </w:pPr>
      <w:r>
        <w:rPr>
          <w:rFonts w:ascii="仿宋" w:eastAsia="仿宋" w:cs="仿宋" w:hAnsi="仿宋" w:hint="eastAsia"/>
          <w:b/>
          <w:color w:val="333333"/>
          <w:kern w:val="0"/>
          <w:sz w:val="32"/>
          <w:szCs w:val="32"/>
        </w:rPr>
        <w:t>（2）过程（共55分，得5</w:t>
      </w:r>
      <w:r>
        <w:rPr>
          <w:rFonts w:ascii="仿宋" w:eastAsia="仿宋" w:cs="仿宋" w:hAnsi="仿宋" w:hint="eastAsia"/>
          <w:b/>
          <w:color w:val="333333"/>
          <w:kern w:val="0"/>
          <w:sz w:val="32"/>
          <w:szCs w:val="32"/>
          <w:lang w:val="en-US" w:eastAsia="zh-CN"/>
        </w:rPr>
        <w:t>5</w:t>
      </w:r>
      <w:r>
        <w:rPr>
          <w:rFonts w:ascii="仿宋" w:eastAsia="仿宋" w:cs="仿宋" w:hAnsi="仿宋" w:hint="eastAsia"/>
          <w:b/>
          <w:color w:val="333333"/>
          <w:kern w:val="0"/>
          <w:sz w:val="32"/>
          <w:szCs w:val="32"/>
        </w:rPr>
        <w:t>分)</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color w:val="333333"/>
          <w:kern w:val="0"/>
          <w:sz w:val="32"/>
          <w:szCs w:val="32"/>
        </w:rPr>
        <w:t>预算执行分值10分，得分10分，其中预算执行率得分5分，部门整体支出进度得分5分。预算执行率100%，得分5分；6月份部门整体支出进度达到序时进度54.13%，得分5分。</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rPr>
        <w:t>预算管理分值25分，得分25分，其中公用经费控制率得分5分，“三公”经费控制率得分5分，预决算信息公开性得分5分，资金使用合规性得分5分，管理制度健全性得分5分。2023年公用经费年初预算171.55万元，实际支出156.78万元，公用经费控制率91.39%；“三公”经费年初预算7.5万元，实际支出4.38万元，“三公”经费控制率58.4%；做到按规定内容公开预决算信息，按规定时限公开预决算信息；支出符合国家财经法规和财务管理制度规定以及有关专项资金管理办法的规定，资金拨付有完整的审批程序和手续，项目支出按规定经过评估论证，支出符合部门预算批复的用途，资金使用无截留、挤占、挪用、虚列支出等情况；内部财务管理制度、内部控制制度、会计核算制度等管理制度均健全，相关管理制度得到有效执行，并有考核制度。</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rPr>
        <w:t>预算绩效管理开展分值20分，得分20分，其中绩效目标设定情况得分4分，绩效监控、评价管理得分8分，绩效结果应用得分4分，绩效信息公开得分4分。2023年区融媒体中心按照要求全面设置部门整体绩效目标、预算项目（专项资金）绩效目标指标，并全部通过审核；按照要求开展部门整体绩效目标监控、部门整体绩效自评、部门重点评价，所有预算项目（专项资金）均开展绩效监控、绩效自评；做到将本部门绩效监控结果、绩效自评结果、部门重点评价结果和财政重点评价结果应用于节约预算资金、改进管理和完善政策；已向社会公开部门整体绩效目标、部门整体绩效自评结果、部门全部预算项目（专项资金）绩效目标、绩效自评结果</w:t>
      </w:r>
      <w:r>
        <w:rPr>
          <w:rFonts w:ascii="仿宋" w:eastAsia="仿宋" w:cs="仿宋" w:hAnsi="仿宋" w:hint="eastAsia"/>
          <w:kern w:val="0"/>
          <w:sz w:val="32"/>
          <w:szCs w:val="32"/>
        </w:rPr>
        <w:t>。</w:t>
      </w:r>
    </w:p>
    <w:p>
      <w:pPr>
        <w:widowControl/>
        <w:shd w:val="clear" w:color="auto" w:fill="FFFFFF"/>
        <w:spacing w:line="560" w:lineRule="atLeast"/>
        <w:ind w:firstLine="640"/>
        <w:jc w:val="left"/>
        <w:rPr>
          <w:rFonts w:ascii="仿宋" w:eastAsia="仿宋" w:cs="仿宋" w:hAnsi="仿宋"/>
          <w:b/>
          <w:color w:val="333333"/>
          <w:kern w:val="0"/>
          <w:sz w:val="32"/>
          <w:szCs w:val="32"/>
        </w:rPr>
      </w:pPr>
      <w:r>
        <w:rPr>
          <w:rFonts w:ascii="仿宋" w:eastAsia="仿宋" w:cs="仿宋" w:hAnsi="仿宋" w:hint="eastAsia"/>
          <w:b/>
          <w:color w:val="333333"/>
          <w:kern w:val="0"/>
          <w:sz w:val="32"/>
          <w:szCs w:val="32"/>
        </w:rPr>
        <w:t>（3）产出及效益 (共37分，得35分）</w:t>
      </w:r>
    </w:p>
    <w:p>
      <w:pPr>
        <w:widowControl/>
        <w:shd w:val="clear" w:color="auto" w:fill="FFFFFF"/>
        <w:spacing w:line="560" w:lineRule="exact"/>
        <w:ind w:firstLine="641"/>
        <w:rPr>
          <w:rFonts w:ascii="仿宋" w:eastAsia="仿宋" w:cs="仿宋" w:hAnsi="仿宋"/>
          <w:color w:val="333333"/>
          <w:kern w:val="0"/>
          <w:sz w:val="32"/>
          <w:szCs w:val="32"/>
        </w:rPr>
      </w:pPr>
      <w:r>
        <w:rPr>
          <w:rFonts w:ascii="仿宋" w:eastAsia="仿宋" w:cs="仿宋" w:hAnsi="仿宋" w:hint="eastAsia"/>
          <w:color w:val="333333"/>
          <w:kern w:val="0"/>
          <w:sz w:val="32"/>
          <w:szCs w:val="32"/>
        </w:rPr>
        <w:t>职责履行分值15分，得分15分，其中重点工作完成率得分10分，政策知晓率得分5分。重点工作任务完成情况及相关政策知晓情况均达到指标要求，为资金发挥最大效益提供了有力保障。</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rPr>
        <w:t>履职效益分值22分，得分20分，其中社会效益得分5分，可持续影响得分5分，机关工作整体满意度得分4分，社会公众服务对象满意度得分6分。区委年度考核结果为良好，取得较好的经济效益和社会效益。</w:t>
      </w:r>
    </w:p>
    <w:p>
      <w:pPr>
        <w:widowControl/>
        <w:shd w:val="clear" w:color="auto" w:fill="FFFFFF"/>
        <w:spacing w:line="560" w:lineRule="atLeast"/>
        <w:ind w:firstLine="640"/>
        <w:jc w:val="left"/>
        <w:rPr>
          <w:rFonts w:ascii="仿宋" w:eastAsia="仿宋" w:cs="仿宋" w:hAnsi="仿宋"/>
          <w:b/>
          <w:color w:val="333333"/>
          <w:kern w:val="0"/>
          <w:sz w:val="32"/>
          <w:szCs w:val="32"/>
        </w:rPr>
      </w:pPr>
      <w:r>
        <w:rPr>
          <w:rFonts w:ascii="仿宋" w:eastAsia="仿宋" w:cs="仿宋" w:hAnsi="仿宋" w:hint="eastAsia"/>
          <w:b/>
          <w:color w:val="333333"/>
          <w:kern w:val="0"/>
          <w:sz w:val="32"/>
          <w:szCs w:val="32"/>
        </w:rPr>
        <w:t>2.评价结论</w:t>
      </w:r>
    </w:p>
    <w:p>
      <w:pPr>
        <w:widowControl/>
        <w:shd w:val="clear" w:color="auto" w:fill="FFFFFF"/>
        <w:spacing w:line="560" w:lineRule="atLeas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shd w:val="solid" w:color="FFFFFF" w:fill="FFFFFF"/>
        </w:rPr>
        <w:t>该部门综合评价得分9</w:t>
      </w:r>
      <w:r>
        <w:rPr>
          <w:rFonts w:ascii="仿宋" w:eastAsia="仿宋" w:cs="仿宋" w:hAnsi="仿宋" w:hint="eastAsia"/>
          <w:color w:val="333333"/>
          <w:kern w:val="0"/>
          <w:sz w:val="32"/>
          <w:szCs w:val="32"/>
          <w:shd w:val="solid" w:color="FFFFFF" w:fill="FFFFFF"/>
          <w:lang w:val="en-US" w:eastAsia="zh-CN"/>
        </w:rPr>
        <w:t>6</w:t>
      </w:r>
      <w:r>
        <w:rPr>
          <w:rFonts w:ascii="仿宋" w:eastAsia="仿宋" w:cs="仿宋" w:hAnsi="仿宋" w:hint="eastAsia"/>
          <w:color w:val="333333"/>
          <w:kern w:val="0"/>
          <w:sz w:val="32"/>
          <w:szCs w:val="32"/>
          <w:shd w:val="solid" w:color="FFFFFF" w:fill="FFFFFF"/>
        </w:rPr>
        <w:t>分，</w:t>
      </w:r>
      <w:r>
        <w:rPr>
          <w:rFonts w:ascii="仿宋" w:eastAsia="仿宋" w:cs="仿宋" w:hAnsi="仿宋" w:hint="eastAsia"/>
          <w:color w:val="333333"/>
          <w:kern w:val="0"/>
          <w:sz w:val="32"/>
          <w:szCs w:val="32"/>
        </w:rPr>
        <w:t>评价结果为优。</w:t>
      </w:r>
    </w:p>
    <w:p>
      <w:pPr>
        <w:numPr>
          <w:ilvl w:val="0"/>
          <w:numId w:val="1"/>
        </w:numPr>
        <w:spacing w:line="560" w:lineRule="exact"/>
        <w:ind w:left="0" w:firstLineChars="200" w:firstLine="640"/>
        <w:rPr>
          <w:rFonts w:ascii="仿宋" w:eastAsia="仿宋" w:cs="仿宋" w:hAnsi="仿宋"/>
          <w:b/>
          <w:sz w:val="32"/>
          <w:szCs w:val="32"/>
        </w:rPr>
      </w:pPr>
      <w:r>
        <w:rPr>
          <w:rFonts w:ascii="仿宋" w:eastAsia="仿宋" w:cs="仿宋" w:hAnsi="仿宋" w:hint="eastAsia"/>
          <w:b/>
          <w:sz w:val="32"/>
          <w:szCs w:val="32"/>
        </w:rPr>
        <w:t>存在的问题和改进建议</w:t>
      </w:r>
    </w:p>
    <w:p>
      <w:pPr>
        <w:pStyle w:val="18"/>
        <w:spacing w:line="560" w:lineRule="exact"/>
        <w:ind w:firstLineChars="200" w:firstLine="640"/>
        <w:rPr>
          <w:rFonts w:ascii="仿宋" w:eastAsia="仿宋" w:cs="仿宋" w:hAnsi="仿宋"/>
          <w:b/>
          <w:color w:val="000000"/>
          <w:sz w:val="32"/>
          <w:szCs w:val="32"/>
        </w:rPr>
      </w:pPr>
      <w:r>
        <w:rPr>
          <w:rFonts w:ascii="仿宋" w:eastAsia="仿宋" w:cs="仿宋" w:hAnsi="仿宋" w:hint="eastAsia"/>
          <w:b/>
          <w:color w:val="000000"/>
          <w:sz w:val="32"/>
          <w:szCs w:val="32"/>
        </w:rPr>
        <w:t>（一）存在问题</w:t>
      </w:r>
    </w:p>
    <w:p>
      <w:pPr>
        <w:pStyle w:val="18"/>
        <w:spacing w:line="560" w:lineRule="exact"/>
        <w:ind w:firstLineChars="200" w:firstLine="640"/>
        <w:rPr>
          <w:rFonts w:ascii="仿宋" w:eastAsia="仿宋" w:cs="仿宋" w:hAnsi="仿宋"/>
          <w:color w:val="333333"/>
          <w:sz w:val="32"/>
          <w:szCs w:val="32"/>
          <w:shd w:val="solid" w:color="FFFFFF" w:fill="FFFFFF"/>
        </w:rPr>
      </w:pPr>
      <w:r>
        <w:rPr>
          <w:rFonts w:ascii="仿宋" w:eastAsia="仿宋" w:cs="仿宋" w:hAnsi="仿宋" w:hint="eastAsia"/>
          <w:color w:val="333333"/>
          <w:sz w:val="32"/>
          <w:szCs w:val="32"/>
          <w:shd w:val="solid" w:color="FFFFFF" w:fill="FFFFFF"/>
        </w:rPr>
        <w:t>1.</w:t>
      </w:r>
      <w:r>
        <w:rPr>
          <w:rFonts w:ascii="仿宋" w:eastAsia="仿宋" w:cs="仿宋" w:hAnsi="仿宋" w:hint="eastAsia"/>
          <w:color w:val="333333"/>
          <w:sz w:val="32"/>
          <w:szCs w:val="32"/>
          <w:shd w:val="solid" w:color="FFFFFF" w:fill="FFFFFF"/>
          <w:lang w:eastAsia="zh-CN"/>
        </w:rPr>
        <w:t>因工作安排</w:t>
      </w:r>
      <w:r>
        <w:rPr>
          <w:rFonts w:ascii="仿宋" w:eastAsia="仿宋" w:cs="仿宋" w:hAnsi="仿宋"/>
          <w:color w:val="333333"/>
          <w:sz w:val="32"/>
          <w:szCs w:val="32"/>
          <w:shd w:val="solid" w:color="FFFFFF" w:fill="FFFFFF"/>
          <w:lang w:eastAsia="zh-CN"/>
        </w:rPr>
        <w:t>调整</w:t>
      </w:r>
      <w:r>
        <w:rPr>
          <w:rFonts w:ascii="仿宋" w:eastAsia="仿宋" w:cs="仿宋" w:hAnsi="仿宋" w:hint="eastAsia"/>
          <w:color w:val="333333"/>
          <w:sz w:val="32"/>
          <w:szCs w:val="32"/>
          <w:shd w:val="solid" w:color="FFFFFF" w:fill="FFFFFF"/>
          <w:lang w:eastAsia="zh-CN"/>
        </w:rPr>
        <w:t>，</w:t>
      </w:r>
      <w:r>
        <w:rPr>
          <w:rFonts w:ascii="仿宋" w:eastAsia="仿宋" w:cs="仿宋" w:hAnsi="仿宋"/>
          <w:color w:val="333333"/>
          <w:sz w:val="32"/>
          <w:szCs w:val="32"/>
          <w:shd w:val="solid" w:color="FFFFFF" w:fill="FFFFFF"/>
        </w:rPr>
        <w:t>对部分项目进行</w:t>
      </w:r>
      <w:r>
        <w:rPr>
          <w:rFonts w:ascii="仿宋" w:eastAsia="仿宋" w:cs="仿宋" w:hAnsi="仿宋" w:hint="eastAsia"/>
          <w:color w:val="333333"/>
          <w:sz w:val="32"/>
          <w:szCs w:val="32"/>
          <w:shd w:val="solid" w:color="FFFFFF" w:fill="FFFFFF"/>
        </w:rPr>
        <w:t>预算</w:t>
      </w:r>
      <w:r>
        <w:rPr>
          <w:rFonts w:ascii="仿宋" w:eastAsia="仿宋" w:cs="仿宋" w:hAnsi="仿宋"/>
          <w:color w:val="333333"/>
          <w:sz w:val="32"/>
          <w:szCs w:val="32"/>
          <w:shd w:val="solid" w:color="FFFFFF" w:fill="FFFFFF"/>
        </w:rPr>
        <w:t>调整，</w:t>
      </w:r>
      <w:r>
        <w:rPr>
          <w:rFonts w:ascii="仿宋" w:eastAsia="仿宋" w:cs="仿宋" w:hAnsi="仿宋" w:hint="eastAsia"/>
          <w:color w:val="333333"/>
          <w:sz w:val="32"/>
          <w:szCs w:val="32"/>
          <w:shd w:val="solid" w:color="FFFFFF" w:fill="FFFFFF"/>
        </w:rPr>
        <w:t>导致</w:t>
      </w:r>
      <w:r>
        <w:rPr>
          <w:rFonts w:ascii="仿宋" w:eastAsia="仿宋" w:cs="仿宋" w:hAnsi="仿宋"/>
          <w:color w:val="333333"/>
          <w:sz w:val="32"/>
          <w:szCs w:val="32"/>
          <w:shd w:val="solid" w:color="FFFFFF" w:fill="FFFFFF"/>
        </w:rPr>
        <w:t>预算调整</w:t>
      </w:r>
      <w:r>
        <w:rPr>
          <w:rFonts w:ascii="仿宋" w:eastAsia="仿宋" w:cs="仿宋" w:hAnsi="仿宋" w:hint="eastAsia"/>
          <w:color w:val="333333"/>
          <w:sz w:val="32"/>
          <w:szCs w:val="32"/>
          <w:shd w:val="solid" w:color="FFFFFF" w:fill="FFFFFF"/>
        </w:rPr>
        <w:t>率偏高。</w:t>
      </w:r>
    </w:p>
    <w:p>
      <w:pPr>
        <w:pStyle w:val="18"/>
        <w:ind w:firstLineChars="200" w:firstLine="640"/>
        <w:rPr>
          <w:rFonts w:ascii="仿宋" w:eastAsia="仿宋" w:cs="仿宋" w:hAnsi="仿宋"/>
          <w:color w:val="333333"/>
          <w:sz w:val="32"/>
          <w:szCs w:val="32"/>
        </w:rPr>
      </w:pPr>
      <w:r>
        <w:rPr>
          <w:rFonts w:ascii="仿宋" w:eastAsia="仿宋" w:cs="仿宋" w:hAnsi="仿宋" w:hint="eastAsia"/>
          <w:color w:val="333333"/>
          <w:sz w:val="32"/>
          <w:szCs w:val="32"/>
        </w:rPr>
        <w:t>2.部分项目绩效目标设置匹配性不合理，量化细化程度不明确。</w:t>
      </w:r>
    </w:p>
    <w:p>
      <w:pPr>
        <w:pStyle w:val="18"/>
        <w:spacing w:line="560" w:lineRule="exact"/>
        <w:ind w:firstLineChars="200" w:firstLine="640"/>
        <w:rPr>
          <w:rFonts w:ascii="仿宋" w:eastAsia="仿宋" w:cs="仿宋" w:hAnsi="仿宋"/>
          <w:b/>
          <w:color w:val="111111"/>
          <w:sz w:val="32"/>
          <w:szCs w:val="32"/>
        </w:rPr>
      </w:pPr>
      <w:r>
        <w:rPr>
          <w:rFonts w:ascii="仿宋" w:eastAsia="仿宋" w:cs="仿宋" w:hAnsi="仿宋" w:hint="eastAsia"/>
          <w:b/>
          <w:color w:val="111111"/>
          <w:sz w:val="32"/>
          <w:szCs w:val="32"/>
        </w:rPr>
        <w:t xml:space="preserve">（二）改进建议 </w:t>
      </w:r>
    </w:p>
    <w:p>
      <w:pPr>
        <w:pStyle w:val="18"/>
        <w:ind w:firstLineChars="200" w:firstLine="640"/>
        <w:rPr>
          <w:rFonts w:ascii="仿宋" w:eastAsia="仿宋" w:cs="仿宋" w:hAnsi="仿宋"/>
          <w:color w:val="333333"/>
          <w:sz w:val="32"/>
          <w:szCs w:val="32"/>
        </w:rPr>
      </w:pPr>
      <w:r>
        <w:rPr>
          <w:rFonts w:ascii="仿宋" w:eastAsia="仿宋" w:cs="仿宋" w:hAnsi="仿宋" w:hint="eastAsia"/>
          <w:color w:val="333333"/>
          <w:sz w:val="32"/>
          <w:szCs w:val="32"/>
        </w:rPr>
        <w:t>1.</w:t>
      </w:r>
      <w:r>
        <w:rPr>
          <w:rFonts w:ascii="仿宋" w:eastAsia="仿宋" w:cs="仿宋" w:hAnsi="仿宋" w:hint="eastAsia"/>
          <w:sz w:val="32"/>
          <w:szCs w:val="32"/>
        </w:rPr>
        <w:t>科学编制预算，提高专项资金使用效能，确保项目按时间节点、进度有序支出。</w:t>
      </w:r>
    </w:p>
    <w:p>
      <w:pPr>
        <w:pStyle w:val="18"/>
        <w:ind w:firstLineChars="200" w:firstLine="640"/>
        <w:rPr>
          <w:rFonts w:ascii="仿宋" w:eastAsia="仿宋" w:cs="仿宋" w:hAnsi="仿宋"/>
          <w:color w:val="333333"/>
          <w:sz w:val="32"/>
          <w:szCs w:val="32"/>
        </w:rPr>
      </w:pPr>
      <w:r>
        <w:rPr>
          <w:rFonts w:ascii="仿宋" w:eastAsia="仿宋" w:cs="仿宋" w:hAnsi="仿宋" w:hint="eastAsia"/>
          <w:color w:val="333333"/>
          <w:sz w:val="32"/>
          <w:szCs w:val="32"/>
        </w:rPr>
        <w:t>2.加强预算编制人员绩效预算业务的培训，提高绩效预算管理水平，</w:t>
      </w:r>
      <w:r>
        <w:rPr>
          <w:rFonts w:ascii="仿宋" w:eastAsia="仿宋" w:cs="仿宋" w:hAnsi="仿宋" w:hint="eastAsia"/>
          <w:sz w:val="32"/>
          <w:szCs w:val="32"/>
        </w:rPr>
        <w:t>完善本部门绩效指标体系，绩效目标指标设置要科学、合理、量化。</w:t>
      </w:r>
    </w:p>
    <w:p>
      <w:pPr>
        <w:spacing w:line="560" w:lineRule="exact"/>
        <w:ind w:firstLineChars="200" w:firstLine="640"/>
        <w:rPr>
          <w:rFonts w:ascii="仿宋" w:eastAsia="仿宋" w:cs="仿宋" w:hAnsi="仿宋"/>
          <w:sz w:val="32"/>
          <w:szCs w:val="32"/>
          <w:shd w:val="solid" w:color="FFFFFF" w:fill="FFFFFF"/>
        </w:rPr>
      </w:pPr>
      <w:r>
        <w:rPr>
          <w:rFonts w:ascii="仿宋" w:eastAsia="仿宋" w:cs="仿宋" w:hAnsi="仿宋" w:hint="eastAsia"/>
          <w:sz w:val="32"/>
          <w:szCs w:val="32"/>
        </w:rPr>
        <w:t>3.加大与上级部门沟通结合力度，按照区委区政府及本部门工作安排，</w:t>
      </w:r>
      <w:r>
        <w:rPr>
          <w:rFonts w:ascii="仿宋" w:eastAsia="仿宋" w:cs="仿宋" w:hAnsi="仿宋" w:hint="eastAsia"/>
          <w:sz w:val="32"/>
          <w:szCs w:val="32"/>
          <w:shd w:val="solid" w:color="FFFFFF" w:fill="FFFFFF"/>
        </w:rPr>
        <w:t>据实做好年度项目预算</w:t>
      </w:r>
      <w:r>
        <w:rPr>
          <w:rFonts w:ascii="仿宋" w:eastAsia="仿宋" w:cs="仿宋" w:hAnsi="仿宋" w:hint="eastAsia"/>
          <w:sz w:val="32"/>
          <w:szCs w:val="32"/>
          <w:shd w:val="solid" w:color="FFFFFF" w:fill="FFFFFF"/>
          <w:lang w:eastAsia="zh-CN"/>
        </w:rPr>
        <w:t>安排</w:t>
      </w:r>
      <w:r>
        <w:rPr>
          <w:rFonts w:ascii="仿宋" w:eastAsia="仿宋" w:cs="仿宋" w:hAnsi="仿宋" w:hint="eastAsia"/>
          <w:sz w:val="32"/>
          <w:szCs w:val="32"/>
          <w:shd w:val="solid" w:color="FFFFFF" w:fill="FFFFFF"/>
        </w:rPr>
        <w:t>。</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sz w:val="32"/>
          <w:szCs w:val="32"/>
        </w:rPr>
        <w:t>五、评价结果应用</w:t>
      </w:r>
    </w:p>
    <w:p>
      <w:pPr>
        <w:pStyle w:val="17"/>
        <w:widowControl/>
        <w:shd w:val="clear" w:color="auto" w:fill="FFFFFF"/>
        <w:spacing w:beforeAutospacing="0" w:after="150" w:afterAutospacing="0" w:line="570" w:lineRule="exact"/>
        <w:ind w:firstLineChars="200" w:firstLine="640"/>
        <w:rPr>
          <w:rFonts w:ascii="仿宋" w:eastAsia="仿宋" w:cs="仿宋" w:hAnsi="仿宋"/>
          <w:color w:val="000000"/>
          <w:sz w:val="32"/>
          <w:szCs w:val="32"/>
          <w:shd w:val="clear" w:color="auto" w:fill="FFFFFF"/>
        </w:rPr>
      </w:pPr>
      <w:r>
        <w:rPr>
          <w:rFonts w:ascii="仿宋" w:eastAsia="仿宋" w:cs="仿宋" w:hAnsi="仿宋" w:hint="eastAsia"/>
          <w:sz w:val="32"/>
          <w:szCs w:val="32"/>
        </w:rPr>
        <w:t>区融媒体中心2023年度预算资金利用率高，预算项目执行情况较好，通过对我区经济发展、民生改善、乡村振兴、产业转型、社会事业等诸多方面进行有力宣传，进一步做实、做强、做优了我区对内对外宣传工作。今后年度，区</w:t>
      </w:r>
      <w:r>
        <w:rPr>
          <w:rFonts w:ascii="仿宋" w:eastAsia="仿宋" w:cs="仿宋" w:hAnsi="仿宋" w:hint="eastAsia"/>
          <w:color w:val="000000"/>
          <w:sz w:val="32"/>
          <w:szCs w:val="32"/>
          <w:shd w:val="clear" w:color="auto" w:fill="FFFFFF"/>
        </w:rPr>
        <w:t>财政会一如既往地大力支持融媒体中心事业发展，足额安排相关经费支出预算，努力推动各项工作高质量发展。</w:t>
      </w:r>
    </w:p>
    <w:p>
      <w:pPr>
        <w:spacing w:line="560" w:lineRule="exact"/>
        <w:ind w:firstLineChars="200" w:firstLine="640"/>
        <w:jc w:val="left"/>
        <w:rPr>
          <w:rFonts w:ascii="仿宋" w:eastAsia="仿宋" w:cs="仿宋" w:hAnsi="仿宋"/>
          <w:b/>
          <w:sz w:val="32"/>
          <w:szCs w:val="32"/>
        </w:rPr>
      </w:pPr>
    </w:p>
    <w:p>
      <w:pPr>
        <w:spacing w:line="560" w:lineRule="exact"/>
        <w:ind w:firstLineChars="200" w:firstLine="640"/>
        <w:jc w:val="left"/>
        <w:rPr>
          <w:rFonts w:ascii="仿宋" w:eastAsia="仿宋" w:cs="仿宋" w:hAnsi="仿宋"/>
          <w:b/>
          <w:sz w:val="32"/>
          <w:szCs w:val="32"/>
        </w:rPr>
      </w:pPr>
    </w:p>
    <w:p>
      <w:pPr>
        <w:spacing w:line="560" w:lineRule="exact"/>
        <w:ind w:firstLineChars="200" w:firstLine="640"/>
        <w:jc w:val="right"/>
        <w:rPr>
          <w:rFonts w:ascii="仿宋" w:eastAsia="仿宋" w:cs="仿宋" w:hAnsi="仿宋"/>
          <w:sz w:val="32"/>
          <w:szCs w:val="32"/>
        </w:rPr>
      </w:pPr>
      <w:r>
        <w:rPr>
          <w:rFonts w:ascii="仿宋" w:eastAsia="仿宋" w:cs="仿宋" w:hAnsi="仿宋"/>
          <w:sz w:val="32"/>
          <w:szCs w:val="32"/>
        </w:rPr>
        <w:t>2024年6月20日</w:t>
      </w:r>
      <w:bookmarkStart w:id="0" w:name="_GoBack"/>
      <w:bookmarkEnd w:id="0"/>
    </w:p>
    <w:sectPr>
      <w:pgSz w:w="11906" w:h="16838"/>
      <w:pgMar w:top="1440" w:right="1474" w:bottom="1440" w:left="147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Arial">
    <w:panose1 w:val="020B0604020202020204"/>
    <w:charset w:val="01"/>
    <w:family w:val="swiss"/>
    <w:pitch w:val="variable"/>
    <w:sig w:usb0="E0002AFF" w:usb1="C0007843" w:usb2="00000009" w:usb3="00000000" w:csb0="400001FF" w:csb1="FFFF0000"/>
  </w:font>
  <w:font w:name="等线">
    <w:altName w:val="Arial Unicode MS"/>
    <w:panose1 w:val="02010600030101010101"/>
    <w:charset w:val="86"/>
    <w:family w:val="auto"/>
    <w:pitch w:val="variable"/>
    <w:sig w:usb0="00000000" w:usb1="00000000" w:usb2="00000016" w:usb3="00000000" w:csb0="0004000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540C470"/>
    <w:multiLevelType w:val="singleLevel"/>
    <w:tmpl w:val="4540C470"/>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WIxMTBiMDQ2MTM0NTVkYzA1ZWQ0ZjZlZjMxZGNhM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等线" w:eastAsia="等线" w:cs="Arial" w:hAnsi="Times New Roman"/>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spacing w:beforeAutospacing="1" w:afterAutospacing="1"/>
      <w:jc w:val="left"/>
    </w:pPr>
    <w:rPr>
      <w:kern w:val="0"/>
      <w:sz w:val="24"/>
    </w:rPr>
  </w:style>
  <w:style w:type="paragraph" w:customStyle="1" w:styleId="18">
    <w:name w:val="p0"/>
    <w:basedOn w:val="0"/>
    <w:pPr>
      <w:widowControl/>
    </w:pPr>
    <w:rPr>
      <w:rFonts w:ascii="Times New Roman" w:eastAsia="宋体" w:cs="Times New Roman" w:hAnsi="Times New Roman"/>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8A15C1D-907A-4C7D-9412-B0A75A14A8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291</TotalTime>
  <Application>Yozo_Office27021597764231179</Application>
  <Pages>8</Pages>
  <Words>0</Words>
  <Characters>3535</Characters>
  <Lines>0</Lines>
  <Paragraphs>55</Paragraphs>
  <CharactersWithSpaces>4714</CharactersWithSpaces>
  <Company>HP Inc.</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2</cp:revision>
  <cp:lastPrinted>2024-09-11T03:01:38Z</cp:lastPrinted>
  <dcterms:created xsi:type="dcterms:W3CDTF">2024-09-10T08:09:00Z</dcterms:created>
  <dcterms:modified xsi:type="dcterms:W3CDTF">2024-10-12T06:02:50Z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DAC7035CB1664C9D9FB7E5F413595AF1_13</vt:lpwstr>
  </property>
</Properties>
</file>