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0" w:lineRule="exact"/>
        <w:jc w:val="left"/>
        <w:textAlignment w:val="auto"/>
        <w:rPr>
          <w:rFonts w:hint="default" w:ascii="宋体" w:hAnsi="宋体" w:cs="Times New Roman" w:eastAsiaTheme="minorEastAsia"/>
          <w:sz w:val="30"/>
          <w:szCs w:val="30"/>
          <w:lang w:val="en-US" w:eastAsia="zh-CN"/>
        </w:rPr>
      </w:pPr>
      <w:r>
        <w:rPr>
          <w:rFonts w:hint="eastAsia" w:ascii="宋体" w:hAnsi="宋体" w:cs="Times New Roman"/>
          <w:sz w:val="30"/>
          <w:szCs w:val="30"/>
          <w:lang w:eastAsia="zh-CN"/>
        </w:rPr>
        <w:t>附件</w:t>
      </w:r>
      <w:r>
        <w:rPr>
          <w:rFonts w:hint="eastAsia" w:ascii="宋体" w:hAnsi="宋体" w:cs="Times New Roman"/>
          <w:sz w:val="30"/>
          <w:szCs w:val="30"/>
          <w:lang w:val="en-US" w:eastAsia="zh-CN"/>
        </w:rPr>
        <w:t>1</w:t>
      </w:r>
    </w:p>
    <w:p>
      <w:pPr>
        <w:keepNext w:val="0"/>
        <w:keepLines w:val="0"/>
        <w:pageBreakBefore w:val="0"/>
        <w:widowControl w:val="0"/>
        <w:kinsoku/>
        <w:wordWrap/>
        <w:overflowPunct/>
        <w:topLinePunct w:val="0"/>
        <w:autoSpaceDE/>
        <w:autoSpaceDN/>
        <w:bidi w:val="0"/>
        <w:spacing w:line="570" w:lineRule="exact"/>
        <w:jc w:val="center"/>
        <w:textAlignment w:val="auto"/>
        <w:rPr>
          <w:rFonts w:ascii="宋体" w:hAnsi="宋体" w:cs="Times New Roman"/>
          <w:sz w:val="44"/>
          <w:szCs w:val="44"/>
        </w:rPr>
      </w:pPr>
      <w:r>
        <w:rPr>
          <w:rFonts w:ascii="宋体" w:hAnsi="宋体" w:cs="Times New Roman"/>
          <w:sz w:val="44"/>
          <w:szCs w:val="44"/>
        </w:rPr>
        <w:t>预算部门</w:t>
      </w:r>
      <w:r>
        <w:rPr>
          <w:rFonts w:hint="eastAsia" w:ascii="宋体" w:hAnsi="宋体" w:cs="Times New Roman"/>
          <w:sz w:val="44"/>
          <w:szCs w:val="44"/>
        </w:rPr>
        <w:t>整体</w:t>
      </w:r>
      <w:r>
        <w:rPr>
          <w:rFonts w:ascii="宋体" w:hAnsi="宋体" w:cs="Times New Roman"/>
          <w:sz w:val="44"/>
          <w:szCs w:val="44"/>
        </w:rPr>
        <w:t>绩效自评报告</w:t>
      </w:r>
    </w:p>
    <w:p>
      <w:pPr>
        <w:keepNext w:val="0"/>
        <w:keepLines w:val="0"/>
        <w:pageBreakBefore w:val="0"/>
        <w:widowControl w:val="0"/>
        <w:kinsoku/>
        <w:wordWrap/>
        <w:overflowPunct/>
        <w:topLinePunct w:val="0"/>
        <w:autoSpaceDE/>
        <w:autoSpaceDN/>
        <w:bidi w:val="0"/>
        <w:spacing w:line="570" w:lineRule="exact"/>
        <w:jc w:val="center"/>
        <w:textAlignment w:val="auto"/>
        <w:rPr>
          <w:rFonts w:ascii="宋体" w:hAnsi="宋体" w:eastAsia="仿宋" w:cs="Times New Roman"/>
          <w:sz w:val="30"/>
          <w:szCs w:val="30"/>
        </w:rPr>
      </w:pPr>
      <w:r>
        <w:rPr>
          <w:rFonts w:ascii="宋体" w:hAnsi="宋体" w:eastAsia="仿宋" w:cs="Times New Roman"/>
          <w:sz w:val="30"/>
          <w:szCs w:val="30"/>
        </w:rPr>
        <w:t>（</w:t>
      </w:r>
      <w:r>
        <w:rPr>
          <w:rFonts w:hint="eastAsia" w:ascii="宋体" w:hAnsi="宋体" w:eastAsia="仿宋" w:cs="Times New Roman"/>
          <w:sz w:val="30"/>
          <w:szCs w:val="30"/>
          <w:lang w:val="en-US" w:eastAsia="zh-CN"/>
        </w:rPr>
        <w:t>2021</w:t>
      </w:r>
      <w:r>
        <w:rPr>
          <w:rFonts w:ascii="宋体" w:hAnsi="宋体" w:eastAsia="仿宋" w:cs="Times New Roman"/>
          <w:sz w:val="30"/>
          <w:szCs w:val="30"/>
        </w:rPr>
        <w:t>年度）</w:t>
      </w:r>
    </w:p>
    <w:p>
      <w:pPr>
        <w:keepNext w:val="0"/>
        <w:keepLines w:val="0"/>
        <w:pageBreakBefore w:val="0"/>
        <w:widowControl w:val="0"/>
        <w:kinsoku/>
        <w:wordWrap/>
        <w:overflowPunct/>
        <w:topLinePunct w:val="0"/>
        <w:autoSpaceDE/>
        <w:autoSpaceDN/>
        <w:bidi w:val="0"/>
        <w:spacing w:line="570" w:lineRule="exact"/>
        <w:textAlignment w:val="auto"/>
        <w:rPr>
          <w:rFonts w:ascii="宋体" w:hAnsi="宋体" w:eastAsia="仿宋" w:cs="Times New Roman"/>
        </w:rPr>
      </w:pPr>
    </w:p>
    <w:p>
      <w:pPr>
        <w:keepNext w:val="0"/>
        <w:keepLines w:val="0"/>
        <w:pageBreakBefore w:val="0"/>
        <w:widowControl w:val="0"/>
        <w:kinsoku/>
        <w:wordWrap/>
        <w:overflowPunct/>
        <w:topLinePunct w:val="0"/>
        <w:autoSpaceDE/>
        <w:autoSpaceDN/>
        <w:bidi w:val="0"/>
        <w:spacing w:line="570" w:lineRule="exact"/>
        <w:textAlignment w:val="auto"/>
        <w:rPr>
          <w:rFonts w:ascii="宋体" w:hAnsi="宋体" w:eastAsia="仿宋" w:cs="Times New Roman"/>
        </w:rPr>
      </w:pPr>
    </w:p>
    <w:p>
      <w:pPr>
        <w:keepNext w:val="0"/>
        <w:keepLines w:val="0"/>
        <w:pageBreakBefore w:val="0"/>
        <w:widowControl w:val="0"/>
        <w:kinsoku/>
        <w:wordWrap/>
        <w:overflowPunct/>
        <w:topLinePunct w:val="0"/>
        <w:autoSpaceDE/>
        <w:autoSpaceDN/>
        <w:bidi w:val="0"/>
        <w:spacing w:line="570" w:lineRule="exact"/>
        <w:ind w:firstLine="320" w:firstLineChars="100"/>
        <w:textAlignment w:val="auto"/>
        <w:rPr>
          <w:rFonts w:ascii="宋体" w:hAnsi="宋体" w:eastAsia="仿宋" w:cs="Times New Roman"/>
          <w:sz w:val="32"/>
          <w:szCs w:val="32"/>
        </w:rPr>
      </w:pPr>
      <w:r>
        <w:rPr>
          <w:rFonts w:ascii="宋体" w:hAnsi="宋体" w:eastAsia="仿宋" w:cs="Times New Roman"/>
          <w:sz w:val="32"/>
          <w:szCs w:val="32"/>
        </w:rPr>
        <w:t>评价方式：</w:t>
      </w:r>
      <w:r>
        <w:rPr>
          <w:rFonts w:ascii="宋体" w:hAnsi="宋体" w:eastAsia="仿宋" w:cs="Times New Roman"/>
          <w:sz w:val="44"/>
          <w:szCs w:val="44"/>
        </w:rPr>
        <w:sym w:font="Wingdings 2" w:char="0052"/>
      </w:r>
      <w:r>
        <w:rPr>
          <w:rFonts w:ascii="宋体" w:hAnsi="宋体" w:eastAsia="仿宋" w:cs="Times New Roman"/>
          <w:sz w:val="32"/>
          <w:szCs w:val="32"/>
        </w:rPr>
        <w:t xml:space="preserve">直接组织评价        </w:t>
      </w:r>
      <w:r>
        <w:rPr>
          <w:rFonts w:ascii="宋体" w:hAnsi="宋体" w:eastAsia="仿宋" w:cs="Times New Roman"/>
          <w:sz w:val="44"/>
          <w:szCs w:val="44"/>
        </w:rPr>
        <w:t>□</w:t>
      </w:r>
      <w:r>
        <w:rPr>
          <w:rFonts w:ascii="宋体" w:hAnsi="宋体" w:eastAsia="仿宋" w:cs="Times New Roman"/>
          <w:sz w:val="32"/>
          <w:szCs w:val="32"/>
        </w:rPr>
        <w:t>委托评价</w:t>
      </w:r>
    </w:p>
    <w:p>
      <w:pPr>
        <w:keepNext w:val="0"/>
        <w:keepLines w:val="0"/>
        <w:pageBreakBefore w:val="0"/>
        <w:widowControl w:val="0"/>
        <w:kinsoku/>
        <w:wordWrap/>
        <w:overflowPunct/>
        <w:topLinePunct w:val="0"/>
        <w:autoSpaceDE/>
        <w:autoSpaceDN/>
        <w:bidi w:val="0"/>
        <w:spacing w:line="570" w:lineRule="exact"/>
        <w:textAlignment w:val="auto"/>
        <w:rPr>
          <w:rFonts w:ascii="宋体" w:hAnsi="宋体" w:eastAsia="仿宋" w:cs="Times New Roman"/>
        </w:rPr>
      </w:pPr>
    </w:p>
    <w:p>
      <w:pPr>
        <w:keepNext w:val="0"/>
        <w:keepLines w:val="0"/>
        <w:pageBreakBefore w:val="0"/>
        <w:widowControl w:val="0"/>
        <w:kinsoku/>
        <w:wordWrap/>
        <w:overflowPunct/>
        <w:topLinePunct w:val="0"/>
        <w:autoSpaceDE/>
        <w:autoSpaceDN/>
        <w:bidi w:val="0"/>
        <w:spacing w:line="570" w:lineRule="exact"/>
        <w:textAlignment w:val="auto"/>
        <w:rPr>
          <w:rFonts w:ascii="宋体" w:hAnsi="宋体" w:eastAsia="仿宋" w:cs="Times New Roman"/>
        </w:rPr>
      </w:pPr>
    </w:p>
    <w:p>
      <w:pPr>
        <w:keepNext w:val="0"/>
        <w:keepLines w:val="0"/>
        <w:pageBreakBefore w:val="0"/>
        <w:widowControl w:val="0"/>
        <w:kinsoku/>
        <w:wordWrap/>
        <w:overflowPunct/>
        <w:topLinePunct w:val="0"/>
        <w:autoSpaceDE/>
        <w:autoSpaceDN/>
        <w:bidi w:val="0"/>
        <w:spacing w:line="570" w:lineRule="exact"/>
        <w:textAlignment w:val="auto"/>
        <w:rPr>
          <w:rFonts w:ascii="宋体" w:hAnsi="宋体" w:eastAsia="仿宋" w:cs="Times New Roman"/>
        </w:rPr>
      </w:pPr>
    </w:p>
    <w:p>
      <w:pPr>
        <w:keepNext w:val="0"/>
        <w:keepLines w:val="0"/>
        <w:pageBreakBefore w:val="0"/>
        <w:widowControl w:val="0"/>
        <w:kinsoku/>
        <w:wordWrap/>
        <w:overflowPunct/>
        <w:topLinePunct w:val="0"/>
        <w:autoSpaceDE/>
        <w:autoSpaceDN/>
        <w:bidi w:val="0"/>
        <w:spacing w:line="570" w:lineRule="exact"/>
        <w:ind w:firstLine="1920" w:firstLineChars="600"/>
        <w:textAlignment w:val="auto"/>
        <w:rPr>
          <w:rFonts w:ascii="宋体" w:hAnsi="宋体" w:eastAsia="仿宋" w:cs="Times New Roman"/>
          <w:sz w:val="32"/>
          <w:szCs w:val="32"/>
        </w:rPr>
      </w:pPr>
    </w:p>
    <w:p>
      <w:pPr>
        <w:keepNext w:val="0"/>
        <w:keepLines w:val="0"/>
        <w:pageBreakBefore w:val="0"/>
        <w:widowControl w:val="0"/>
        <w:kinsoku/>
        <w:wordWrap/>
        <w:overflowPunct/>
        <w:topLinePunct w:val="0"/>
        <w:autoSpaceDE/>
        <w:autoSpaceDN/>
        <w:bidi w:val="0"/>
        <w:spacing w:line="570" w:lineRule="exact"/>
        <w:ind w:firstLine="1920" w:firstLineChars="600"/>
        <w:textAlignment w:val="auto"/>
        <w:rPr>
          <w:rFonts w:ascii="宋体" w:hAnsi="宋体" w:eastAsia="仿宋" w:cs="Times New Roman"/>
          <w:sz w:val="32"/>
          <w:szCs w:val="32"/>
        </w:rPr>
      </w:pPr>
    </w:p>
    <w:p>
      <w:pPr>
        <w:keepNext w:val="0"/>
        <w:keepLines w:val="0"/>
        <w:pageBreakBefore w:val="0"/>
        <w:widowControl w:val="0"/>
        <w:kinsoku/>
        <w:wordWrap/>
        <w:overflowPunct/>
        <w:topLinePunct w:val="0"/>
        <w:autoSpaceDE/>
        <w:autoSpaceDN/>
        <w:bidi w:val="0"/>
        <w:spacing w:line="570" w:lineRule="exact"/>
        <w:ind w:firstLine="1920" w:firstLineChars="600"/>
        <w:textAlignment w:val="auto"/>
        <w:rPr>
          <w:rFonts w:ascii="宋体" w:hAnsi="宋体" w:eastAsia="仿宋" w:cs="Times New Roman"/>
          <w:sz w:val="32"/>
          <w:szCs w:val="32"/>
        </w:rPr>
      </w:pPr>
    </w:p>
    <w:p>
      <w:pPr>
        <w:keepNext w:val="0"/>
        <w:keepLines w:val="0"/>
        <w:pageBreakBefore w:val="0"/>
        <w:widowControl w:val="0"/>
        <w:kinsoku/>
        <w:wordWrap/>
        <w:overflowPunct/>
        <w:topLinePunct w:val="0"/>
        <w:autoSpaceDE/>
        <w:autoSpaceDN/>
        <w:bidi w:val="0"/>
        <w:spacing w:line="570" w:lineRule="exact"/>
        <w:ind w:left="638" w:leftChars="304" w:firstLine="0" w:firstLineChars="0"/>
        <w:jc w:val="left"/>
        <w:textAlignment w:val="auto"/>
        <w:rPr>
          <w:rFonts w:hint="default" w:ascii="宋体" w:hAnsi="宋体" w:eastAsia="仿宋" w:cs="Times New Roman"/>
          <w:sz w:val="28"/>
          <w:szCs w:val="28"/>
          <w:u w:val="single"/>
          <w:lang w:val="en-US" w:eastAsia="zh-CN"/>
        </w:rPr>
      </w:pPr>
      <w:r>
        <w:rPr>
          <w:rFonts w:ascii="宋体" w:hAnsi="宋体" w:eastAsia="仿宋" w:cs="Times New Roman"/>
          <w:sz w:val="32"/>
          <w:szCs w:val="32"/>
        </w:rPr>
        <w:t>部门名称：</w:t>
      </w:r>
      <w:r>
        <w:rPr>
          <w:rFonts w:hint="eastAsia" w:ascii="宋体" w:hAnsi="宋体" w:eastAsia="仿宋" w:cs="Times New Roman"/>
          <w:sz w:val="28"/>
          <w:szCs w:val="28"/>
          <w:u w:val="single"/>
          <w:lang w:val="en-US" w:eastAsia="zh-CN"/>
        </w:rPr>
        <w:t>中国共产党唐山市丰南区委员会办公室</w:t>
      </w:r>
      <w:r>
        <w:rPr>
          <w:rFonts w:hint="eastAsia" w:ascii="宋体" w:hAnsi="宋体" w:eastAsia="仿宋" w:cs="Times New Roman"/>
          <w:sz w:val="28"/>
          <w:szCs w:val="28"/>
          <w:u w:val="single"/>
          <w:lang w:eastAsia="zh-CN"/>
        </w:rPr>
        <w:t>（</w:t>
      </w:r>
      <w:r>
        <w:rPr>
          <w:rFonts w:hint="eastAsia" w:ascii="宋体" w:hAnsi="宋体" w:eastAsia="仿宋" w:cs="Times New Roman"/>
          <w:sz w:val="28"/>
          <w:szCs w:val="28"/>
          <w:u w:val="single"/>
        </w:rPr>
        <w:t>加盖公章）</w:t>
      </w:r>
      <w:r>
        <w:rPr>
          <w:rFonts w:hint="eastAsia" w:ascii="宋体" w:hAnsi="宋体" w:eastAsia="仿宋"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宋体" w:hAnsi="宋体" w:eastAsia="仿宋" w:cs="Times New Roman"/>
          <w:sz w:val="32"/>
          <w:szCs w:val="32"/>
        </w:rPr>
      </w:pPr>
      <w:r>
        <w:rPr>
          <w:rFonts w:ascii="宋体" w:hAnsi="宋体" w:eastAsia="仿宋" w:cs="Times New Roman"/>
          <w:sz w:val="32"/>
          <w:szCs w:val="32"/>
        </w:rPr>
        <w:t>联系电话：</w:t>
      </w:r>
      <w:r>
        <w:rPr>
          <w:rFonts w:ascii="宋体" w:hAnsi="宋体" w:eastAsia="仿宋" w:cs="Times New Roman"/>
          <w:sz w:val="32"/>
          <w:szCs w:val="32"/>
          <w:u w:val="single"/>
        </w:rPr>
        <w:t xml:space="preserve">    </w:t>
      </w:r>
      <w:r>
        <w:rPr>
          <w:rFonts w:hint="eastAsia" w:ascii="宋体" w:hAnsi="宋体" w:eastAsia="仿宋" w:cs="Times New Roman"/>
          <w:sz w:val="32"/>
          <w:szCs w:val="32"/>
          <w:u w:val="single"/>
        </w:rPr>
        <w:t xml:space="preserve">     </w:t>
      </w:r>
      <w:r>
        <w:rPr>
          <w:rFonts w:hint="eastAsia" w:ascii="宋体" w:hAnsi="宋体" w:eastAsia="仿宋" w:cs="Times New Roman"/>
          <w:sz w:val="32"/>
          <w:szCs w:val="32"/>
          <w:u w:val="single"/>
          <w:lang w:val="en-US" w:eastAsia="zh-CN"/>
        </w:rPr>
        <w:t>0315-</w:t>
      </w:r>
      <w:r>
        <w:rPr>
          <w:rFonts w:hint="eastAsia" w:ascii="宋体" w:hAnsi="宋体" w:eastAsia="仿宋" w:cs="Times New Roman"/>
          <w:sz w:val="32"/>
          <w:szCs w:val="32"/>
          <w:u w:val="single"/>
        </w:rPr>
        <w:t xml:space="preserve"> </w:t>
      </w:r>
      <w:r>
        <w:rPr>
          <w:rFonts w:hint="eastAsia" w:ascii="宋体" w:hAnsi="宋体" w:eastAsia="仿宋" w:cs="Times New Roman"/>
          <w:sz w:val="32"/>
          <w:szCs w:val="32"/>
          <w:u w:val="single"/>
          <w:lang w:val="en-US" w:eastAsia="zh-CN"/>
        </w:rPr>
        <w:t>8189966</w:t>
      </w:r>
      <w:r>
        <w:rPr>
          <w:rFonts w:hint="eastAsia" w:ascii="宋体" w:hAnsi="宋体" w:eastAsia="仿宋" w:cs="Times New Roman"/>
          <w:sz w:val="32"/>
          <w:szCs w:val="32"/>
          <w:u w:val="single"/>
        </w:rPr>
        <w:t xml:space="preserve">       </w:t>
      </w:r>
      <w:r>
        <w:rPr>
          <w:rFonts w:ascii="宋体" w:hAnsi="宋体" w:eastAsia="仿宋" w:cs="Times New Roman"/>
          <w:sz w:val="32"/>
          <w:szCs w:val="32"/>
          <w:u w:val="single"/>
        </w:rPr>
        <w:t xml:space="preserve"> </w:t>
      </w:r>
      <w:r>
        <w:rPr>
          <w:rFonts w:hint="eastAsia" w:ascii="宋体" w:hAnsi="宋体" w:eastAsia="仿宋" w:cs="Times New Roman"/>
          <w:sz w:val="32"/>
          <w:szCs w:val="32"/>
          <w:u w:val="single"/>
        </w:rPr>
        <w:t xml:space="preserve">         </w:t>
      </w:r>
      <w:r>
        <w:rPr>
          <w:rFonts w:ascii="宋体" w:hAnsi="宋体" w:eastAsia="仿宋" w:cs="Times New Roman"/>
          <w:sz w:val="32"/>
          <w:szCs w:val="32"/>
          <w:u w:val="single"/>
        </w:rPr>
        <w:t xml:space="preserve">      </w:t>
      </w:r>
    </w:p>
    <w:p>
      <w:pPr>
        <w:keepNext w:val="0"/>
        <w:keepLines w:val="0"/>
        <w:pageBreakBefore w:val="0"/>
        <w:widowControl w:val="0"/>
        <w:kinsoku/>
        <w:wordWrap/>
        <w:overflowPunct/>
        <w:topLinePunct w:val="0"/>
        <w:autoSpaceDE/>
        <w:autoSpaceDN/>
        <w:bidi w:val="0"/>
        <w:spacing w:line="570" w:lineRule="exact"/>
        <w:ind w:firstLine="1440" w:firstLineChars="450"/>
        <w:textAlignment w:val="auto"/>
        <w:rPr>
          <w:rFonts w:ascii="宋体" w:hAnsi="宋体" w:eastAsia="仿宋" w:cs="Times New Roman"/>
          <w:sz w:val="32"/>
          <w:szCs w:val="32"/>
        </w:rPr>
      </w:pPr>
    </w:p>
    <w:p>
      <w:pPr>
        <w:keepNext w:val="0"/>
        <w:keepLines w:val="0"/>
        <w:pageBreakBefore w:val="0"/>
        <w:widowControl w:val="0"/>
        <w:kinsoku/>
        <w:wordWrap/>
        <w:overflowPunct/>
        <w:topLinePunct w:val="0"/>
        <w:autoSpaceDE/>
        <w:autoSpaceDN/>
        <w:bidi w:val="0"/>
        <w:spacing w:line="570" w:lineRule="exact"/>
        <w:ind w:firstLine="1440" w:firstLineChars="450"/>
        <w:textAlignment w:val="auto"/>
        <w:rPr>
          <w:rFonts w:ascii="宋体" w:hAnsi="宋体" w:eastAsia="仿宋" w:cs="Times New Roman"/>
          <w:sz w:val="32"/>
          <w:szCs w:val="32"/>
        </w:rPr>
      </w:pPr>
    </w:p>
    <w:p>
      <w:pPr>
        <w:keepNext w:val="0"/>
        <w:keepLines w:val="0"/>
        <w:pageBreakBefore w:val="0"/>
        <w:widowControl w:val="0"/>
        <w:kinsoku/>
        <w:wordWrap/>
        <w:overflowPunct/>
        <w:topLinePunct w:val="0"/>
        <w:autoSpaceDE/>
        <w:autoSpaceDN/>
        <w:bidi w:val="0"/>
        <w:spacing w:line="570" w:lineRule="exact"/>
        <w:ind w:firstLine="1440" w:firstLineChars="450"/>
        <w:textAlignment w:val="auto"/>
        <w:rPr>
          <w:rFonts w:ascii="宋体" w:hAnsi="宋体" w:eastAsia="仿宋" w:cs="Times New Roman"/>
          <w:sz w:val="32"/>
          <w:szCs w:val="32"/>
        </w:rPr>
      </w:pPr>
    </w:p>
    <w:p>
      <w:pPr>
        <w:keepNext w:val="0"/>
        <w:keepLines w:val="0"/>
        <w:pageBreakBefore w:val="0"/>
        <w:widowControl w:val="0"/>
        <w:kinsoku/>
        <w:wordWrap/>
        <w:overflowPunct/>
        <w:topLinePunct w:val="0"/>
        <w:autoSpaceDE/>
        <w:autoSpaceDN/>
        <w:bidi w:val="0"/>
        <w:spacing w:line="570" w:lineRule="exact"/>
        <w:ind w:firstLine="1440" w:firstLineChars="450"/>
        <w:textAlignment w:val="auto"/>
        <w:rPr>
          <w:rFonts w:ascii="宋体" w:hAnsi="宋体" w:eastAsia="仿宋" w:cs="Times New Roman"/>
          <w:sz w:val="32"/>
          <w:szCs w:val="32"/>
        </w:rPr>
      </w:pPr>
    </w:p>
    <w:p>
      <w:pPr>
        <w:keepNext w:val="0"/>
        <w:keepLines w:val="0"/>
        <w:pageBreakBefore w:val="0"/>
        <w:widowControl w:val="0"/>
        <w:kinsoku/>
        <w:wordWrap/>
        <w:overflowPunct/>
        <w:topLinePunct w:val="0"/>
        <w:autoSpaceDE/>
        <w:autoSpaceDN/>
        <w:bidi w:val="0"/>
        <w:spacing w:line="570" w:lineRule="exact"/>
        <w:ind w:firstLine="1440" w:firstLineChars="450"/>
        <w:textAlignment w:val="auto"/>
        <w:rPr>
          <w:rFonts w:ascii="宋体" w:hAnsi="宋体" w:eastAsia="仿宋" w:cs="Times New Roman"/>
          <w:sz w:val="32"/>
          <w:szCs w:val="32"/>
        </w:rPr>
      </w:pPr>
    </w:p>
    <w:p>
      <w:pPr>
        <w:keepNext w:val="0"/>
        <w:keepLines w:val="0"/>
        <w:pageBreakBefore w:val="0"/>
        <w:widowControl w:val="0"/>
        <w:kinsoku/>
        <w:wordWrap/>
        <w:overflowPunct/>
        <w:topLinePunct w:val="0"/>
        <w:autoSpaceDE/>
        <w:autoSpaceDN/>
        <w:bidi w:val="0"/>
        <w:spacing w:line="570" w:lineRule="exact"/>
        <w:ind w:firstLine="1440" w:firstLineChars="450"/>
        <w:textAlignment w:val="auto"/>
        <w:rPr>
          <w:rFonts w:ascii="宋体" w:hAnsi="宋体" w:eastAsia="仿宋" w:cs="Times New Roman"/>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ascii="宋体" w:hAnsi="宋体" w:eastAsia="仿宋" w:cs="Times New Roman"/>
          <w:sz w:val="32"/>
          <w:szCs w:val="32"/>
        </w:rPr>
      </w:pPr>
      <w:r>
        <w:rPr>
          <w:rFonts w:ascii="宋体" w:hAnsi="宋体" w:eastAsia="仿宋" w:cs="Times New Roman"/>
          <w:sz w:val="32"/>
          <w:szCs w:val="32"/>
        </w:rPr>
        <w:t>填报日期</w:t>
      </w:r>
      <w:r>
        <w:rPr>
          <w:rFonts w:hint="eastAsia" w:ascii="宋体" w:hAnsi="宋体" w:eastAsia="仿宋" w:cs="Times New Roman"/>
          <w:sz w:val="32"/>
          <w:szCs w:val="32"/>
        </w:rPr>
        <w:t>：</w:t>
      </w:r>
      <w:r>
        <w:rPr>
          <w:rFonts w:hint="eastAsia" w:ascii="宋体" w:hAnsi="宋体" w:eastAsia="仿宋" w:cs="Times New Roman"/>
          <w:sz w:val="32"/>
          <w:szCs w:val="32"/>
          <w:lang w:val="en-US" w:eastAsia="zh-CN"/>
        </w:rPr>
        <w:t>2022</w:t>
      </w:r>
      <w:r>
        <w:rPr>
          <w:rFonts w:ascii="宋体" w:hAnsi="宋体" w:eastAsia="仿宋" w:cs="Times New Roman"/>
          <w:sz w:val="32"/>
          <w:szCs w:val="32"/>
        </w:rPr>
        <w:t>年</w:t>
      </w:r>
      <w:r>
        <w:rPr>
          <w:rFonts w:hint="eastAsia" w:ascii="宋体" w:hAnsi="宋体" w:eastAsia="仿宋" w:cs="Times New Roman"/>
          <w:sz w:val="32"/>
          <w:szCs w:val="32"/>
          <w:lang w:val="en-US" w:eastAsia="zh-CN"/>
        </w:rPr>
        <w:t>4</w:t>
      </w:r>
      <w:r>
        <w:rPr>
          <w:rFonts w:ascii="宋体" w:hAnsi="宋体" w:eastAsia="仿宋" w:cs="Times New Roman"/>
          <w:sz w:val="32"/>
          <w:szCs w:val="32"/>
        </w:rPr>
        <w:t>月</w:t>
      </w:r>
      <w:r>
        <w:rPr>
          <w:rFonts w:hint="eastAsia" w:ascii="宋体" w:hAnsi="宋体" w:eastAsia="仿宋" w:cs="Times New Roman"/>
          <w:sz w:val="32"/>
          <w:szCs w:val="32"/>
          <w:lang w:val="en-US" w:eastAsia="zh-CN"/>
        </w:rPr>
        <w:t>19</w:t>
      </w:r>
      <w:r>
        <w:rPr>
          <w:rFonts w:ascii="宋体" w:hAnsi="宋体" w:eastAsia="仿宋" w:cs="Times New Roman"/>
          <w:sz w:val="32"/>
          <w:szCs w:val="32"/>
        </w:rPr>
        <w:t>日</w:t>
      </w:r>
    </w:p>
    <w:p>
      <w:pPr>
        <w:keepNext w:val="0"/>
        <w:keepLines w:val="0"/>
        <w:pageBreakBefore w:val="0"/>
        <w:widowControl w:val="0"/>
        <w:kinsoku/>
        <w:wordWrap/>
        <w:overflowPunct/>
        <w:topLinePunct w:val="0"/>
        <w:autoSpaceDE/>
        <w:autoSpaceDN/>
        <w:bidi w:val="0"/>
        <w:spacing w:line="570" w:lineRule="exact"/>
        <w:jc w:val="center"/>
        <w:textAlignment w:val="auto"/>
        <w:rPr>
          <w:rFonts w:ascii="宋体" w:hAnsi="宋体" w:cs="Times New Roman"/>
          <w:b/>
          <w:sz w:val="44"/>
          <w:szCs w:val="44"/>
        </w:rPr>
      </w:pPr>
    </w:p>
    <w:p>
      <w:pPr>
        <w:keepNext w:val="0"/>
        <w:keepLines w:val="0"/>
        <w:pageBreakBefore w:val="0"/>
        <w:widowControl w:val="0"/>
        <w:kinsoku/>
        <w:wordWrap/>
        <w:overflowPunct/>
        <w:topLinePunct w:val="0"/>
        <w:autoSpaceDE/>
        <w:autoSpaceDN/>
        <w:bidi w:val="0"/>
        <w:spacing w:line="570" w:lineRule="exact"/>
        <w:jc w:val="center"/>
        <w:textAlignment w:val="auto"/>
        <w:rPr>
          <w:rFonts w:ascii="宋体" w:hAnsi="宋体" w:cs="Times New Roman"/>
          <w:b/>
          <w:sz w:val="44"/>
          <w:szCs w:val="44"/>
        </w:rPr>
      </w:pPr>
    </w:p>
    <w:p>
      <w:pPr>
        <w:keepNext w:val="0"/>
        <w:keepLines w:val="0"/>
        <w:pageBreakBefore w:val="0"/>
        <w:widowControl w:val="0"/>
        <w:kinsoku/>
        <w:wordWrap/>
        <w:overflowPunct/>
        <w:topLinePunct w:val="0"/>
        <w:autoSpaceDE/>
        <w:autoSpaceDN/>
        <w:bidi w:val="0"/>
        <w:spacing w:line="570" w:lineRule="exact"/>
        <w:jc w:val="center"/>
        <w:textAlignment w:val="auto"/>
        <w:rPr>
          <w:rFonts w:ascii="宋体" w:hAnsi="宋体" w:cs="Times New Roman"/>
          <w:b/>
          <w:sz w:val="44"/>
          <w:szCs w:val="44"/>
        </w:rPr>
      </w:pPr>
      <w:r>
        <w:rPr>
          <w:rFonts w:ascii="宋体" w:hAnsi="宋体" w:cs="Times New Roman"/>
          <w:b/>
          <w:sz w:val="44"/>
          <w:szCs w:val="44"/>
        </w:rPr>
        <w:t>部门</w:t>
      </w:r>
      <w:r>
        <w:rPr>
          <w:rFonts w:hint="eastAsia" w:ascii="宋体" w:hAnsi="宋体" w:cs="Times New Roman"/>
          <w:b/>
          <w:sz w:val="44"/>
          <w:szCs w:val="44"/>
        </w:rPr>
        <w:t>整体</w:t>
      </w:r>
      <w:r>
        <w:rPr>
          <w:rFonts w:ascii="宋体" w:hAnsi="宋体" w:cs="Times New Roman"/>
          <w:b/>
          <w:sz w:val="44"/>
          <w:szCs w:val="44"/>
        </w:rPr>
        <w:t>绩效自评情况</w:t>
      </w:r>
    </w:p>
    <w:p>
      <w:pPr>
        <w:keepNext w:val="0"/>
        <w:keepLines w:val="0"/>
        <w:pageBreakBefore w:val="0"/>
        <w:widowControl w:val="0"/>
        <w:numPr>
          <w:ilvl w:val="0"/>
          <w:numId w:val="1"/>
        </w:numPr>
        <w:kinsoku/>
        <w:wordWrap/>
        <w:overflowPunct/>
        <w:topLinePunct w:val="0"/>
        <w:autoSpaceDE/>
        <w:autoSpaceDN/>
        <w:bidi w:val="0"/>
        <w:spacing w:line="570" w:lineRule="exact"/>
        <w:ind w:firstLine="642" w:firstLineChars="200"/>
        <w:textAlignment w:val="auto"/>
        <w:rPr>
          <w:rFonts w:ascii="宋体" w:hAnsi="宋体" w:eastAsia="黑体" w:cs="Times New Roman"/>
          <w:b/>
          <w:sz w:val="32"/>
          <w:szCs w:val="32"/>
        </w:rPr>
      </w:pPr>
      <w:r>
        <w:rPr>
          <w:rFonts w:ascii="宋体" w:hAnsi="宋体" w:eastAsia="黑体" w:cs="Times New Roman"/>
          <w:b/>
          <w:sz w:val="32"/>
          <w:szCs w:val="32"/>
        </w:rPr>
        <w:t>部门</w:t>
      </w:r>
      <w:r>
        <w:rPr>
          <w:rFonts w:hint="eastAsia" w:ascii="宋体" w:hAnsi="宋体" w:eastAsia="黑体" w:cs="Times New Roman"/>
          <w:b/>
          <w:sz w:val="32"/>
          <w:szCs w:val="32"/>
        </w:rPr>
        <w:t>整体</w:t>
      </w:r>
      <w:r>
        <w:rPr>
          <w:rFonts w:ascii="宋体" w:hAnsi="宋体" w:eastAsia="黑体" w:cs="Times New Roman"/>
          <w:b/>
          <w:sz w:val="32"/>
          <w:szCs w:val="32"/>
        </w:rPr>
        <w:t>概况</w:t>
      </w:r>
    </w:p>
    <w:p>
      <w:pPr>
        <w:keepNext w:val="0"/>
        <w:keepLines w:val="0"/>
        <w:pageBreakBefore w:val="0"/>
        <w:widowControl w:val="0"/>
        <w:numPr>
          <w:ilvl w:val="0"/>
          <w:numId w:val="0"/>
        </w:numPr>
        <w:kinsoku/>
        <w:wordWrap/>
        <w:overflowPunct/>
        <w:topLinePunct w:val="0"/>
        <w:autoSpaceDE/>
        <w:autoSpaceDN/>
        <w:bidi w:val="0"/>
        <w:spacing w:line="57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（一）部门主要职责职能及人员情况</w:t>
      </w:r>
    </w:p>
    <w:p>
      <w:pPr>
        <w:keepNext w:val="0"/>
        <w:keepLines w:val="0"/>
        <w:pageBreakBefore w:val="0"/>
        <w:widowControl w:val="0"/>
        <w:kinsoku/>
        <w:wordWrap/>
        <w:overflowPunct/>
        <w:topLinePunct w:val="0"/>
        <w:autoSpaceDE/>
        <w:autoSpaceDN/>
        <w:bidi w:val="0"/>
        <w:snapToGrid w:val="0"/>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主要</w:t>
      </w:r>
      <w:r>
        <w:rPr>
          <w:rFonts w:hint="eastAsia" w:ascii="仿宋" w:hAnsi="仿宋" w:eastAsia="仿宋" w:cs="仿宋"/>
          <w:sz w:val="32"/>
          <w:szCs w:val="32"/>
          <w:lang w:val="en-US" w:eastAsia="zh-CN"/>
        </w:rPr>
        <w:t>职责</w:t>
      </w:r>
      <w:r>
        <w:rPr>
          <w:rFonts w:hint="eastAsia" w:ascii="仿宋" w:hAnsi="仿宋" w:eastAsia="仿宋" w:cs="仿宋"/>
          <w:sz w:val="32"/>
          <w:szCs w:val="32"/>
        </w:rPr>
        <w:t>。</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中共丰南区委办公室主要职责是：</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负责推动党中央和省委、市委、区委决策部署的落实，按照区委要求协调有关方面开展工作，承担区委运行保障具体事务。</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负责区委和区委办公室文件、区委主要领导日常文稿和有关区领导讲话的起草、修改等工作。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围绕党中央和省委、市委、区委总体工作部署开展调查研究，收集和处理信息、反映动态，组织编写信息刊物；负责全区党委信息系统的协调和指导。</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负责区委全委会、区委常委会和区委其他重要会议的会务工作；负责区委领导参加重大活动和日常工作活动的组织安排。</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负责区委日常文书处理；负责区委文件和区委办公室代区委行文的审核工作；负责贯彻落实党内法规和规范性文件等工作；负责统筹协调和督促指导全区党务公开工作。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负责全区档案事业宏观管理和执法复议、监督指导等工作，委托档案馆具体行使职权。</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负责重要领导来丰南接待工作。负责全区公务接待工作的业务指导和培训工作。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负责党中央、省委、市委以及区委领导批示事项、处理反馈工作；负责区委重大决策部署和区委重要会议、文件贯彻落实情况的督促检查；统筹规范督查检查工作。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负责全区党委值班工作的指导、督促、检查；负责全区紧急情况重大事件的报告工作。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负责区委全面深化改革的日常工作，综合协调区委交办的全面深化改革方面的相关工作。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负责区委全面从严治党主体责任的日常工作，综合协调区委交办的全面从严治党方面的相关工作。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完成区委交办的其他任务。</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2、中共唐山市丰南区区直机关党工委主要职责如下：</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（1）统一组织、规划、部署区直机关党的工作，提出加强和改进机关党的建设的意见和建议，研究制定工作规划，并抓好组织实施。</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（2）指导区直机关党的政治建设、思想建设、组织建设、作风建设、纪律建设，把制度建设贯彻其中，深入推进反腐败斗争。</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（3）指导区直机关各级党组织和广大党员学习马克思列宁主义、毛泽东思想、邓小平理论、“三个代表”重要思想、科学发展观、习近平新时代中国特色社会主义思想。</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（4）对区直机关各级党组织、党员领导干部落实党建责任制、遵守政治纪律和政治规矩情况进行监督检查，并向区委报告。</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（5）指导区直机关各级党组织实施对党员特别是党员领导干部的监督和管理，定期了解各部门党员和群众对领导干部的意见，及时向区委反映各部门领导班子、领导干部的情况。</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6）配合区委有关部门抓好区直机关各部门领导班子思想政治建设，参与对党员领导干部民主生活会和区直机关各部门党组（党委）理论学习中心组学习的督促检查和指导，了解掌握情况，按规定报送情况报告。</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（7）督促指导区直机关各部门机关党组织、机关纪检组织按期换届，审批关于召开党员大会或党员代表大会的请示，审批区直机关各部门机关党组织和纪检组织领导班子的组成及书记、副书记的任免。</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（8）指导区直机关各级党组织加强基层组织建设，做好党员发展、教育管理等工作。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（9）领导区直机关各部门机关党的纪律检查工作及全区机关作风建设工作。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（10）了解掌握区直机关工作人员的思想状况，指导区直机关各级党组织加强思想政治工作和精神文明建设。指导区直机关各级党组织做好党的统一战线、国防教育工作和人民武装工作。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（11）领导区直机关工会、共青团、妇联等群团组织的工作，指导区直机关各级党组织做好党的群众工作。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（12）协同有关部门指导、规划、协调、监督区直机关干部教育培训工作，组织实施有关干部教育培训重点任务。</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（13）协助有关部门协调区直机关各部门做好维护稳定、离退休干部和老龄等工作。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（14）完成区委交办的其他任务。</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3、中共唐山市丰南区党史研究室的主要职责如下：</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（1）征集、研究丰南党组织在社会主义时期的各个不同历史阶段出现的重大问题、重要事件、重要人物以及召开的重要会议等资料，拟定专题，编写成《党史资料专辑》</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（2）宣传党组织在社会主义现代化建设中所起的重大作用，达到以史鉴今、资政育人、服务现实的作用。</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（3）全面开展我区在中华人民共和国成立</w:t>
      </w:r>
      <w:bookmarkStart w:id="0" w:name="_GoBack"/>
      <w:bookmarkEnd w:id="0"/>
      <w:r>
        <w:rPr>
          <w:rFonts w:hint="eastAsia" w:ascii="仿宋" w:hAnsi="仿宋" w:eastAsia="仿宋" w:cs="仿宋"/>
          <w:sz w:val="32"/>
          <w:szCs w:val="32"/>
          <w:lang w:eastAsia="zh-CN"/>
        </w:rPr>
        <w:t>后党史资料征集、研究、编纂工作。</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（4）督导有党史专题资料征集、编纂任务的乡镇和区直有关单位，按时完成上报任务。</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（5）开展党史宣传教育工作，运用研究成果为现实服务。</w:t>
      </w:r>
    </w:p>
    <w:p>
      <w:pPr>
        <w:spacing w:line="560" w:lineRule="exact"/>
        <w:ind w:firstLine="672" w:firstLineChars="21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（6）完成区委交办的其他工作任务。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人员情况</w:t>
      </w:r>
    </w:p>
    <w:p>
      <w:pPr>
        <w:adjustRightInd w:val="0"/>
        <w:snapToGrid w:val="0"/>
        <w:spacing w:line="560" w:lineRule="exact"/>
        <w:ind w:left="178" w:leftChars="85" w:firstLine="540"/>
        <w:rPr>
          <w:rFonts w:hint="eastAsia" w:ascii="仿宋" w:hAnsi="仿宋" w:eastAsia="仿宋" w:cs="仿宋"/>
          <w:sz w:val="32"/>
          <w:szCs w:val="32"/>
        </w:rPr>
      </w:pPr>
      <w:r>
        <w:rPr>
          <w:rFonts w:hint="eastAsia" w:ascii="仿宋" w:hAnsi="仿宋" w:eastAsia="仿宋" w:cs="仿宋"/>
          <w:sz w:val="32"/>
          <w:szCs w:val="32"/>
          <w:lang w:eastAsia="zh-CN"/>
        </w:rPr>
        <w:t>丰南区委办公室</w:t>
      </w:r>
      <w:r>
        <w:rPr>
          <w:rFonts w:hint="eastAsia" w:ascii="仿宋" w:hAnsi="仿宋" w:eastAsia="仿宋" w:cs="仿宋"/>
          <w:sz w:val="32"/>
          <w:szCs w:val="32"/>
        </w:rPr>
        <w:t>财政供养实有在职</w:t>
      </w:r>
      <w:r>
        <w:rPr>
          <w:rFonts w:hint="eastAsia" w:ascii="仿宋" w:hAnsi="仿宋" w:eastAsia="仿宋" w:cs="仿宋"/>
          <w:sz w:val="32"/>
          <w:szCs w:val="32"/>
          <w:lang w:val="en-US" w:eastAsia="zh-CN"/>
        </w:rPr>
        <w:t>35</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35</w:t>
      </w:r>
      <w:r>
        <w:rPr>
          <w:rFonts w:hint="eastAsia" w:ascii="仿宋" w:hAnsi="仿宋" w:eastAsia="仿宋" w:cs="仿宋"/>
          <w:sz w:val="32"/>
          <w:szCs w:val="32"/>
        </w:rPr>
        <w:t>人、离退休人员</w:t>
      </w:r>
      <w:r>
        <w:rPr>
          <w:rFonts w:hint="eastAsia" w:ascii="仿宋" w:hAnsi="仿宋" w:eastAsia="仿宋" w:cs="仿宋"/>
          <w:sz w:val="32"/>
          <w:szCs w:val="32"/>
          <w:lang w:val="en-US" w:eastAsia="zh-CN"/>
        </w:rPr>
        <w:t>18</w:t>
      </w:r>
      <w:r>
        <w:rPr>
          <w:rFonts w:hint="eastAsia" w:ascii="仿宋" w:hAnsi="仿宋" w:eastAsia="仿宋" w:cs="仿宋"/>
          <w:sz w:val="32"/>
          <w:szCs w:val="32"/>
        </w:rPr>
        <w:t>人。劳务派遣人员</w:t>
      </w:r>
      <w:r>
        <w:rPr>
          <w:rFonts w:hint="eastAsia" w:ascii="仿宋" w:hAnsi="仿宋" w:eastAsia="仿宋" w:cs="仿宋"/>
          <w:sz w:val="32"/>
          <w:szCs w:val="32"/>
          <w:lang w:val="en-US" w:eastAsia="zh-CN"/>
        </w:rPr>
        <w:t>2</w:t>
      </w:r>
      <w:r>
        <w:rPr>
          <w:rFonts w:hint="eastAsia" w:ascii="仿宋" w:hAnsi="仿宋" w:eastAsia="仿宋" w:cs="仿宋"/>
          <w:sz w:val="32"/>
          <w:szCs w:val="32"/>
        </w:rPr>
        <w:t>人。</w:t>
      </w:r>
    </w:p>
    <w:p>
      <w:pPr>
        <w:adjustRightInd w:val="0"/>
        <w:snapToGrid w:val="0"/>
        <w:spacing w:line="560" w:lineRule="exact"/>
        <w:ind w:left="178" w:leftChars="85" w:firstLine="540"/>
        <w:rPr>
          <w:rFonts w:hint="eastAsia" w:ascii="仿宋" w:hAnsi="仿宋" w:eastAsia="仿宋" w:cs="仿宋"/>
          <w:sz w:val="32"/>
          <w:szCs w:val="32"/>
        </w:rPr>
      </w:pPr>
      <w:r>
        <w:rPr>
          <w:rFonts w:hint="eastAsia" w:ascii="仿宋" w:hAnsi="仿宋" w:eastAsia="仿宋" w:cs="仿宋"/>
          <w:sz w:val="32"/>
          <w:szCs w:val="32"/>
        </w:rPr>
        <w:t>丰南区直机关党工委财政供养实有在职</w:t>
      </w:r>
      <w:r>
        <w:rPr>
          <w:rFonts w:hint="eastAsia" w:ascii="仿宋" w:hAnsi="仿宋" w:eastAsia="仿宋" w:cs="仿宋"/>
          <w:sz w:val="32"/>
          <w:szCs w:val="32"/>
          <w:lang w:val="en-US" w:eastAsia="zh-CN"/>
        </w:rPr>
        <w:t>11</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8</w:t>
      </w:r>
      <w:r>
        <w:rPr>
          <w:rFonts w:hint="eastAsia" w:ascii="仿宋" w:hAnsi="仿宋" w:eastAsia="仿宋" w:cs="仿宋"/>
          <w:sz w:val="32"/>
          <w:szCs w:val="32"/>
        </w:rPr>
        <w:t>人、人事代理2人</w:t>
      </w:r>
      <w:r>
        <w:rPr>
          <w:rFonts w:hint="eastAsia" w:ascii="仿宋" w:hAnsi="仿宋" w:eastAsia="仿宋" w:cs="仿宋"/>
          <w:sz w:val="32"/>
          <w:szCs w:val="32"/>
          <w:lang w:eastAsia="zh-CN"/>
        </w:rPr>
        <w:t>、聘用制人员</w:t>
      </w:r>
      <w:r>
        <w:rPr>
          <w:rFonts w:hint="eastAsia" w:ascii="仿宋" w:hAnsi="仿宋" w:eastAsia="仿宋" w:cs="仿宋"/>
          <w:sz w:val="32"/>
          <w:szCs w:val="32"/>
          <w:lang w:val="en-US" w:eastAsia="zh-CN"/>
        </w:rPr>
        <w:t>1人</w:t>
      </w:r>
      <w:r>
        <w:rPr>
          <w:rFonts w:hint="eastAsia" w:ascii="仿宋" w:hAnsi="仿宋" w:eastAsia="仿宋" w:cs="仿宋"/>
          <w:sz w:val="32"/>
          <w:szCs w:val="32"/>
        </w:rPr>
        <w:t>。劳务派遣人员</w:t>
      </w:r>
      <w:r>
        <w:rPr>
          <w:rFonts w:hint="eastAsia" w:ascii="仿宋" w:hAnsi="仿宋" w:eastAsia="仿宋" w:cs="仿宋"/>
          <w:sz w:val="32"/>
          <w:szCs w:val="32"/>
          <w:lang w:val="en-US" w:eastAsia="zh-CN"/>
        </w:rPr>
        <w:t>3</w:t>
      </w:r>
      <w:r>
        <w:rPr>
          <w:rFonts w:hint="eastAsia" w:ascii="仿宋" w:hAnsi="仿宋" w:eastAsia="仿宋" w:cs="仿宋"/>
          <w:sz w:val="32"/>
          <w:szCs w:val="32"/>
        </w:rPr>
        <w:t>人。</w:t>
      </w:r>
    </w:p>
    <w:p>
      <w:pPr>
        <w:adjustRightInd w:val="0"/>
        <w:snapToGrid w:val="0"/>
        <w:spacing w:line="560" w:lineRule="exact"/>
        <w:ind w:left="178" w:leftChars="85" w:firstLine="540"/>
        <w:rPr>
          <w:rFonts w:hint="eastAsia" w:ascii="仿宋" w:hAnsi="仿宋" w:eastAsia="仿宋" w:cs="仿宋"/>
          <w:sz w:val="32"/>
          <w:szCs w:val="32"/>
        </w:rPr>
      </w:pPr>
      <w:r>
        <w:rPr>
          <w:rFonts w:hint="eastAsia" w:ascii="仿宋" w:hAnsi="仿宋" w:eastAsia="仿宋" w:cs="仿宋"/>
          <w:sz w:val="32"/>
          <w:szCs w:val="32"/>
        </w:rPr>
        <w:t>丰南区</w:t>
      </w:r>
      <w:r>
        <w:rPr>
          <w:rFonts w:hint="eastAsia" w:ascii="仿宋" w:hAnsi="仿宋" w:eastAsia="仿宋" w:cs="仿宋"/>
          <w:sz w:val="32"/>
          <w:szCs w:val="32"/>
          <w:lang w:eastAsia="zh-CN"/>
        </w:rPr>
        <w:t>委</w:t>
      </w:r>
      <w:r>
        <w:rPr>
          <w:rFonts w:hint="eastAsia" w:ascii="仿宋" w:hAnsi="仿宋" w:eastAsia="仿宋" w:cs="仿宋"/>
          <w:sz w:val="32"/>
          <w:szCs w:val="32"/>
        </w:rPr>
        <w:t>党史研究室财政供养实有在职2人，其中事业参公编制2人。离退休人员1人。</w:t>
      </w:r>
    </w:p>
    <w:p>
      <w:pPr>
        <w:keepNext w:val="0"/>
        <w:keepLines w:val="0"/>
        <w:pageBreakBefore w:val="0"/>
        <w:widowControl w:val="0"/>
        <w:numPr>
          <w:ilvl w:val="0"/>
          <w:numId w:val="0"/>
        </w:numPr>
        <w:kinsoku/>
        <w:wordWrap/>
        <w:overflowPunct/>
        <w:topLinePunct w:val="0"/>
        <w:autoSpaceDE/>
        <w:autoSpaceDN/>
        <w:bidi w:val="0"/>
        <w:spacing w:line="57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（二）部门预算执行情况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w:t>
      </w:r>
      <w:r>
        <w:rPr>
          <w:rFonts w:hint="eastAsia" w:ascii="仿宋" w:hAnsi="仿宋" w:eastAsia="仿宋" w:cs="仿宋"/>
          <w:sz w:val="32"/>
          <w:szCs w:val="32"/>
          <w:lang w:val="en-US" w:eastAsia="zh-CN"/>
        </w:rPr>
        <w:t>21</w:t>
      </w:r>
      <w:r>
        <w:rPr>
          <w:rFonts w:hint="eastAsia" w:ascii="仿宋" w:hAnsi="仿宋" w:eastAsia="仿宋" w:cs="仿宋"/>
          <w:sz w:val="32"/>
          <w:szCs w:val="32"/>
        </w:rPr>
        <w:t>年度申请预算资金</w:t>
      </w:r>
      <w:r>
        <w:rPr>
          <w:rFonts w:hint="eastAsia" w:ascii="仿宋" w:hAnsi="仿宋" w:eastAsia="仿宋" w:cs="仿宋"/>
          <w:sz w:val="32"/>
          <w:szCs w:val="32"/>
          <w:lang w:val="en-US" w:eastAsia="zh-CN"/>
        </w:rPr>
        <w:t>1516.92</w:t>
      </w:r>
      <w:r>
        <w:rPr>
          <w:rFonts w:hint="eastAsia" w:ascii="仿宋" w:hAnsi="仿宋" w:eastAsia="仿宋" w:cs="仿宋"/>
          <w:sz w:val="32"/>
          <w:szCs w:val="32"/>
        </w:rPr>
        <w:t>万元，实际支出</w:t>
      </w:r>
      <w:r>
        <w:rPr>
          <w:rFonts w:hint="eastAsia" w:ascii="仿宋" w:hAnsi="仿宋" w:eastAsia="仿宋" w:cs="仿宋"/>
          <w:sz w:val="32"/>
          <w:szCs w:val="32"/>
          <w:lang w:val="en-US" w:eastAsia="zh-CN"/>
        </w:rPr>
        <w:t>1362.6</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89.83</w:t>
      </w:r>
      <w:r>
        <w:rPr>
          <w:rFonts w:hint="eastAsia" w:ascii="仿宋" w:hAnsi="仿宋" w:eastAsia="仿宋" w:cs="仿宋"/>
          <w:sz w:val="32"/>
          <w:szCs w:val="32"/>
        </w:rPr>
        <w:t>%。其中：项目</w:t>
      </w:r>
      <w:r>
        <w:rPr>
          <w:rFonts w:hint="eastAsia" w:ascii="仿宋" w:hAnsi="仿宋" w:eastAsia="仿宋" w:cs="仿宋"/>
          <w:sz w:val="32"/>
          <w:szCs w:val="32"/>
          <w:lang w:val="en-US" w:eastAsia="zh-CN"/>
        </w:rPr>
        <w:t>18</w:t>
      </w:r>
      <w:r>
        <w:rPr>
          <w:rFonts w:hint="eastAsia" w:ascii="仿宋" w:hAnsi="仿宋" w:eastAsia="仿宋" w:cs="仿宋"/>
          <w:sz w:val="32"/>
          <w:szCs w:val="32"/>
        </w:rPr>
        <w:t>个，金额合计</w:t>
      </w:r>
      <w:r>
        <w:rPr>
          <w:rFonts w:hint="eastAsia" w:ascii="仿宋" w:hAnsi="仿宋" w:eastAsia="仿宋" w:cs="仿宋"/>
          <w:sz w:val="32"/>
          <w:szCs w:val="32"/>
          <w:lang w:val="en-US" w:eastAsia="zh-CN"/>
        </w:rPr>
        <w:t>427.24</w:t>
      </w:r>
      <w:r>
        <w:rPr>
          <w:rFonts w:hint="eastAsia" w:ascii="仿宋" w:hAnsi="仿宋" w:eastAsia="仿宋" w:cs="仿宋"/>
          <w:sz w:val="32"/>
          <w:szCs w:val="32"/>
        </w:rPr>
        <w:t>万元，实际支出</w:t>
      </w:r>
      <w:r>
        <w:rPr>
          <w:rFonts w:hint="eastAsia" w:ascii="仿宋" w:hAnsi="仿宋" w:eastAsia="仿宋" w:cs="仿宋"/>
          <w:sz w:val="32"/>
          <w:szCs w:val="32"/>
          <w:lang w:val="en-US" w:eastAsia="zh-CN"/>
        </w:rPr>
        <w:t>361.21</w:t>
      </w:r>
      <w:r>
        <w:rPr>
          <w:rFonts w:hint="eastAsia" w:ascii="仿宋" w:hAnsi="仿宋" w:eastAsia="仿宋" w:cs="仿宋"/>
          <w:sz w:val="32"/>
          <w:szCs w:val="32"/>
        </w:rPr>
        <w:t>万元，执行率为</w:t>
      </w:r>
      <w:r>
        <w:rPr>
          <w:rFonts w:hint="eastAsia" w:ascii="仿宋" w:hAnsi="仿宋" w:eastAsia="仿宋" w:cs="仿宋"/>
          <w:sz w:val="32"/>
          <w:szCs w:val="32"/>
          <w:lang w:val="en-US" w:eastAsia="zh-CN"/>
        </w:rPr>
        <w:t>84.54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70" w:lineRule="exact"/>
        <w:ind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二、</w:t>
      </w:r>
      <w:r>
        <w:rPr>
          <w:rFonts w:hint="eastAsia" w:ascii="仿宋" w:hAnsi="仿宋" w:eastAsia="仿宋" w:cs="仿宋"/>
          <w:b/>
          <w:sz w:val="32"/>
          <w:szCs w:val="32"/>
          <w:lang w:val="en-US" w:eastAsia="zh-CN"/>
        </w:rPr>
        <w:t>绩效评价组织情况</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w:t>
      </w:r>
      <w:r>
        <w:rPr>
          <w:rFonts w:hint="eastAsia" w:ascii="仿宋" w:hAnsi="仿宋" w:eastAsia="仿宋" w:cs="仿宋"/>
          <w:b w:val="0"/>
          <w:bCs w:val="0"/>
          <w:sz w:val="32"/>
          <w:szCs w:val="32"/>
        </w:rPr>
        <w:t>部门整体绩效</w:t>
      </w:r>
      <w:r>
        <w:rPr>
          <w:rFonts w:hint="eastAsia" w:ascii="仿宋" w:hAnsi="仿宋" w:eastAsia="仿宋" w:cs="仿宋"/>
          <w:b w:val="0"/>
          <w:bCs w:val="0"/>
          <w:sz w:val="32"/>
          <w:szCs w:val="32"/>
          <w:lang w:val="en-US" w:eastAsia="zh-CN"/>
        </w:rPr>
        <w:t>评价目标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1、区委办将</w:t>
      </w:r>
      <w:r>
        <w:rPr>
          <w:rFonts w:hint="eastAsia" w:ascii="仿宋" w:hAnsi="仿宋" w:eastAsia="仿宋" w:cs="仿宋"/>
          <w:sz w:val="32"/>
          <w:szCs w:val="32"/>
        </w:rPr>
        <w:t>深入贯彻落实党的十九大精神，以习近平新时代中国特色社会主义思想为引领，坚决贯彻中央、省委和市委的决策部署，在区委的坚强领导下，以规范化建设和素质提升为主线，以区委主要领导对办公室工作的要求为标尺，进一步明确角色、找准定位，忠诚履责、锐意进取，竭尽全力做好工作，担职责、负使命，在以全面从严治党的引领下，做好本职工作，加强学习，把学习理论融入到实践中去，我听、多看、多验证，在实际工作中发挥优势，创新技能工作，全面投入到新的工作挑战中去。提升自身全面素质，使区委办公室服务水平不断提高，为全区经济社会科学发展作出了积极贡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2、机关党工委将</w:t>
      </w:r>
      <w:r>
        <w:rPr>
          <w:rFonts w:hint="eastAsia" w:ascii="仿宋" w:hAnsi="仿宋" w:eastAsia="仿宋" w:cs="仿宋"/>
          <w:sz w:val="32"/>
          <w:szCs w:val="32"/>
        </w:rPr>
        <w:t>全面深入贯彻落实十九大及十九届四中全会精神，坚持以习近平新时代中国特色社会主义思想为指引，紧紧围绕中央和省市区委决策部署，严格落实全面从严治党要求，积极推进政治建设、思想建设、组织建设、作风建设、纪律建设和反腐败工作，不断推动区直机关党建工作提档升级。</w:t>
      </w:r>
    </w:p>
    <w:p>
      <w:pPr>
        <w:ind w:firstLine="640" w:firstLineChars="200"/>
        <w:rPr>
          <w:rFonts w:hint="eastAsia" w:ascii="仿宋" w:hAnsi="仿宋" w:eastAsia="仿宋" w:cs="仿宋"/>
        </w:rPr>
      </w:pPr>
      <w:r>
        <w:rPr>
          <w:rFonts w:hint="eastAsia" w:ascii="仿宋" w:hAnsi="仿宋" w:eastAsia="仿宋" w:cs="仿宋"/>
          <w:sz w:val="32"/>
          <w:szCs w:val="32"/>
          <w:lang w:val="en-US" w:eastAsia="zh-CN"/>
        </w:rPr>
        <w:t>3、党研室</w:t>
      </w:r>
      <w:r>
        <w:rPr>
          <w:rFonts w:hint="eastAsia" w:ascii="仿宋" w:hAnsi="仿宋" w:eastAsia="仿宋" w:cs="仿宋"/>
          <w:sz w:val="32"/>
          <w:szCs w:val="32"/>
        </w:rPr>
        <w:t>以习近平新时代中国特色社会主义思想为指导，深入贯彻落实《关于全省党史工作的实施意见》精神，紧紧围绕“三个努力建成”目标，进一步加强丰南党史的研究和宣传工作，发挥党史工作资政育人的重要作用。完成上级交办的地方党史部分专题资料征集上报工作，</w:t>
      </w:r>
      <w:r>
        <w:rPr>
          <w:rFonts w:hint="eastAsia" w:ascii="仿宋" w:hAnsi="仿宋" w:eastAsia="仿宋" w:cs="仿宋"/>
          <w:sz w:val="32"/>
          <w:szCs w:val="32"/>
          <w:lang w:eastAsia="zh-CN"/>
        </w:rPr>
        <w:t>再版</w:t>
      </w:r>
      <w:r>
        <w:rPr>
          <w:rFonts w:hint="eastAsia" w:ascii="仿宋" w:hAnsi="仿宋" w:eastAsia="仿宋" w:cs="仿宋"/>
          <w:sz w:val="32"/>
          <w:szCs w:val="32"/>
        </w:rPr>
        <w:t>《滨海风云》第</w:t>
      </w:r>
      <w:r>
        <w:rPr>
          <w:rFonts w:hint="eastAsia" w:ascii="仿宋" w:hAnsi="仿宋" w:eastAsia="仿宋" w:cs="仿宋"/>
          <w:sz w:val="32"/>
          <w:szCs w:val="32"/>
          <w:lang w:eastAsia="zh-CN"/>
        </w:rPr>
        <w:t>一至四</w:t>
      </w:r>
      <w:r>
        <w:rPr>
          <w:rFonts w:hint="eastAsia" w:ascii="仿宋" w:hAnsi="仿宋" w:eastAsia="仿宋" w:cs="仿宋"/>
          <w:sz w:val="32"/>
          <w:szCs w:val="32"/>
        </w:rPr>
        <w:t>辑</w:t>
      </w:r>
      <w:r>
        <w:rPr>
          <w:rFonts w:hint="eastAsia" w:ascii="仿宋" w:hAnsi="仿宋" w:eastAsia="仿宋" w:cs="仿宋"/>
          <w:sz w:val="32"/>
          <w:szCs w:val="32"/>
          <w:lang w:eastAsia="zh-CN"/>
        </w:rPr>
        <w:t>并</w:t>
      </w:r>
      <w:r>
        <w:rPr>
          <w:rFonts w:hint="eastAsia" w:ascii="仿宋" w:hAnsi="仿宋" w:eastAsia="仿宋" w:cs="仿宋"/>
          <w:sz w:val="32"/>
          <w:szCs w:val="32"/>
        </w:rPr>
        <w:t>完成《中国共产党唐山市丰南区历史》（第一卷）</w:t>
      </w:r>
      <w:r>
        <w:rPr>
          <w:rFonts w:hint="eastAsia" w:ascii="仿宋" w:hAnsi="仿宋" w:eastAsia="仿宋" w:cs="仿宋"/>
          <w:sz w:val="32"/>
          <w:szCs w:val="32"/>
          <w:lang w:eastAsia="zh-CN"/>
        </w:rPr>
        <w:t>的出版</w:t>
      </w:r>
      <w:r>
        <w:rPr>
          <w:rFonts w:hint="eastAsia" w:ascii="仿宋" w:hAnsi="仿宋" w:eastAsia="仿宋" w:cs="仿宋"/>
          <w:sz w:val="32"/>
          <w:szCs w:val="32"/>
        </w:rPr>
        <w:t>，建设一支高素质的党史工作队伍。</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（二）部门整体绩效评价指标及评价标准</w:t>
      </w:r>
    </w:p>
    <w:tbl>
      <w:tblPr>
        <w:tblStyle w:val="5"/>
        <w:tblW w:w="9442" w:type="dxa"/>
        <w:tblInd w:w="-70" w:type="dxa"/>
        <w:tblLayout w:type="fixed"/>
        <w:tblCellMar>
          <w:top w:w="0" w:type="dxa"/>
          <w:left w:w="108" w:type="dxa"/>
          <w:bottom w:w="0" w:type="dxa"/>
          <w:right w:w="108" w:type="dxa"/>
        </w:tblCellMar>
      </w:tblPr>
      <w:tblGrid>
        <w:gridCol w:w="451"/>
        <w:gridCol w:w="416"/>
        <w:gridCol w:w="808"/>
        <w:gridCol w:w="883"/>
        <w:gridCol w:w="3513"/>
        <w:gridCol w:w="624"/>
        <w:gridCol w:w="663"/>
        <w:gridCol w:w="2084"/>
      </w:tblGrid>
      <w:tr>
        <w:trPr>
          <w:trHeight w:val="375" w:hRule="atLeast"/>
        </w:trPr>
        <w:tc>
          <w:tcPr>
            <w:tcW w:w="4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utoSpaceDN w:val="0"/>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年度  绩效  指标</w:t>
            </w:r>
          </w:p>
        </w:tc>
        <w:tc>
          <w:tcPr>
            <w:tcW w:w="416" w:type="dxa"/>
            <w:vMerge w:val="restart"/>
            <w:tcBorders>
              <w:top w:val="single" w:color="000000" w:sz="4" w:space="0"/>
              <w:left w:val="nil"/>
              <w:bottom w:val="single" w:color="000000" w:sz="4" w:space="0"/>
              <w:right w:val="single" w:color="000000" w:sz="4" w:space="0"/>
            </w:tcBorders>
            <w:noWrap w:val="0"/>
            <w:vAlign w:val="center"/>
          </w:tcPr>
          <w:p>
            <w:pPr>
              <w:widowControl/>
              <w:autoSpaceDN w:val="0"/>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一级指标</w:t>
            </w:r>
          </w:p>
        </w:tc>
        <w:tc>
          <w:tcPr>
            <w:tcW w:w="808" w:type="dxa"/>
            <w:vMerge w:val="restart"/>
            <w:tcBorders>
              <w:top w:val="single" w:color="000000" w:sz="4" w:space="0"/>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二级指标</w:t>
            </w:r>
          </w:p>
        </w:tc>
        <w:tc>
          <w:tcPr>
            <w:tcW w:w="883" w:type="dxa"/>
            <w:vMerge w:val="restart"/>
            <w:tcBorders>
              <w:top w:val="single" w:color="000000" w:sz="4" w:space="0"/>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三级指标</w:t>
            </w:r>
          </w:p>
        </w:tc>
        <w:tc>
          <w:tcPr>
            <w:tcW w:w="3513" w:type="dxa"/>
            <w:vMerge w:val="restart"/>
            <w:tcBorders>
              <w:top w:val="single" w:color="000000" w:sz="4" w:space="0"/>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绩效指标描述</w:t>
            </w:r>
          </w:p>
        </w:tc>
        <w:tc>
          <w:tcPr>
            <w:tcW w:w="3371" w:type="dxa"/>
            <w:gridSpan w:val="3"/>
            <w:tcBorders>
              <w:top w:val="single" w:color="000000" w:sz="4" w:space="0"/>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指标值</w:t>
            </w:r>
          </w:p>
        </w:tc>
      </w:tr>
      <w:tr>
        <w:trPr>
          <w:trHeight w:val="375" w:hRule="atLeast"/>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rPr>
            </w:pPr>
          </w:p>
        </w:tc>
        <w:tc>
          <w:tcPr>
            <w:tcW w:w="416" w:type="dxa"/>
            <w:vMerge w:val="continue"/>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rPr>
            </w:pPr>
          </w:p>
        </w:tc>
        <w:tc>
          <w:tcPr>
            <w:tcW w:w="808" w:type="dxa"/>
            <w:vMerge w:val="continue"/>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rPr>
            </w:pPr>
          </w:p>
        </w:tc>
        <w:tc>
          <w:tcPr>
            <w:tcW w:w="883" w:type="dxa"/>
            <w:vMerge w:val="continue"/>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rPr>
            </w:pPr>
          </w:p>
        </w:tc>
        <w:tc>
          <w:tcPr>
            <w:tcW w:w="3513" w:type="dxa"/>
            <w:vMerge w:val="continue"/>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rPr>
            </w:pPr>
          </w:p>
        </w:tc>
        <w:tc>
          <w:tcPr>
            <w:tcW w:w="62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符号</w:t>
            </w:r>
          </w:p>
        </w:tc>
        <w:tc>
          <w:tcPr>
            <w:tcW w:w="66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值</w:t>
            </w:r>
          </w:p>
        </w:tc>
        <w:tc>
          <w:tcPr>
            <w:tcW w:w="2084" w:type="dxa"/>
            <w:tcBorders>
              <w:top w:val="nil"/>
              <w:left w:val="nil"/>
              <w:bottom w:val="single" w:color="000000" w:sz="4" w:space="0"/>
              <w:right w:val="single" w:color="000000" w:sz="4" w:space="0"/>
            </w:tcBorders>
            <w:noWrap w:val="0"/>
            <w:vAlign w:val="center"/>
          </w:tcPr>
          <w:p>
            <w:pPr>
              <w:widowControl/>
              <w:autoSpaceDN w:val="0"/>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单位（文字描述）</w:t>
            </w:r>
          </w:p>
        </w:tc>
      </w:tr>
      <w:tr>
        <w:trPr>
          <w:trHeight w:val="915" w:hRule="atLeast"/>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rPr>
            </w:pPr>
          </w:p>
        </w:tc>
        <w:tc>
          <w:tcPr>
            <w:tcW w:w="416" w:type="dxa"/>
            <w:vMerge w:val="restart"/>
            <w:tcBorders>
              <w:top w:val="nil"/>
              <w:left w:val="nil"/>
              <w:bottom w:val="single" w:color="000000" w:sz="4" w:space="0"/>
              <w:right w:val="single" w:color="000000" w:sz="4" w:space="0"/>
            </w:tcBorders>
            <w:noWrap w:val="0"/>
            <w:vAlign w:val="center"/>
          </w:tcPr>
          <w:p>
            <w:pPr>
              <w:widowControl/>
              <w:autoSpaceDN w:val="0"/>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产出指标</w:t>
            </w:r>
          </w:p>
        </w:tc>
        <w:tc>
          <w:tcPr>
            <w:tcW w:w="808"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数量指标</w:t>
            </w:r>
          </w:p>
        </w:tc>
        <w:tc>
          <w:tcPr>
            <w:tcW w:w="88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重点工作完成率</w:t>
            </w:r>
          </w:p>
        </w:tc>
        <w:tc>
          <w:tcPr>
            <w:tcW w:w="3513" w:type="dxa"/>
            <w:tcBorders>
              <w:top w:val="nil"/>
              <w:left w:val="nil"/>
              <w:bottom w:val="single" w:color="000000" w:sz="4" w:space="0"/>
              <w:right w:val="single" w:color="000000" w:sz="4" w:space="0"/>
            </w:tcBorders>
            <w:noWrap w:val="0"/>
            <w:vAlign w:val="center"/>
          </w:tcPr>
          <w:p>
            <w:pPr>
              <w:widowControl/>
              <w:autoSpaceDN w:val="0"/>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反映重点工作任务完成情况。重点工作完成率=（重点工作实际完成数量/重点工作数量）*100%</w:t>
            </w:r>
          </w:p>
        </w:tc>
        <w:tc>
          <w:tcPr>
            <w:tcW w:w="62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w:t>
            </w:r>
          </w:p>
        </w:tc>
        <w:tc>
          <w:tcPr>
            <w:tcW w:w="66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100</w:t>
            </w:r>
          </w:p>
        </w:tc>
        <w:tc>
          <w:tcPr>
            <w:tcW w:w="208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百分比</w:t>
            </w:r>
          </w:p>
        </w:tc>
      </w:tr>
      <w:tr>
        <w:trPr>
          <w:trHeight w:val="1050" w:hRule="atLeast"/>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rPr>
            </w:pPr>
          </w:p>
        </w:tc>
        <w:tc>
          <w:tcPr>
            <w:tcW w:w="416" w:type="dxa"/>
            <w:vMerge w:val="continue"/>
            <w:tcBorders>
              <w:top w:val="nil"/>
              <w:left w:val="nil"/>
              <w:bottom w:val="single" w:color="000000" w:sz="4" w:space="0"/>
              <w:right w:val="single" w:color="000000" w:sz="4" w:space="0"/>
            </w:tcBorders>
            <w:noWrap w:val="0"/>
            <w:vAlign w:val="center"/>
          </w:tcPr>
          <w:p>
            <w:pPr>
              <w:rPr>
                <w:rFonts w:hint="eastAsia" w:ascii="仿宋" w:hAnsi="仿宋" w:eastAsia="仿宋" w:cs="仿宋"/>
              </w:rPr>
            </w:pPr>
          </w:p>
        </w:tc>
        <w:tc>
          <w:tcPr>
            <w:tcW w:w="808" w:type="dxa"/>
            <w:vMerge w:val="restart"/>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质量指标</w:t>
            </w:r>
          </w:p>
        </w:tc>
        <w:tc>
          <w:tcPr>
            <w:tcW w:w="88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全年工作任务达标率</w:t>
            </w:r>
          </w:p>
        </w:tc>
        <w:tc>
          <w:tcPr>
            <w:tcW w:w="3513" w:type="dxa"/>
            <w:tcBorders>
              <w:top w:val="nil"/>
              <w:left w:val="nil"/>
              <w:bottom w:val="single" w:color="000000" w:sz="4" w:space="0"/>
              <w:right w:val="single" w:color="000000" w:sz="4" w:space="0"/>
            </w:tcBorders>
            <w:noWrap w:val="0"/>
            <w:vAlign w:val="center"/>
          </w:tcPr>
          <w:p>
            <w:pPr>
              <w:widowControl/>
              <w:autoSpaceDN w:val="0"/>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反映全部工作任务达到预期质量目标情况。全年工作任务达标率=(完成预期质量目标的工作任务数/全年部门工作任务数)*100%</w:t>
            </w:r>
          </w:p>
        </w:tc>
        <w:tc>
          <w:tcPr>
            <w:tcW w:w="62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&gt;=</w:t>
            </w:r>
          </w:p>
        </w:tc>
        <w:tc>
          <w:tcPr>
            <w:tcW w:w="66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95</w:t>
            </w:r>
          </w:p>
        </w:tc>
        <w:tc>
          <w:tcPr>
            <w:tcW w:w="208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百分比</w:t>
            </w:r>
          </w:p>
        </w:tc>
      </w:tr>
      <w:tr>
        <w:trPr>
          <w:trHeight w:val="136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cs="仿宋"/>
              </w:rPr>
            </w:pPr>
          </w:p>
        </w:tc>
        <w:tc>
          <w:tcPr>
            <w:tcW w:w="416" w:type="dxa"/>
            <w:vMerge w:val="continue"/>
            <w:tcBorders>
              <w:top w:val="nil"/>
              <w:left w:val="nil"/>
              <w:bottom w:val="single" w:color="000000" w:sz="4" w:space="0"/>
              <w:right w:val="single" w:color="000000" w:sz="4" w:space="0"/>
            </w:tcBorders>
            <w:shd w:val="clear" w:color="auto" w:fill="auto"/>
            <w:noWrap w:val="0"/>
            <w:vAlign w:val="center"/>
          </w:tcPr>
          <w:p>
            <w:pPr>
              <w:rPr>
                <w:rFonts w:hint="eastAsia" w:ascii="仿宋" w:hAnsi="仿宋" w:eastAsia="仿宋" w:cs="仿宋"/>
              </w:rPr>
            </w:pPr>
          </w:p>
        </w:tc>
        <w:tc>
          <w:tcPr>
            <w:tcW w:w="808" w:type="dxa"/>
            <w:vMerge w:val="continue"/>
            <w:tcBorders>
              <w:top w:val="nil"/>
              <w:left w:val="nil"/>
              <w:bottom w:val="single" w:color="000000" w:sz="4" w:space="0"/>
              <w:right w:val="single" w:color="000000" w:sz="4" w:space="0"/>
            </w:tcBorders>
            <w:shd w:val="clear" w:color="auto" w:fill="auto"/>
            <w:noWrap w:val="0"/>
            <w:vAlign w:val="center"/>
          </w:tcPr>
          <w:p>
            <w:pPr>
              <w:rPr>
                <w:rFonts w:hint="eastAsia" w:ascii="仿宋" w:hAnsi="仿宋" w:eastAsia="仿宋" w:cs="仿宋"/>
              </w:rPr>
            </w:pPr>
          </w:p>
        </w:tc>
        <w:tc>
          <w:tcPr>
            <w:tcW w:w="883" w:type="dxa"/>
            <w:tcBorders>
              <w:top w:val="nil"/>
              <w:left w:val="nil"/>
              <w:bottom w:val="single" w:color="000000" w:sz="4" w:space="0"/>
              <w:right w:val="single" w:color="000000" w:sz="4" w:space="0"/>
            </w:tcBorders>
            <w:shd w:val="clear" w:color="auto" w:fill="FFFFFF"/>
            <w:noWrap w:val="0"/>
            <w:vAlign w:val="center"/>
          </w:tcPr>
          <w:p>
            <w:pPr>
              <w:widowControl/>
              <w:shd w:val="clear" w:color="auto" w:fill="FFFFFF"/>
              <w:autoSpaceDN w:val="0"/>
              <w:jc w:val="center"/>
              <w:rPr>
                <w:rFonts w:hint="eastAsia" w:ascii="仿宋" w:hAnsi="仿宋" w:eastAsia="仿宋" w:cs="仿宋"/>
                <w:color w:val="000000"/>
                <w:kern w:val="0"/>
                <w:sz w:val="20"/>
                <w:szCs w:val="20"/>
                <w:shd w:val="clear" w:color="auto" w:fill="FFFFFF"/>
                <w:lang w:bidi="ar-SA"/>
              </w:rPr>
            </w:pPr>
            <w:r>
              <w:rPr>
                <w:rFonts w:hint="eastAsia" w:ascii="仿宋" w:hAnsi="仿宋" w:eastAsia="仿宋" w:cs="仿宋"/>
                <w:color w:val="000000"/>
                <w:kern w:val="0"/>
                <w:sz w:val="20"/>
                <w:szCs w:val="20"/>
                <w:shd w:val="clear" w:color="auto" w:fill="FFFFFF"/>
                <w:lang w:bidi="ar-SA"/>
              </w:rPr>
              <w:t>绩效目标指标设置达标率</w:t>
            </w:r>
          </w:p>
        </w:tc>
        <w:tc>
          <w:tcPr>
            <w:tcW w:w="3513" w:type="dxa"/>
            <w:tcBorders>
              <w:top w:val="nil"/>
              <w:left w:val="nil"/>
              <w:bottom w:val="single" w:color="000000" w:sz="4" w:space="0"/>
              <w:right w:val="single" w:color="000000" w:sz="4" w:space="0"/>
            </w:tcBorders>
            <w:shd w:val="clear" w:color="auto" w:fill="FFFFFF"/>
            <w:noWrap w:val="0"/>
            <w:vAlign w:val="center"/>
          </w:tcPr>
          <w:p>
            <w:pPr>
              <w:widowControl/>
              <w:shd w:val="clear" w:color="auto" w:fill="FFFFFF"/>
              <w:autoSpaceDN w:val="0"/>
              <w:rPr>
                <w:rFonts w:hint="eastAsia" w:ascii="仿宋" w:hAnsi="仿宋" w:eastAsia="仿宋" w:cs="仿宋"/>
                <w:color w:val="000000"/>
                <w:kern w:val="0"/>
                <w:sz w:val="20"/>
                <w:szCs w:val="20"/>
                <w:shd w:val="clear" w:color="auto" w:fill="FFFFFF"/>
                <w:lang w:bidi="ar-SA"/>
              </w:rPr>
            </w:pPr>
            <w:r>
              <w:rPr>
                <w:rFonts w:hint="eastAsia" w:ascii="仿宋" w:hAnsi="仿宋" w:eastAsia="仿宋" w:cs="仿宋"/>
                <w:color w:val="000000"/>
                <w:kern w:val="0"/>
                <w:sz w:val="20"/>
                <w:szCs w:val="20"/>
                <w:shd w:val="clear" w:color="auto" w:fill="FFFFFF"/>
                <w:lang w:bidi="ar-SA"/>
              </w:rPr>
              <w:t>反映绩效目标指标设置的合理性、明确性情况。绩效目标指标设置达标率=（绩效目标指标审核等级在优以上的个数/本部门内所有绩效目标指标个数）*100%</w:t>
            </w:r>
          </w:p>
        </w:tc>
        <w:tc>
          <w:tcPr>
            <w:tcW w:w="624" w:type="dxa"/>
            <w:tcBorders>
              <w:top w:val="nil"/>
              <w:left w:val="nil"/>
              <w:bottom w:val="single" w:color="000000" w:sz="4" w:space="0"/>
              <w:right w:val="single" w:color="000000" w:sz="4" w:space="0"/>
            </w:tcBorders>
            <w:shd w:val="clear" w:color="auto" w:fill="FFFFFF"/>
            <w:noWrap w:val="0"/>
            <w:vAlign w:val="center"/>
          </w:tcPr>
          <w:p>
            <w:pPr>
              <w:widowControl/>
              <w:shd w:val="clear" w:color="auto" w:fill="FFFFFF"/>
              <w:autoSpaceDN w:val="0"/>
              <w:jc w:val="center"/>
              <w:rPr>
                <w:rFonts w:hint="eastAsia" w:ascii="仿宋" w:hAnsi="仿宋" w:eastAsia="仿宋" w:cs="仿宋"/>
                <w:color w:val="000000"/>
                <w:kern w:val="0"/>
                <w:sz w:val="20"/>
                <w:szCs w:val="20"/>
                <w:shd w:val="clear" w:color="auto" w:fill="FFFFFF"/>
                <w:lang w:bidi="ar-SA"/>
              </w:rPr>
            </w:pPr>
            <w:r>
              <w:rPr>
                <w:rFonts w:hint="eastAsia" w:ascii="仿宋" w:hAnsi="仿宋" w:eastAsia="仿宋" w:cs="仿宋"/>
                <w:color w:val="000000"/>
                <w:kern w:val="0"/>
                <w:sz w:val="20"/>
                <w:szCs w:val="20"/>
                <w:shd w:val="clear" w:color="auto" w:fill="FFFFFF"/>
                <w:lang w:bidi="ar-SA"/>
              </w:rPr>
              <w:t>&gt;=</w:t>
            </w:r>
          </w:p>
        </w:tc>
        <w:tc>
          <w:tcPr>
            <w:tcW w:w="663" w:type="dxa"/>
            <w:tcBorders>
              <w:top w:val="nil"/>
              <w:left w:val="nil"/>
              <w:bottom w:val="single" w:color="000000" w:sz="4" w:space="0"/>
              <w:right w:val="single" w:color="000000" w:sz="4" w:space="0"/>
            </w:tcBorders>
            <w:shd w:val="clear" w:color="auto" w:fill="FFFFFF"/>
            <w:noWrap w:val="0"/>
            <w:vAlign w:val="center"/>
          </w:tcPr>
          <w:p>
            <w:pPr>
              <w:widowControl/>
              <w:shd w:val="clear" w:color="auto" w:fill="FFFFFF"/>
              <w:autoSpaceDN w:val="0"/>
              <w:jc w:val="center"/>
              <w:rPr>
                <w:rFonts w:hint="eastAsia" w:ascii="仿宋" w:hAnsi="仿宋" w:eastAsia="仿宋" w:cs="仿宋"/>
                <w:color w:val="000000"/>
                <w:kern w:val="0"/>
                <w:sz w:val="20"/>
                <w:szCs w:val="20"/>
                <w:shd w:val="clear" w:color="auto" w:fill="FFFFFF"/>
                <w:lang w:bidi="ar-SA"/>
              </w:rPr>
            </w:pPr>
            <w:r>
              <w:rPr>
                <w:rFonts w:hint="eastAsia" w:ascii="仿宋" w:hAnsi="仿宋" w:eastAsia="仿宋" w:cs="仿宋"/>
                <w:color w:val="000000"/>
                <w:kern w:val="0"/>
                <w:sz w:val="20"/>
                <w:szCs w:val="20"/>
                <w:shd w:val="clear" w:color="auto" w:fill="FFFFFF"/>
                <w:lang w:bidi="ar-SA"/>
              </w:rPr>
              <w:t>90</w:t>
            </w:r>
          </w:p>
        </w:tc>
        <w:tc>
          <w:tcPr>
            <w:tcW w:w="2084" w:type="dxa"/>
            <w:tcBorders>
              <w:top w:val="nil"/>
              <w:left w:val="nil"/>
              <w:bottom w:val="single" w:color="000000" w:sz="4" w:space="0"/>
              <w:right w:val="single" w:color="000000" w:sz="4" w:space="0"/>
            </w:tcBorders>
            <w:shd w:val="clear" w:color="auto" w:fill="FFFFFF"/>
            <w:noWrap w:val="0"/>
            <w:vAlign w:val="center"/>
          </w:tcPr>
          <w:p>
            <w:pPr>
              <w:widowControl/>
              <w:shd w:val="clear" w:color="auto" w:fill="FFFFFF"/>
              <w:autoSpaceDN w:val="0"/>
              <w:jc w:val="center"/>
              <w:rPr>
                <w:rFonts w:hint="eastAsia" w:ascii="仿宋" w:hAnsi="仿宋" w:eastAsia="仿宋" w:cs="仿宋"/>
                <w:color w:val="000000"/>
                <w:kern w:val="0"/>
                <w:sz w:val="20"/>
                <w:szCs w:val="20"/>
                <w:shd w:val="clear" w:color="auto" w:fill="FFFFFF"/>
                <w:lang w:bidi="ar-SA"/>
              </w:rPr>
            </w:pPr>
            <w:r>
              <w:rPr>
                <w:rFonts w:hint="eastAsia" w:ascii="仿宋" w:hAnsi="仿宋" w:eastAsia="仿宋" w:cs="仿宋"/>
                <w:color w:val="000000"/>
                <w:kern w:val="0"/>
                <w:sz w:val="20"/>
                <w:szCs w:val="20"/>
                <w:shd w:val="clear" w:color="auto" w:fill="FFFFFF"/>
                <w:lang w:bidi="ar-SA"/>
              </w:rPr>
              <w:t>百分比</w:t>
            </w:r>
          </w:p>
        </w:tc>
      </w:tr>
      <w:tr>
        <w:trPr>
          <w:trHeight w:val="1020" w:hRule="atLeast"/>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rPr>
            </w:pPr>
          </w:p>
        </w:tc>
        <w:tc>
          <w:tcPr>
            <w:tcW w:w="416" w:type="dxa"/>
            <w:vMerge w:val="continue"/>
            <w:tcBorders>
              <w:top w:val="nil"/>
              <w:left w:val="nil"/>
              <w:bottom w:val="single" w:color="000000" w:sz="4" w:space="0"/>
              <w:right w:val="single" w:color="000000" w:sz="4" w:space="0"/>
            </w:tcBorders>
            <w:noWrap w:val="0"/>
            <w:vAlign w:val="center"/>
          </w:tcPr>
          <w:p>
            <w:pPr>
              <w:rPr>
                <w:rFonts w:hint="eastAsia" w:ascii="仿宋" w:hAnsi="仿宋" w:eastAsia="仿宋" w:cs="仿宋"/>
              </w:rPr>
            </w:pPr>
          </w:p>
        </w:tc>
        <w:tc>
          <w:tcPr>
            <w:tcW w:w="808" w:type="dxa"/>
            <w:vMerge w:val="continue"/>
            <w:tcBorders>
              <w:top w:val="nil"/>
              <w:left w:val="nil"/>
              <w:bottom w:val="single" w:color="000000" w:sz="4" w:space="0"/>
              <w:right w:val="single" w:color="000000" w:sz="4" w:space="0"/>
            </w:tcBorders>
            <w:noWrap w:val="0"/>
            <w:vAlign w:val="center"/>
          </w:tcPr>
          <w:p>
            <w:pPr>
              <w:rPr>
                <w:rFonts w:hint="eastAsia" w:ascii="仿宋" w:hAnsi="仿宋" w:eastAsia="仿宋" w:cs="仿宋"/>
              </w:rPr>
            </w:pPr>
          </w:p>
        </w:tc>
        <w:tc>
          <w:tcPr>
            <w:tcW w:w="88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政府采购执行率</w:t>
            </w:r>
          </w:p>
        </w:tc>
        <w:tc>
          <w:tcPr>
            <w:tcW w:w="3513" w:type="dxa"/>
            <w:tcBorders>
              <w:top w:val="nil"/>
              <w:left w:val="nil"/>
              <w:bottom w:val="single" w:color="000000" w:sz="4" w:space="0"/>
              <w:right w:val="single" w:color="000000" w:sz="4" w:space="0"/>
            </w:tcBorders>
            <w:noWrap w:val="0"/>
            <w:vAlign w:val="center"/>
          </w:tcPr>
          <w:p>
            <w:pPr>
              <w:widowControl/>
              <w:autoSpaceDN w:val="0"/>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反映政府采购执行情况。政府采购执行率=执行政府采购项目个数/应执行政府采购项目总数*100%</w:t>
            </w:r>
          </w:p>
        </w:tc>
        <w:tc>
          <w:tcPr>
            <w:tcW w:w="62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w:t>
            </w:r>
          </w:p>
        </w:tc>
        <w:tc>
          <w:tcPr>
            <w:tcW w:w="66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100</w:t>
            </w:r>
          </w:p>
        </w:tc>
        <w:tc>
          <w:tcPr>
            <w:tcW w:w="208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百分比</w:t>
            </w:r>
          </w:p>
        </w:tc>
      </w:tr>
      <w:tr>
        <w:trPr>
          <w:trHeight w:val="1035" w:hRule="atLeast"/>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rPr>
            </w:pPr>
          </w:p>
        </w:tc>
        <w:tc>
          <w:tcPr>
            <w:tcW w:w="416" w:type="dxa"/>
            <w:vMerge w:val="continue"/>
            <w:tcBorders>
              <w:top w:val="nil"/>
              <w:left w:val="nil"/>
              <w:bottom w:val="single" w:color="000000" w:sz="4" w:space="0"/>
              <w:right w:val="single" w:color="000000" w:sz="4" w:space="0"/>
            </w:tcBorders>
            <w:noWrap w:val="0"/>
            <w:vAlign w:val="center"/>
          </w:tcPr>
          <w:p>
            <w:pPr>
              <w:rPr>
                <w:rFonts w:hint="eastAsia" w:ascii="仿宋" w:hAnsi="仿宋" w:eastAsia="仿宋" w:cs="仿宋"/>
              </w:rPr>
            </w:pPr>
          </w:p>
        </w:tc>
        <w:tc>
          <w:tcPr>
            <w:tcW w:w="808" w:type="dxa"/>
            <w:vMerge w:val="restart"/>
            <w:tcBorders>
              <w:top w:val="nil"/>
              <w:left w:val="nil"/>
              <w:bottom w:val="single" w:color="auto"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时效指标</w:t>
            </w:r>
          </w:p>
        </w:tc>
        <w:tc>
          <w:tcPr>
            <w:tcW w:w="88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完成及时率</w:t>
            </w:r>
          </w:p>
        </w:tc>
        <w:tc>
          <w:tcPr>
            <w:tcW w:w="3513" w:type="dxa"/>
            <w:tcBorders>
              <w:top w:val="nil"/>
              <w:left w:val="nil"/>
              <w:bottom w:val="single" w:color="000000" w:sz="4" w:space="0"/>
              <w:right w:val="single" w:color="000000" w:sz="4" w:space="0"/>
            </w:tcBorders>
            <w:noWrap w:val="0"/>
            <w:vAlign w:val="center"/>
          </w:tcPr>
          <w:p>
            <w:pPr>
              <w:widowControl/>
              <w:autoSpaceDN w:val="0"/>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反映全部工作任务完成的及时程度和效率情况。完成及时率=（按时完成的工作任务数/全部工作任务数）*100%</w:t>
            </w:r>
          </w:p>
        </w:tc>
        <w:tc>
          <w:tcPr>
            <w:tcW w:w="62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&gt;=</w:t>
            </w:r>
          </w:p>
        </w:tc>
        <w:tc>
          <w:tcPr>
            <w:tcW w:w="66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90</w:t>
            </w:r>
          </w:p>
        </w:tc>
        <w:tc>
          <w:tcPr>
            <w:tcW w:w="208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百分比</w:t>
            </w:r>
          </w:p>
        </w:tc>
      </w:tr>
      <w:tr>
        <w:trPr>
          <w:trHeight w:val="1035" w:hRule="atLeast"/>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rPr>
            </w:pPr>
          </w:p>
        </w:tc>
        <w:tc>
          <w:tcPr>
            <w:tcW w:w="416" w:type="dxa"/>
            <w:vMerge w:val="continue"/>
            <w:tcBorders>
              <w:top w:val="nil"/>
              <w:left w:val="nil"/>
              <w:bottom w:val="single" w:color="000000" w:sz="4" w:space="0"/>
              <w:right w:val="single" w:color="000000" w:sz="4" w:space="0"/>
            </w:tcBorders>
            <w:noWrap w:val="0"/>
            <w:vAlign w:val="center"/>
          </w:tcPr>
          <w:p>
            <w:pPr>
              <w:rPr>
                <w:rFonts w:hint="eastAsia" w:ascii="仿宋" w:hAnsi="仿宋" w:eastAsia="仿宋" w:cs="仿宋"/>
              </w:rPr>
            </w:pPr>
          </w:p>
        </w:tc>
        <w:tc>
          <w:tcPr>
            <w:tcW w:w="808" w:type="dxa"/>
            <w:vMerge w:val="continue"/>
            <w:tcBorders>
              <w:top w:val="nil"/>
              <w:left w:val="nil"/>
              <w:bottom w:val="single" w:color="auto" w:sz="4" w:space="0"/>
              <w:right w:val="single" w:color="000000" w:sz="4" w:space="0"/>
            </w:tcBorders>
            <w:noWrap w:val="0"/>
            <w:vAlign w:val="center"/>
          </w:tcPr>
          <w:p>
            <w:pPr>
              <w:rPr>
                <w:rFonts w:hint="eastAsia" w:ascii="仿宋" w:hAnsi="仿宋" w:eastAsia="仿宋" w:cs="仿宋"/>
              </w:rPr>
            </w:pPr>
          </w:p>
        </w:tc>
        <w:tc>
          <w:tcPr>
            <w:tcW w:w="88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年初项目预算执行率</w:t>
            </w:r>
          </w:p>
        </w:tc>
        <w:tc>
          <w:tcPr>
            <w:tcW w:w="3513" w:type="dxa"/>
            <w:tcBorders>
              <w:top w:val="nil"/>
              <w:left w:val="nil"/>
              <w:bottom w:val="single" w:color="000000" w:sz="4" w:space="0"/>
              <w:right w:val="single" w:color="000000" w:sz="4" w:space="0"/>
            </w:tcBorders>
            <w:noWrap w:val="0"/>
            <w:vAlign w:val="center"/>
          </w:tcPr>
          <w:p>
            <w:pPr>
              <w:widowControl/>
              <w:autoSpaceDN w:val="0"/>
              <w:jc w:val="left"/>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反映年初项目支出预算的执行情况。年初预算执行率=（年初项目预算实际支出数/年初项目预算安排数）*100%</w:t>
            </w:r>
          </w:p>
        </w:tc>
        <w:tc>
          <w:tcPr>
            <w:tcW w:w="62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&gt;=</w:t>
            </w:r>
          </w:p>
        </w:tc>
        <w:tc>
          <w:tcPr>
            <w:tcW w:w="66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90</w:t>
            </w:r>
          </w:p>
        </w:tc>
        <w:tc>
          <w:tcPr>
            <w:tcW w:w="208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百分比</w:t>
            </w:r>
          </w:p>
        </w:tc>
      </w:tr>
      <w:tr>
        <w:trPr>
          <w:trHeight w:val="645" w:hRule="atLeast"/>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rPr>
            </w:pPr>
          </w:p>
        </w:tc>
        <w:tc>
          <w:tcPr>
            <w:tcW w:w="416" w:type="dxa"/>
            <w:vMerge w:val="continue"/>
            <w:tcBorders>
              <w:top w:val="nil"/>
              <w:left w:val="nil"/>
              <w:bottom w:val="single" w:color="000000" w:sz="4" w:space="0"/>
              <w:right w:val="single" w:color="000000" w:sz="4" w:space="0"/>
            </w:tcBorders>
            <w:noWrap w:val="0"/>
            <w:vAlign w:val="center"/>
          </w:tcPr>
          <w:p>
            <w:pPr>
              <w:rPr>
                <w:rFonts w:hint="eastAsia" w:ascii="仿宋" w:hAnsi="仿宋" w:eastAsia="仿宋" w:cs="仿宋"/>
              </w:rPr>
            </w:pPr>
          </w:p>
        </w:tc>
        <w:tc>
          <w:tcPr>
            <w:tcW w:w="808" w:type="dxa"/>
            <w:vMerge w:val="continue"/>
            <w:tcBorders>
              <w:top w:val="nil"/>
              <w:left w:val="nil"/>
              <w:bottom w:val="single" w:color="auto" w:sz="4" w:space="0"/>
              <w:right w:val="single" w:color="000000" w:sz="4" w:space="0"/>
            </w:tcBorders>
            <w:noWrap w:val="0"/>
            <w:vAlign w:val="center"/>
          </w:tcPr>
          <w:p>
            <w:pPr>
              <w:rPr>
                <w:rFonts w:hint="eastAsia" w:ascii="仿宋" w:hAnsi="仿宋" w:eastAsia="仿宋" w:cs="仿宋"/>
              </w:rPr>
            </w:pPr>
          </w:p>
        </w:tc>
        <w:tc>
          <w:tcPr>
            <w:tcW w:w="883" w:type="dxa"/>
            <w:tcBorders>
              <w:top w:val="nil"/>
              <w:left w:val="nil"/>
              <w:bottom w:val="single" w:color="auto"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预算支出进度</w:t>
            </w:r>
          </w:p>
        </w:tc>
        <w:tc>
          <w:tcPr>
            <w:tcW w:w="3513" w:type="dxa"/>
            <w:tcBorders>
              <w:top w:val="nil"/>
              <w:left w:val="nil"/>
              <w:bottom w:val="single" w:color="auto" w:sz="4" w:space="0"/>
              <w:right w:val="single" w:color="000000" w:sz="4" w:space="0"/>
            </w:tcBorders>
            <w:noWrap w:val="0"/>
            <w:vAlign w:val="center"/>
          </w:tcPr>
          <w:p>
            <w:pPr>
              <w:widowControl/>
              <w:autoSpaceDN w:val="0"/>
              <w:jc w:val="left"/>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反映部门预算支出的进度。</w:t>
            </w:r>
          </w:p>
        </w:tc>
        <w:tc>
          <w:tcPr>
            <w:tcW w:w="624" w:type="dxa"/>
            <w:tcBorders>
              <w:top w:val="nil"/>
              <w:left w:val="nil"/>
              <w:bottom w:val="single" w:color="auto"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&gt;=</w:t>
            </w:r>
          </w:p>
        </w:tc>
        <w:tc>
          <w:tcPr>
            <w:tcW w:w="663" w:type="dxa"/>
            <w:tcBorders>
              <w:top w:val="nil"/>
              <w:left w:val="nil"/>
              <w:bottom w:val="single" w:color="auto"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95</w:t>
            </w:r>
          </w:p>
        </w:tc>
        <w:tc>
          <w:tcPr>
            <w:tcW w:w="2084" w:type="dxa"/>
            <w:tcBorders>
              <w:top w:val="nil"/>
              <w:left w:val="nil"/>
              <w:bottom w:val="single" w:color="auto"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百分比</w:t>
            </w:r>
          </w:p>
        </w:tc>
      </w:tr>
      <w:tr>
        <w:trPr>
          <w:trHeight w:val="1335" w:hRule="atLeast"/>
        </w:trPr>
        <w:tc>
          <w:tcPr>
            <w:tcW w:w="451" w:type="dxa"/>
            <w:vMerge w:val="continue"/>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 w:hAnsi="仿宋" w:eastAsia="仿宋" w:cs="仿宋"/>
              </w:rPr>
            </w:pPr>
          </w:p>
        </w:tc>
        <w:tc>
          <w:tcPr>
            <w:tcW w:w="416" w:type="dxa"/>
            <w:vMerge w:val="continue"/>
            <w:tcBorders>
              <w:top w:val="nil"/>
              <w:left w:val="nil"/>
              <w:bottom w:val="single" w:color="auto" w:sz="4" w:space="0"/>
              <w:right w:val="single" w:color="auto" w:sz="4" w:space="0"/>
            </w:tcBorders>
            <w:noWrap w:val="0"/>
            <w:vAlign w:val="center"/>
          </w:tcPr>
          <w:p>
            <w:pPr>
              <w:rPr>
                <w:rFonts w:hint="eastAsia" w:ascii="仿宋" w:hAnsi="仿宋" w:eastAsia="仿宋" w:cs="仿宋"/>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成本指标</w:t>
            </w:r>
          </w:p>
        </w:tc>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一般性支出压减率</w:t>
            </w:r>
          </w:p>
        </w:tc>
        <w:tc>
          <w:tcPr>
            <w:tcW w:w="3513"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left"/>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反映一般性支出的压减情况。一般性支出压减率=[（当年年初预算一般性支出数-上年年初预算一般性支出数）/上年年初预算一般性支出数）]*100%</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&gt;=</w:t>
            </w: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5</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百分比</w:t>
            </w:r>
          </w:p>
        </w:tc>
      </w:tr>
      <w:tr>
        <w:trPr>
          <w:trHeight w:val="900" w:hRule="atLeast"/>
        </w:trPr>
        <w:tc>
          <w:tcPr>
            <w:tcW w:w="4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年度  绩效  指标</w:t>
            </w:r>
          </w:p>
        </w:tc>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效果指标</w:t>
            </w:r>
          </w:p>
        </w:tc>
        <w:tc>
          <w:tcPr>
            <w:tcW w:w="808" w:type="dxa"/>
            <w:tcBorders>
              <w:top w:val="single" w:color="auto" w:sz="4" w:space="0"/>
              <w:left w:val="single" w:color="auto"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经济效益指标</w:t>
            </w:r>
          </w:p>
        </w:tc>
        <w:tc>
          <w:tcPr>
            <w:tcW w:w="883" w:type="dxa"/>
            <w:tcBorders>
              <w:top w:val="single" w:color="auto" w:sz="4" w:space="0"/>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重大决策部署落实的调研工作完成率</w:t>
            </w:r>
          </w:p>
        </w:tc>
        <w:tc>
          <w:tcPr>
            <w:tcW w:w="3513" w:type="dxa"/>
            <w:tcBorders>
              <w:top w:val="single" w:color="auto" w:sz="4" w:space="0"/>
              <w:left w:val="nil"/>
              <w:bottom w:val="single" w:color="000000" w:sz="4" w:space="0"/>
              <w:right w:val="single" w:color="000000" w:sz="4" w:space="0"/>
            </w:tcBorders>
            <w:noWrap w:val="0"/>
            <w:vAlign w:val="center"/>
          </w:tcPr>
          <w:p>
            <w:pPr>
              <w:widowControl/>
              <w:autoSpaceDN w:val="0"/>
              <w:jc w:val="left"/>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实际完成的调研工作量占计划完成量的比例</w:t>
            </w:r>
          </w:p>
        </w:tc>
        <w:tc>
          <w:tcPr>
            <w:tcW w:w="624" w:type="dxa"/>
            <w:tcBorders>
              <w:top w:val="single" w:color="auto" w:sz="4" w:space="0"/>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&gt;=</w:t>
            </w:r>
          </w:p>
        </w:tc>
        <w:tc>
          <w:tcPr>
            <w:tcW w:w="663" w:type="dxa"/>
            <w:tcBorders>
              <w:top w:val="single" w:color="auto" w:sz="4" w:space="0"/>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90</w:t>
            </w:r>
          </w:p>
        </w:tc>
        <w:tc>
          <w:tcPr>
            <w:tcW w:w="2084" w:type="dxa"/>
            <w:tcBorders>
              <w:top w:val="single" w:color="auto" w:sz="4" w:space="0"/>
              <w:left w:val="nil"/>
              <w:bottom w:val="single" w:color="auto"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百分比</w:t>
            </w:r>
          </w:p>
        </w:tc>
      </w:tr>
      <w:tr>
        <w:trPr>
          <w:trHeight w:val="1822" w:hRule="atLeast"/>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rPr>
            </w:pPr>
          </w:p>
        </w:tc>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rPr>
            </w:pPr>
          </w:p>
        </w:tc>
        <w:tc>
          <w:tcPr>
            <w:tcW w:w="808" w:type="dxa"/>
            <w:tcBorders>
              <w:top w:val="nil"/>
              <w:left w:val="single" w:color="auto"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社会效益指标</w:t>
            </w:r>
          </w:p>
        </w:tc>
        <w:tc>
          <w:tcPr>
            <w:tcW w:w="88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接受党史教育人数</w:t>
            </w:r>
          </w:p>
        </w:tc>
        <w:tc>
          <w:tcPr>
            <w:tcW w:w="3513" w:type="dxa"/>
            <w:tcBorders>
              <w:top w:val="nil"/>
              <w:left w:val="nil"/>
              <w:bottom w:val="single" w:color="000000" w:sz="4" w:space="0"/>
              <w:right w:val="single" w:color="000000" w:sz="4" w:space="0"/>
            </w:tcBorders>
            <w:noWrap w:val="0"/>
            <w:vAlign w:val="center"/>
          </w:tcPr>
          <w:p>
            <w:pPr>
              <w:widowControl/>
              <w:autoSpaceDN w:val="0"/>
              <w:jc w:val="left"/>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年内接受党史知识、爱国主义教育人数同比增加</w:t>
            </w:r>
          </w:p>
        </w:tc>
        <w:tc>
          <w:tcPr>
            <w:tcW w:w="62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&gt;=</w:t>
            </w:r>
          </w:p>
        </w:tc>
        <w:tc>
          <w:tcPr>
            <w:tcW w:w="663" w:type="dxa"/>
            <w:tcBorders>
              <w:top w:val="nil"/>
              <w:left w:val="nil"/>
              <w:bottom w:val="single" w:color="000000" w:sz="4" w:space="0"/>
              <w:right w:val="single" w:color="auto" w:sz="4" w:space="0"/>
            </w:tcBorders>
            <w:noWrap w:val="0"/>
            <w:vAlign w:val="center"/>
          </w:tcPr>
          <w:p>
            <w:pPr>
              <w:widowControl/>
              <w:autoSpaceDN w:val="0"/>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widowControl/>
              <w:autoSpaceDN w:val="0"/>
              <w:ind w:firstLine="600" w:firstLineChars="300"/>
              <w:jc w:val="both"/>
              <w:rPr>
                <w:rFonts w:hint="eastAsia" w:ascii="仿宋" w:hAnsi="仿宋" w:eastAsia="仿宋" w:cs="仿宋"/>
                <w:color w:val="333333"/>
                <w:kern w:val="0"/>
                <w:sz w:val="20"/>
                <w:szCs w:val="20"/>
                <w:lang w:bidi="ar-SA"/>
              </w:rPr>
            </w:pPr>
            <w:r>
              <w:rPr>
                <w:rFonts w:hint="eastAsia" w:ascii="仿宋" w:hAnsi="仿宋" w:eastAsia="仿宋" w:cs="仿宋"/>
                <w:color w:val="000000"/>
                <w:kern w:val="0"/>
                <w:sz w:val="20"/>
                <w:szCs w:val="20"/>
                <w:lang w:bidi="ar-SA"/>
              </w:rPr>
              <w:t>百分比</w:t>
            </w:r>
          </w:p>
        </w:tc>
      </w:tr>
      <w:tr>
        <w:trPr>
          <w:trHeight w:val="1110" w:hRule="atLeast"/>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rPr>
            </w:pPr>
          </w:p>
        </w:tc>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rPr>
            </w:pPr>
          </w:p>
        </w:tc>
        <w:tc>
          <w:tcPr>
            <w:tcW w:w="808" w:type="dxa"/>
            <w:tcBorders>
              <w:top w:val="nil"/>
              <w:left w:val="single" w:color="auto"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可持续影响指标</w:t>
            </w:r>
          </w:p>
        </w:tc>
        <w:tc>
          <w:tcPr>
            <w:tcW w:w="88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SA"/>
              </w:rPr>
            </w:pPr>
            <w:r>
              <w:rPr>
                <w:rFonts w:hint="eastAsia" w:ascii="仿宋" w:hAnsi="仿宋" w:eastAsia="仿宋" w:cs="仿宋"/>
                <w:i w:val="0"/>
                <w:iCs w:val="0"/>
                <w:color w:val="000000"/>
                <w:kern w:val="0"/>
                <w:sz w:val="20"/>
                <w:szCs w:val="20"/>
                <w:u w:val="none"/>
                <w:lang w:val="en-US" w:eastAsia="zh-CN" w:bidi="ar"/>
              </w:rPr>
              <w:t>党风廉政建设宣传工作完成率</w:t>
            </w:r>
          </w:p>
        </w:tc>
        <w:tc>
          <w:tcPr>
            <w:tcW w:w="351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SA"/>
              </w:rPr>
            </w:pPr>
            <w:r>
              <w:rPr>
                <w:rFonts w:hint="eastAsia" w:ascii="仿宋" w:hAnsi="仿宋" w:eastAsia="仿宋" w:cs="仿宋"/>
                <w:i w:val="0"/>
                <w:iCs w:val="0"/>
                <w:color w:val="000000"/>
                <w:kern w:val="0"/>
                <w:sz w:val="20"/>
                <w:szCs w:val="20"/>
                <w:u w:val="none"/>
                <w:lang w:val="en-US" w:eastAsia="zh-CN" w:bidi="ar"/>
              </w:rPr>
              <w:t>年度内已完成的党风廉政建设宣传工作量占年初计划量的比例</w:t>
            </w:r>
          </w:p>
        </w:tc>
        <w:tc>
          <w:tcPr>
            <w:tcW w:w="62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&gt;=</w:t>
            </w:r>
          </w:p>
        </w:tc>
        <w:tc>
          <w:tcPr>
            <w:tcW w:w="66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val="en-US" w:eastAsia="zh-CN" w:bidi="ar-SA"/>
              </w:rPr>
              <w:t>90</w:t>
            </w:r>
          </w:p>
        </w:tc>
        <w:tc>
          <w:tcPr>
            <w:tcW w:w="2084" w:type="dxa"/>
            <w:tcBorders>
              <w:top w:val="single" w:color="auto" w:sz="4" w:space="0"/>
              <w:left w:val="nil"/>
              <w:bottom w:val="single" w:color="auto"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百分比</w:t>
            </w:r>
          </w:p>
        </w:tc>
      </w:tr>
      <w:tr>
        <w:trPr>
          <w:trHeight w:val="960" w:hRule="atLeast"/>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rPr>
            </w:pPr>
          </w:p>
        </w:tc>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rPr>
            </w:pPr>
          </w:p>
        </w:tc>
        <w:tc>
          <w:tcPr>
            <w:tcW w:w="808" w:type="dxa"/>
            <w:tcBorders>
              <w:top w:val="nil"/>
              <w:left w:val="single" w:color="auto"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可持续影响指标</w:t>
            </w:r>
          </w:p>
        </w:tc>
        <w:tc>
          <w:tcPr>
            <w:tcW w:w="88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SA"/>
              </w:rPr>
            </w:pPr>
            <w:r>
              <w:rPr>
                <w:rFonts w:hint="eastAsia" w:ascii="仿宋" w:hAnsi="仿宋" w:eastAsia="仿宋" w:cs="仿宋"/>
                <w:i w:val="0"/>
                <w:iCs w:val="0"/>
                <w:color w:val="000000"/>
                <w:kern w:val="0"/>
                <w:sz w:val="20"/>
                <w:szCs w:val="20"/>
                <w:u w:val="none"/>
                <w:lang w:val="en-US" w:eastAsia="zh-CN" w:bidi="ar"/>
              </w:rPr>
              <w:t>省级文明城市年度测评</w:t>
            </w:r>
          </w:p>
        </w:tc>
        <w:tc>
          <w:tcPr>
            <w:tcW w:w="351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bidi="ar-SA"/>
              </w:rPr>
            </w:pPr>
            <w:r>
              <w:rPr>
                <w:rFonts w:hint="eastAsia" w:ascii="仿宋" w:hAnsi="仿宋" w:eastAsia="仿宋" w:cs="仿宋"/>
                <w:i w:val="0"/>
                <w:iCs w:val="0"/>
                <w:color w:val="000000"/>
                <w:kern w:val="0"/>
                <w:sz w:val="20"/>
                <w:szCs w:val="20"/>
                <w:u w:val="none"/>
                <w:lang w:val="en-US" w:eastAsia="zh-CN" w:bidi="ar"/>
              </w:rPr>
              <w:t>反映文明城市创建督导检查情况</w:t>
            </w:r>
          </w:p>
        </w:tc>
        <w:tc>
          <w:tcPr>
            <w:tcW w:w="62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bidi="ar-SA"/>
              </w:rPr>
            </w:pPr>
            <w:r>
              <w:rPr>
                <w:rFonts w:hint="eastAsia" w:ascii="仿宋" w:hAnsi="仿宋" w:eastAsia="仿宋" w:cs="仿宋"/>
                <w:i w:val="0"/>
                <w:iCs w:val="0"/>
                <w:color w:val="000000"/>
                <w:kern w:val="0"/>
                <w:sz w:val="20"/>
                <w:szCs w:val="20"/>
                <w:u w:val="none"/>
                <w:lang w:val="en-US" w:eastAsia="zh-CN" w:bidi="ar"/>
              </w:rPr>
              <w:t>文字描述</w:t>
            </w:r>
          </w:p>
        </w:tc>
        <w:tc>
          <w:tcPr>
            <w:tcW w:w="663" w:type="dxa"/>
            <w:tcBorders>
              <w:top w:val="nil"/>
              <w:left w:val="nil"/>
              <w:bottom w:val="single" w:color="000000" w:sz="4" w:space="0"/>
              <w:right w:val="single" w:color="auto" w:sz="4" w:space="0"/>
            </w:tcBorders>
            <w:noWrap w:val="0"/>
            <w:vAlign w:val="center"/>
          </w:tcPr>
          <w:p>
            <w:pPr>
              <w:jc w:val="center"/>
              <w:rPr>
                <w:rFonts w:hint="eastAsia" w:ascii="仿宋" w:hAnsi="仿宋" w:eastAsia="仿宋" w:cs="仿宋"/>
                <w:color w:val="000000"/>
                <w:kern w:val="0"/>
                <w:sz w:val="20"/>
                <w:szCs w:val="20"/>
                <w:lang w:bidi="ar-SA"/>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333333"/>
                <w:kern w:val="0"/>
                <w:sz w:val="20"/>
                <w:szCs w:val="20"/>
                <w:lang w:bidi="ar-SA"/>
              </w:rPr>
            </w:pPr>
            <w:r>
              <w:rPr>
                <w:rFonts w:hint="eastAsia" w:ascii="仿宋" w:hAnsi="仿宋" w:eastAsia="仿宋" w:cs="仿宋"/>
                <w:i w:val="0"/>
                <w:iCs w:val="0"/>
                <w:color w:val="000000"/>
                <w:kern w:val="0"/>
                <w:sz w:val="20"/>
                <w:szCs w:val="20"/>
                <w:u w:val="none"/>
                <w:lang w:val="en-US" w:eastAsia="zh-CN" w:bidi="ar"/>
              </w:rPr>
              <w:t>加强对窗口单位文明城市创建督导检查工作</w:t>
            </w:r>
          </w:p>
        </w:tc>
      </w:tr>
      <w:tr>
        <w:trPr>
          <w:trHeight w:val="1110" w:hRule="atLeast"/>
        </w:trPr>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rPr>
            </w:pPr>
          </w:p>
        </w:tc>
        <w:tc>
          <w:tcPr>
            <w:tcW w:w="416" w:type="dxa"/>
            <w:tcBorders>
              <w:top w:val="single" w:color="auto" w:sz="4" w:space="0"/>
              <w:left w:val="single" w:color="auto"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满意度指标</w:t>
            </w:r>
          </w:p>
        </w:tc>
        <w:tc>
          <w:tcPr>
            <w:tcW w:w="808"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服务对象满意度指标</w:t>
            </w:r>
          </w:p>
        </w:tc>
        <w:tc>
          <w:tcPr>
            <w:tcW w:w="883" w:type="dxa"/>
            <w:tcBorders>
              <w:top w:val="nil"/>
              <w:left w:val="nil"/>
              <w:bottom w:val="single" w:color="000000" w:sz="4" w:space="0"/>
              <w:right w:val="single" w:color="000000" w:sz="4" w:space="0"/>
            </w:tcBorders>
            <w:noWrap w:val="0"/>
            <w:vAlign w:val="center"/>
          </w:tcPr>
          <w:p>
            <w:pPr>
              <w:widowControl/>
              <w:autoSpaceDN w:val="0"/>
              <w:jc w:val="left"/>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服务对象满意度</w:t>
            </w:r>
          </w:p>
        </w:tc>
        <w:tc>
          <w:tcPr>
            <w:tcW w:w="3513" w:type="dxa"/>
            <w:tcBorders>
              <w:top w:val="nil"/>
              <w:left w:val="nil"/>
              <w:bottom w:val="single" w:color="000000" w:sz="4" w:space="0"/>
              <w:right w:val="single" w:color="000000" w:sz="4" w:space="0"/>
            </w:tcBorders>
            <w:noWrap w:val="0"/>
            <w:vAlign w:val="center"/>
          </w:tcPr>
          <w:p>
            <w:pPr>
              <w:widowControl/>
              <w:autoSpaceDN w:val="0"/>
              <w:jc w:val="left"/>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社会公众或服务对象对本部门主要职能工作开展情况的满意程度，一般采用通过调查问卷、访谈等方式</w:t>
            </w:r>
          </w:p>
        </w:tc>
        <w:tc>
          <w:tcPr>
            <w:tcW w:w="624"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&gt;=</w:t>
            </w:r>
          </w:p>
        </w:tc>
        <w:tc>
          <w:tcPr>
            <w:tcW w:w="663" w:type="dxa"/>
            <w:tcBorders>
              <w:top w:val="nil"/>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90</w:t>
            </w:r>
          </w:p>
        </w:tc>
        <w:tc>
          <w:tcPr>
            <w:tcW w:w="2084" w:type="dxa"/>
            <w:tcBorders>
              <w:top w:val="single" w:color="auto" w:sz="4" w:space="0"/>
              <w:left w:val="nil"/>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20"/>
                <w:szCs w:val="20"/>
                <w:lang w:bidi="ar-SA"/>
              </w:rPr>
            </w:pPr>
            <w:r>
              <w:rPr>
                <w:rFonts w:hint="eastAsia" w:ascii="仿宋" w:hAnsi="仿宋" w:eastAsia="仿宋" w:cs="仿宋"/>
                <w:color w:val="000000"/>
                <w:kern w:val="0"/>
                <w:sz w:val="20"/>
                <w:szCs w:val="20"/>
                <w:lang w:bidi="ar-SA"/>
              </w:rPr>
              <w:t>百分比</w:t>
            </w:r>
          </w:p>
        </w:tc>
      </w:tr>
    </w:tbl>
    <w:p>
      <w:pPr>
        <w:keepNext w:val="0"/>
        <w:keepLines w:val="0"/>
        <w:pageBreakBefore w:val="0"/>
        <w:widowControl w:val="0"/>
        <w:kinsoku/>
        <w:wordWrap/>
        <w:overflowPunct/>
        <w:topLinePunct w:val="0"/>
        <w:autoSpaceDE/>
        <w:autoSpaceDN/>
        <w:bidi w:val="0"/>
        <w:adjustRightInd w:val="0"/>
        <w:snapToGrid w:val="0"/>
        <w:spacing w:line="570" w:lineRule="exact"/>
        <w:ind w:firstLine="320" w:firstLineChars="1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（三）部门整体绩效评价方法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我办</w:t>
      </w:r>
      <w:r>
        <w:rPr>
          <w:rFonts w:hint="eastAsia" w:ascii="仿宋" w:hAnsi="仿宋" w:eastAsia="仿宋" w:cs="仿宋"/>
          <w:sz w:val="32"/>
          <w:szCs w:val="32"/>
        </w:rPr>
        <w:t>成立了</w:t>
      </w:r>
      <w:r>
        <w:rPr>
          <w:rFonts w:hint="eastAsia" w:ascii="仿宋" w:hAnsi="仿宋" w:eastAsia="仿宋" w:cs="仿宋"/>
          <w:sz w:val="32"/>
          <w:szCs w:val="32"/>
          <w:lang w:eastAsia="zh-CN"/>
        </w:rPr>
        <w:t>以各</w:t>
      </w:r>
      <w:r>
        <w:rPr>
          <w:rFonts w:hint="eastAsia" w:ascii="仿宋" w:hAnsi="仿宋" w:eastAsia="仿宋" w:cs="仿宋"/>
          <w:sz w:val="32"/>
          <w:szCs w:val="32"/>
        </w:rPr>
        <w:t>项目科室负责人为</w:t>
      </w:r>
      <w:r>
        <w:rPr>
          <w:rFonts w:hint="eastAsia" w:ascii="仿宋" w:hAnsi="仿宋" w:eastAsia="仿宋" w:cs="仿宋"/>
          <w:sz w:val="32"/>
          <w:szCs w:val="32"/>
          <w:lang w:eastAsia="zh-CN"/>
        </w:rPr>
        <w:t>主要</w:t>
      </w:r>
      <w:r>
        <w:rPr>
          <w:rFonts w:hint="eastAsia" w:ascii="仿宋" w:hAnsi="仿宋" w:eastAsia="仿宋" w:cs="仿宋"/>
          <w:sz w:val="32"/>
          <w:szCs w:val="32"/>
        </w:rPr>
        <w:t>成员的绩效自评工作小组，</w:t>
      </w:r>
      <w:r>
        <w:rPr>
          <w:rFonts w:hint="eastAsia" w:ascii="仿宋" w:hAnsi="仿宋" w:eastAsia="仿宋" w:cs="仿宋"/>
          <w:sz w:val="32"/>
          <w:szCs w:val="32"/>
          <w:lang w:eastAsia="zh-CN"/>
        </w:rPr>
        <w:t>小组</w:t>
      </w:r>
      <w:r>
        <w:rPr>
          <w:rFonts w:hint="eastAsia" w:ascii="仿宋" w:hAnsi="仿宋" w:eastAsia="仿宋" w:cs="仿宋"/>
          <w:sz w:val="32"/>
          <w:szCs w:val="32"/>
        </w:rPr>
        <w:t>办公室设在</w:t>
      </w:r>
      <w:r>
        <w:rPr>
          <w:rFonts w:hint="eastAsia" w:ascii="仿宋" w:hAnsi="仿宋" w:eastAsia="仿宋" w:cs="仿宋"/>
          <w:sz w:val="32"/>
          <w:szCs w:val="32"/>
          <w:lang w:eastAsia="zh-CN"/>
        </w:rPr>
        <w:t>行政</w:t>
      </w:r>
      <w:r>
        <w:rPr>
          <w:rFonts w:hint="eastAsia" w:ascii="仿宋" w:hAnsi="仿宋" w:eastAsia="仿宋" w:cs="仿宋"/>
          <w:sz w:val="32"/>
          <w:szCs w:val="32"/>
        </w:rPr>
        <w:t>科。评价小组明确了职责分工和项目绩效评价责任人员。</w:t>
      </w:r>
      <w:r>
        <w:rPr>
          <w:rFonts w:hint="eastAsia" w:ascii="仿宋" w:hAnsi="仿宋" w:eastAsia="仿宋" w:cs="仿宋"/>
          <w:sz w:val="32"/>
          <w:szCs w:val="32"/>
          <w:lang w:bidi="ar-SA"/>
        </w:rPr>
        <w:t>评价</w:t>
      </w:r>
      <w:r>
        <w:rPr>
          <w:rFonts w:hint="eastAsia" w:ascii="仿宋" w:hAnsi="仿宋" w:eastAsia="仿宋" w:cs="仿宋"/>
          <w:sz w:val="32"/>
          <w:szCs w:val="32"/>
          <w:lang w:eastAsia="zh-CN" w:bidi="ar-SA"/>
        </w:rPr>
        <w:t>小</w:t>
      </w:r>
      <w:r>
        <w:rPr>
          <w:rFonts w:hint="eastAsia" w:ascii="仿宋" w:hAnsi="仿宋" w:eastAsia="仿宋" w:cs="仿宋"/>
          <w:sz w:val="32"/>
          <w:szCs w:val="32"/>
          <w:lang w:bidi="ar-SA"/>
        </w:rPr>
        <w:t>组本着客观、公正的原则开展自评工作，通过项目年初预算设定的绩效指标，对项目整体运行情况，设定评价标准，并利用前后对比法评价项目完工后各指标的实现情况，以及评价项目的执行效果。</w:t>
      </w:r>
    </w:p>
    <w:p>
      <w:pPr>
        <w:keepNext w:val="0"/>
        <w:keepLines w:val="0"/>
        <w:pageBreakBefore w:val="0"/>
        <w:widowControl w:val="0"/>
        <w:kinsoku/>
        <w:wordWrap/>
        <w:overflowPunct/>
        <w:topLinePunct w:val="0"/>
        <w:autoSpaceDE/>
        <w:autoSpaceDN/>
        <w:bidi w:val="0"/>
        <w:spacing w:line="57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w:t>
      </w:r>
      <w:r>
        <w:rPr>
          <w:rFonts w:hint="eastAsia" w:ascii="仿宋" w:hAnsi="仿宋" w:eastAsia="仿宋" w:cs="仿宋"/>
          <w:b/>
          <w:sz w:val="32"/>
          <w:szCs w:val="32"/>
          <w:lang w:val="en-US" w:eastAsia="zh-CN"/>
        </w:rPr>
        <w:t>部门绩效管理开展的整体</w:t>
      </w:r>
      <w:r>
        <w:rPr>
          <w:rFonts w:hint="eastAsia" w:ascii="仿宋" w:hAnsi="仿宋" w:eastAsia="仿宋" w:cs="仿宋"/>
          <w:b/>
          <w:sz w:val="32"/>
          <w:szCs w:val="32"/>
        </w:rPr>
        <w:t>绩效实现情况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单位因新冠疫情影响，调减了部分预算资金，个别预算项目没有开展，预算完成率为89.83%，2021年初部门预算批复金额1516.92万元，2021年度部门实际财政支出1362.6万元：其中基本支出1001.39万元（人员经费750.67万元，日常公用经费250.72万元），项目支出361.21万元。整体支出情况良好，根据年初工作规划和重点性工作要求，较好的完成了年度工作目标，在公文办理、会议活动、督查调研、信息收集、党员素质提高、党史宣传、疫情防控等各项工作取得了较好的成效。通过加强预算收支管理，部门整体支出管理情况得到提升。1、经济效益：节省财政支出,利用有效资源维持办公室系统的高效运转。2、从履职及履职效益情况来看，总体效果较好。从经济性来看，能够按照预算来抓好成本控制，强化勤俭办事的意识，注重节约开支，年度开支控制在财政局规定的范围内。项目支出符合相关财务规定要求，做到专款专用。3、从效率性来看，我办所承担的工作能够按照计划的时间把握进度，抓好质量，注重效率。4、项目社会效益显著，服务对象满意度较高，有效推进了部门绩效目标的实施。</w:t>
      </w:r>
    </w:p>
    <w:p>
      <w:pPr>
        <w:keepNext w:val="0"/>
        <w:keepLines w:val="0"/>
        <w:pageBreakBefore w:val="0"/>
        <w:widowControl w:val="0"/>
        <w:kinsoku/>
        <w:wordWrap/>
        <w:overflowPunct/>
        <w:topLinePunct w:val="0"/>
        <w:autoSpaceDE/>
        <w:autoSpaceDN/>
        <w:bidi w:val="0"/>
        <w:spacing w:line="570" w:lineRule="exact"/>
        <w:ind w:firstLine="642"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、存在的问题和建议</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（一）存在问题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通过对2021年部门整体绩效自评结果的分析，我单位经费的使用达到了预期的效果指标。但是在绩效管理中也存在的一些问题，如个别项目预算执行率低，预算资金未达到有效的利用，仍需进一步完善。</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1、加强组织学习，增强财务人员预算意识。组织单位财务人员认真学习财务相关法规、制度，提高单位领导对全面预算管理的重视程度，增强财务人员的预算意识。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2、规范财务运行，加强预算管理。从提高项目绩效预算入手，将绩效目标作为预算安排的重要依据，提高预算编制的科学性和准确性，强化预算执行，促进项目有效实施。</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五、其他需要说明的问题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楷体简体">
    <w:altName w:val="楷体"/>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BAB88"/>
    <w:multiLevelType w:val="singleLevel"/>
    <w:tmpl w:val="704BAB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NTE1NTYyYjg4YjgzZTczZjgyYjI2MjA2NDJlZjI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116CF"/>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06CA"/>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492200A"/>
    <w:rsid w:val="077757DB"/>
    <w:rsid w:val="0A5630F5"/>
    <w:rsid w:val="0F363C06"/>
    <w:rsid w:val="12E56837"/>
    <w:rsid w:val="14D040CB"/>
    <w:rsid w:val="1DCB2A83"/>
    <w:rsid w:val="23E81748"/>
    <w:rsid w:val="24002DE1"/>
    <w:rsid w:val="2522352D"/>
    <w:rsid w:val="271C25BD"/>
    <w:rsid w:val="29BE6BD8"/>
    <w:rsid w:val="2CA4107D"/>
    <w:rsid w:val="34E93D69"/>
    <w:rsid w:val="35A83056"/>
    <w:rsid w:val="3B5F71AE"/>
    <w:rsid w:val="3BC0045C"/>
    <w:rsid w:val="3BC35E2D"/>
    <w:rsid w:val="3D2E1997"/>
    <w:rsid w:val="3D4C1B2F"/>
    <w:rsid w:val="455E2908"/>
    <w:rsid w:val="46A016EB"/>
    <w:rsid w:val="46E958CA"/>
    <w:rsid w:val="4C5D79D1"/>
    <w:rsid w:val="4CC65D1A"/>
    <w:rsid w:val="4CF0227A"/>
    <w:rsid w:val="504F62F2"/>
    <w:rsid w:val="52EA0328"/>
    <w:rsid w:val="55B61314"/>
    <w:rsid w:val="56C0287A"/>
    <w:rsid w:val="578E2A06"/>
    <w:rsid w:val="5C0D1B17"/>
    <w:rsid w:val="5D913A44"/>
    <w:rsid w:val="676D41CF"/>
    <w:rsid w:val="6A41602C"/>
    <w:rsid w:val="6C535139"/>
    <w:rsid w:val="6DC73180"/>
    <w:rsid w:val="6E921C9A"/>
    <w:rsid w:val="707C5270"/>
    <w:rsid w:val="72364DAE"/>
    <w:rsid w:val="77EE5EB0"/>
    <w:rsid w:val="BB93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cs="宋体"/>
      <w:kern w:val="0"/>
      <w:sz w:val="24"/>
      <w:lang w:bidi="ar-SA"/>
    </w:rPr>
  </w:style>
  <w:style w:type="paragraph" w:styleId="3">
    <w:name w:val="Balloon Text"/>
    <w:basedOn w:val="1"/>
    <w:link w:val="7"/>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4325</Words>
  <Characters>4490</Characters>
  <Lines>3</Lines>
  <Paragraphs>1</Paragraphs>
  <TotalTime>6</TotalTime>
  <ScaleCrop>false</ScaleCrop>
  <LinksUpToDate>false</LinksUpToDate>
  <CharactersWithSpaces>4569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2020-08-27T16:17:00Z</dcterms:created>
  <dc:creator>panbo</dc:creator>
  <cp:lastModifiedBy>admin2021</cp:lastModifiedBy>
  <cp:lastPrinted>2022-04-28T08:55:00Z</cp:lastPrinted>
  <dcterms:modified xsi:type="dcterms:W3CDTF">2024-11-18T12:32:56Z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A9750EB5756041E9A8B200E9AC7B7752</vt:lpwstr>
  </property>
</Properties>
</file>