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小标宋简体"/>
          <w:sz w:val="52"/>
          <w:szCs w:val="52"/>
        </w:rPr>
      </w:pPr>
      <w:r>
        <w:rPr>
          <w:rFonts w:eastAsia="方正小标宋简体"/>
          <w:sz w:val="52"/>
          <w:szCs w:val="52"/>
        </w:rPr>
        <w:t>　　</w:t>
      </w:r>
    </w:p>
    <w:p>
      <w:pPr>
        <w:wordWrap/>
        <w:spacing w:line="600" w:lineRule="exact"/>
        <w:ind w:right="960" w:firstLineChars="1300" w:firstLine="4160"/>
        <w:jc w:val="left"/>
        <w:rPr>
          <w:rFonts w:eastAsia="仿宋_GB2312"/>
          <w:sz w:val="32"/>
          <w:szCs w:val="32"/>
          <w:lang w:val="en-US" w:eastAsia="zh-CN"/>
        </w:rPr>
      </w:pPr>
      <w:r>
        <w:rPr>
          <w:rFonts w:eastAsia="仿宋_GB2312" w:hint="eastAsia"/>
          <w:sz w:val="32"/>
          <w:szCs w:val="32"/>
          <w:lang w:val="en-US" w:eastAsia="zh-CN"/>
        </w:rPr>
        <w:t>是否同意公开：</w:t>
      </w:r>
      <w:r>
        <w:rPr>
          <w:rFonts w:eastAsia="仿宋_GB2312" w:hint="eastAsia"/>
          <w:w w:val="91"/>
          <w:sz w:val="32"/>
          <w:szCs w:val="32"/>
          <w:lang w:val="en-US" w:eastAsia="zh-CN"/>
        </w:rPr>
        <w:t>（是）</w:t>
      </w:r>
    </w:p>
    <w:p>
      <w:pPr>
        <w:spacing w:line="600" w:lineRule="exact"/>
        <w:ind w:right="640" w:firstLineChars="1300" w:firstLine="4160"/>
        <w:jc w:val="left"/>
        <w:rPr>
          <w:rFonts w:eastAsia="仿宋_GB2312"/>
          <w:sz w:val="32"/>
          <w:szCs w:val="32"/>
          <w:lang w:val="en-US" w:eastAsia="zh-CN"/>
        </w:rPr>
      </w:pPr>
      <w:r>
        <w:rPr>
          <w:rFonts w:eastAsia="仿宋_GB2312"/>
          <w:sz w:val="32"/>
          <w:szCs w:val="32"/>
        </w:rPr>
        <w:t>办理结果</w:t>
      </w:r>
      <w:r>
        <w:rPr>
          <w:rFonts w:eastAsia="仿宋_GB2312" w:hint="eastAsia"/>
          <w:sz w:val="32"/>
          <w:szCs w:val="32"/>
        </w:rPr>
        <w:t>：</w:t>
      </w:r>
      <w:r>
        <w:rPr>
          <w:rFonts w:eastAsia="仿宋_GB2312" w:hint="eastAsia"/>
          <w:sz w:val="32"/>
          <w:szCs w:val="32"/>
          <w:lang w:eastAsia="zh-CN"/>
        </w:rPr>
        <w:t>（</w:t>
      </w:r>
      <w:r>
        <w:rPr>
          <w:rFonts w:eastAsia="仿宋_GB2312" w:hint="eastAsia"/>
          <w:sz w:val="32"/>
          <w:szCs w:val="32"/>
          <w:lang w:val="en-US" w:eastAsia="zh-CN"/>
        </w:rPr>
        <w:t>A</w:t>
      </w:r>
      <w:r>
        <w:rPr>
          <w:rFonts w:eastAsia="仿宋_GB2312" w:hint="eastAsia"/>
          <w:sz w:val="32"/>
          <w:szCs w:val="32"/>
          <w:lang w:eastAsia="zh-CN"/>
        </w:rPr>
        <w:t>）</w:t>
      </w:r>
      <w:r>
        <w:rPr>
          <w:rFonts w:eastAsia="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eastAsia="仿宋_GB2312"/>
          <w:sz w:val="32"/>
          <w:szCs w:val="32"/>
        </w:rPr>
      </w:pPr>
      <w:r>
        <w:rPr>
          <w:rFonts w:eastAsia="仿宋_GB2312" w:hint="eastAsia"/>
          <w:sz w:val="32"/>
          <w:szCs w:val="32"/>
          <w:lang w:val="en-US" w:eastAsia="zh-CN"/>
        </w:rPr>
        <w:t xml:space="preserve">                          </w:t>
      </w:r>
      <w:r>
        <w:rPr>
          <w:rFonts w:eastAsia="仿宋_GB2312"/>
          <w:sz w:val="32"/>
          <w:szCs w:val="32"/>
          <w:lang w:val="en-US" w:eastAsia="zh-CN"/>
        </w:rPr>
        <w:t>提案</w:t>
      </w:r>
      <w:r>
        <w:rPr>
          <w:rFonts w:eastAsia="仿宋_GB2312"/>
          <w:sz w:val="32"/>
          <w:szCs w:val="32"/>
        </w:rPr>
        <w:t>字〔2024〕2号</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仿宋_GB2312"/>
          <w:sz w:val="32"/>
          <w:szCs w:val="32"/>
        </w:rPr>
      </w:pPr>
      <w:r>
        <w:rPr>
          <w:rFonts w:ascii="方正小标宋简体" w:eastAsia="方正小标宋简体" w:cs="方正小标宋简体"/>
          <w:sz w:val="44"/>
          <w:szCs w:val="44"/>
          <w:lang w:val="en-US" w:eastAsia="zh-CN" w:bidi="ar-SA"/>
        </w:rPr>
        <w:t>唐山市丰南区科技和工业信息化局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小标宋简体"/>
          <w:sz w:val="44"/>
          <w:szCs w:val="44"/>
        </w:rPr>
      </w:pPr>
      <w:r>
        <w:rPr>
          <w:rFonts w:eastAsia="方正小标宋简体"/>
          <w:sz w:val="44"/>
          <w:szCs w:val="44"/>
        </w:rPr>
        <w:t>对政协</w:t>
      </w:r>
      <w:r>
        <w:rPr>
          <w:rFonts w:eastAsia="方正小标宋简体"/>
          <w:sz w:val="44"/>
          <w:szCs w:val="44"/>
          <w:lang w:eastAsia="zh-CN"/>
        </w:rPr>
        <w:t>丰南区</w:t>
      </w:r>
      <w:r>
        <w:rPr>
          <w:rFonts w:eastAsia="方正小标宋简体"/>
          <w:sz w:val="44"/>
          <w:szCs w:val="44"/>
        </w:rPr>
        <w:t>第七届委员会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小标宋简体"/>
          <w:sz w:val="44"/>
          <w:szCs w:val="44"/>
        </w:rPr>
      </w:pPr>
      <w:r>
        <w:rPr>
          <w:rFonts w:eastAsia="方正小标宋简体"/>
          <w:sz w:val="44"/>
          <w:szCs w:val="44"/>
        </w:rPr>
        <w:t>第</w:t>
      </w:r>
      <w:r>
        <w:rPr>
          <w:rFonts w:eastAsia="方正小标宋简体" w:hint="eastAsia"/>
          <w:sz w:val="44"/>
          <w:szCs w:val="44"/>
          <w:lang w:eastAsia="zh-CN"/>
        </w:rPr>
        <w:t>四次</w:t>
      </w:r>
      <w:r>
        <w:rPr>
          <w:rFonts w:eastAsia="方正小标宋简体"/>
          <w:sz w:val="44"/>
          <w:szCs w:val="44"/>
        </w:rPr>
        <w:t>会议第44号提案的答复</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88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sz w:val="32"/>
          <w:szCs w:val="32"/>
        </w:rPr>
      </w:pPr>
      <w:r>
        <w:rPr>
          <w:rFonts w:eastAsia="仿宋_GB2312"/>
          <w:sz w:val="32"/>
          <w:szCs w:val="32"/>
        </w:rPr>
        <w:t>　　王立军委员</w:t>
      </w:r>
      <w:r>
        <w:rPr>
          <w:rFonts w:eastAsia="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eastAsia="仿宋_GB2312" w:hint="eastAsia"/>
          <w:sz w:val="32"/>
          <w:szCs w:val="32"/>
        </w:rPr>
      </w:pPr>
      <w:r>
        <w:rPr>
          <w:rFonts w:eastAsia="仿宋_GB2312"/>
          <w:sz w:val="32"/>
          <w:szCs w:val="32"/>
        </w:rPr>
        <w:t>您提出的</w:t>
      </w:r>
      <w:r>
        <w:rPr>
          <w:rFonts w:eastAsia="仿宋_GB2312" w:hint="eastAsia"/>
          <w:sz w:val="32"/>
          <w:szCs w:val="32"/>
        </w:rPr>
        <w:t>“</w:t>
      </w:r>
      <w:r>
        <w:rPr>
          <w:rFonts w:eastAsia="仿宋_GB2312" w:hint="eastAsia"/>
          <w:sz w:val="32"/>
          <w:szCs w:val="32"/>
          <w:lang w:val="en-US" w:eastAsia="zh-CN"/>
        </w:rPr>
        <w:t xml:space="preserve"> </w:t>
      </w:r>
      <w:r>
        <w:rPr>
          <w:rFonts w:eastAsia="仿宋_GB2312"/>
          <w:sz w:val="32"/>
          <w:szCs w:val="32"/>
          <w:lang w:val="en-US" w:eastAsia="zh-CN"/>
        </w:rPr>
        <w:t>扶持中小型民营企业，加快区域经济发展</w:t>
      </w:r>
      <w:r>
        <w:rPr>
          <w:rFonts w:eastAsia="仿宋_GB2312" w:hint="eastAsia"/>
          <w:sz w:val="32"/>
          <w:szCs w:val="32"/>
        </w:rPr>
        <w:t>”</w:t>
      </w:r>
      <w:r>
        <w:rPr>
          <w:rFonts w:eastAsia="仿宋_GB2312"/>
          <w:sz w:val="32"/>
          <w:szCs w:val="32"/>
        </w:rPr>
        <w:t>的提案收悉</w:t>
      </w:r>
      <w:r>
        <w:rPr>
          <w:rFonts w:eastAsia="仿宋_GB2312" w:hint="eastAsia"/>
          <w:sz w:val="32"/>
          <w:szCs w:val="32"/>
        </w:rPr>
        <w:t>，</w:t>
      </w:r>
      <w:r>
        <w:rPr>
          <w:rFonts w:eastAsia="仿宋_GB2312"/>
          <w:sz w:val="32"/>
          <w:szCs w:val="32"/>
        </w:rPr>
        <w:t>现答复如下</w:t>
      </w:r>
      <w:r>
        <w:rPr>
          <w:rFonts w:eastAsia="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eastAsia="仿宋_GB2312" w:cs="方正小标宋简体"/>
          <w:bCs/>
          <w:sz w:val="32"/>
          <w:szCs w:val="32"/>
          <w:lang w:val="en-US" w:eastAsia="zh-CN"/>
        </w:rPr>
      </w:pPr>
      <w:r>
        <w:rPr>
          <w:rFonts w:eastAsia="仿宋_GB2312" w:cs="方正小标宋简体"/>
          <w:bCs/>
          <w:sz w:val="32"/>
          <w:szCs w:val="32"/>
          <w:lang w:val="en-US" w:eastAsia="zh-CN"/>
        </w:rPr>
        <w:t>中小民营企业</w:t>
      </w:r>
      <w:r>
        <w:rPr>
          <w:rFonts w:eastAsia="仿宋_GB2312" w:cs="方正小标宋简体" w:hint="eastAsia"/>
          <w:bCs/>
          <w:sz w:val="32"/>
          <w:szCs w:val="32"/>
          <w:lang w:val="en-US" w:eastAsia="zh-CN"/>
        </w:rPr>
        <w:t>企业作为市场经济的</w:t>
      </w:r>
      <w:r>
        <w:rPr>
          <w:rFonts w:eastAsia="仿宋_GB2312" w:cs="方正小标宋简体"/>
          <w:bCs/>
          <w:sz w:val="32"/>
          <w:szCs w:val="32"/>
          <w:lang w:val="en-US" w:eastAsia="zh-CN"/>
        </w:rPr>
        <w:t>重要组成部分</w:t>
      </w:r>
      <w:r>
        <w:rPr>
          <w:rFonts w:eastAsia="仿宋_GB2312" w:cs="方正小标宋简体" w:hint="eastAsia"/>
          <w:bCs/>
          <w:sz w:val="32"/>
          <w:szCs w:val="32"/>
          <w:lang w:val="en-US" w:eastAsia="zh-CN"/>
        </w:rPr>
        <w:t>，不仅是科技创新的“生力军”，也是大、中型企业的重要支撑，对促进经济社会和谐稳定发展有着积极作用。</w:t>
      </w:r>
      <w:r>
        <w:rPr>
          <w:rFonts w:eastAsia="仿宋_GB2312" w:cs="方正小标宋简体"/>
          <w:bCs/>
          <w:sz w:val="32"/>
          <w:szCs w:val="32"/>
          <w:lang w:val="en-US" w:eastAsia="zh-CN"/>
        </w:rPr>
        <w:t>今年以来，我局</w:t>
      </w:r>
      <w:r>
        <w:rPr>
          <w:rFonts w:ascii="宋体" w:eastAsia="方正仿宋简体" w:cs="方正仿宋简体" w:hAnsi="宋体" w:hint="eastAsia"/>
          <w:color w:val="000000"/>
          <w:sz w:val="32"/>
          <w:szCs w:val="32"/>
          <w:lang w:val="en-US" w:eastAsia="zh-CN" w:bidi="ar-SA"/>
        </w:rPr>
        <w:t>坚持“联企联心，创优服务”，强化科技赋能，突出企业主体、市场导向，加强重点领域科技创新，</w:t>
      </w:r>
      <w:r>
        <w:rPr>
          <w:rFonts w:eastAsia="仿宋_GB2312" w:cs="方正小标宋简体" w:hint="eastAsia"/>
          <w:bCs/>
          <w:sz w:val="32"/>
          <w:szCs w:val="32"/>
          <w:lang w:val="en-US" w:eastAsia="zh-CN"/>
        </w:rPr>
        <w:t>助力全区经济高质量发展</w:t>
      </w:r>
      <w:r>
        <w:rPr>
          <w:rFonts w:eastAsia="仿宋_GB2312" w:cs="方正小标宋简体"/>
          <w:bCs/>
          <w:sz w:val="32"/>
          <w:szCs w:val="32"/>
          <w:lang w:val="en-US" w:eastAsia="zh-CN"/>
        </w:rPr>
        <w:t>。</w:t>
      </w:r>
    </w:p>
    <w:p>
      <w:pPr>
        <w:pStyle w:val="133"/>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outlineLvl w:val="1"/>
        <w:rPr>
          <w:rFonts w:ascii="方正黑体简体" w:eastAsia="方正黑体简体" w:cs="方正仿宋简体" w:hint="eastAsia"/>
          <w:bCs/>
          <w:color w:val="000000"/>
          <w:sz w:val="32"/>
          <w:szCs w:val="32"/>
        </w:rPr>
      </w:pPr>
      <w:r>
        <w:rPr>
          <w:rFonts w:ascii="方正黑体简体" w:eastAsia="方正黑体简体" w:cs="方正仿宋简体" w:hint="eastAsia"/>
          <w:bCs/>
          <w:color w:val="000000"/>
          <w:sz w:val="32"/>
          <w:szCs w:val="32"/>
        </w:rPr>
        <w:t>一、转型升级，激活工业经济新引擎</w:t>
      </w:r>
    </w:p>
    <w:p>
      <w:pPr>
        <w:pStyle w:val="133"/>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宋体" w:eastAsia="方正仿宋简体" w:cs="方正仿宋简体" w:hAnsi="宋体"/>
          <w:color w:val="000000"/>
          <w:kern w:val="2"/>
          <w:sz w:val="32"/>
          <w:szCs w:val="32"/>
          <w:lang w:val="en-US" w:eastAsia="zh-CN" w:bidi="ar-SA"/>
        </w:rPr>
      </w:pPr>
      <w:r>
        <w:rPr>
          <w:rFonts w:ascii="方正楷体简体" w:eastAsia="方正楷体简体" w:cs="方正仿宋简体" w:hint="eastAsia"/>
          <w:b/>
          <w:bCs/>
          <w:color w:val="000000"/>
          <w:kern w:val="2"/>
          <w:sz w:val="32"/>
          <w:szCs w:val="32"/>
          <w:lang w:val="en-US" w:eastAsia="zh-CN" w:bidi="ar-SA"/>
        </w:rPr>
        <w:t>（一）推进强企行动，提升企业发展内生力。</w:t>
      </w:r>
      <w:r>
        <w:rPr>
          <w:rFonts w:ascii="宋体" w:eastAsia="方正仿宋简体" w:cs="方正仿宋简体" w:hAnsi="宋体" w:hint="eastAsia"/>
          <w:color w:val="000000"/>
          <w:kern w:val="2"/>
          <w:sz w:val="32"/>
          <w:szCs w:val="32"/>
          <w:lang w:val="en-US" w:eastAsia="zh-CN" w:bidi="ar-SA"/>
        </w:rPr>
        <w:t>推动工业领域投资，1-5月份，工业投资增速188.1%，技改投资增速187.3%，增速均排名全市第1位。</w:t>
      </w:r>
    </w:p>
    <w:p>
      <w:pPr>
        <w:pStyle w:val="133"/>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宋体" w:eastAsia="方正仿宋简体" w:cs="方正仿宋简体" w:hAnsi="宋体" w:hint="eastAsia"/>
          <w:color w:val="000000"/>
          <w:kern w:val="2"/>
          <w:sz w:val="32"/>
          <w:szCs w:val="32"/>
          <w:lang w:val="en-US" w:eastAsia="zh-CN" w:bidi="ar-SA"/>
        </w:rPr>
      </w:pPr>
      <w:r>
        <w:rPr>
          <w:rFonts w:ascii="方正楷体简体" w:eastAsia="方正楷体简体" w:cs="方正仿宋简体" w:hint="eastAsia"/>
          <w:b/>
          <w:bCs/>
          <w:color w:val="000000"/>
          <w:sz w:val="32"/>
          <w:szCs w:val="32"/>
        </w:rPr>
        <w:t>（二）推进工业领域大规模设备更新，增强产业发展后劲。</w:t>
      </w:r>
      <w:r>
        <w:rPr>
          <w:rFonts w:ascii="宋体" w:eastAsia="方正仿宋简体" w:cs="方正仿宋简体" w:hAnsi="宋体" w:hint="eastAsia"/>
          <w:color w:val="000000"/>
          <w:kern w:val="2"/>
          <w:sz w:val="32"/>
          <w:szCs w:val="32"/>
          <w:lang w:val="en-US" w:eastAsia="zh-CN" w:bidi="ar-SA"/>
        </w:rPr>
        <w:t>全面贯彻新发展理念，围绕推进新型工业化，制定印发我区《工业领域大规模设备更新工作方案》，实现重点行业主要用能设备能效基本达到节能水平，本质安全水平明显提升，创新产品加快推广应用，先进产能比重持续提高。</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ascii="宋体" w:eastAsia="方正仿宋简体" w:cs="方正仿宋简体" w:hAnsi="宋体" w:hint="eastAsia"/>
          <w:color w:val="000000"/>
          <w:kern w:val="2"/>
          <w:sz w:val="32"/>
          <w:szCs w:val="32"/>
          <w:lang w:val="en-US" w:eastAsia="zh-CN" w:bidi="ar-SA"/>
        </w:rPr>
      </w:pPr>
      <w:r>
        <w:rPr>
          <w:rFonts w:ascii="方正楷体简体" w:eastAsia="方正楷体简体" w:cs="方正仿宋简体" w:hint="eastAsia"/>
          <w:b/>
          <w:bCs/>
          <w:color w:val="000000"/>
          <w:sz w:val="32"/>
          <w:szCs w:val="32"/>
        </w:rPr>
        <w:t>（三）助力“共享工厂”建设，探索产业链条发展新业态。</w:t>
      </w:r>
      <w:r>
        <w:rPr>
          <w:rFonts w:ascii="宋体" w:eastAsia="方正仿宋简体" w:cs="方正仿宋简体" w:hAnsi="宋体" w:hint="eastAsia"/>
          <w:color w:val="000000"/>
          <w:kern w:val="2"/>
          <w:sz w:val="32"/>
          <w:szCs w:val="32"/>
          <w:lang w:val="en-US" w:eastAsia="zh-CN" w:bidi="ar-SA"/>
        </w:rPr>
        <w:t>推动惠达卫浴建设了集研发设计、生产制造、质量检测等于一体的卫浴行业首家全链条共享工厂，通过“共享研发、共享生产、共享检测”，为国内外多个客户设计卫浴类产品60余项；生产产品20万件，增加经济效益1亿元；开展委托检测服务40余次，帮助</w:t>
      </w:r>
      <w:r>
        <w:rPr>
          <w:rFonts w:ascii="宋体" w:eastAsia="方正仿宋简体" w:cs="方正仿宋简体" w:hAnsi="宋体"/>
          <w:color w:val="000000"/>
          <w:kern w:val="2"/>
          <w:sz w:val="32"/>
          <w:szCs w:val="32"/>
          <w:lang w:val="en-US" w:eastAsia="zh-CN" w:bidi="ar-SA"/>
        </w:rPr>
        <w:t>区内中小</w:t>
      </w:r>
      <w:r>
        <w:rPr>
          <w:rFonts w:ascii="宋体" w:eastAsia="方正仿宋简体" w:cs="方正仿宋简体" w:hAnsi="宋体" w:hint="eastAsia"/>
          <w:color w:val="000000"/>
          <w:kern w:val="2"/>
          <w:sz w:val="32"/>
          <w:szCs w:val="32"/>
          <w:lang w:val="en-US" w:eastAsia="zh-CN" w:bidi="ar-SA"/>
        </w:rPr>
        <w:t>企业降低质检成本15%以上。</w:t>
      </w:r>
    </w:p>
    <w:p>
      <w:pPr>
        <w:pStyle w:val="133"/>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outlineLvl w:val="1"/>
        <w:rPr>
          <w:rFonts w:ascii="方正黑体简体" w:eastAsia="方正黑体简体" w:cs="方正楷体简体" w:hint="eastAsia"/>
          <w:b/>
          <w:bCs/>
          <w:color w:val="000000"/>
          <w:kern w:val="2"/>
          <w:sz w:val="32"/>
          <w:szCs w:val="32"/>
          <w:lang w:val="en-US" w:eastAsia="zh-CN" w:bidi="ar-SA"/>
        </w:rPr>
      </w:pPr>
      <w:r>
        <w:rPr>
          <w:rFonts w:ascii="方正黑体简体" w:eastAsia="方正黑体简体" w:cs="方正楷体简体" w:hint="eastAsia"/>
          <w:b/>
          <w:bCs/>
          <w:color w:val="000000"/>
          <w:kern w:val="2"/>
          <w:sz w:val="32"/>
          <w:szCs w:val="32"/>
          <w:lang w:val="en-US" w:eastAsia="zh-CN" w:bidi="ar-SA"/>
        </w:rPr>
        <w:t>二、培育创新主体，壮大产业发展生力军</w:t>
      </w:r>
    </w:p>
    <w:p>
      <w:pPr>
        <w:pStyle w:val="133"/>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宋体" w:eastAsia="方正仿宋简体" w:cs="方正仿宋简体" w:hAnsi="宋体" w:hint="eastAsia"/>
          <w:color w:val="000000"/>
          <w:sz w:val="32"/>
          <w:szCs w:val="32"/>
          <w:lang w:val="en-US" w:eastAsia="zh-CN"/>
        </w:rPr>
      </w:pPr>
      <w:r>
        <w:rPr>
          <w:rFonts w:ascii="方正楷体简体" w:eastAsia="方正楷体简体" w:cs="方正仿宋简体" w:hint="eastAsia"/>
          <w:b/>
          <w:bCs/>
          <w:color w:val="000000"/>
          <w:sz w:val="32"/>
          <w:szCs w:val="32"/>
          <w:lang w:val="en-US" w:eastAsia="zh-CN" w:bidi="ar-SA"/>
        </w:rPr>
        <w:t>（一）培育科技型企业，提升科技创新能力。</w:t>
      </w:r>
      <w:r>
        <w:rPr>
          <w:rFonts w:ascii="宋体" w:eastAsia="方正仿宋简体" w:cs="方正仿宋简体" w:hAnsi="宋体" w:hint="eastAsia"/>
          <w:color w:val="000000"/>
          <w:sz w:val="32"/>
          <w:szCs w:val="32"/>
          <w:lang w:val="en-US" w:eastAsia="zh-CN"/>
        </w:rPr>
        <w:t>建立高新技术企业、</w:t>
      </w:r>
      <w:r>
        <w:rPr>
          <w:rFonts w:ascii="宋体" w:eastAsia="方正仿宋简体" w:cs="方正仿宋简体" w:hAnsi="宋体" w:hint="eastAsia"/>
          <w:color w:val="000000"/>
          <w:sz w:val="32"/>
          <w:szCs w:val="32"/>
          <w:lang w:val="en-US" w:eastAsia="zh-CN"/>
        </w:rPr>
        <w:t>国家及省级科技型中小企业</w:t>
      </w:r>
      <w:r>
        <w:rPr>
          <w:rFonts w:ascii="宋体" w:eastAsia="方正仿宋简体" w:cs="方正仿宋简体" w:hAnsi="宋体" w:hint="eastAsia"/>
          <w:color w:val="000000"/>
          <w:sz w:val="32"/>
          <w:szCs w:val="32"/>
          <w:lang w:val="en-US" w:eastAsia="zh-CN"/>
        </w:rPr>
        <w:t>培育机制，将申报条件优越的企业纳入培育库，并</w:t>
      </w:r>
      <w:r>
        <w:rPr>
          <w:rFonts w:ascii="宋体" w:eastAsia="方正仿宋简体" w:cs="方正仿宋简体" w:hAnsi="宋体" w:hint="eastAsia"/>
          <w:color w:val="000000"/>
          <w:sz w:val="32"/>
          <w:szCs w:val="32"/>
          <w:lang w:val="en-US" w:eastAsia="zh-CN"/>
        </w:rPr>
        <w:t>借助专业机构力量对我区科技型中小企业申报工作提供创新辅导及申报指导服务</w:t>
      </w:r>
      <w:r>
        <w:rPr>
          <w:rFonts w:ascii="宋体" w:eastAsia="方正仿宋简体" w:cs="方正仿宋简体" w:hAnsi="宋体" w:hint="eastAsia"/>
          <w:color w:val="000000"/>
          <w:sz w:val="32"/>
          <w:szCs w:val="32"/>
          <w:lang w:val="en-US" w:eastAsia="zh-CN"/>
        </w:rPr>
        <w:t>。第一批完成高新技术企业申报39家，其中新增20家，重新认定19家。</w:t>
      </w:r>
    </w:p>
    <w:p>
      <w:pPr>
        <w:pStyle w:val="133"/>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宋体" w:eastAsia="方正仿宋简体" w:cs="方正仿宋简体" w:hAnsi="宋体" w:hint="eastAsia"/>
          <w:color w:val="000000"/>
          <w:sz w:val="32"/>
          <w:szCs w:val="32"/>
          <w:lang w:val="en-US" w:eastAsia="zh-CN"/>
          <w:highlight w:val="yellow"/>
        </w:rPr>
      </w:pPr>
      <w:r>
        <w:rPr>
          <w:rFonts w:ascii="方正楷体简体" w:eastAsia="方正楷体简体" w:cs="方正仿宋简体" w:hint="eastAsia"/>
          <w:b/>
          <w:bCs/>
          <w:color w:val="000000"/>
          <w:sz w:val="32"/>
          <w:szCs w:val="32"/>
          <w:lang w:val="en-US" w:eastAsia="zh-CN" w:bidi="ar-SA"/>
        </w:rPr>
        <w:t>（二）培育“专精特新”，推动中小企业成长壮大。</w:t>
      </w:r>
      <w:r>
        <w:rPr>
          <w:rFonts w:ascii="宋体" w:eastAsia="方正仿宋简体" w:cs="方正仿宋简体" w:hAnsi="宋体" w:hint="eastAsia"/>
          <w:color w:val="000000"/>
          <w:sz w:val="32"/>
          <w:szCs w:val="32"/>
          <w:lang w:val="en-US" w:eastAsia="zh-CN"/>
        </w:rPr>
        <w:t>进一步完善梯度培育体系，对企业进行分类指导和分层培育，加大帮扶力度。今年以来，</w:t>
      </w:r>
      <w:r>
        <w:rPr>
          <w:rFonts w:ascii="宋体" w:eastAsia="方正仿宋简体" w:cs="方正仿宋简体" w:hAnsi="宋体" w:hint="eastAsia"/>
          <w:color w:val="000000"/>
          <w:sz w:val="32"/>
          <w:szCs w:val="32"/>
          <w:lang w:val="en-US" w:eastAsia="zh-CN"/>
          <w:highlight w:val="auto"/>
        </w:rPr>
        <w:t>新增18家创新型中小企业；新增11家进入省级“专精特新”中小企业，总数达到91家，增量和总量在全市居前。组织华运铁路等3家企业申报国家专精特新“小巨人”企业，已全部通过省审核，等待工信部审核。</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jc w:val="both"/>
        <w:textAlignment w:val="auto"/>
        <w:rPr>
          <w:rFonts w:ascii="宋体" w:eastAsia="方正仿宋简体" w:cs="方正仿宋简体" w:hAnsi="宋体" w:hint="eastAsia"/>
          <w:color w:val="000000"/>
          <w:sz w:val="32"/>
          <w:szCs w:val="32"/>
          <w:lang w:val="en-US" w:eastAsia="zh-CN"/>
        </w:rPr>
      </w:pPr>
      <w:r>
        <w:rPr>
          <w:rFonts w:ascii="方正楷体简体" w:eastAsia="方正楷体简体" w:cs="方正仿宋简体" w:hint="eastAsia"/>
          <w:b/>
          <w:bCs/>
          <w:color w:val="000000"/>
          <w:kern w:val="2"/>
          <w:sz w:val="32"/>
          <w:szCs w:val="32"/>
          <w:lang w:val="en-US" w:eastAsia="zh-CN" w:bidi="ar-SA"/>
        </w:rPr>
        <w:t>（三）培育特色产业集群，推动产业集群化发展。</w:t>
      </w:r>
      <w:r>
        <w:rPr>
          <w:rFonts w:ascii="宋体" w:eastAsia="方正仿宋简体" w:cs="方正仿宋简体" w:hAnsi="宋体" w:hint="eastAsia"/>
          <w:color w:val="000000"/>
          <w:sz w:val="32"/>
          <w:szCs w:val="32"/>
          <w:lang w:val="en-US" w:eastAsia="zh-CN"/>
        </w:rPr>
        <w:t>一方面积极培育“领跑者”企业，建立了20家企业的重点培育库，对入库企业进行走访调研，了解企业短板，制定培育计划。并对现有15家“领跑者”企业发展情况进行持续跟踪，为企业协调解决困难。另一方面积极组织陶瓷产业集群申报河北省中小企业产业集群，目前已完成组卷和推荐工作，等待省工信厅专家评审。</w:t>
      </w:r>
    </w:p>
    <w:p>
      <w:pPr>
        <w:pStyle w:val="133"/>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outlineLvl w:val="1"/>
        <w:rPr>
          <w:rFonts w:ascii="方正黑体简体" w:eastAsia="方正黑体简体" w:cs="方正仿宋简体" w:hint="eastAsia"/>
          <w:b/>
          <w:bCs/>
          <w:color w:val="000000"/>
          <w:kern w:val="2"/>
          <w:sz w:val="32"/>
          <w:szCs w:val="32"/>
          <w:lang w:val="en-US" w:eastAsia="zh-CN" w:bidi="ar-SA"/>
        </w:rPr>
      </w:pPr>
      <w:r>
        <w:rPr>
          <w:rFonts w:ascii="方正黑体简体" w:eastAsia="方正黑体简体" w:cs="方正楷体简体" w:hint="eastAsia"/>
          <w:b/>
          <w:bCs/>
          <w:i w:val="0"/>
          <w:caps w:val="0"/>
          <w:smallCaps w:val="0"/>
          <w:color w:val="000000"/>
          <w:spacing w:val="0"/>
          <w:kern w:val="0"/>
          <w:sz w:val="32"/>
          <w:szCs w:val="32"/>
          <w:shd w:val="clear" w:color="auto" w:fill="FFFFFF"/>
          <w:lang w:val="en-US" w:eastAsia="zh-CN"/>
        </w:rPr>
        <w:t>三、科技驱动，持续培育创新发展新动能</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宋体" w:eastAsia="方正仿宋简体" w:cs="方正仿宋简体" w:hAnsi="宋体" w:hint="eastAsia"/>
          <w:color w:val="000000"/>
          <w:sz w:val="32"/>
          <w:szCs w:val="32"/>
        </w:rPr>
      </w:pPr>
      <w:r>
        <w:rPr>
          <w:rFonts w:ascii="方正楷体简体" w:eastAsia="方正楷体简体" w:cs="方正仿宋简体" w:hint="eastAsia"/>
          <w:b/>
          <w:bCs/>
          <w:color w:val="000000"/>
          <w:kern w:val="2"/>
          <w:sz w:val="32"/>
          <w:szCs w:val="32"/>
          <w:lang w:val="en-US" w:eastAsia="zh-CN" w:bidi="ar-SA"/>
        </w:rPr>
        <w:t>（一）强化政策引领作用，</w:t>
      </w:r>
      <w:r>
        <w:rPr>
          <w:rFonts w:ascii="方正楷体简体" w:eastAsia="方正楷体简体" w:cs="方正仿宋简体" w:hint="eastAsia"/>
          <w:b/>
          <w:bCs/>
          <w:color w:val="000000"/>
          <w:sz w:val="32"/>
          <w:szCs w:val="32"/>
          <w:lang w:bidi="ar-SA"/>
        </w:rPr>
        <w:t>推进企业加大研发投入</w:t>
      </w:r>
      <w:r>
        <w:rPr>
          <w:rFonts w:ascii="方正楷体简体" w:eastAsia="方正楷体简体" w:cs="方正仿宋简体" w:hint="eastAsia"/>
          <w:b/>
          <w:bCs/>
          <w:color w:val="000000"/>
          <w:sz w:val="32"/>
          <w:szCs w:val="32"/>
          <w:lang w:eastAsia="zh-CN" w:bidi="ar-SA"/>
        </w:rPr>
        <w:t>。</w:t>
      </w:r>
      <w:r>
        <w:rPr>
          <w:rFonts w:ascii="方正仿宋简体" w:eastAsia="方正仿宋简体" w:cs="方正仿宋简体" w:hint="eastAsia"/>
          <w:b w:val="0"/>
          <w:bCs w:val="0"/>
          <w:color w:val="000000"/>
          <w:sz w:val="32"/>
          <w:szCs w:val="32"/>
          <w:lang w:val="en-US" w:eastAsia="zh-CN" w:bidi="ar-SA"/>
        </w:rPr>
        <w:t>一是</w:t>
      </w:r>
      <w:r>
        <w:rPr>
          <w:rFonts w:ascii="方正仿宋简体" w:eastAsia="方正仿宋简体" w:cs="方正仿宋简体" w:hint="eastAsia"/>
          <w:color w:val="000000"/>
          <w:sz w:val="32"/>
          <w:szCs w:val="32"/>
        </w:rPr>
        <w:t>制定了</w:t>
      </w:r>
      <w:r>
        <w:rPr>
          <w:rFonts w:ascii="方正仿宋简体" w:eastAsia="方正仿宋简体" w:cs="方正仿宋简体" w:hint="eastAsia"/>
          <w:color w:val="000000"/>
          <w:sz w:val="32"/>
          <w:szCs w:val="32"/>
          <w:lang w:val="en-US" w:eastAsia="zh-CN"/>
        </w:rPr>
        <w:t>《全面提升科技创新工作赋能高质量发展工作方案》、</w:t>
      </w:r>
      <w:r>
        <w:rPr>
          <w:rFonts w:ascii="宋体" w:eastAsia="方正仿宋简体" w:cs="方正仿宋简体" w:hAnsi="宋体" w:hint="eastAsia"/>
          <w:color w:val="000000"/>
          <w:spacing w:val="1"/>
          <w:sz w:val="32"/>
          <w:szCs w:val="32"/>
          <w:lang w:val="en-US" w:eastAsia="zh-CN" w:bidi="ar-SA"/>
        </w:rPr>
        <w:t>《推进全社会研发投入增长工作方案》</w:t>
      </w:r>
      <w:r>
        <w:rPr>
          <w:rFonts w:ascii="方正仿宋简体" w:eastAsia="方正仿宋简体" w:cs="方正仿宋简体" w:hint="eastAsia"/>
          <w:color w:val="000000"/>
          <w:sz w:val="32"/>
          <w:szCs w:val="32"/>
          <w:lang w:val="en-US" w:eastAsia="zh-CN"/>
        </w:rPr>
        <w:t>等一系列政策措施</w:t>
      </w:r>
      <w:r>
        <w:rPr>
          <w:rFonts w:ascii="方正仿宋简体" w:eastAsia="方正仿宋简体" w:cs="方正仿宋简体" w:hint="eastAsia"/>
          <w:color w:val="000000"/>
          <w:sz w:val="32"/>
          <w:szCs w:val="32"/>
        </w:rPr>
        <w:t>，</w:t>
      </w:r>
      <w:r>
        <w:rPr>
          <w:rFonts w:ascii="方正仿宋简体" w:eastAsia="方正仿宋简体" w:cs="方正仿宋简体" w:hint="eastAsia"/>
          <w:color w:val="000000"/>
          <w:sz w:val="32"/>
          <w:szCs w:val="32"/>
          <w:lang w:val="en-US" w:eastAsia="zh-CN"/>
        </w:rPr>
        <w:t>以科技政策引导，</w:t>
      </w:r>
      <w:r>
        <w:rPr>
          <w:rFonts w:ascii="宋体" w:eastAsia="方正仿宋简体" w:cs="方正仿宋简体" w:hAnsi="宋体" w:hint="eastAsia"/>
          <w:color w:val="000000"/>
          <w:spacing w:val="1"/>
          <w:sz w:val="32"/>
          <w:szCs w:val="32"/>
          <w:lang w:val="en-US" w:eastAsia="zh-CN" w:bidi="ar-SA"/>
        </w:rPr>
        <w:t>强化企业研发投入主体地位提高全社会研发投入水平</w:t>
      </w:r>
      <w:r>
        <w:rPr>
          <w:rFonts w:ascii="方正仿宋简体" w:eastAsia="方正仿宋简体" w:cs="方正仿宋简体" w:hint="eastAsia"/>
          <w:color w:val="000000"/>
          <w:sz w:val="32"/>
          <w:szCs w:val="32"/>
          <w:lang w:val="en-US" w:eastAsia="zh-CN"/>
        </w:rPr>
        <w:t>，</w:t>
      </w:r>
      <w:r>
        <w:rPr>
          <w:rFonts w:ascii="方正仿宋简体" w:eastAsia="方正仿宋简体" w:cs="方正仿宋简体" w:hint="eastAsia"/>
          <w:color w:val="000000"/>
          <w:sz w:val="32"/>
          <w:szCs w:val="32"/>
        </w:rPr>
        <w:t>营造</w:t>
      </w:r>
      <w:r>
        <w:rPr>
          <w:rFonts w:ascii="方正仿宋简体" w:eastAsia="方正仿宋简体" w:cs="方正仿宋简体" w:hint="eastAsia"/>
          <w:color w:val="000000"/>
          <w:sz w:val="32"/>
          <w:szCs w:val="32"/>
          <w:lang w:eastAsia="zh-CN"/>
        </w:rPr>
        <w:t>了</w:t>
      </w:r>
      <w:r>
        <w:rPr>
          <w:rFonts w:ascii="方正仿宋简体" w:eastAsia="方正仿宋简体" w:cs="方正仿宋简体" w:hint="eastAsia"/>
          <w:color w:val="000000"/>
          <w:sz w:val="32"/>
          <w:szCs w:val="32"/>
        </w:rPr>
        <w:t>有利于原创成果不断涌现、科技成果有效转化的创新生态。</w:t>
      </w:r>
      <w:r>
        <w:rPr>
          <w:rFonts w:ascii="方正仿宋简体" w:eastAsia="方正仿宋简体" w:cs="方正仿宋简体" w:hint="eastAsia"/>
          <w:color w:val="000000"/>
          <w:sz w:val="32"/>
          <w:szCs w:val="32"/>
          <w:lang w:val="en-US" w:eastAsia="zh-CN"/>
        </w:rPr>
        <w:t>二是</w:t>
      </w:r>
      <w:r>
        <w:rPr>
          <w:rFonts w:ascii="宋体" w:eastAsia="方正仿宋简体" w:cs="方正仿宋简体" w:hAnsi="宋体" w:hint="eastAsia"/>
          <w:color w:val="000000"/>
          <w:sz w:val="32"/>
          <w:szCs w:val="32"/>
          <w:lang w:val="en-US" w:eastAsia="zh-CN"/>
          <w:highlight w:val="auto"/>
        </w:rPr>
        <w:t>组织全区89家规上企业，开展研发投入工作培训，</w:t>
      </w:r>
      <w:r>
        <w:rPr>
          <w:rFonts w:ascii="宋体" w:eastAsia="方正仿宋简体" w:cs="仿宋" w:hAnsi="宋体" w:hint="eastAsia"/>
          <w:b w:val="0"/>
          <w:bCs w:val="0"/>
          <w:color w:val="000000"/>
          <w:sz w:val="32"/>
          <w:szCs w:val="32"/>
          <w:lang w:val="en-US" w:eastAsia="zh-CN"/>
        </w:rPr>
        <w:t>我区</w:t>
      </w:r>
      <w:r>
        <w:rPr>
          <w:rFonts w:ascii="宋体" w:eastAsia="方正仿宋简体" w:cs="方正仿宋简体" w:hAnsi="宋体" w:hint="eastAsia"/>
          <w:bCs/>
          <w:color w:val="000000"/>
          <w:kern w:val="2"/>
          <w:sz w:val="32"/>
          <w:szCs w:val="32"/>
          <w:lang w:val="en-US" w:eastAsia="zh-CN"/>
        </w:rPr>
        <w:t>202</w:t>
      </w:r>
      <w:r>
        <w:rPr>
          <w:rFonts w:ascii="宋体" w:eastAsia="方正仿宋简体" w:cs="方正仿宋简体" w:hAnsi="宋体"/>
          <w:bCs/>
          <w:color w:val="000000"/>
          <w:kern w:val="2"/>
          <w:sz w:val="32"/>
          <w:szCs w:val="32"/>
          <w:lang w:val="en-US" w:eastAsia="zh-CN"/>
        </w:rPr>
        <w:t>3</w:t>
      </w:r>
      <w:r>
        <w:rPr>
          <w:rFonts w:ascii="宋体" w:eastAsia="方正仿宋简体" w:cs="方正仿宋简体" w:hAnsi="宋体" w:hint="eastAsia"/>
          <w:bCs/>
          <w:color w:val="000000"/>
          <w:kern w:val="2"/>
          <w:sz w:val="32"/>
          <w:szCs w:val="32"/>
          <w:lang w:val="en-US" w:eastAsia="zh-CN"/>
        </w:rPr>
        <w:t>年度</w:t>
      </w:r>
      <w:r>
        <w:rPr>
          <w:rFonts w:ascii="宋体" w:eastAsia="方正仿宋简体" w:cs="仿宋" w:hAnsi="宋体" w:hint="eastAsia"/>
          <w:b w:val="0"/>
          <w:bCs w:val="0"/>
          <w:color w:val="000000"/>
          <w:sz w:val="32"/>
          <w:szCs w:val="32"/>
          <w:lang w:val="en-US" w:eastAsia="zh-CN"/>
        </w:rPr>
        <w:t>规模以上工业企业中有研发活动企业188家</w:t>
      </w:r>
      <w:r>
        <w:rPr>
          <w:rFonts w:ascii="宋体" w:eastAsia="方正仿宋简体" w:cs="方正仿宋简体" w:hAnsi="宋体" w:hint="eastAsia"/>
          <w:bCs/>
          <w:color w:val="000000"/>
          <w:sz w:val="32"/>
          <w:szCs w:val="32"/>
          <w:lang w:val="en-US" w:eastAsia="zh-CN"/>
        </w:rPr>
        <w:t>，</w:t>
      </w:r>
      <w:r>
        <w:rPr>
          <w:rFonts w:ascii="宋体" w:eastAsia="方正仿宋简体" w:cs="仿宋" w:hAnsi="宋体" w:hint="eastAsia"/>
          <w:b w:val="0"/>
          <w:bCs w:val="0"/>
          <w:color w:val="000000"/>
          <w:sz w:val="32"/>
          <w:szCs w:val="32"/>
          <w:lang w:val="en-US" w:eastAsia="zh-CN"/>
        </w:rPr>
        <w:t>占全部规上工业企业的70.94%，</w:t>
      </w:r>
      <w:r>
        <w:rPr>
          <w:rFonts w:ascii="宋体" w:eastAsia="方正仿宋简体" w:cs="方正仿宋简体" w:hAnsi="宋体" w:hint="eastAsia"/>
          <w:bCs/>
          <w:color w:val="000000"/>
          <w:sz w:val="32"/>
          <w:szCs w:val="32"/>
          <w:lang w:val="en-US" w:eastAsia="zh-CN"/>
        </w:rPr>
        <w:t>比上年增长141%，</w:t>
      </w:r>
      <w:r>
        <w:rPr>
          <w:rFonts w:ascii="方正仿宋简体" w:eastAsia="方正仿宋简体" w:cs="方正仿宋简体" w:hint="eastAsia"/>
          <w:color w:val="000000"/>
          <w:sz w:val="32"/>
          <w:szCs w:val="32"/>
          <w:lang w:val="en-US" w:eastAsia="zh-CN"/>
        </w:rPr>
        <w:t>上报</w:t>
      </w:r>
      <w:r>
        <w:rPr>
          <w:rFonts w:ascii="宋体" w:eastAsia="方正仿宋简体" w:cs="仿宋" w:hAnsi="宋体" w:hint="eastAsia"/>
          <w:bCs/>
          <w:color w:val="000000"/>
          <w:spacing w:val="6"/>
          <w:sz w:val="32"/>
          <w:szCs w:val="32"/>
          <w:lang w:val="en-US" w:eastAsia="zh-CN" w:bidi="ar-SA"/>
          <w:highlight w:val="auto"/>
        </w:rPr>
        <w:t>研发</w:t>
      </w:r>
      <w:r>
        <w:rPr>
          <w:rFonts w:ascii="宋体" w:eastAsia="方正仿宋简体" w:cs="仿宋" w:hAnsi="宋体"/>
          <w:bCs/>
          <w:color w:val="000000"/>
          <w:spacing w:val="6"/>
          <w:sz w:val="32"/>
          <w:szCs w:val="32"/>
          <w:lang w:val="en-US" w:eastAsia="zh-CN" w:bidi="ar-SA"/>
          <w:highlight w:val="auto"/>
        </w:rPr>
        <w:t>投入</w:t>
      </w:r>
      <w:r>
        <w:rPr>
          <w:rFonts w:ascii="宋体" w:eastAsia="方正仿宋简体" w:cs="仿宋" w:hAnsi="宋体" w:hint="eastAsia"/>
          <w:bCs/>
          <w:color w:val="000000"/>
          <w:spacing w:val="6"/>
          <w:sz w:val="32"/>
          <w:szCs w:val="32"/>
          <w:lang w:val="en-US" w:eastAsia="zh-CN" w:bidi="ar-SA"/>
          <w:highlight w:val="auto"/>
        </w:rPr>
        <w:t>52.3亿元，</w:t>
      </w:r>
      <w:r>
        <w:rPr>
          <w:rFonts w:ascii="方正仿宋简体" w:eastAsia="方正仿宋简体" w:cs="方正仿宋简体" w:hint="eastAsia"/>
          <w:bCs/>
          <w:color w:val="000000"/>
          <w:sz w:val="32"/>
          <w:szCs w:val="32"/>
          <w:lang w:bidi="ar-SA"/>
        </w:rPr>
        <w:t>投入强度逐年提升。</w:t>
      </w:r>
      <w:r>
        <w:rPr>
          <w:rFonts w:ascii="宋体" w:eastAsia="仿宋" w:cs="Times New Roman" w:hAnsi="宋体" w:hint="eastAsia"/>
          <w:color w:val="000000"/>
          <w:sz w:val="32"/>
          <w:szCs w:val="32"/>
          <w:lang w:val="en-US" w:eastAsia="zh-CN"/>
        </w:rPr>
        <w:t>完成技术合同输出登记23.8亿元，完成全年任务的129%；吸纳京津技术合同15.51亿元，完成全年任务的88.94%。</w:t>
      </w:r>
      <w:r>
        <w:rPr>
          <w:rFonts w:ascii="宋体" w:eastAsia="方正仿宋简体" w:cs="方正仿宋简体" w:hAnsi="宋体" w:hint="eastAsia"/>
          <w:color w:val="000000"/>
          <w:sz w:val="32"/>
          <w:szCs w:val="32"/>
          <w:lang w:val="en-US" w:eastAsia="zh-CN"/>
          <w:highlight w:val="auto"/>
        </w:rPr>
        <w:t>三是加大科技政策和科学技术宣传力度，高质量组织开展“科</w:t>
      </w:r>
      <w:r>
        <w:rPr>
          <w:rFonts w:ascii="宋体" w:eastAsia="方正仿宋简体" w:cs="方正仿宋简体" w:hAnsi="宋体" w:hint="eastAsia"/>
          <w:color w:val="000000"/>
          <w:sz w:val="32"/>
          <w:szCs w:val="32"/>
          <w:lang w:val="en-US" w:eastAsia="zh-CN"/>
          <w:highlight w:val="auto"/>
        </w:rPr>
        <w:t>技活动周”和全国科技工作者活动，重点围绕党的二十大关于科技创新重大决策部署，开展科技进社区、进乡村、进基地、进企业等5项活动，营造创新浓厚氛围，激发全社会创新创业活力，促进全区高质量发展。</w:t>
      </w:r>
    </w:p>
    <w:p>
      <w:pPr>
        <w:pStyle w:val="133"/>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方正仿宋简体" w:eastAsia="方正仿宋简体" w:cs="方正仿宋简体" w:hint="eastAsia"/>
          <w:color w:val="000000"/>
          <w:sz w:val="32"/>
          <w:szCs w:val="32"/>
        </w:rPr>
      </w:pPr>
      <w:r>
        <w:rPr>
          <w:rFonts w:ascii="方正楷体简体" w:eastAsia="方正楷体简体" w:cs="方正仿宋简体" w:hint="eastAsia"/>
          <w:b/>
          <w:bCs/>
          <w:color w:val="000000"/>
          <w:sz w:val="32"/>
          <w:szCs w:val="32"/>
        </w:rPr>
        <w:t>（二）强化平台牵引，优化创新生态体系。</w:t>
      </w:r>
      <w:r>
        <w:rPr>
          <w:rFonts w:ascii="宋体" w:eastAsia="方正仿宋简体" w:cs="方正仿宋简体" w:hAnsi="宋体" w:hint="eastAsia"/>
          <w:b w:val="0"/>
          <w:bCs w:val="0"/>
          <w:color w:val="000000"/>
          <w:kern w:val="2"/>
          <w:sz w:val="32"/>
          <w:szCs w:val="32"/>
          <w:lang w:val="en-US" w:eastAsia="zh-CN" w:bidi="ar-SA"/>
        </w:rPr>
        <w:t>一方面，</w:t>
      </w:r>
      <w:r>
        <w:rPr>
          <w:rFonts w:ascii="宋体" w:eastAsia="方正仿宋简体" w:cs="方正仿宋简体" w:hAnsi="宋体" w:hint="eastAsia"/>
          <w:color w:val="000000"/>
          <w:sz w:val="32"/>
          <w:szCs w:val="32"/>
          <w:lang w:bidi="ar-SA"/>
        </w:rPr>
        <w:t>引导更多有条件的企业建设研发平台，同时按照平台管理办法，推动企业研发平台建设提档升级。</w:t>
      </w:r>
      <w:r>
        <w:rPr>
          <w:rFonts w:ascii="仿宋" w:eastAsia="仿宋" w:cs="仿宋" w:hint="eastAsia"/>
          <w:color w:val="000000"/>
          <w:sz w:val="32"/>
          <w:szCs w:val="32"/>
          <w:lang w:val="en-US" w:eastAsia="zh-CN"/>
        </w:rPr>
        <w:t>组织君业科技等9家</w:t>
      </w:r>
      <w:r>
        <w:rPr>
          <w:rFonts w:eastAsia="仿宋" w:cs="仿宋" w:hint="eastAsia"/>
          <w:color w:val="000000"/>
          <w:sz w:val="32"/>
          <w:szCs w:val="32"/>
          <w:lang w:val="en-US" w:eastAsia="zh-CN"/>
        </w:rPr>
        <w:t>企业创建</w:t>
      </w:r>
      <w:r>
        <w:rPr>
          <w:rFonts w:ascii="仿宋" w:eastAsia="仿宋" w:cs="仿宋" w:hint="eastAsia"/>
          <w:color w:val="000000"/>
          <w:sz w:val="32"/>
          <w:szCs w:val="32"/>
          <w:lang w:val="en-US" w:eastAsia="zh-CN"/>
        </w:rPr>
        <w:t>省级技术创新中心，正元管业等8</w:t>
      </w:r>
      <w:r>
        <w:rPr>
          <w:rFonts w:ascii="仿宋" w:eastAsia="仿宋" w:cs="仿宋" w:hint="eastAsia"/>
          <w:color w:val="000000"/>
          <w:sz w:val="32"/>
          <w:szCs w:val="32"/>
        </w:rPr>
        <w:t>家</w:t>
      </w:r>
      <w:r>
        <w:rPr>
          <w:rFonts w:ascii="仿宋" w:eastAsia="仿宋" w:cs="仿宋" w:hint="eastAsia"/>
          <w:color w:val="000000"/>
          <w:sz w:val="32"/>
          <w:szCs w:val="32"/>
          <w:lang w:val="en-US" w:eastAsia="zh-CN"/>
        </w:rPr>
        <w:t>市</w:t>
      </w:r>
      <w:r>
        <w:rPr>
          <w:rFonts w:ascii="仿宋" w:eastAsia="仿宋" w:cs="仿宋" w:hint="eastAsia"/>
          <w:color w:val="000000"/>
          <w:sz w:val="32"/>
          <w:szCs w:val="32"/>
          <w:lang w:eastAsia="zh-CN"/>
        </w:rPr>
        <w:t>级</w:t>
      </w:r>
      <w:r>
        <w:rPr>
          <w:rFonts w:ascii="仿宋" w:eastAsia="仿宋" w:cs="仿宋" w:hint="eastAsia"/>
          <w:color w:val="000000"/>
          <w:sz w:val="32"/>
          <w:szCs w:val="32"/>
          <w:lang w:val="en-US" w:eastAsia="zh-CN"/>
        </w:rPr>
        <w:t>科技研发平台参加绩效评估工作。</w:t>
      </w:r>
      <w:r>
        <w:rPr>
          <w:rFonts w:ascii="宋体" w:eastAsia="方正仿宋简体" w:cs="方正仿宋简体" w:hAnsi="宋体" w:hint="eastAsia"/>
          <w:color w:val="000000"/>
          <w:kern w:val="2"/>
          <w:sz w:val="32"/>
          <w:szCs w:val="32"/>
          <w:lang w:val="en-US" w:eastAsia="zh-CN" w:bidi="ar-SA"/>
          <w:highlight w:val="auto"/>
        </w:rPr>
        <w:t>推动唯森新材料等12家规上工业企业研发机构认定升级。目前共</w:t>
      </w:r>
      <w:r>
        <w:rPr>
          <w:rFonts w:ascii="方正仿宋简体" w:eastAsia="方正仿宋简体" w:cs="方正仿宋简体" w:hint="eastAsia"/>
          <w:bCs/>
          <w:color w:val="000000"/>
          <w:sz w:val="32"/>
          <w:szCs w:val="32"/>
          <w:lang w:val="en-US" w:eastAsia="zh-CN" w:bidi="ar-SA"/>
        </w:rPr>
        <w:t>有规上</w:t>
      </w:r>
      <w:r>
        <w:rPr>
          <w:rFonts w:ascii="方正仿宋简体" w:eastAsia="方正仿宋简体" w:cs="方正仿宋简体" w:hint="eastAsia"/>
          <w:bCs/>
          <w:color w:val="000000"/>
          <w:sz w:val="32"/>
          <w:szCs w:val="32"/>
          <w:lang w:bidi="ar-SA"/>
        </w:rPr>
        <w:t>上工业企业</w:t>
      </w:r>
      <w:r>
        <w:rPr>
          <w:rFonts w:ascii="方正仿宋简体" w:eastAsia="方正仿宋简体" w:cs="方正仿宋简体" w:hint="eastAsia"/>
          <w:bCs/>
          <w:color w:val="000000"/>
          <w:sz w:val="32"/>
          <w:szCs w:val="32"/>
          <w:lang w:val="en-US" w:eastAsia="zh-CN" w:bidi="ar-SA"/>
        </w:rPr>
        <w:t>研发机构</w:t>
      </w:r>
      <w:r>
        <w:rPr>
          <w:rFonts w:ascii="方正仿宋简体" w:eastAsia="方正仿宋简体" w:cs="方正仿宋简体" w:hint="eastAsia"/>
          <w:bCs/>
          <w:color w:val="000000"/>
          <w:sz w:val="32"/>
          <w:szCs w:val="32"/>
          <w:lang w:bidi="ar-SA"/>
        </w:rPr>
        <w:t>12</w:t>
      </w:r>
      <w:r>
        <w:rPr>
          <w:rFonts w:ascii="方正仿宋简体" w:eastAsia="方正仿宋简体" w:cs="方正仿宋简体" w:hint="eastAsia"/>
          <w:bCs/>
          <w:color w:val="000000"/>
          <w:sz w:val="32"/>
          <w:szCs w:val="32"/>
          <w:lang w:val="en-US" w:eastAsia="zh-CN" w:bidi="ar-SA"/>
        </w:rPr>
        <w:t>6</w:t>
      </w:r>
      <w:r>
        <w:rPr>
          <w:rFonts w:ascii="方正仿宋简体" w:eastAsia="方正仿宋简体" w:cs="方正仿宋简体" w:hint="eastAsia"/>
          <w:bCs/>
          <w:color w:val="000000"/>
          <w:sz w:val="32"/>
          <w:szCs w:val="32"/>
          <w:lang w:bidi="ar-SA"/>
        </w:rPr>
        <w:t>家</w:t>
      </w:r>
      <w:r>
        <w:rPr>
          <w:rFonts w:ascii="方正仿宋简体" w:eastAsia="方正仿宋简体" w:cs="方正仿宋简体" w:hint="eastAsia"/>
          <w:bCs/>
          <w:color w:val="000000"/>
          <w:sz w:val="32"/>
          <w:szCs w:val="32"/>
          <w:lang w:eastAsia="zh-CN" w:bidi="ar-SA"/>
        </w:rPr>
        <w:t>，</w:t>
      </w:r>
      <w:r>
        <w:rPr>
          <w:rFonts w:ascii="宋体" w:eastAsia="方正仿宋简体" w:cs="方正仿宋简体" w:hAnsi="宋体" w:hint="eastAsia"/>
          <w:color w:val="000000"/>
          <w:kern w:val="2"/>
          <w:sz w:val="32"/>
          <w:szCs w:val="32"/>
          <w:lang w:val="en-US" w:eastAsia="zh-CN" w:bidi="ar-SA"/>
          <w:highlight w:val="auto"/>
        </w:rPr>
        <w:t>制造业高质量发展攻关能力持续提升。另一方面，组织企业</w:t>
      </w:r>
      <w:r>
        <w:rPr>
          <w:rFonts w:ascii="宋体" w:eastAsia="方正仿宋简体" w:cs="方正仿宋简体" w:hAnsi="宋体" w:hint="eastAsia"/>
          <w:color w:val="000000"/>
          <w:sz w:val="32"/>
          <w:szCs w:val="32"/>
          <w:lang w:bidi="ar-SA"/>
        </w:rPr>
        <w:t>积极开展工业设计工作</w:t>
      </w:r>
      <w:r>
        <w:rPr>
          <w:rFonts w:ascii="宋体" w:eastAsia="方正仿宋简体" w:cs="方正仿宋简体" w:hAnsi="宋体" w:hint="eastAsia"/>
          <w:color w:val="000000"/>
          <w:sz w:val="32"/>
          <w:szCs w:val="32"/>
          <w:lang w:eastAsia="zh-CN" w:bidi="ar-SA"/>
        </w:rPr>
        <w:t>，</w:t>
      </w:r>
      <w:r>
        <w:rPr>
          <w:rFonts w:ascii="宋体" w:eastAsia="方正仿宋简体" w:cs="方正仿宋简体" w:hAnsi="宋体" w:hint="eastAsia"/>
          <w:color w:val="000000"/>
          <w:sz w:val="32"/>
          <w:szCs w:val="32"/>
          <w:lang w:val="en-US" w:eastAsia="zh-CN" w:bidi="ar-SA"/>
        </w:rPr>
        <w:t>提升企业差异化竞争能力</w:t>
      </w:r>
      <w:r>
        <w:rPr>
          <w:rFonts w:ascii="宋体" w:eastAsia="方正仿宋简体" w:cs="方正仿宋简体" w:hAnsi="宋体" w:hint="eastAsia"/>
          <w:color w:val="000000"/>
          <w:sz w:val="32"/>
          <w:szCs w:val="32"/>
          <w:lang w:eastAsia="zh-CN" w:bidi="ar-SA"/>
        </w:rPr>
        <w:t>。</w:t>
      </w:r>
      <w:r>
        <w:rPr>
          <w:rFonts w:ascii="方正仿宋简体" w:eastAsia="方正仿宋简体" w:cs="方正仿宋简体" w:hint="eastAsia"/>
          <w:color w:val="000000"/>
          <w:sz w:val="32"/>
          <w:szCs w:val="32"/>
          <w:lang w:val="en-US" w:eastAsia="zh-CN" w:bidi="ar-SA"/>
        </w:rPr>
        <w:t>指导惠达洁具等4家企业申报省级工业设计中心。</w:t>
      </w:r>
      <w:r>
        <w:rPr>
          <w:rFonts w:ascii="宋体" w:eastAsia="方正仿宋简体" w:cs="方正仿宋简体" w:hAnsi="宋体" w:hint="eastAsia"/>
          <w:color w:val="000000"/>
          <w:sz w:val="32"/>
          <w:szCs w:val="32"/>
          <w:lang w:bidi="ar-SA"/>
        </w:rPr>
        <w:t>鼓励企业开展工业设计成果转化，推荐</w:t>
      </w:r>
      <w:r>
        <w:rPr>
          <w:rFonts w:ascii="仿宋" w:eastAsia="方正仿宋简体" w:cs="方正仿宋简体" w:hAnsi="仿宋" w:hint="eastAsia"/>
          <w:color w:val="000000"/>
          <w:sz w:val="32"/>
          <w:szCs w:val="32"/>
          <w:lang w:val="en-US" w:eastAsia="zh-CN"/>
        </w:rPr>
        <w:t>华创测控雷达物（液）位计智能测控终端设计等</w:t>
      </w:r>
      <w:r>
        <w:rPr>
          <w:rFonts w:eastAsia="方正仿宋简体" w:cs="方正仿宋简体" w:hint="eastAsia"/>
          <w:color w:val="000000"/>
          <w:sz w:val="32"/>
          <w:szCs w:val="32"/>
          <w:lang w:val="en-US" w:eastAsia="zh-CN"/>
        </w:rPr>
        <w:t>5个项目</w:t>
      </w:r>
      <w:r>
        <w:rPr>
          <w:rFonts w:ascii="仿宋" w:eastAsia="方正仿宋简体" w:cs="方正仿宋简体" w:hAnsi="仿宋" w:hint="eastAsia"/>
          <w:color w:val="000000"/>
          <w:sz w:val="32"/>
          <w:szCs w:val="32"/>
        </w:rPr>
        <w:t>申报20</w:t>
      </w:r>
      <w:r>
        <w:rPr>
          <w:rFonts w:ascii="仿宋" w:eastAsia="方正仿宋简体" w:cs="方正仿宋简体" w:hAnsi="仿宋" w:hint="eastAsia"/>
          <w:color w:val="000000"/>
          <w:sz w:val="32"/>
          <w:szCs w:val="32"/>
          <w:lang w:val="en-US" w:eastAsia="zh-CN"/>
        </w:rPr>
        <w:t>24</w:t>
      </w:r>
      <w:r>
        <w:rPr>
          <w:rFonts w:ascii="仿宋" w:eastAsia="方正仿宋简体" w:cs="方正仿宋简体" w:hAnsi="仿宋" w:hint="eastAsia"/>
          <w:color w:val="000000"/>
          <w:sz w:val="32"/>
          <w:szCs w:val="32"/>
        </w:rPr>
        <w:t>年河北省资助工业设计</w:t>
      </w:r>
      <w:r>
        <w:rPr>
          <w:rFonts w:ascii="仿宋" w:eastAsia="方正仿宋简体" w:cs="方正仿宋简体" w:hAnsi="仿宋" w:hint="eastAsia"/>
          <w:color w:val="000000"/>
          <w:sz w:val="32"/>
          <w:szCs w:val="32"/>
          <w:lang w:eastAsia="zh-CN"/>
        </w:rPr>
        <w:t>成果转化</w:t>
      </w:r>
      <w:r>
        <w:rPr>
          <w:rFonts w:ascii="仿宋" w:eastAsia="方正仿宋简体" w:cs="方正仿宋简体" w:hAnsi="仿宋" w:hint="eastAsia"/>
          <w:color w:val="000000"/>
          <w:sz w:val="32"/>
          <w:szCs w:val="32"/>
        </w:rPr>
        <w:t>项目</w:t>
      </w:r>
      <w:r>
        <w:rPr>
          <w:rFonts w:eastAsia="方正仿宋简体" w:cs="方正仿宋简体" w:hint="eastAsia"/>
          <w:color w:val="000000"/>
          <w:sz w:val="32"/>
          <w:szCs w:val="32"/>
          <w:lang w:eastAsia="zh-CN"/>
        </w:rPr>
        <w:t>；</w:t>
      </w:r>
      <w:r>
        <w:rPr>
          <w:rFonts w:ascii="仿宋" w:eastAsia="方正仿宋简体" w:cs="方正仿宋简体" w:hAnsi="仿宋" w:hint="eastAsia"/>
          <w:color w:val="000000"/>
          <w:sz w:val="32"/>
          <w:szCs w:val="32"/>
          <w:lang w:val="en-US" w:eastAsia="zh-CN"/>
        </w:rPr>
        <w:t>推荐</w:t>
      </w:r>
      <w:r>
        <w:rPr>
          <w:rFonts w:ascii="方正仿宋简体" w:eastAsia="方正仿宋简体" w:cs="方正仿宋简体" w:hint="eastAsia"/>
          <w:color w:val="000000"/>
          <w:sz w:val="32"/>
          <w:szCs w:val="32"/>
        </w:rPr>
        <w:t>梦牌瓷业</w:t>
      </w:r>
      <w:r>
        <w:rPr>
          <w:rFonts w:ascii="方正仿宋简体" w:eastAsia="方正仿宋简体" w:cs="方正仿宋简体" w:hint="eastAsia"/>
          <w:color w:val="000000"/>
          <w:sz w:val="32"/>
          <w:szCs w:val="32"/>
          <w:lang w:val="en-US" w:eastAsia="zh-CN"/>
        </w:rPr>
        <w:t>排水旋冲坐便器</w:t>
      </w:r>
      <w:r>
        <w:rPr>
          <w:rFonts w:eastAsia="仿宋_GB2312" w:cs="Times New Roman" w:hint="eastAsia"/>
          <w:bCs/>
          <w:color w:val="000000"/>
          <w:sz w:val="32"/>
          <w:szCs w:val="32"/>
          <w:lang w:val="en-US" w:eastAsia="zh-CN"/>
        </w:rPr>
        <w:t>等项目</w:t>
      </w:r>
      <w:r>
        <w:rPr>
          <w:rFonts w:ascii="方正仿宋简体" w:eastAsia="方正仿宋简体" w:cs="方正仿宋简体" w:hint="eastAsia"/>
          <w:color w:val="000000"/>
          <w:sz w:val="32"/>
          <w:szCs w:val="32"/>
        </w:rPr>
        <w:t>申报</w:t>
      </w:r>
      <w:r>
        <w:rPr>
          <w:rFonts w:ascii="宋体" w:eastAsia="宋体" w:cs="宋体" w:hint="eastAsia"/>
          <w:color w:val="000000"/>
          <w:sz w:val="32"/>
          <w:szCs w:val="32"/>
        </w:rPr>
        <w:t>2024</w:t>
      </w:r>
      <w:r>
        <w:rPr>
          <w:rFonts w:ascii="方正仿宋简体" w:eastAsia="方正仿宋简体" w:cs="方正仿宋简体" w:hint="eastAsia"/>
          <w:color w:val="000000"/>
          <w:sz w:val="32"/>
          <w:szCs w:val="32"/>
        </w:rPr>
        <w:t>年河北省资助购买工业设计服务项目。</w:t>
      </w:r>
    </w:p>
    <w:p>
      <w:pPr>
        <w:keepNext w:val="0"/>
        <w:keepLines w:val="0"/>
        <w:pageBreakBefore w:val="0"/>
        <w:widowControl/>
        <w:kinsoku/>
        <w:wordWrap/>
        <w:overflowPunct/>
        <w:topLinePunct w:val="0"/>
        <w:autoSpaceDE/>
        <w:autoSpaceDN/>
        <w:bidi w:val="0"/>
        <w:adjustRightInd/>
        <w:snapToGrid/>
        <w:spacing w:line="520" w:lineRule="exact"/>
        <w:ind w:left="0" w:firstLineChars="200" w:firstLine="640"/>
        <w:jc w:val="left"/>
        <w:textAlignment w:val="auto"/>
        <w:rPr>
          <w:rFonts w:ascii="宋体" w:eastAsia="方正仿宋简体" w:cs="方正仿宋简体" w:hAnsi="宋体" w:hint="eastAsia"/>
          <w:color w:val="000000"/>
          <w:sz w:val="32"/>
          <w:szCs w:val="32"/>
          <w:lang w:eastAsia="zh-CN" w:bidi="ar-SA"/>
        </w:rPr>
      </w:pPr>
      <w:r>
        <w:rPr>
          <w:rFonts w:ascii="方正楷体简体" w:eastAsia="方正楷体简体" w:cs="方正仿宋简体" w:hint="eastAsia"/>
          <w:b/>
          <w:bCs/>
          <w:color w:val="000000"/>
          <w:kern w:val="2"/>
          <w:sz w:val="32"/>
          <w:szCs w:val="32"/>
          <w:lang w:val="en-US" w:eastAsia="zh-CN" w:bidi="ar-SA"/>
        </w:rPr>
        <w:t>（三）推动产学研等科技合作，推动科技成果转化。</w:t>
      </w:r>
      <w:r>
        <w:rPr>
          <w:rFonts w:ascii="宋体" w:eastAsia="方正仿宋简体" w:cs="方正仿宋简体" w:hAnsi="宋体" w:hint="eastAsia"/>
          <w:color w:val="000000"/>
          <w:sz w:val="32"/>
          <w:szCs w:val="32"/>
          <w:lang w:val="en-US" w:eastAsia="zh-CN"/>
        </w:rPr>
        <w:t>一是积极参加上级线上成果对接会，完成瑞丰钢铁与北科大“低碳钢系列板坯连铸工艺与表面质量控制研究”等科技合作签约5项。二是以项目申报为抓手，努力打造科技服务工作新亮点。参照国家、省、市支持的领域，建立项目储备库，帮助华通线缆“第三代半导体功率器件关键封装材料高导热氮化硅基片的板的产学合作”等2个项目获评唐山市产学研合作场景示范项目。三是</w:t>
      </w:r>
      <w:r>
        <w:rPr>
          <w:rFonts w:ascii="宋体" w:eastAsia="方正仿宋简体" w:cs="方正仿宋简体" w:hAnsi="宋体" w:hint="eastAsia"/>
          <w:color w:val="000000"/>
          <w:sz w:val="32"/>
          <w:szCs w:val="32"/>
          <w:lang w:eastAsia="zh-CN" w:bidi="ar-SA"/>
        </w:rPr>
        <w:t>推进京津冀协同创新共同体建设工作，</w:t>
      </w:r>
      <w:r>
        <w:rPr>
          <w:rFonts w:ascii="宋体" w:eastAsia="方正仿宋简体" w:cs="方正仿宋简体" w:hAnsi="宋体" w:hint="eastAsia"/>
          <w:color w:val="000000"/>
          <w:sz w:val="32"/>
          <w:szCs w:val="32"/>
          <w:lang w:val="en-US" w:eastAsia="zh-CN" w:bidi="ar-SA"/>
        </w:rPr>
        <w:t>推动</w:t>
      </w:r>
      <w:r>
        <w:rPr>
          <w:rFonts w:ascii="方正仿宋简体" w:eastAsia="方正仿宋简体" w:cs="方正仿宋简体" w:hint="eastAsia"/>
          <w:color w:val="000000"/>
          <w:sz w:val="32"/>
          <w:szCs w:val="32"/>
          <w:lang w:val="en-US" w:eastAsia="zh-CN"/>
        </w:rPr>
        <w:t>唐山东方雨虹与北京东方雨虹联合技术攻关、合作成果转化，建设唐山市低能耗建筑用防水卷材创新共同体。</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eastAsia="仿宋_GB2312"/>
          <w:sz w:val="32"/>
          <w:szCs w:val="32"/>
        </w:rPr>
      </w:pPr>
      <w:r>
        <w:rPr>
          <w:rFonts w:eastAsia="仿宋_GB2312"/>
          <w:sz w:val="32"/>
          <w:szCs w:val="32"/>
        </w:rPr>
        <w:t>　　</w:t>
      </w:r>
      <w:r>
        <w:rPr>
          <w:rFonts w:eastAsia="仿宋_GB2312" w:hint="eastAsia"/>
          <w:sz w:val="32"/>
          <w:szCs w:val="32"/>
        </w:rPr>
        <w:t>（</w:t>
      </w:r>
      <w:r>
        <w:rPr>
          <w:rFonts w:eastAsia="仿宋_GB2312"/>
          <w:sz w:val="32"/>
          <w:szCs w:val="32"/>
        </w:rPr>
        <w:t>印章</w:t>
      </w:r>
      <w:r>
        <w:rPr>
          <w:rFonts w:eastAsia="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right"/>
        <w:textAlignment w:val="auto"/>
        <w:rPr>
          <w:rFonts w:eastAsia="仿宋_GB2312"/>
          <w:sz w:val="32"/>
          <w:szCs w:val="32"/>
        </w:rPr>
      </w:pPr>
      <w:bookmarkStart w:id="0" w:name="_GoBack"/>
      <w:bookmarkEnd w:id="0"/>
      <w:r>
        <w:rPr>
          <w:rFonts w:eastAsia="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sz w:val="32"/>
          <w:szCs w:val="32"/>
        </w:rPr>
      </w:pPr>
      <w:r>
        <w:rPr>
          <w:rFonts w:eastAsia="仿宋_GB2312"/>
          <w:sz w:val="32"/>
          <w:szCs w:val="32"/>
        </w:rPr>
        <w:t>领导签发</w:t>
      </w:r>
      <w:r>
        <w:rPr>
          <w:rFonts w:eastAsia="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sz w:val="32"/>
          <w:szCs w:val="32"/>
        </w:rPr>
      </w:pPr>
      <w:r>
        <w:rPr>
          <w:rFonts w:eastAsia="仿宋_GB2312"/>
          <w:sz w:val="32"/>
          <w:szCs w:val="32"/>
        </w:rPr>
        <w:t>联系人及电话</w:t>
      </w:r>
      <w:r>
        <w:rPr>
          <w:rFonts w:eastAsia="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sz w:val="32"/>
          <w:szCs w:val="32"/>
        </w:rPr>
        <w:sectPr>
          <w:headerReference w:type="default" r:id="rId2"/>
          <w:headerReference w:type="even" r:id="rId3"/>
          <w:headerReference w:type="first" r:id="rId4"/>
          <w:footerReference w:type="default" r:id="rId5"/>
          <w:footerReference w:type="even" r:id="rId6"/>
          <w:pgSz w:w="11906" w:h="16838"/>
          <w:pgMar w:top="1440" w:right="1746" w:bottom="1440" w:left="1746" w:header="851" w:footer="992" w:gutter="0"/>
          <w:pgNumType/>
          <w:docGrid w:type="lines" w:linePitch="319" w:charSpace="0"/>
        </w:sectPr>
      </w:pPr>
      <w:r>
        <w:rPr>
          <w:rFonts w:eastAsia="仿宋_GB2312"/>
          <w:w w:val="100"/>
          <w:sz w:val="32"/>
          <w:szCs w:val="32"/>
        </w:rPr>
        <w:t>抄</w:t>
      </w:r>
      <w:r>
        <w:rPr>
          <w:rFonts w:eastAsia="仿宋_GB2312"/>
          <w:sz w:val="32"/>
          <w:szCs w:val="32"/>
        </w:rPr>
        <w:t>送</w:t>
      </w:r>
      <w:r>
        <w:rPr>
          <w:rFonts w:eastAsia="仿宋_GB2312" w:hint="eastAsia"/>
          <w:sz w:val="32"/>
          <w:szCs w:val="32"/>
        </w:rPr>
        <w:t>：</w:t>
      </w:r>
      <w:r>
        <w:rPr>
          <w:rFonts w:eastAsia="仿宋_GB2312" w:hint="eastAsia"/>
          <w:bCs/>
          <w:sz w:val="32"/>
          <w:szCs w:val="32"/>
          <w:lang w:eastAsia="zh-CN"/>
        </w:rPr>
        <w:t>区</w:t>
      </w:r>
      <w:r>
        <w:rPr>
          <w:rFonts w:eastAsia="仿宋_GB2312" w:hint="eastAsia"/>
          <w:bCs/>
          <w:sz w:val="32"/>
          <w:szCs w:val="32"/>
        </w:rPr>
        <w:t>人大常委会选举任免代表工作委员会</w:t>
      </w:r>
      <w:r>
        <w:rPr>
          <w:rFonts w:eastAsia="仿宋_GB2312"/>
          <w:bCs/>
          <w:sz w:val="32"/>
          <w:szCs w:val="32"/>
        </w:rPr>
        <w:t>（815室）</w:t>
      </w:r>
      <w:r>
        <w:rPr>
          <w:rFonts w:eastAsia="仿宋_GB2312" w:hint="eastAsia"/>
          <w:bCs/>
          <w:sz w:val="32"/>
          <w:szCs w:val="32"/>
        </w:rPr>
        <w:t>，</w:t>
      </w:r>
      <w:r>
        <w:rPr>
          <w:rFonts w:eastAsia="仿宋_GB2312" w:hint="eastAsia"/>
          <w:bCs/>
          <w:sz w:val="32"/>
          <w:szCs w:val="32"/>
          <w:lang w:eastAsia="zh-CN"/>
        </w:rPr>
        <w:t>区</w:t>
      </w:r>
      <w:r>
        <w:rPr>
          <w:rFonts w:eastAsia="仿宋_GB2312" w:hint="eastAsia"/>
          <w:bCs/>
          <w:sz w:val="32"/>
          <w:szCs w:val="32"/>
        </w:rPr>
        <w:t>政府办公</w:t>
      </w:r>
      <w:r>
        <w:rPr>
          <w:rFonts w:eastAsia="仿宋_GB2312" w:hint="eastAsia"/>
          <w:bCs/>
          <w:sz w:val="32"/>
          <w:szCs w:val="32"/>
          <w:lang w:eastAsia="zh-CN"/>
        </w:rPr>
        <w:t>室</w:t>
      </w:r>
      <w:r>
        <w:rPr>
          <w:rFonts w:eastAsia="仿宋_GB2312"/>
          <w:bCs/>
          <w:sz w:val="32"/>
          <w:szCs w:val="32"/>
          <w:lang w:eastAsia="zh-CN"/>
        </w:rPr>
        <w:t>（515室）</w:t>
      </w:r>
    </w:p>
    <w:p/>
    <w:sectPr>
      <w:pgSz w:w="11907" w:h="16840"/>
      <w:pgMar w:top="2098" w:right="1474" w:bottom="1985" w:left="1588"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86"/>
    <w:family w:val="auto"/>
    <w:pitch w:val="variable"/>
    <w:sig w:usb0="00000000" w:usb1="00000000" w:usb2="00000000"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方正仿宋简体">
    <w:panose1 w:val="02010601030101010101"/>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altName w:val="DejaVu Sans"/>
    <w:panose1 w:val="00000000000000000000"/>
    <w:charset w:val="00"/>
    <w:family w:val="auto"/>
    <w:pitch w:val="variable"/>
    <w:sig w:usb0="00000000" w:usb1="00000000" w:usb2="00000000" w:usb3="00000000" w:csb0="00000000" w:csb1="00000000"/>
  </w:font>
  <w:font w:name="黑体">
    <w:altName w:val="方正黑体_GBK"/>
    <w:panose1 w:val="02010609060101010101"/>
    <w:charset w:val="00"/>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3329940</wp:posOffset>
              </wp:positionV>
              <wp:extent cx="66675" cy="153485"/>
              <wp:effectExtent l="0" t="0" r="0" b="0"/>
              <wp:wrapNone/>
              <wp:docPr id="1" name="文本框 2"/>
              <wp:cNvGraphicFramePr>
                <a:graphicFrameLocks noChangeAspect="0"/>
              </wp:cNvGraphicFramePr>
              <a:graphic>
                <a:graphicData uri="http://schemas.microsoft.com/office/word/2010/wordprocessingShape">
                  <wps:wsp>
                    <wps:cNvSpPr/>
                    <wps:spPr>
                      <a:xfrm rot="0">
                        <a:off x="0" y="0"/>
                        <a:ext cx="66675" cy="153485"/>
                      </a:xfrm>
                      <a:prstGeom prst="rect"/>
                      <a:noFill/>
                      <a:ln w="9525" cmpd="sng" cap="flat">
                        <a:noFill/>
                        <a:prstDash val="solid"/>
                        <a:miter/>
                      </a:ln>
                    </wps:spPr>
                    <wps:txbx id="2">
                      <w:txbxContent>
                        <w:p>
                          <w:pPr>
                            <w:snapToGrid w:val="0"/>
                            <w:rPr>
                              <w:rFonts w:ascii="宋体" w:hint="eastAsia"/>
                              <w:sz w:val="24"/>
                              <w:szCs w:val="24"/>
                            </w:rPr>
                          </w:pPr>
                          <w:r>
                            <w:rPr>
                              <w:rFonts w:ascii="宋体" w:hint="eastAsia"/>
                              <w:sz w:val="24"/>
                              <w:szCs w:val="24"/>
                            </w:rPr>
                            <w:fldChar w:fldCharType="begin"/>
                          </w:r>
                          <w:r>
                            <w:rPr>
                              <w:rFonts w:ascii="宋体" w:hint="eastAsia"/>
                              <w:sz w:val="24"/>
                              <w:szCs w:val="24"/>
                            </w:rPr>
                            <w:instrText xml:space="preserve"> PAGE  \* MERGEFORMAT </w:instrText>
                          </w:r>
                          <w:r>
                            <w:rPr>
                              <w:rFonts w:ascii="宋体" w:hint="eastAsia"/>
                              <w:sz w:val="24"/>
                              <w:szCs w:val="24"/>
                            </w:rPr>
                            <w:fldChar w:fldCharType="separate"/>
                          </w:r>
                          <w:r>
                            <w:t>1</w:t>
                          </w:r>
                          <w:r>
                            <w:rPr>
                              <w:rFonts w:ascii="宋体" w:hint="eastAsia"/>
                              <w:sz w:val="24"/>
                              <w:szCs w:val="24"/>
                            </w:rPr>
                            <w:fldChar w:fldCharType="end"/>
                          </w:r>
                        </w:p>
                      </w:txbxContent>
                    </wps:txbx>
                    <wps:bodyPr vert="horz" wrap="none" lIns="0" tIns="0" rIns="0" bIns="0" anchor="t" anchorCtr="0" upright="1">
                      <a:spAutoFit/>
                    </wps:bodyPr>
                  </wps:wsp>
                </a:graphicData>
              </a:graphic>
            </wp:anchor>
          </w:drawing>
        </mc:Choice>
        <mc:Fallback>
          <w:pict>
            <v:shape type="#_x0000_t202" id="文本框 2" o:spid="_x0000_s3" filled="f" stroked="f" style="position:absolute;margin-left:0.0pt;margin-top:262.2pt;width:5.25pt;height:12.085509pt;z-index:12;mso-position-horizontal:center;mso-position-horizontal-relative:margin;mso-position-vertical:absolute;mso-wrap-style:none;">
              <v:stroke color="#000000"/>
              <v:textbox id="848" inset="0mm,0mm,0mm,0mm" o:insetmode="custom" style="layout-flow:horizontal;v-text-anchor:top;mso-fit-shape-to-text:t;">
                <w:txbxContent>
                  <w:p>
                    <w:pPr>
                      <w:snapToGrid w:val="0"/>
                      <w:rPr>
                        <w:rFonts w:ascii="宋体" w:hint="eastAsia"/>
                        <w:sz w:val="24"/>
                        <w:szCs w:val="24"/>
                      </w:rPr>
                    </w:pPr>
                    <w:r>
                      <w:rPr>
                        <w:rFonts w:ascii="宋体" w:hint="eastAsia"/>
                        <w:sz w:val="24"/>
                        <w:szCs w:val="24"/>
                      </w:rPr>
                      <w:fldChar w:fldCharType="begin"/>
                    </w:r>
                    <w:r>
                      <w:rPr>
                        <w:rFonts w:ascii="宋体" w:hint="eastAsia"/>
                        <w:sz w:val="24"/>
                        <w:szCs w:val="24"/>
                      </w:rPr>
                      <w:instrText xml:space="preserve"> PAGE  \* MERGEFORMAT </w:instrText>
                    </w:r>
                    <w:r>
                      <w:rPr>
                        <w:rFonts w:ascii="宋体" w:hint="eastAsia"/>
                        <w:sz w:val="24"/>
                        <w:szCs w:val="24"/>
                      </w:rPr>
                      <w:fldChar w:fldCharType="separate"/>
                    </w:r>
                    <w:r>
                      <w:t>1</w:t>
                    </w:r>
                    <w:r>
                      <w:rPr>
                        <w:rFonts w:ascii="宋体" w:hint="eastAsia"/>
                        <w:sz w:val="24"/>
                        <w:szCs w:val="24"/>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pBdr>
        <w:bottom w:val="none" w:sz="0" w:space="0" w:color="auto"/>
      </w:pBdr>
      <w:tabs>
        <w:tab w:val="clear" w:pos="4153"/>
        <w:tab w:val="clear" w:pos="8306"/>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lear" w:pos="4153"/>
        <w:tab w:val="clear" w:pos="8306"/>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savePreviewPicture/>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32">
    <w:name w:val="header"/>
    <w:basedOn w:val="0"/>
    <w:next w:val="17"/>
    <w:pPr>
      <w:widowControl w:val="0"/>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Times New Roman" w:eastAsia="宋体" w:cs="Times New Roman" w:hAnsi="Times New Roman"/>
      <w:kern w:val="2"/>
      <w:sz w:val="18"/>
      <w:szCs w:val="20"/>
      <w:lang w:val="en-US" w:eastAsia="zh-CN" w:bidi="ar-SA"/>
    </w:rPr>
  </w:style>
  <w:style w:type="paragraph" w:styleId="33">
    <w:name w:val="footer"/>
    <w:basedOn w:val="0"/>
    <w:next w:val="16"/>
    <w:pPr>
      <w:widowControl w:val="0"/>
      <w:tabs>
        <w:tab w:val="center" w:pos="4153"/>
        <w:tab w:val="right" w:pos="8306"/>
      </w:tabs>
      <w:snapToGrid w:val="0"/>
      <w:jc w:val="left"/>
    </w:pPr>
    <w:rPr>
      <w:rFonts w:ascii="Times New Roman" w:eastAsia="宋体" w:cs="Times New Roman" w:hAnsi="Times New Roman"/>
      <w:kern w:val="2"/>
      <w:sz w:val="18"/>
      <w:szCs w:val="20"/>
      <w:lang w:val="en-US" w:eastAsia="zh-CN" w:bidi="ar-SA"/>
    </w:rPr>
  </w:style>
  <w:style w:type="paragraph" w:styleId="92">
    <w:name w:val="Normal (Web)"/>
    <w:basedOn w:val="0"/>
    <w:next w:val="19"/>
    <w:pPr>
      <w:widowControl w:val="0"/>
      <w:spacing w:before="100" w:beforeAutospacing="1" w:after="100" w:afterAutospacing="1"/>
      <w:ind w:left="0" w:right="0"/>
      <w:jc w:val="left"/>
    </w:pPr>
    <w:rPr>
      <w:rFonts w:ascii="Calibri" w:eastAsia="宋体" w:cs="Times New Roman" w:hAnsi="Calibri"/>
      <w:kern w:val="0"/>
      <w:sz w:val="24"/>
      <w:szCs w:val="24"/>
      <w:lang w:val="en-US" w:eastAsia="zh-CN" w:bidi="ar-SA"/>
    </w:rPr>
  </w:style>
  <w:style w:type="paragraph" w:customStyle="1" w:styleId="133">
    <w:name w:val="_Style 1"/>
    <w:basedOn w:val="0"/>
    <w:pPr>
      <w:widowControl w:val="0"/>
      <w:jc w:val="both"/>
    </w:pPr>
    <w:rPr>
      <w:rFonts w:ascii="仿宋" w:eastAsia="宋体" w:cs="Times New Roman" w:hAnsi="仿宋"/>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Yozo_Office27021597764231179</Application>
  <Pages>5</Pages>
  <Words>2107</Words>
  <Characters>2181</Characters>
  <Lines>101</Lines>
  <Paragraphs>26</Paragraphs>
  <CharactersWithSpaces>2217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Cynthia</dc:creator>
  <cp:lastModifiedBy>Administrator</cp:lastModifiedBy>
  <cp:revision>1</cp:revision>
  <dcterms:created xsi:type="dcterms:W3CDTF">2021-07-09T01:38:00Z</dcterms:created>
  <dcterms:modified xsi:type="dcterms:W3CDTF">2024-07-10T08:44:20Z</dcterms:modified>
</cp:coreProperties>
</file>