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600" w:lineRule="exact"/>
        <w:ind w:right="15" w:firstLine="4518" w:firstLineChars="1500"/>
        <w:jc w:val="left"/>
        <w:rPr>
          <w:rFonts w:ascii="CESI宋体-GB18030" w:hAnsi="CESI宋体-GB18030" w:eastAsia="方正仿宋简体"/>
          <w:b/>
          <w:bCs/>
          <w:sz w:val="30"/>
          <w:szCs w:val="30"/>
          <w:lang w:val="en-US" w:eastAsia="zh-CN"/>
        </w:rPr>
      </w:pPr>
    </w:p>
    <w:p>
      <w:pPr>
        <w:pStyle w:val="2"/>
        <w:rPr>
          <w:lang w:val="en-US" w:eastAsia="zh-CN"/>
        </w:rPr>
      </w:pPr>
    </w:p>
    <w:p>
      <w:pPr>
        <w:wordWrap/>
        <w:spacing w:line="600" w:lineRule="exact"/>
        <w:ind w:right="15" w:firstLine="4518" w:firstLineChars="1500"/>
        <w:jc w:val="left"/>
        <w:rPr>
          <w:rFonts w:ascii="CESI宋体-GB18030" w:hAnsi="CESI宋体-GB18030" w:eastAsia="方正仿宋简体"/>
          <w:b/>
          <w:bCs/>
          <w:sz w:val="30"/>
          <w:szCs w:val="30"/>
          <w:lang w:val="en-US" w:eastAsia="zh-CN"/>
        </w:rPr>
      </w:pPr>
    </w:p>
    <w:p>
      <w:pPr>
        <w:wordWrap/>
        <w:spacing w:line="600" w:lineRule="exact"/>
        <w:ind w:right="15" w:firstLine="4518" w:firstLineChars="1500"/>
        <w:jc w:val="left"/>
        <w:rPr>
          <w:rFonts w:ascii="CESI宋体-GB18030" w:hAnsi="CESI宋体-GB18030" w:eastAsia="方正仿宋简体"/>
          <w:b/>
          <w:bCs/>
          <w:sz w:val="30"/>
          <w:szCs w:val="30"/>
          <w:lang w:val="en-US" w:eastAsia="zh-CN"/>
        </w:rPr>
      </w:pPr>
    </w:p>
    <w:p>
      <w:pPr>
        <w:wordWrap/>
        <w:spacing w:line="600" w:lineRule="exact"/>
        <w:ind w:right="15" w:firstLine="4518" w:firstLineChars="1500"/>
        <w:jc w:val="left"/>
        <w:rPr>
          <w:rFonts w:hint="default" w:ascii="CESI宋体-GB18030" w:hAnsi="CESI宋体-GB18030" w:eastAsia="方正仿宋简体"/>
          <w:b/>
          <w:bCs/>
          <w:sz w:val="30"/>
          <w:szCs w:val="30"/>
          <w:lang w:val="en-US" w:eastAsia="zh-CN"/>
        </w:rPr>
      </w:pPr>
      <w:r>
        <w:rPr>
          <w:rFonts w:ascii="CESI宋体-GB18030" w:hAnsi="CESI宋体-GB18030" w:eastAsia="方正仿宋简体"/>
          <w:b/>
          <w:bCs/>
          <w:sz w:val="30"/>
          <w:szCs w:val="30"/>
          <w:lang w:val="en-US" w:eastAsia="zh-CN"/>
        </w:rPr>
        <w:t xml:space="preserve"> </w:t>
      </w:r>
      <w:r>
        <w:rPr>
          <w:rFonts w:hint="eastAsia" w:ascii="CESI宋体-GB18030" w:hAnsi="CESI宋体-GB18030" w:eastAsia="方正仿宋简体"/>
          <w:b/>
          <w:bCs/>
          <w:sz w:val="30"/>
          <w:szCs w:val="30"/>
          <w:lang w:val="en-US" w:eastAsia="zh-CN"/>
        </w:rPr>
        <w:t xml:space="preserve">     是否同意公开：</w:t>
      </w:r>
      <w:r>
        <w:rPr>
          <w:rFonts w:hint="eastAsia" w:ascii="CESI宋体-GB18030" w:hAnsi="CESI宋体-GB18030" w:eastAsia="方正仿宋简体"/>
          <w:b/>
          <w:bCs/>
          <w:w w:val="95"/>
          <w:sz w:val="30"/>
          <w:szCs w:val="30"/>
          <w:lang w:val="en-US" w:eastAsia="zh-CN"/>
        </w:rPr>
        <w:t>（是）</w:t>
      </w:r>
    </w:p>
    <w:p>
      <w:pPr>
        <w:spacing w:line="600" w:lineRule="exact"/>
        <w:ind w:right="640" w:firstLine="5421" w:firstLineChars="1800"/>
        <w:jc w:val="left"/>
        <w:rPr>
          <w:rFonts w:hint="default" w:ascii="CESI宋体-GB18030" w:hAnsi="CESI宋体-GB18030" w:eastAsia="方正仿宋简体"/>
          <w:b/>
          <w:bCs/>
          <w:sz w:val="30"/>
          <w:szCs w:val="30"/>
          <w:lang w:val="en-US" w:eastAsia="zh-CN"/>
        </w:rPr>
      </w:pPr>
      <w:r>
        <w:rPr>
          <w:rFonts w:ascii="CESI宋体-GB18030" w:hAnsi="CESI宋体-GB18030" w:eastAsia="方正仿宋简体"/>
          <w:b/>
          <w:bCs/>
          <w:sz w:val="30"/>
          <w:szCs w:val="30"/>
        </w:rPr>
        <w:t>办理结果</w:t>
      </w:r>
      <w:r>
        <w:rPr>
          <w:rFonts w:hint="eastAsia" w:ascii="CESI宋体-GB18030" w:hAnsi="CESI宋体-GB18030" w:eastAsia="方正仿宋简体"/>
          <w:b/>
          <w:bCs/>
          <w:sz w:val="30"/>
          <w:szCs w:val="30"/>
        </w:rPr>
        <w:t>：</w:t>
      </w:r>
      <w:r>
        <w:rPr>
          <w:rFonts w:hint="eastAsia" w:ascii="CESI宋体-GB18030" w:hAnsi="CESI宋体-GB18030" w:eastAsia="方正仿宋简体"/>
          <w:b/>
          <w:bCs/>
          <w:sz w:val="30"/>
          <w:szCs w:val="30"/>
          <w:lang w:eastAsia="zh-CN"/>
        </w:rPr>
        <w:t>（</w:t>
      </w:r>
      <w:r>
        <w:rPr>
          <w:rFonts w:hint="eastAsia" w:ascii="CESI宋体-GB18030" w:hAnsi="CESI宋体-GB18030" w:eastAsia="方正仿宋简体"/>
          <w:b/>
          <w:bCs/>
          <w:sz w:val="30"/>
          <w:szCs w:val="30"/>
          <w:lang w:val="en-US" w:eastAsia="zh-CN"/>
        </w:rPr>
        <w:t>A</w:t>
      </w:r>
      <w:r>
        <w:rPr>
          <w:rFonts w:hint="eastAsia" w:ascii="CESI宋体-GB18030" w:hAnsi="CESI宋体-GB18030" w:eastAsia="方正仿宋简体"/>
          <w:b/>
          <w:bCs/>
          <w:sz w:val="30"/>
          <w:szCs w:val="30"/>
          <w:lang w:eastAsia="zh-CN"/>
        </w:rPr>
        <w:t>）</w:t>
      </w:r>
    </w:p>
    <w:p>
      <w:pPr>
        <w:spacing w:line="600" w:lineRule="exact"/>
        <w:ind w:firstLine="602" w:firstLineChars="200"/>
        <w:jc w:val="center"/>
        <w:rPr>
          <w:rFonts w:ascii="CESI宋体-GB18030" w:hAnsi="CESI宋体-GB18030" w:eastAsia="方正仿宋简体"/>
          <w:b/>
          <w:bCs/>
          <w:sz w:val="30"/>
          <w:szCs w:val="30"/>
        </w:rPr>
      </w:pPr>
      <w:r>
        <w:rPr>
          <w:rFonts w:hint="eastAsia" w:ascii="CESI宋体-GB18030" w:hAnsi="CESI宋体-GB18030" w:eastAsia="方正仿宋简体"/>
          <w:b/>
          <w:bCs/>
          <w:sz w:val="30"/>
          <w:szCs w:val="30"/>
          <w:lang w:val="en-US" w:eastAsia="zh-CN"/>
        </w:rPr>
        <w:t xml:space="preserve">                 </w:t>
      </w:r>
      <w:r>
        <w:rPr>
          <w:rFonts w:ascii="CESI宋体-GB18030" w:hAnsi="CESI宋体-GB18030" w:eastAsia="方正仿宋简体"/>
          <w:b/>
          <w:bCs/>
          <w:sz w:val="30"/>
          <w:szCs w:val="30"/>
          <w:lang w:val="en-US" w:eastAsia="zh-CN"/>
        </w:rPr>
        <w:t xml:space="preserve">          </w:t>
      </w:r>
      <w:r>
        <w:rPr>
          <w:rFonts w:hint="eastAsia" w:ascii="CESI宋体-GB18030" w:hAnsi="CESI宋体-GB18030" w:eastAsia="方正仿宋简体"/>
          <w:b/>
          <w:bCs/>
          <w:sz w:val="30"/>
          <w:szCs w:val="30"/>
          <w:lang w:val="en-US" w:eastAsia="zh-CN"/>
        </w:rPr>
        <w:t xml:space="preserve">  </w:t>
      </w:r>
      <w:r>
        <w:rPr>
          <w:rFonts w:ascii="CESI宋体-GB18030" w:hAnsi="CESI宋体-GB18030" w:eastAsia="方正仿宋简体"/>
          <w:b/>
          <w:bCs/>
          <w:sz w:val="30"/>
          <w:szCs w:val="30"/>
          <w:lang w:val="en-US" w:eastAsia="zh-CN"/>
        </w:rPr>
        <w:t xml:space="preserve"> 建议</w:t>
      </w:r>
      <w:r>
        <w:rPr>
          <w:rFonts w:ascii="CESI宋体-GB18030" w:hAnsi="CESI宋体-GB18030" w:eastAsia="方正仿宋简体"/>
          <w:b/>
          <w:bCs/>
          <w:sz w:val="30"/>
          <w:szCs w:val="30"/>
        </w:rPr>
        <w:t>字〔</w:t>
      </w:r>
      <w:r>
        <w:rPr>
          <w:rFonts w:ascii="CESI宋体-GB18030" w:hAnsi="CESI宋体-GB18030" w:eastAsia="方正仿宋简体"/>
          <w:b/>
          <w:bCs/>
          <w:spacing w:val="6"/>
          <w:sz w:val="30"/>
          <w:szCs w:val="30"/>
        </w:rPr>
        <w:t>20</w:t>
      </w:r>
      <w:r>
        <w:rPr>
          <w:rFonts w:hint="eastAsia" w:ascii="CESI宋体-GB18030" w:hAnsi="CESI宋体-GB18030" w:eastAsia="方正仿宋简体"/>
          <w:b/>
          <w:bCs/>
          <w:spacing w:val="6"/>
          <w:sz w:val="30"/>
          <w:szCs w:val="30"/>
        </w:rPr>
        <w:t>2</w:t>
      </w:r>
      <w:r>
        <w:rPr>
          <w:rFonts w:ascii="CESI宋体-GB18030" w:hAnsi="CESI宋体-GB18030" w:eastAsia="方正仿宋简体"/>
          <w:b/>
          <w:bCs/>
          <w:spacing w:val="6"/>
          <w:sz w:val="30"/>
          <w:szCs w:val="30"/>
        </w:rPr>
        <w:t>4</w:t>
      </w:r>
      <w:r>
        <w:rPr>
          <w:rFonts w:ascii="CESI宋体-GB18030" w:hAnsi="CESI宋体-GB18030" w:eastAsia="方正仿宋简体"/>
          <w:b/>
          <w:bCs/>
          <w:sz w:val="30"/>
          <w:szCs w:val="30"/>
        </w:rPr>
        <w:t>〕</w:t>
      </w:r>
      <w:r>
        <w:rPr>
          <w:rFonts w:hint="eastAsia" w:ascii="CESI宋体-GB18030" w:hAnsi="CESI宋体-GB18030" w:eastAsia="方正仿宋简体"/>
          <w:b/>
          <w:bCs/>
          <w:sz w:val="30"/>
          <w:szCs w:val="30"/>
          <w:lang w:val="en-US" w:eastAsia="zh-CN"/>
        </w:rPr>
        <w:t>1</w:t>
      </w:r>
      <w:r>
        <w:rPr>
          <w:rFonts w:ascii="CESI宋体-GB18030" w:hAnsi="CESI宋体-GB18030" w:eastAsia="方正仿宋简体"/>
          <w:b/>
          <w:bCs/>
          <w:sz w:val="30"/>
          <w:szCs w:val="30"/>
        </w:rPr>
        <w:t>号</w:t>
      </w:r>
    </w:p>
    <w:p>
      <w:pPr>
        <w:spacing w:line="600" w:lineRule="exact"/>
        <w:jc w:val="center"/>
        <w:rPr>
          <w:rFonts w:hint="eastAsia" w:ascii="CESI宋体-GB18030" w:hAnsi="CESI宋体-GB18030" w:eastAsia="方正小标宋简体" w:cs="方正小标宋简体"/>
          <w:sz w:val="44"/>
          <w:szCs w:val="44"/>
          <w:lang w:eastAsia="zh-CN" w:bidi="ar-SA"/>
        </w:rPr>
      </w:pPr>
    </w:p>
    <w:p>
      <w:pPr>
        <w:spacing w:line="560" w:lineRule="exact"/>
        <w:jc w:val="center"/>
        <w:rPr>
          <w:rFonts w:ascii="CESI宋体-GB18030" w:hAnsi="CESI宋体-GB18030" w:eastAsia="方正小标宋简体"/>
          <w:b/>
          <w:bCs/>
          <w:sz w:val="40"/>
          <w:szCs w:val="40"/>
        </w:rPr>
      </w:pPr>
      <w:r>
        <w:rPr>
          <w:rFonts w:hint="eastAsia" w:ascii="CESI宋体-GB18030" w:hAnsi="CESI宋体-GB18030" w:eastAsia="方正小标宋简体" w:cs="Times New Roman"/>
          <w:b/>
          <w:bCs/>
          <w:sz w:val="40"/>
          <w:szCs w:val="40"/>
          <w:lang w:val="en-US" w:eastAsia="zh-CN"/>
        </w:rPr>
        <w:t xml:space="preserve">唐山市丰南区科技和工业信息化局          </w:t>
      </w:r>
      <w:r>
        <w:rPr>
          <w:rFonts w:ascii="CESI宋体-GB18030" w:hAnsi="CESI宋体-GB18030" w:eastAsia="方正小标宋简体" w:cs="Times New Roman"/>
          <w:b/>
          <w:bCs/>
          <w:sz w:val="40"/>
          <w:szCs w:val="40"/>
        </w:rPr>
        <w:t>对</w:t>
      </w:r>
      <w:r>
        <w:rPr>
          <w:rFonts w:ascii="CESI宋体-GB18030" w:hAnsi="CESI宋体-GB18030" w:eastAsia="方正小标宋简体"/>
          <w:b/>
          <w:bCs/>
          <w:sz w:val="40"/>
          <w:szCs w:val="40"/>
          <w:lang w:eastAsia="zh-CN"/>
        </w:rPr>
        <w:t>丰南区</w:t>
      </w:r>
      <w:r>
        <w:rPr>
          <w:rFonts w:ascii="CESI宋体-GB18030" w:hAnsi="CESI宋体-GB18030" w:eastAsia="方正小标宋简体"/>
          <w:b/>
          <w:bCs/>
          <w:sz w:val="40"/>
          <w:szCs w:val="40"/>
        </w:rPr>
        <w:t>第七届人民代表大会第四次会议</w:t>
      </w:r>
      <w:r>
        <w:rPr>
          <w:rFonts w:hint="eastAsia" w:ascii="CESI宋体-GB18030" w:hAnsi="CESI宋体-GB18030" w:eastAsia="方正小标宋简体"/>
          <w:b/>
          <w:bCs/>
          <w:sz w:val="40"/>
          <w:szCs w:val="40"/>
          <w:lang w:val="en-US" w:eastAsia="zh-CN"/>
        </w:rPr>
        <w:t xml:space="preserve">     </w:t>
      </w:r>
      <w:r>
        <w:rPr>
          <w:rFonts w:ascii="CESI宋体-GB18030" w:hAnsi="CESI宋体-GB18030" w:eastAsia="方正小标宋简体"/>
          <w:b/>
          <w:bCs/>
          <w:sz w:val="40"/>
          <w:szCs w:val="40"/>
        </w:rPr>
        <w:t>第</w:t>
      </w:r>
      <w:r>
        <w:rPr>
          <w:rFonts w:hint="eastAsia" w:ascii="CESI宋体-GB18030" w:hAnsi="CESI宋体-GB18030" w:eastAsia="方正小标宋简体"/>
          <w:b/>
          <w:bCs/>
          <w:sz w:val="40"/>
          <w:szCs w:val="40"/>
          <w:lang w:val="en-US" w:eastAsia="zh-CN"/>
        </w:rPr>
        <w:t>26</w:t>
      </w:r>
      <w:r>
        <w:rPr>
          <w:rFonts w:ascii="CESI宋体-GB18030" w:hAnsi="CESI宋体-GB18030" w:eastAsia="方正小标宋简体"/>
          <w:b/>
          <w:bCs/>
          <w:sz w:val="40"/>
          <w:szCs w:val="40"/>
        </w:rPr>
        <w:t>号建议的答复</w:t>
      </w:r>
    </w:p>
    <w:p>
      <w:pPr>
        <w:spacing w:line="560" w:lineRule="exact"/>
        <w:rPr>
          <w:rFonts w:ascii="宋体" w:hAnsi="宋体" w:eastAsia="方正仿宋简体"/>
          <w:b/>
          <w:bCs/>
          <w:sz w:val="30"/>
          <w:szCs w:val="30"/>
        </w:rPr>
      </w:pPr>
      <w:r>
        <w:rPr>
          <w:rFonts w:ascii="宋体" w:hAnsi="宋体" w:eastAsia="方正仿宋简体"/>
          <w:b/>
          <w:bCs/>
          <w:sz w:val="30"/>
          <w:szCs w:val="30"/>
        </w:rPr>
        <w:t>　　　　</w:t>
      </w:r>
    </w:p>
    <w:p>
      <w:pPr>
        <w:keepNext w:val="0"/>
        <w:keepLines w:val="0"/>
        <w:pageBreakBefore w:val="0"/>
        <w:kinsoku/>
        <w:wordWrap/>
        <w:overflowPunct/>
        <w:topLinePunct w:val="0"/>
        <w:bidi w:val="0"/>
        <w:spacing w:line="592" w:lineRule="exact"/>
        <w:textAlignment w:val="auto"/>
        <w:rPr>
          <w:rFonts w:hint="eastAsia" w:ascii="宋体" w:hAnsi="宋体" w:eastAsia="方正仿宋简体"/>
          <w:b/>
          <w:bCs/>
          <w:sz w:val="30"/>
          <w:szCs w:val="30"/>
        </w:rPr>
      </w:pPr>
      <w:r>
        <w:rPr>
          <w:rFonts w:hint="eastAsia" w:ascii="宋体" w:hAnsi="宋体" w:eastAsia="方正仿宋简体" w:cs="Times New Roman"/>
          <w:b/>
          <w:bCs/>
          <w:sz w:val="30"/>
          <w:szCs w:val="30"/>
          <w:lang w:val="en-US" w:eastAsia="zh-CN"/>
        </w:rPr>
        <w:t>杨智丽</w:t>
      </w:r>
      <w:r>
        <w:rPr>
          <w:rFonts w:ascii="宋体" w:hAnsi="宋体" w:eastAsia="方正仿宋简体" w:cs="Times New Roman"/>
          <w:b/>
          <w:bCs/>
          <w:sz w:val="30"/>
          <w:szCs w:val="30"/>
        </w:rPr>
        <w:t>代</w:t>
      </w:r>
      <w:r>
        <w:rPr>
          <w:rFonts w:ascii="宋体" w:hAnsi="宋体" w:eastAsia="方正仿宋简体"/>
          <w:b/>
          <w:bCs/>
          <w:sz w:val="30"/>
          <w:szCs w:val="30"/>
        </w:rPr>
        <w:t>表</w:t>
      </w:r>
      <w:r>
        <w:rPr>
          <w:rFonts w:hint="eastAsia" w:ascii="宋体" w:hAnsi="宋体" w:eastAsia="方正仿宋简体"/>
          <w:b/>
          <w:bCs/>
          <w:sz w:val="30"/>
          <w:szCs w:val="30"/>
        </w:rPr>
        <w:t>：</w:t>
      </w:r>
    </w:p>
    <w:p>
      <w:pPr>
        <w:keepNext w:val="0"/>
        <w:keepLines w:val="0"/>
        <w:pageBreakBefore w:val="0"/>
        <w:kinsoku/>
        <w:wordWrap/>
        <w:overflowPunct/>
        <w:topLinePunct w:val="0"/>
        <w:bidi w:val="0"/>
        <w:spacing w:line="592" w:lineRule="exact"/>
        <w:ind w:firstLine="602" w:firstLineChars="200"/>
        <w:textAlignment w:val="auto"/>
        <w:rPr>
          <w:rFonts w:hint="eastAsia" w:ascii="宋体" w:hAnsi="宋体" w:eastAsia="方正仿宋简体" w:cs="Times New Roman"/>
          <w:b/>
          <w:bCs/>
          <w:sz w:val="30"/>
          <w:szCs w:val="30"/>
        </w:rPr>
      </w:pPr>
      <w:r>
        <w:rPr>
          <w:rFonts w:ascii="宋体" w:hAnsi="宋体" w:eastAsia="方正仿宋简体"/>
          <w:b/>
          <w:bCs/>
          <w:sz w:val="30"/>
          <w:szCs w:val="30"/>
        </w:rPr>
        <w:t>您</w:t>
      </w:r>
      <w:r>
        <w:rPr>
          <w:rFonts w:ascii="宋体" w:hAnsi="宋体" w:eastAsia="方正仿宋简体" w:cs="Times New Roman"/>
          <w:b/>
          <w:bCs/>
          <w:sz w:val="30"/>
          <w:szCs w:val="30"/>
        </w:rPr>
        <w:t>提出的</w:t>
      </w:r>
      <w:r>
        <w:rPr>
          <w:rFonts w:hint="eastAsia" w:ascii="宋体" w:hAnsi="宋体" w:eastAsia="方正仿宋简体" w:cs="Times New Roman"/>
          <w:b/>
          <w:bCs/>
          <w:sz w:val="30"/>
          <w:szCs w:val="30"/>
          <w:lang w:eastAsia="zh-CN"/>
        </w:rPr>
        <w:t>关于</w:t>
      </w:r>
      <w:r>
        <w:rPr>
          <w:rFonts w:hint="eastAsia" w:ascii="宋体" w:hAnsi="宋体" w:eastAsia="方正仿宋简体" w:cs="Times New Roman"/>
          <w:b/>
          <w:bCs/>
          <w:sz w:val="30"/>
          <w:szCs w:val="30"/>
        </w:rPr>
        <w:t>“</w:t>
      </w:r>
      <w:r>
        <w:rPr>
          <w:rFonts w:hint="eastAsia" w:ascii="宋体" w:hAnsi="宋体" w:eastAsia="方正仿宋简体" w:cs="Times New Roman"/>
          <w:b/>
          <w:bCs/>
          <w:sz w:val="30"/>
          <w:szCs w:val="30"/>
          <w:lang w:eastAsia="zh-CN"/>
        </w:rPr>
        <w:t>培育新质生产力，着力发展战略性新兴产业和未来产业</w:t>
      </w:r>
      <w:r>
        <w:rPr>
          <w:rFonts w:hint="eastAsia" w:ascii="宋体" w:hAnsi="宋体" w:eastAsia="方正仿宋简体" w:cs="Times New Roman"/>
          <w:b/>
          <w:bCs/>
          <w:sz w:val="30"/>
          <w:szCs w:val="30"/>
        </w:rPr>
        <w:t>”</w:t>
      </w:r>
      <w:r>
        <w:rPr>
          <w:rFonts w:hint="eastAsia" w:ascii="宋体" w:hAnsi="宋体" w:eastAsia="方正仿宋简体" w:cs="Times New Roman"/>
          <w:b/>
          <w:bCs/>
          <w:sz w:val="30"/>
          <w:szCs w:val="30"/>
          <w:lang w:eastAsia="zh-CN"/>
        </w:rPr>
        <w:t>的建议</w:t>
      </w:r>
      <w:r>
        <w:rPr>
          <w:rFonts w:ascii="宋体" w:hAnsi="宋体" w:eastAsia="方正仿宋简体" w:cs="Times New Roman"/>
          <w:b/>
          <w:bCs/>
          <w:sz w:val="30"/>
          <w:szCs w:val="30"/>
        </w:rPr>
        <w:t>收悉</w:t>
      </w:r>
      <w:r>
        <w:rPr>
          <w:rFonts w:hint="eastAsia" w:ascii="宋体" w:hAnsi="宋体" w:eastAsia="方正仿宋简体" w:cs="Times New Roman"/>
          <w:b/>
          <w:bCs/>
          <w:sz w:val="30"/>
          <w:szCs w:val="30"/>
        </w:rPr>
        <w:t>，</w:t>
      </w:r>
      <w:r>
        <w:rPr>
          <w:rFonts w:ascii="宋体" w:hAnsi="宋体" w:eastAsia="方正仿宋简体" w:cs="Times New Roman"/>
          <w:b/>
          <w:bCs/>
          <w:sz w:val="30"/>
          <w:szCs w:val="30"/>
        </w:rPr>
        <w:t>现答复如下</w:t>
      </w:r>
      <w:r>
        <w:rPr>
          <w:rFonts w:hint="eastAsia" w:ascii="宋体" w:hAnsi="宋体" w:eastAsia="方正仿宋简体" w:cs="Times New Roman"/>
          <w:b/>
          <w:bCs/>
          <w:sz w:val="30"/>
          <w:szCs w:val="30"/>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92" w:lineRule="exact"/>
        <w:ind w:right="0" w:firstLine="602" w:firstLineChars="200"/>
        <w:contextualSpacing w:val="0"/>
        <w:jc w:val="both"/>
        <w:textAlignment w:val="auto"/>
        <w:outlineLvl w:val="9"/>
        <w:rPr>
          <w:rFonts w:hint="eastAsia" w:ascii="华文宋体" w:hAnsi="宋体" w:eastAsia="华文宋体" w:cs="华文宋体"/>
          <w:b/>
          <w:bCs/>
          <w:i w:val="0"/>
          <w:iCs w:val="0"/>
          <w:snapToGrid/>
          <w:vanish w:val="0"/>
          <w:color w:val="auto"/>
          <w:spacing w:val="0"/>
          <w:w w:val="100"/>
          <w:position w:val="0"/>
          <w:sz w:val="30"/>
          <w:szCs w:val="30"/>
          <w:u w:val="none" w:color="auto"/>
          <w:shd w:val="clear" w:color="auto" w:fill="auto"/>
          <w:vertAlign w:val="baseline"/>
          <w:lang w:val="en-US" w:eastAsia="zh-CN"/>
        </w:rPr>
      </w:pPr>
      <w:r>
        <w:rPr>
          <w:rFonts w:hint="eastAsia" w:ascii="宋体" w:hAnsi="宋体" w:eastAsia="方正黑体简体" w:cstheme="minorBidi"/>
          <w:b/>
          <w:bCs/>
          <w:i w:val="0"/>
          <w:iCs w:val="0"/>
          <w:vanish w:val="0"/>
          <w:color w:val="000000"/>
          <w:spacing w:val="0"/>
          <w:w w:val="100"/>
          <w:sz w:val="30"/>
          <w:szCs w:val="30"/>
          <w:vertAlign w:val="baseline"/>
          <w:lang w:val="en-US" w:eastAsia="zh-CN"/>
        </w:rPr>
        <w:t>一、新质生产力概述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92" w:lineRule="exact"/>
        <w:ind w:left="0" w:right="0" w:firstLine="602" w:firstLineChars="200"/>
        <w:contextualSpacing w:val="0"/>
        <w:jc w:val="both"/>
        <w:textAlignment w:val="auto"/>
        <w:outlineLvl w:val="9"/>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（一）产生背景。</w:t>
      </w:r>
      <w:r>
        <w:rPr>
          <w:rFonts w:hint="eastAsia" w:ascii="宋体" w:hAnsi="宋体" w:eastAsia="方正仿宋简体"/>
          <w:b/>
          <w:bCs/>
          <w:sz w:val="30"/>
          <w:szCs w:val="30"/>
          <w:lang w:val="en-US" w:eastAsia="zh-CN"/>
        </w:rPr>
        <w:t>2023年9月7日，习近平总书记在黑龙江省主持召开新时代推动东北全面振兴座谈会时指出：“积极培育新能源、新材料、先进制造、电子信息等战略性新兴产业，积极培育未来产业，加快形成新质生产力，增强发展新动能。”2024年1月31日，习近平总书记在中共中央政治局第十一次集体学习时强调，高质量发展需要新的生产力理论来指导，而新质生产力已经在实践中形成，并展示出对高质量发展的强劲推动力、支撑力。</w:t>
      </w:r>
    </w:p>
    <w:p>
      <w:pPr>
        <w:keepNext w:val="0"/>
        <w:keepLines w:val="0"/>
        <w:pageBreakBefore w:val="0"/>
        <w:kinsoku/>
        <w:wordWrap/>
        <w:overflowPunct/>
        <w:topLinePunct w:val="0"/>
        <w:bidi w:val="0"/>
        <w:spacing w:line="592" w:lineRule="exact"/>
        <w:textAlignment w:val="auto"/>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（二）定义及解读。</w:t>
      </w:r>
      <w:r>
        <w:rPr>
          <w:rFonts w:hint="eastAsia" w:ascii="宋体" w:hAnsi="宋体" w:eastAsia="方正仿宋简体"/>
          <w:b/>
          <w:bCs/>
          <w:sz w:val="30"/>
          <w:szCs w:val="30"/>
          <w:lang w:val="en-US" w:eastAsia="zh-CN"/>
        </w:rPr>
        <w:t>新质生产力是生产力现代化的具体体现，即新的高水平现代化生产力（新类型、新结构、高技术水平、高质量、高效率、可持续的生产力），是以前没有的新的生产力种类和结构，相比于传统生产力，其技术水平更高、质量更好、效率更高、更可持续。</w:t>
      </w:r>
    </w:p>
    <w:p>
      <w:pPr>
        <w:keepNext w:val="0"/>
        <w:keepLines w:val="0"/>
        <w:pageBreakBefore w:val="0"/>
        <w:kinsoku/>
        <w:wordWrap/>
        <w:overflowPunct/>
        <w:topLinePunct w:val="0"/>
        <w:bidi w:val="0"/>
        <w:spacing w:line="592" w:lineRule="exact"/>
        <w:ind w:firstLine="602" w:firstLineChars="200"/>
        <w:textAlignment w:val="auto"/>
        <w:rPr>
          <w:rFonts w:hint="eastAsia" w:ascii="宋体" w:hAnsi="宋体" w:eastAsia="方正仿宋简体"/>
          <w:b/>
          <w:bCs/>
          <w:sz w:val="30"/>
          <w:szCs w:val="30"/>
          <w:lang w:val="en-US" w:eastAsia="zh-CN"/>
        </w:rPr>
      </w:pPr>
      <w:r>
        <w:rPr>
          <w:rFonts w:hint="eastAsia" w:ascii="宋体" w:hAnsi="宋体" w:eastAsia="方正仿宋简体"/>
          <w:b/>
          <w:bCs/>
          <w:sz w:val="30"/>
          <w:szCs w:val="30"/>
          <w:lang w:val="en-US" w:eastAsia="zh-CN"/>
        </w:rPr>
        <w:t>总的来说，新质生产力是由技术革命性突破、生产要素创新性配置、产业深度转型升级而催生，以劳动者、劳动资料、劳动对象及其优化组合的跃升为基本内涵，以全要素生产率大幅提升为核心标志的当代先进生产力。新质生产力基础是创新，核心是优质，本质是先进生产力。主要内容包括强化关键核心技术攻坚、推进数据等新生产要素的融合渗透、发展壮大战略性新兴产业、前瞻性布局未来产业、持续推进传统产业转型升级等方面内容。其中：战略性新兴产业包括新一代信息技术、生物技术、新能源、新材料、高端装备、新能源汽车、绿色环保以及航空航天、海洋装备等；未来产业则包括类脑智能、量子信息、基因技术、未来网络、深海空天开发、氢能与储能等。</w:t>
      </w:r>
    </w:p>
    <w:p>
      <w:pPr>
        <w:keepNext w:val="0"/>
        <w:keepLines w:val="0"/>
        <w:pageBreakBefore w:val="0"/>
        <w:widowControl w:val="0"/>
        <w:kinsoku/>
        <w:wordWrap/>
        <w:overflowPunct/>
        <w:topLinePunct w:val="0"/>
        <w:bidi w:val="0"/>
        <w:spacing w:line="592" w:lineRule="exact"/>
        <w:ind w:firstLine="602" w:firstLineChars="200"/>
        <w:jc w:val="both"/>
        <w:textAlignment w:val="auto"/>
        <w:rPr>
          <w:rFonts w:hint="eastAsia" w:ascii="华文宋体" w:hAnsi="宋体" w:eastAsia="华文宋体" w:cs="华文宋体"/>
          <w:b/>
          <w:bCs/>
          <w:i w:val="0"/>
          <w:iCs w:val="0"/>
          <w:snapToGrid/>
          <w:vanish w:val="0"/>
          <w:color w:val="auto"/>
          <w:spacing w:val="0"/>
          <w:w w:val="100"/>
          <w:position w:val="0"/>
          <w:sz w:val="30"/>
          <w:szCs w:val="30"/>
          <w:u w:val="none" w:color="auto"/>
          <w:shd w:val="clear" w:color="auto" w:fill="auto"/>
          <w:vertAlign w:val="baseline"/>
          <w:lang w:val="en-US" w:eastAsia="zh-CN"/>
        </w:rPr>
      </w:pPr>
      <w:r>
        <w:rPr>
          <w:rFonts w:hint="eastAsia" w:ascii="宋体" w:hAnsi="宋体" w:eastAsia="方正黑体简体" w:cstheme="minorBidi"/>
          <w:b/>
          <w:bCs/>
          <w:i w:val="0"/>
          <w:iCs w:val="0"/>
          <w:vanish w:val="0"/>
          <w:color w:val="000000"/>
          <w:spacing w:val="0"/>
          <w:w w:val="100"/>
          <w:sz w:val="30"/>
          <w:szCs w:val="30"/>
          <w:vertAlign w:val="baseline"/>
          <w:lang w:val="en-US" w:eastAsia="zh-CN"/>
        </w:rPr>
        <w:t xml:space="preserve"> 二、我区新质生产力的基本现状</w:t>
      </w:r>
    </w:p>
    <w:p>
      <w:pPr>
        <w:keepNext w:val="0"/>
        <w:keepLines w:val="0"/>
        <w:pageBreakBefore w:val="0"/>
        <w:widowControl w:val="0"/>
        <w:kinsoku/>
        <w:wordWrap/>
        <w:overflowPunct/>
        <w:topLinePunct w:val="0"/>
        <w:bidi w:val="0"/>
        <w:spacing w:line="592" w:lineRule="exact"/>
        <w:ind w:firstLine="602" w:firstLineChars="200"/>
        <w:jc w:val="both"/>
        <w:textAlignment w:val="auto"/>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（一）坚持创新驱动，打造了新质生产力发展新引擎。</w:t>
      </w:r>
      <w:r>
        <w:rPr>
          <w:rFonts w:hint="eastAsia" w:ascii="宋体" w:hAnsi="宋体" w:eastAsia="方正仿宋简体"/>
          <w:b/>
          <w:bCs/>
          <w:sz w:val="30"/>
          <w:szCs w:val="30"/>
          <w:lang w:val="en-US" w:eastAsia="zh-CN"/>
        </w:rPr>
        <w:t>近年来，我区不断加大创新投入，培育创新主体，健全创新平台，强化创新引领等措施，科技综合水平稳步提升。2022年我区研发投入26.38亿元，占当年GDP比重为2.62%。截止2023年，拥有国家高新技术企业129家，科技型中小企业达到1002家；省级研发平台10家，省级以上创新园区、基地3个，省级以上创业服务机构5个，省级院士合作重点单位2个，县域科技创新能力监测评价排名从2020年的全省各县区排名第40位上升至2023年的第33位；培育了国家级专精特新重点“小巨人”企业5家，国家级专精特新“小巨人”企业10家，省级“专精特新”中小企业80家。一是聚焦生态优化，初步形成了新质生产力发展的创新保障体系。通过聚焦重点产业链一体化配置平台、项目、人才、资金等资源，深入推进创新链产业链资金链人才链深度融合，华信石油“复杂油气井况用新型连续油管作业机组关键技术研究”、拓思机械“新型电主轴机械手”及君业科技“防腐保温管道新产品研发”等一批关键核心技术研发项目相继建设投产，逐步形成了以“企业为主体、市场为导向、政产学研资介相结合”为特征的综合创新生态体系。二是培育创新主体，逐步形成了新质生产力的主力军队伍。通过数字技术、绿色低碳技术赋能等方式，加大创新主体培育力度，建成了创新主体培育库，目前拥有惠米智能、华能风电、中利石油等培育库企业23家。打造了华通线缆“连续管疲劳寿命在线监测”、贺祥智能“智能马桶高压成型工作站”等多元化多层次创新成果应用场景。三是强化平台牵引，有效提升了新质生产力发展的创新辐射力。聚焦高端装备制造、新材料等重点产业，以“京津孵化、丰南产业化”为基点，成立了各地高交会和“科技成果直通车”对接会平台。近三年共推动北京理工、天津大学、西南石油大学等高校院所与我区华通线缆、浩航特种车等企业开展合作50余次。拥有惠达卫浴、梦牌瓷业等国家级以上工业设计中心2家，贺祥智能、信达科创等省级工业设计中心5家。四是优化人才管理，构建了新质生产力发展的人才保障体系。充分利用院士工作站、科研平台、技术创新中心等协同引才育才机制，组织东华钢铁、君业科技等企业和职业院校合作对接40余次。同时不断探索各类人才引进路径，推进高层次人才培养与产业充分结合，组织科技人才对接会20余次，招引各类人才为丰南发展献计献策。</w:t>
      </w:r>
    </w:p>
    <w:p>
      <w:pPr>
        <w:keepNext w:val="0"/>
        <w:keepLines w:val="0"/>
        <w:pageBreakBefore w:val="0"/>
        <w:widowControl w:val="0"/>
        <w:kinsoku/>
        <w:wordWrap/>
        <w:overflowPunct/>
        <w:topLinePunct w:val="0"/>
        <w:bidi w:val="0"/>
        <w:spacing w:line="592" w:lineRule="exact"/>
        <w:ind w:firstLine="602" w:firstLineChars="200"/>
        <w:jc w:val="both"/>
        <w:textAlignment w:val="auto"/>
        <w:rPr>
          <w:rFonts w:hint="eastAsia" w:ascii="方正仿宋简体" w:hAnsi="方正仿宋简体" w:eastAsia="方正仿宋简体" w:cs="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（二）坚持转型升级，构建了新质生产力发展的基础底座。</w:t>
      </w:r>
      <w:r>
        <w:rPr>
          <w:rFonts w:hint="eastAsia" w:ascii="宋体" w:hAnsi="宋体" w:eastAsia="方正仿宋简体"/>
          <w:b/>
          <w:bCs/>
          <w:sz w:val="30"/>
          <w:szCs w:val="30"/>
          <w:lang w:val="en-US" w:eastAsia="zh-CN"/>
        </w:rPr>
        <w:t>经过多年改革发展，目前全区初步形成了以精品钢铁、新型建材、精品陶瓷、高端装备制造为主导，锂电新材料、人工智能、精细化工、健康食品为特色和新一代信息技术、生物医药、节能环保、生命健康等为新兴的“4+4+N”产业体系。目前，全区规上工业企业已达270家，今年1-5月份规上工业增加值增速达到12.2%，增速分别高于全市（9.5%）2.7个百分点，增速全市第二位。一是链群式贯通融合发展取得新突破。注重发挥产业链链主企业在基础研究与技术应用创新层面的“主力军”和“领头羊”作用，协同解决行业关键核心技术难题，营造优势互补、开放融合的产业创新生态。培育了瑞丰钢铁、信达科创等省级单项冠军企业（产品）21个，拥有省级首台（套）重大技术装备产品11个。基本形成了“头部企业+中小企业”的产业链生态圈，大中小企业功能配套、链式融通、集群发展的良好格局。二是绿色制造体系建设初具规模。组织区内重点企业参加全市先进绿色低碳技术装备推介会6次，同时开展公益性节能诊断活动，充分发掘企业内部节能潜力。目前拥有东方雨虹、梦牌瓷业等省级以上绿色工厂14家，鑫开泰等创建绿色工厂培育库企业8家，以经济开发区创建国家级绿色工业园区为契机，我区绿色制造体系建设初具规模。三是传统产业纵深发展打开新局面。持续实施工业强企“1+1+N”行动，引导每家规上制造业企业从产业升级、开放合作、创新驱动、智能融合等N个维度进行全面提升，有效推动传统产业纵深发展。四是战略性新兴产业蓬勃发展。围绕机器人、新一代信息技术、新能源、新材料、高端装备、绿色环保等具有比较优势的战略性新兴产业领域，内激外引抓项目，实施新兴产业倍增行动，构建新的增长引擎。今年以来，实施计划总投资18.9亿元的贺利氏电传感器等战新项目13个，项目数量全市第一位。坚持扩规模、增数量，目前全区战略性新兴产业86家，照顺储电、诺瑞康医药、华润光伏发电、通威“渔光一体”</w:t>
      </w:r>
      <w:r>
        <w:rPr>
          <w:rFonts w:hint="eastAsia" w:ascii="Times New Roman" w:hAnsi="Times New Roman" w:eastAsia="仿宋_GB2312" w:cs="Times New Roman"/>
          <w:b/>
          <w:bCs/>
          <w:sz w:val="30"/>
          <w:szCs w:val="30"/>
          <w:lang w:val="en-US" w:eastAsia="zh-CN"/>
        </w:rPr>
        <w:t>等项目建设顺利，战略性新兴产业蓬勃发展。</w:t>
      </w:r>
    </w:p>
    <w:p>
      <w:pPr>
        <w:pStyle w:val="4"/>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02" w:firstLineChars="200"/>
        <w:jc w:val="both"/>
        <w:textAlignment w:val="auto"/>
        <w:rPr>
          <w:rFonts w:hint="eastAsia" w:ascii="宋体" w:hAnsi="宋体" w:eastAsia="方正仿宋简体" w:cs="Times New Roman"/>
          <w:b/>
          <w:bCs/>
          <w:kern w:val="2"/>
          <w:sz w:val="30"/>
          <w:szCs w:val="30"/>
          <w:lang w:val="en-US" w:eastAsia="zh-CN" w:bidi="ar-SA"/>
        </w:rPr>
      </w:pPr>
      <w:r>
        <w:rPr>
          <w:rFonts w:hint="eastAsia" w:ascii="方正楷体简体" w:hAnsi="方正楷体简体" w:eastAsia="方正楷体简体" w:cs="方正楷体简体"/>
          <w:b/>
          <w:bCs/>
          <w:color w:val="auto"/>
          <w:kern w:val="0"/>
          <w:sz w:val="30"/>
          <w:szCs w:val="30"/>
          <w:lang w:val="en-US" w:eastAsia="zh-CN" w:bidi="ar"/>
        </w:rPr>
        <w:t>（三）坚持数字赋能，形成了新质生产力发展新路径。</w:t>
      </w:r>
      <w:r>
        <w:rPr>
          <w:rFonts w:hint="eastAsia" w:ascii="宋体" w:hAnsi="宋体" w:eastAsia="方正仿宋简体" w:cs="Times New Roman"/>
          <w:b/>
          <w:bCs/>
          <w:kern w:val="2"/>
          <w:sz w:val="30"/>
          <w:szCs w:val="30"/>
          <w:lang w:val="en-US" w:eastAsia="zh-CN" w:bidi="ar-SA"/>
        </w:rPr>
        <w:t>近年来，数字化技术在驱动我区产业优化升级方面的作用进一步突显。钢铁、陶瓷、化工、装备制造等各产业链“链长”企业在数字化转型方面已拥有丰富经验，创建出了一批可复制、可推广的数字化应用场景，拥有惠达卫浴、华通线缆等国家级两化融合贯标试点企业5家，纵横钢铁、凯伦新材料等国家级智能制造优秀场景获评企业2家，瑞丰钢铁、梦牌瓷业等河北省工业互联网试点示范项目获评企业6家，东方雨虹、全丰薄板等河北省智能制造车间获评企业7家。一是数字化转型赋能服务能力不断提升。根据我区各行业数字化转型需求，引导培育出了航天万源、圣云智能、海森电子等数字化转型赋能服务企业，结合我区钢铁、陶瓷、装备制造等工业企业和农业等重点行业实际，提供定制化服务，搭建了海森电子智慧水利数字孪生基础平台、航天万源云工业互联网平台、航天万源装备制造企业安全生产监控工业互联网平台等行业级物联网平台，实现数据采集、传输、分析、应用、云计算等方向的集成，帮助下游用户解决了“不想转、不敢转、不会转”难题。二是工业企业数字化应用水平不断深入。钢铁、陶瓷、装备制造等工业领域“智改数转”程度不断加深，重点行业龙头企业在数字化技术应用方面已拥有丰富经验。截至目前，我区已先后推动纵横钢铁设备故障诊断与预测、凯伦新材料产线柔性配置等3个场景成功入选国家智能制造优秀场景，数量全市领先，瑞丰钢铁智能冷轧数字化车间、惠达卫浴智能卫浴数字化车间、东方雨虹新型砂浆涂料数字化信息化生产车间等7家企业相关生产车间获评省级数字化车间，打造出一批较为成功的案例。三是“两化融合”项目建设步伐不断提速。近几年来，我区坚持以“两化融合”项目建设作为提升工业企业数字化水平的有力举措，先后组织30余个企业数字化改造项目入统了唐山市“两化融合”百项重点项目库，全丰薄板MES（制造执行系统）生产管理系统、惠达卫浴基于集团全业务数字化管理的产品智能化制造解决方案等6家企业7个项目获评省工业互联网试点示范项目。通过在钢铁、陶瓷等重点行业打造由数据驱动的新业态，工业经济发展相适应的制造业数字化发展生态体系逐渐形成。</w:t>
      </w:r>
    </w:p>
    <w:p>
      <w:pPr>
        <w:pStyle w:val="4"/>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02" w:firstLineChars="200"/>
        <w:jc w:val="both"/>
        <w:textAlignment w:val="auto"/>
        <w:rPr>
          <w:rFonts w:hint="eastAsia" w:ascii="宋体" w:hAnsi="宋体" w:eastAsia="方正黑体简体" w:cstheme="minorBidi"/>
          <w:b/>
          <w:bCs/>
          <w:i w:val="0"/>
          <w:iCs w:val="0"/>
          <w:vanish w:val="0"/>
          <w:color w:val="000000"/>
          <w:spacing w:val="0"/>
          <w:w w:val="100"/>
          <w:kern w:val="2"/>
          <w:sz w:val="30"/>
          <w:szCs w:val="30"/>
          <w:vertAlign w:val="baseline"/>
          <w:lang w:val="en-US" w:eastAsia="zh-CN" w:bidi="ar-SA"/>
        </w:rPr>
      </w:pPr>
      <w:r>
        <w:rPr>
          <w:rFonts w:hint="eastAsia" w:ascii="宋体" w:hAnsi="宋体" w:eastAsia="方正黑体简体" w:cstheme="minorBidi"/>
          <w:b/>
          <w:bCs/>
          <w:i w:val="0"/>
          <w:iCs w:val="0"/>
          <w:vanish w:val="0"/>
          <w:color w:val="000000"/>
          <w:spacing w:val="0"/>
          <w:w w:val="100"/>
          <w:kern w:val="2"/>
          <w:sz w:val="30"/>
          <w:szCs w:val="30"/>
          <w:vertAlign w:val="baseline"/>
          <w:lang w:val="en-US" w:eastAsia="zh-CN" w:bidi="ar-SA"/>
        </w:rPr>
        <w:t>三、下步工作措施</w:t>
      </w:r>
    </w:p>
    <w:p>
      <w:pPr>
        <w:pStyle w:val="4"/>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02" w:firstLineChars="200"/>
        <w:jc w:val="both"/>
        <w:textAlignment w:val="auto"/>
        <w:rPr>
          <w:rFonts w:hint="eastAsia" w:ascii="宋体" w:hAnsi="宋体" w:eastAsia="方正仿宋简体" w:cs="Times New Roman"/>
          <w:b/>
          <w:bCs/>
          <w:kern w:val="2"/>
          <w:sz w:val="30"/>
          <w:szCs w:val="30"/>
          <w:lang w:val="en-US" w:eastAsia="zh-CN" w:bidi="ar-SA"/>
        </w:rPr>
      </w:pPr>
      <w:r>
        <w:rPr>
          <w:rFonts w:hint="eastAsia" w:ascii="方正楷体简体" w:hAnsi="方正楷体简体" w:eastAsia="方正楷体简体" w:cs="方正楷体简体"/>
          <w:b/>
          <w:bCs/>
          <w:color w:val="auto"/>
          <w:kern w:val="0"/>
          <w:sz w:val="30"/>
          <w:szCs w:val="30"/>
          <w:lang w:val="en-US" w:eastAsia="zh-CN" w:bidi="ar"/>
        </w:rPr>
        <w:t>（一）突破性开展关键技术攻坚。</w:t>
      </w:r>
      <w:r>
        <w:rPr>
          <w:rFonts w:hint="eastAsia" w:ascii="宋体" w:hAnsi="宋体" w:eastAsia="方正仿宋简体" w:cs="Times New Roman"/>
          <w:b/>
          <w:bCs/>
          <w:kern w:val="2"/>
          <w:sz w:val="30"/>
          <w:szCs w:val="30"/>
          <w:lang w:val="en-US" w:eastAsia="zh-CN" w:bidi="ar-SA"/>
        </w:rPr>
        <w:t>一是指导关键共性技术创新。围绕重点产业链，实施科技强链行动，摸清关键核心技术“卡点”对外依存度、上下游配套及市场需求、重点企业及项目、专利标准布局、可替代渠道，指导关键共性技术的攻关、研发和应用。二是打造技术供给体系。聚焦重大技术需求，利用“揭榜挂帅”、定向委托、“赛马”</w:t>
      </w:r>
      <w:bookmarkStart w:id="0" w:name="_Toc824226899_WPSOffice_Level2"/>
      <w:r>
        <w:rPr>
          <w:rFonts w:hint="eastAsia" w:ascii="宋体" w:hAnsi="宋体" w:eastAsia="方正仿宋简体" w:cs="Times New Roman"/>
          <w:b/>
          <w:bCs/>
          <w:kern w:val="2"/>
          <w:sz w:val="30"/>
          <w:szCs w:val="30"/>
          <w:lang w:val="en-US" w:eastAsia="zh-CN" w:bidi="ar-SA"/>
        </w:rPr>
        <w:t>机制，在先</w:t>
      </w:r>
      <w:bookmarkEnd w:id="0"/>
      <w:r>
        <w:rPr>
          <w:rFonts w:hint="eastAsia" w:ascii="宋体" w:hAnsi="宋体" w:eastAsia="方正仿宋简体" w:cs="Times New Roman"/>
          <w:b/>
          <w:bCs/>
          <w:kern w:val="2"/>
          <w:sz w:val="30"/>
          <w:szCs w:val="30"/>
          <w:lang w:val="en-US" w:eastAsia="zh-CN" w:bidi="ar-SA"/>
        </w:rPr>
        <w:t>进金属材料、大数据等领域攻克一批“卡脖子”技术，打造自主可控、安全高效的产业技术供给体系。2024年，全社会研发经费投入增长10%。三是实施产业基础再造工程。</w:t>
      </w:r>
      <w:bookmarkStart w:id="1" w:name="_Toc49534144_WPSOffice_Level2"/>
      <w:r>
        <w:rPr>
          <w:rFonts w:hint="eastAsia" w:ascii="宋体" w:hAnsi="宋体" w:eastAsia="方正仿宋简体" w:cs="Times New Roman"/>
          <w:b/>
          <w:bCs/>
          <w:kern w:val="2"/>
          <w:sz w:val="30"/>
          <w:szCs w:val="30"/>
          <w:lang w:val="en-US" w:eastAsia="zh-CN" w:bidi="ar-SA"/>
        </w:rPr>
        <w:t>聚焦产业基础开展共性关键技术攻关，</w:t>
      </w:r>
      <w:bookmarkEnd w:id="1"/>
      <w:r>
        <w:rPr>
          <w:rFonts w:hint="eastAsia" w:ascii="宋体" w:hAnsi="宋体" w:eastAsia="方正仿宋简体" w:cs="Times New Roman"/>
          <w:b/>
          <w:bCs/>
          <w:kern w:val="2"/>
          <w:sz w:val="30"/>
          <w:szCs w:val="30"/>
          <w:lang w:val="en-US" w:eastAsia="zh-CN" w:bidi="ar-SA"/>
        </w:rPr>
        <w:t>每年实施产业基础再造项目10项以上，促进“六基”领域补短板、强弱项。推进重大技术装备攻关，落实激励政策，推动首台（套）装备、首批次材料、首版次软件的示范应用。</w:t>
      </w:r>
    </w:p>
    <w:p>
      <w:pPr>
        <w:pStyle w:val="4"/>
        <w:keepNext w:val="0"/>
        <w:keepLines w:val="0"/>
        <w:pageBreakBefore w:val="0"/>
        <w:widowControl/>
        <w:suppressLineNumbers w:val="0"/>
        <w:kinsoku/>
        <w:wordWrap/>
        <w:overflowPunct/>
        <w:topLinePunct w:val="0"/>
        <w:bidi w:val="0"/>
        <w:spacing w:before="0" w:beforeAutospacing="0" w:after="0" w:afterAutospacing="0" w:line="592" w:lineRule="exact"/>
        <w:ind w:left="0" w:right="0" w:firstLine="602" w:firstLineChars="200"/>
        <w:jc w:val="both"/>
        <w:textAlignment w:val="auto"/>
        <w:rPr>
          <w:rFonts w:hint="eastAsia" w:ascii="宋体" w:hAnsi="宋体" w:eastAsia="方正仿宋简体" w:cs="Times New Roman"/>
          <w:b/>
          <w:bCs/>
          <w:kern w:val="2"/>
          <w:sz w:val="30"/>
          <w:szCs w:val="30"/>
          <w:lang w:val="en-US" w:eastAsia="zh-CN" w:bidi="ar-SA"/>
        </w:rPr>
      </w:pPr>
      <w:r>
        <w:rPr>
          <w:rFonts w:hint="eastAsia" w:ascii="方正楷体简体" w:hAnsi="方正楷体简体" w:eastAsia="方正楷体简体" w:cs="方正楷体简体"/>
          <w:b/>
          <w:bCs/>
          <w:color w:val="auto"/>
          <w:kern w:val="0"/>
          <w:sz w:val="30"/>
          <w:szCs w:val="30"/>
          <w:lang w:val="en-US" w:eastAsia="zh-CN" w:bidi="ar"/>
        </w:rPr>
        <w:t>（二）高效率推动科技成果转化。</w:t>
      </w:r>
      <w:r>
        <w:rPr>
          <w:rFonts w:hint="eastAsia" w:ascii="宋体" w:hAnsi="宋体" w:eastAsia="方正仿宋简体" w:cs="Times New Roman"/>
          <w:b/>
          <w:bCs/>
          <w:kern w:val="2"/>
          <w:sz w:val="30"/>
          <w:szCs w:val="30"/>
          <w:lang w:val="en-US" w:eastAsia="zh-CN" w:bidi="ar-SA"/>
        </w:rPr>
        <w:t>一是深化“北京研发、丰南转化”。深化“北京研发、丰南转化”“京津孵化、丰南产业化”模式，常态化开展科技资本对接活动，积极吸引京津创新成果到丰南转化和产业化。促进校企合作，进一步加快科技成果转化。2024年，全区技术合同成交总额达到35亿元。二是推进协同创新。构建“政企学研金”创新联合体，加快全省首家钢铁实验室建设步伐，支持以华通线缆公司为代表的战新企业建设先进制造业产业技术研究院。2024年，新增市级以上创新平台2个。三是推动产业链创新链融通。将科技成果拓展到具体产业和产业链上，推动传统产业“智改数转网联”，积极推动设备更新、工艺升级、数字赋能、管理创新。加快关键核心技术创新应用，培育更多能够引领产业升级、抢占全球产业竞争制高点的新兴支柱产业。以应用场景创新为牵引，推动基础研究和应用研究同步发展，创建未来产业先导区。</w:t>
      </w:r>
    </w:p>
    <w:p>
      <w:pPr>
        <w:keepNext w:val="0"/>
        <w:keepLines w:val="0"/>
        <w:pageBreakBefore w:val="0"/>
        <w:widowControl w:val="0"/>
        <w:pBdr>
          <w:bottom w:val="single" w:color="FFFFFF" w:sz="4" w:space="17"/>
        </w:pBdr>
        <w:tabs>
          <w:tab w:val="left" w:pos="7380"/>
        </w:tabs>
        <w:kinsoku/>
        <w:wordWrap/>
        <w:overflowPunct/>
        <w:topLinePunct w:val="0"/>
        <w:autoSpaceDE w:val="0"/>
        <w:autoSpaceDN w:val="0"/>
        <w:bidi w:val="0"/>
        <w:adjustRightInd w:val="0"/>
        <w:snapToGrid w:val="0"/>
        <w:spacing w:before="0" w:line="592" w:lineRule="exact"/>
        <w:ind w:left="0" w:right="0" w:firstLine="602" w:firstLineChars="200"/>
        <w:jc w:val="both"/>
        <w:textAlignment w:val="auto"/>
        <w:outlineLvl w:val="9"/>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（三）多层次驱动创新主体增量提质。</w:t>
      </w:r>
      <w:r>
        <w:rPr>
          <w:rFonts w:hint="eastAsia" w:ascii="宋体" w:hAnsi="宋体" w:eastAsia="方正仿宋简体"/>
          <w:b/>
          <w:bCs/>
          <w:sz w:val="30"/>
          <w:szCs w:val="30"/>
          <w:lang w:val="en-US" w:eastAsia="zh-CN"/>
        </w:rPr>
        <w:t>一是打造骨干企业“主力军”。筛选一批创</w:t>
      </w:r>
      <w:bookmarkStart w:id="2" w:name="_Toc1275941544_WPSOffice_Level1"/>
      <w:r>
        <w:rPr>
          <w:rFonts w:hint="eastAsia" w:ascii="宋体" w:hAnsi="宋体" w:eastAsia="方正仿宋简体"/>
          <w:b/>
          <w:bCs/>
          <w:sz w:val="30"/>
          <w:szCs w:val="30"/>
          <w:lang w:val="en-US" w:eastAsia="zh-CN"/>
        </w:rPr>
        <w:t>新能力强、带动作用大的重点领域骨干优势企业，</w:t>
      </w:r>
      <w:bookmarkEnd w:id="2"/>
      <w:r>
        <w:rPr>
          <w:rFonts w:hint="eastAsia" w:ascii="宋体" w:hAnsi="宋体" w:eastAsia="方正仿宋简体"/>
          <w:b/>
          <w:bCs/>
          <w:sz w:val="30"/>
          <w:szCs w:val="30"/>
          <w:lang w:val="en-US" w:eastAsia="zh-CN"/>
        </w:rPr>
        <w:t>加强要素保障和高效服务，打造一批具有业态主导力和核心竞争力的科技领军和单项冠军企业。二是培育中小企业“生力军”。坚持管理和服务并重，加快完善中小企业工作体系、政策法规体系、优质高效服务体系，培育一大批新质生产力的“生力军”和“后备军”。2024年，高新技术企业、“专精特新”中小企业分别达到154家、86家。三是构建融通发展“生态圈”。发挥大企业在技术、标准、资金、人才等方面的优势和中小企业在产业创新、强链稳链中的支撑作用，支持中小企业深度融入大企业供应链，构建大中小企业融通创新、链式配套、集群发展的良好生态。</w:t>
      </w:r>
    </w:p>
    <w:p>
      <w:pPr>
        <w:keepNext w:val="0"/>
        <w:keepLines w:val="0"/>
        <w:pageBreakBefore w:val="0"/>
        <w:widowControl w:val="0"/>
        <w:pBdr>
          <w:bottom w:val="single" w:color="FFFFFF" w:sz="4" w:space="17"/>
        </w:pBdr>
        <w:tabs>
          <w:tab w:val="left" w:pos="7380"/>
        </w:tabs>
        <w:kinsoku/>
        <w:wordWrap/>
        <w:overflowPunct/>
        <w:topLinePunct w:val="0"/>
        <w:autoSpaceDE w:val="0"/>
        <w:autoSpaceDN w:val="0"/>
        <w:bidi w:val="0"/>
        <w:adjustRightInd w:val="0"/>
        <w:snapToGrid w:val="0"/>
        <w:spacing w:before="0" w:line="592" w:lineRule="exact"/>
        <w:ind w:left="0" w:right="0" w:firstLine="602" w:firstLineChars="200"/>
        <w:jc w:val="both"/>
        <w:textAlignment w:val="auto"/>
        <w:outlineLvl w:val="9"/>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（四）高质量推动新兴产业集群发展。</w:t>
      </w:r>
      <w:r>
        <w:rPr>
          <w:rFonts w:hint="eastAsia" w:ascii="宋体" w:hAnsi="宋体" w:eastAsia="方正仿宋简体"/>
          <w:b/>
          <w:bCs/>
          <w:sz w:val="30"/>
          <w:szCs w:val="30"/>
          <w:lang w:val="en-US" w:eastAsia="zh-CN"/>
        </w:rPr>
        <w:t>一是进一步壮大新兴产业集群。充分发挥我区产业基础和优势，统筹区域产业定位和空间布局，重点推动锂电新材料等产业聚集发展，建设一批战略性新兴产业聚集区。二是高质量建设战新产业示范基地。着力提升战略性新兴产业示范基地信息基础设施和公共服务平台支撑能力，增强示范基地发展能级和产业链创新链供应链竞争力。三是加快产业集聚区提档升级。加快经济高端高新转型，打造一批具有较强竞争力的特色新兴产业集群，提升成果转化、高端产业承接配套能力。2024年，规模以上高新技术产业增加值增长7%、占规上工业比重达到15%左右。</w:t>
      </w:r>
    </w:p>
    <w:p>
      <w:pPr>
        <w:keepNext w:val="0"/>
        <w:keepLines w:val="0"/>
        <w:pageBreakBefore w:val="0"/>
        <w:widowControl w:val="0"/>
        <w:pBdr>
          <w:bottom w:val="single" w:color="FFFFFF" w:sz="4" w:space="17"/>
        </w:pBdr>
        <w:tabs>
          <w:tab w:val="left" w:pos="7380"/>
        </w:tabs>
        <w:kinsoku/>
        <w:wordWrap/>
        <w:overflowPunct/>
        <w:topLinePunct w:val="0"/>
        <w:autoSpaceDE w:val="0"/>
        <w:autoSpaceDN w:val="0"/>
        <w:bidi w:val="0"/>
        <w:adjustRightInd w:val="0"/>
        <w:snapToGrid w:val="0"/>
        <w:spacing w:before="0" w:line="592" w:lineRule="exact"/>
        <w:ind w:left="0" w:right="0" w:firstLine="602" w:firstLineChars="200"/>
        <w:jc w:val="both"/>
        <w:textAlignment w:val="auto"/>
        <w:outlineLvl w:val="9"/>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（五）多维度构建数实融合场景。</w:t>
      </w:r>
      <w:r>
        <w:rPr>
          <w:rFonts w:hint="eastAsia" w:ascii="宋体" w:hAnsi="宋体" w:eastAsia="方正仿宋简体"/>
          <w:b/>
          <w:bCs/>
          <w:sz w:val="30"/>
          <w:szCs w:val="30"/>
          <w:lang w:val="en-US" w:eastAsia="zh-CN"/>
        </w:rPr>
        <w:t>一是推动数字技术广泛应用。促进数字经济和实体经济深度融合，推进云计算、大数据、区块链、元宇宙等数字技术在先进制造业等方面深度应用，推动纵横、瑞丰、惠达、梦牌、华通线缆、东方雨虹等重点行业龙头企业打造一批具有较高技术水平的智能工厂和智能制造场景。二是加快企业内部数字化改造。深入实施工业互联网创新发展战略，支持各行业龙头企业搭建工业互联网平台，通过项目引领带动，培育一批“5G+工业互联网”应用示范企业和两化融合示范企业。2024年，工业企业关键工序数控化率达到73%。三是提升数字化专业人才支撑能力。依托“凤凰英才”政策4.0和我区配套出台的相应政策，加大工业数字化人才引入力度，通过与高等院校及科研院所开展定向培养、专题培训、短期交流等活动，提升企业技术团队业务水平，进一步增强工业企业数字化转型支撑能力。</w:t>
      </w:r>
    </w:p>
    <w:p>
      <w:pPr>
        <w:keepNext w:val="0"/>
        <w:keepLines w:val="0"/>
        <w:pageBreakBefore w:val="0"/>
        <w:widowControl w:val="0"/>
        <w:pBdr>
          <w:bottom w:val="single" w:color="FFFFFF" w:sz="4" w:space="17"/>
        </w:pBdr>
        <w:tabs>
          <w:tab w:val="left" w:pos="7380"/>
        </w:tabs>
        <w:kinsoku/>
        <w:wordWrap/>
        <w:overflowPunct/>
        <w:topLinePunct w:val="0"/>
        <w:autoSpaceDE w:val="0"/>
        <w:autoSpaceDN w:val="0"/>
        <w:bidi w:val="0"/>
        <w:adjustRightInd w:val="0"/>
        <w:snapToGrid w:val="0"/>
        <w:spacing w:before="0" w:line="592" w:lineRule="exact"/>
        <w:ind w:left="0" w:right="0" w:firstLine="602" w:firstLineChars="200"/>
        <w:jc w:val="both"/>
        <w:textAlignment w:val="auto"/>
        <w:outlineLvl w:val="9"/>
        <w:rPr>
          <w:rFonts w:hint="eastAsia" w:ascii="宋体" w:hAnsi="宋体" w:eastAsia="方正仿宋简体"/>
          <w:b/>
          <w:bCs/>
          <w:sz w:val="30"/>
          <w:szCs w:val="30"/>
          <w:lang w:val="en-US" w:eastAsia="zh-CN"/>
        </w:rPr>
      </w:pPr>
      <w:r>
        <w:rPr>
          <w:rFonts w:hint="eastAsia" w:ascii="方正楷体简体" w:hAnsi="方正楷体简体" w:eastAsia="方正楷体简体" w:cs="方正楷体简体"/>
          <w:b/>
          <w:bCs/>
          <w:color w:val="auto"/>
          <w:kern w:val="0"/>
          <w:sz w:val="30"/>
          <w:szCs w:val="30"/>
          <w:lang w:val="en-US" w:eastAsia="zh-CN" w:bidi="ar"/>
        </w:rPr>
        <w:t>（六）持续性践行绿色发展理念。</w:t>
      </w:r>
      <w:r>
        <w:rPr>
          <w:rFonts w:hint="eastAsia" w:ascii="宋体" w:hAnsi="宋体" w:eastAsia="方正仿宋简体"/>
          <w:b/>
          <w:bCs/>
          <w:sz w:val="30"/>
          <w:szCs w:val="30"/>
          <w:lang w:val="en-US" w:eastAsia="zh-CN"/>
        </w:rPr>
        <w:t>一是推进发展方式绿色转型。严把新上项目能效和碳排放关，严格执行钢铁、水泥、焦化等行业产能置换规定，坚决遏制高耗能、高排放、低水平项目盲目发展。高标准高质量推进创A，2024年，力争经安钢铁创A成功。二是构建绿色低碳循环经济体系。完善绿色制造体系，加快建设绿色工厂、绿色工业园区，2024年新增绿色工厂2家。培育绿色服务机构，提高评估检测、技术咨询等绿色制造服务能力。推动唐山国家大宗固体废弃物综合利用基地建设，促进冶金渣、粉煤灰、煤矸石等大宗固废综合利用。三是发挥绿色金融牵引作用。鼓励和支持银行业金融机构将新质生产力重点企业列入优先支持名单，开展绿色信贷业务，推动企业与金融机构高效对接，为企业提供一站式普惠型智慧型服务。　　</w:t>
      </w:r>
    </w:p>
    <w:p>
      <w:pPr>
        <w:keepNext w:val="0"/>
        <w:keepLines w:val="0"/>
        <w:pageBreakBefore w:val="0"/>
        <w:kinsoku/>
        <w:wordWrap/>
        <w:overflowPunct/>
        <w:topLinePunct w:val="0"/>
        <w:bidi w:val="0"/>
        <w:spacing w:line="592" w:lineRule="exact"/>
        <w:textAlignment w:val="auto"/>
        <w:rPr>
          <w:rFonts w:ascii="宋体" w:hAnsi="宋体" w:eastAsia="方正仿宋简体"/>
          <w:b/>
          <w:bCs/>
          <w:sz w:val="30"/>
          <w:szCs w:val="30"/>
        </w:rPr>
      </w:pPr>
    </w:p>
    <w:p>
      <w:pPr>
        <w:pStyle w:val="2"/>
      </w:pPr>
    </w:p>
    <w:p>
      <w:pPr>
        <w:keepNext w:val="0"/>
        <w:keepLines w:val="0"/>
        <w:pageBreakBefore w:val="0"/>
        <w:kinsoku/>
        <w:wordWrap/>
        <w:overflowPunct/>
        <w:topLinePunct w:val="0"/>
        <w:bidi w:val="0"/>
        <w:spacing w:line="592" w:lineRule="exact"/>
        <w:ind w:firstLine="602" w:firstLineChars="200"/>
        <w:jc w:val="center"/>
        <w:textAlignment w:val="auto"/>
        <w:rPr>
          <w:rFonts w:hint="eastAsia" w:ascii="宋体" w:hAnsi="宋体" w:eastAsia="方正仿宋简体"/>
          <w:b/>
          <w:bCs/>
          <w:sz w:val="30"/>
          <w:szCs w:val="30"/>
          <w:lang w:val="en-US" w:eastAsia="zh-CN"/>
        </w:rPr>
      </w:pPr>
      <w:r>
        <w:rPr>
          <w:rFonts w:ascii="宋体" w:hAnsi="宋体" w:eastAsia="方正仿宋简体"/>
          <w:b/>
          <w:bCs/>
          <w:sz w:val="30"/>
          <w:szCs w:val="30"/>
        </w:rPr>
        <w:t>　　</w:t>
      </w:r>
      <w:r>
        <w:rPr>
          <w:rFonts w:hint="eastAsia" w:ascii="宋体" w:hAnsi="宋体" w:eastAsia="方正仿宋简体"/>
          <w:b/>
          <w:bCs/>
          <w:sz w:val="30"/>
          <w:szCs w:val="30"/>
          <w:lang w:val="en-US" w:eastAsia="zh-CN"/>
        </w:rPr>
        <w:t xml:space="preserve">                        </w:t>
      </w:r>
      <w:bookmarkStart w:id="3" w:name="_GoBack"/>
      <w:r>
        <w:rPr>
          <w:rFonts w:hint="eastAsia" w:ascii="宋体" w:hAnsi="宋体" w:eastAsia="方正仿宋简体"/>
          <w:b/>
          <w:bCs/>
          <w:sz w:val="30"/>
          <w:szCs w:val="30"/>
          <w:lang w:val="en-US" w:eastAsia="zh-CN"/>
        </w:rPr>
        <w:t>2024年</w:t>
      </w:r>
      <w:r>
        <w:rPr>
          <w:rFonts w:hint="eastAsia" w:ascii="宋体" w:hAnsi="宋体" w:eastAsia="方正仿宋简体"/>
          <w:b/>
          <w:bCs/>
          <w:sz w:val="30"/>
          <w:szCs w:val="30"/>
          <w:lang w:val="en-US" w:eastAsia="zh-CN"/>
        </w:rPr>
        <w:t>6月</w:t>
      </w:r>
      <w:r>
        <w:rPr>
          <w:rFonts w:hint="eastAsia" w:ascii="宋体" w:hAnsi="宋体" w:eastAsia="方正仿宋简体"/>
          <w:b/>
          <w:bCs/>
          <w:sz w:val="30"/>
          <w:szCs w:val="30"/>
          <w:lang w:val="en-US" w:eastAsia="zh-CN"/>
        </w:rPr>
        <w:t>25日</w:t>
      </w:r>
    </w:p>
    <w:bookmarkEnd w:id="3"/>
    <w:p>
      <w:pPr>
        <w:keepNext w:val="0"/>
        <w:keepLines w:val="0"/>
        <w:pageBreakBefore w:val="0"/>
        <w:widowControl w:val="0"/>
        <w:kinsoku/>
        <w:wordWrap/>
        <w:overflowPunct/>
        <w:topLinePunct w:val="0"/>
        <w:autoSpaceDE/>
        <w:autoSpaceDN/>
        <w:bidi w:val="0"/>
        <w:adjustRightInd/>
        <w:snapToGrid/>
        <w:spacing w:line="592" w:lineRule="exact"/>
        <w:ind w:firstLine="602" w:firstLineChars="200"/>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ascii="宋体" w:hAnsi="宋体" w:eastAsia="方正仿宋简体"/>
          <w:b/>
          <w:bCs/>
          <w:sz w:val="30"/>
          <w:szCs w:val="30"/>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宋体" w:hAnsi="宋体" w:eastAsia="方正仿宋简体"/>
          <w:b/>
          <w:bCs/>
          <w:sz w:val="30"/>
          <w:szCs w:val="30"/>
          <w:lang w:val="en-US" w:eastAsia="zh-CN"/>
        </w:rPr>
      </w:pPr>
      <w:r>
        <w:rPr>
          <w:rFonts w:ascii="宋体" w:hAnsi="宋体" w:eastAsia="方正仿宋简体"/>
          <w:b/>
          <w:bCs/>
          <w:sz w:val="30"/>
          <w:szCs w:val="30"/>
        </w:rPr>
        <w:t>领导签发</w:t>
      </w:r>
      <w:r>
        <w:rPr>
          <w:rFonts w:hint="eastAsia" w:ascii="宋体" w:hAnsi="宋体" w:eastAsia="方正仿宋简体"/>
          <w:b/>
          <w:bCs/>
          <w:sz w:val="30"/>
          <w:szCs w:val="30"/>
        </w:rPr>
        <w:t>：</w:t>
      </w:r>
      <w:r>
        <w:rPr>
          <w:rFonts w:hint="eastAsia" w:ascii="宋体" w:hAnsi="宋体" w:eastAsia="方正仿宋简体"/>
          <w:b/>
          <w:bCs/>
          <w:sz w:val="30"/>
          <w:szCs w:val="30"/>
          <w:lang w:val="en-US" w:eastAsia="zh-CN"/>
        </w:rPr>
        <w:t>董彪</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宋体" w:hAnsi="宋体" w:eastAsia="方正仿宋简体"/>
          <w:b/>
          <w:bCs/>
          <w:sz w:val="30"/>
          <w:szCs w:val="30"/>
          <w:lang w:val="en-US" w:eastAsia="zh-CN"/>
        </w:rPr>
      </w:pPr>
      <w:r>
        <w:rPr>
          <w:rFonts w:ascii="宋体" w:hAnsi="宋体" w:eastAsia="方正仿宋简体"/>
          <w:b/>
          <w:bCs/>
          <w:sz w:val="30"/>
          <w:szCs w:val="30"/>
        </w:rPr>
        <w:t>联系人及电话</w:t>
      </w:r>
      <w:r>
        <w:rPr>
          <w:rFonts w:hint="eastAsia" w:ascii="宋体" w:hAnsi="宋体" w:eastAsia="方正仿宋简体"/>
          <w:b/>
          <w:bCs/>
          <w:sz w:val="30"/>
          <w:szCs w:val="30"/>
        </w:rPr>
        <w:t>：</w:t>
      </w:r>
      <w:r>
        <w:rPr>
          <w:rFonts w:hint="eastAsia" w:ascii="宋体" w:hAnsi="宋体" w:eastAsia="方正仿宋简体"/>
          <w:b/>
          <w:bCs/>
          <w:sz w:val="30"/>
          <w:szCs w:val="30"/>
          <w:lang w:val="en-US" w:eastAsia="zh-CN"/>
        </w:rPr>
        <w:t>王娇娇  8129319</w:t>
      </w:r>
    </w:p>
    <w:p>
      <w:pPr>
        <w:keepNext w:val="0"/>
        <w:keepLines w:val="0"/>
        <w:pageBreakBefore w:val="0"/>
        <w:kinsoku/>
        <w:wordWrap/>
        <w:overflowPunct/>
        <w:topLinePunct w:val="0"/>
        <w:bidi w:val="0"/>
        <w:spacing w:line="592" w:lineRule="exact"/>
        <w:jc w:val="left"/>
        <w:textAlignment w:val="auto"/>
      </w:pPr>
      <w:r>
        <w:rPr>
          <w:rFonts w:ascii="宋体" w:hAnsi="宋体" w:eastAsia="方正仿宋简体"/>
          <w:b/>
          <w:bCs/>
          <w:w w:val="100"/>
          <w:sz w:val="30"/>
          <w:szCs w:val="30"/>
        </w:rPr>
        <w:t>抄</w:t>
      </w:r>
      <w:r>
        <w:rPr>
          <w:rFonts w:ascii="宋体" w:hAnsi="宋体" w:eastAsia="方正仿宋简体"/>
          <w:b/>
          <w:bCs/>
          <w:sz w:val="30"/>
          <w:szCs w:val="30"/>
        </w:rPr>
        <w:t>送</w:t>
      </w:r>
      <w:r>
        <w:rPr>
          <w:rFonts w:hint="eastAsia" w:ascii="宋体" w:hAnsi="宋体" w:eastAsia="方正仿宋简体"/>
          <w:b/>
          <w:bCs/>
          <w:sz w:val="30"/>
          <w:szCs w:val="30"/>
        </w:rPr>
        <w:t>：</w:t>
      </w:r>
      <w:r>
        <w:rPr>
          <w:rFonts w:hint="eastAsia" w:ascii="宋体" w:hAnsi="宋体" w:eastAsia="方正仿宋简体"/>
          <w:b/>
          <w:bCs/>
          <w:sz w:val="30"/>
          <w:szCs w:val="30"/>
          <w:lang w:eastAsia="zh-CN"/>
        </w:rPr>
        <w:t>区</w:t>
      </w:r>
      <w:r>
        <w:rPr>
          <w:rFonts w:hint="eastAsia" w:ascii="宋体" w:hAnsi="宋体" w:eastAsia="方正仿宋简体"/>
          <w:b/>
          <w:bCs/>
          <w:sz w:val="30"/>
          <w:szCs w:val="30"/>
        </w:rPr>
        <w:t>人大常委会选举任免代表工作委员会</w:t>
      </w:r>
      <w:r>
        <w:rPr>
          <w:rFonts w:ascii="宋体" w:hAnsi="宋体" w:eastAsia="方正仿宋简体"/>
          <w:b/>
          <w:bCs/>
          <w:sz w:val="30"/>
          <w:szCs w:val="30"/>
        </w:rPr>
        <w:t>（</w:t>
      </w:r>
      <w:r>
        <w:rPr>
          <w:rFonts w:ascii="宋体" w:hAnsi="宋体" w:eastAsia="方正仿宋简体" w:cs="仿宋"/>
          <w:b/>
          <w:bCs/>
          <w:spacing w:val="6"/>
          <w:sz w:val="30"/>
          <w:szCs w:val="30"/>
          <w:lang w:bidi="ar-SA"/>
        </w:rPr>
        <w:t>区行政中心</w:t>
      </w:r>
      <w:r>
        <w:rPr>
          <w:rFonts w:ascii="宋体" w:hAnsi="宋体" w:eastAsia="方正仿宋简体"/>
          <w:b/>
          <w:bCs/>
          <w:sz w:val="30"/>
          <w:szCs w:val="30"/>
        </w:rPr>
        <w:t>815室）、</w:t>
      </w:r>
      <w:r>
        <w:rPr>
          <w:rFonts w:hint="eastAsia" w:ascii="宋体" w:hAnsi="宋体" w:eastAsia="方正仿宋简体"/>
          <w:b/>
          <w:bCs/>
          <w:sz w:val="30"/>
          <w:szCs w:val="30"/>
          <w:lang w:eastAsia="zh-CN"/>
        </w:rPr>
        <w:t>区</w:t>
      </w:r>
      <w:r>
        <w:rPr>
          <w:rFonts w:hint="eastAsia" w:ascii="宋体" w:hAnsi="宋体" w:eastAsia="方正仿宋简体"/>
          <w:b/>
          <w:bCs/>
          <w:sz w:val="30"/>
          <w:szCs w:val="30"/>
        </w:rPr>
        <w:t>政府办公</w:t>
      </w:r>
      <w:r>
        <w:rPr>
          <w:rFonts w:hint="eastAsia" w:ascii="宋体" w:hAnsi="宋体" w:eastAsia="方正仿宋简体"/>
          <w:b/>
          <w:bCs/>
          <w:sz w:val="30"/>
          <w:szCs w:val="30"/>
          <w:lang w:eastAsia="zh-CN"/>
        </w:rPr>
        <w:t>室</w:t>
      </w:r>
      <w:r>
        <w:rPr>
          <w:rFonts w:ascii="宋体" w:hAnsi="宋体" w:eastAsia="方正仿宋简体"/>
          <w:b/>
          <w:bCs/>
          <w:sz w:val="30"/>
          <w:szCs w:val="30"/>
          <w:lang w:eastAsia="zh-CN"/>
        </w:rPr>
        <w:t>（</w:t>
      </w:r>
      <w:r>
        <w:rPr>
          <w:rFonts w:ascii="宋体" w:hAnsi="宋体" w:eastAsia="方正仿宋简体" w:cs="仿宋"/>
          <w:b/>
          <w:bCs/>
          <w:spacing w:val="6"/>
          <w:sz w:val="30"/>
          <w:szCs w:val="30"/>
          <w:lang w:bidi="ar-SA"/>
        </w:rPr>
        <w:t>区行政中心</w:t>
      </w:r>
      <w:r>
        <w:rPr>
          <w:rFonts w:ascii="宋体" w:hAnsi="宋体" w:eastAsia="方正仿宋简体"/>
          <w:b/>
          <w:bCs/>
          <w:sz w:val="30"/>
          <w:szCs w:val="30"/>
          <w:lang w:eastAsia="zh-CN"/>
        </w:rPr>
        <w:t>515室）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宋体-GB18030">
    <w:altName w:val="宋体"/>
    <w:panose1 w:val="02000500000000000000"/>
    <w:charset w:val="86"/>
    <w:family w:val="auto"/>
    <w:pitch w:val="default"/>
    <w:sig w:usb0="00000000" w:usb1="00000000"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ZiZTdlY2FjMzY1YjUzNjZhZThiMGZhMmMwNWIifQ=="/>
    <w:docVar w:name="KSO_WPS_MARK_KEY" w:val="79cc5f55-821c-4155-b5ff-1190029f179b"/>
  </w:docVars>
  <w:rsids>
    <w:rsidRoot w:val="3A1B2D89"/>
    <w:rsid w:val="37D9170A"/>
    <w:rsid w:val="3A1B2D89"/>
    <w:rsid w:val="410127AD"/>
    <w:rsid w:val="41536A49"/>
    <w:rsid w:val="5119799C"/>
    <w:rsid w:val="58376960"/>
    <w:rsid w:val="7848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2024-06-27T01:38:00Z</dcterms:created>
  <dc:creator>王娇娇</dc:creator>
  <cp:lastModifiedBy>王娇娇</cp:lastModifiedBy>
  <cp:lastPrinted>2024-07-04T03:00:00Z</cp:lastPrinted>
  <dcterms:modified xsi:type="dcterms:W3CDTF">2024-08-21T07:27:38Z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C18B18F1E6974CFF9419025F9FC93524_13</vt:lpwstr>
  </property>
</Properties>
</file>