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丰南区卫生健康局公文信笺</w:t>
      </w:r>
    </w:p>
    <w:p>
      <w:pPr>
        <w:rPr>
          <w:color w:val="FF0000"/>
          <w:sz w:val="32"/>
          <w:szCs w:val="32"/>
          <w:u w:val="single" w:color="auto"/>
        </w:rPr>
      </w:pPr>
      <w:r>
        <w:rPr>
          <w:color w:val="FF0000"/>
          <w:sz w:val="32"/>
          <w:szCs w:val="32"/>
          <w:u w:val="single" w:color="auto"/>
        </w:rPr>
        <w:t xml:space="preserve">                                                       </w:t>
      </w:r>
    </w:p>
    <w:p>
      <w:pPr>
        <w:wordWrap w:val="0"/>
        <w:ind w:firstLineChars="1750" w:firstLine="5600"/>
        <w:jc w:val="left"/>
        <w:rPr>
          <w:rFonts w:ascii="方正仿宋简体" w:eastAsia="方正仿宋简体" w:cs="方正仿宋简体" w:hint="eastAsia"/>
          <w:sz w:val="32"/>
          <w:szCs w:val="32"/>
          <w:u w:color="auto"/>
        </w:rPr>
      </w:pPr>
      <w:r>
        <w:rPr>
          <w:rFonts w:ascii="方正仿宋简体" w:eastAsia="方正仿宋简体" w:cs="方正仿宋简体" w:hint="eastAsia"/>
          <w:sz w:val="32"/>
          <w:szCs w:val="32"/>
          <w:u w:color="auto"/>
        </w:rPr>
        <w:t>是否同意公开：</w:t>
      </w:r>
      <w:r>
        <w:rPr>
          <w:rFonts w:ascii="方正仿宋简体" w:eastAsia="方正仿宋简体" w:cs="方正仿宋简体"/>
          <w:sz w:val="32"/>
          <w:szCs w:val="32"/>
          <w:u w:color="auto"/>
        </w:rPr>
        <w:t>（是）</w:t>
      </w:r>
      <w:r>
        <w:rPr>
          <w:rFonts w:ascii="方正仿宋简体" w:eastAsia="方正仿宋简体" w:cs="方正仿宋简体" w:hint="eastAsia"/>
          <w:sz w:val="32"/>
          <w:szCs w:val="32"/>
          <w:u w:color="auto"/>
        </w:rPr>
        <w:t xml:space="preserve"> </w:t>
      </w:r>
    </w:p>
    <w:p>
      <w:pPr>
        <w:wordWrap w:val="0"/>
        <w:ind w:firstLineChars="1750" w:firstLine="5600"/>
        <w:jc w:val="left"/>
        <w:rPr>
          <w:rFonts w:ascii="宋体" w:eastAsia="方正仿宋简体" w:cs="方正仿宋简体" w:hAnsi="宋体" w:hint="eastAsia"/>
          <w:sz w:val="32"/>
          <w:szCs w:val="32"/>
          <w:u w:color="auto"/>
        </w:rPr>
      </w:pPr>
      <w:r>
        <w:rPr>
          <w:rFonts w:ascii="方正仿宋简体" w:eastAsia="方正仿宋简体" w:cs="方正仿宋简体" w:hint="eastAsia"/>
          <w:sz w:val="32"/>
          <w:szCs w:val="32"/>
          <w:u w:color="auto"/>
        </w:rPr>
        <w:t>办理结果：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>（A）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 xml:space="preserve">  </w:t>
      </w:r>
    </w:p>
    <w:p>
      <w:pPr>
        <w:wordWrap w:val="0"/>
        <w:ind w:firstLineChars="1750" w:firstLine="5600"/>
        <w:rPr>
          <w:rFonts w:ascii="宋体" w:eastAsia="方正仿宋简体" w:cs="方正仿宋简体" w:hAnsi="宋体" w:hint="eastAsia"/>
          <w:sz w:val="32"/>
          <w:szCs w:val="32"/>
          <w:u w:color="auto"/>
        </w:rPr>
      </w:pPr>
      <w:r>
        <w:rPr>
          <w:rFonts w:ascii="宋体" w:eastAsia="方正仿宋简体" w:cs="方正仿宋简体" w:hAnsi="宋体"/>
          <w:sz w:val="32"/>
          <w:szCs w:val="32"/>
          <w:u w:color="auto"/>
        </w:rPr>
        <w:t>提案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字[202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>3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]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>24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号</w:t>
      </w:r>
    </w:p>
    <w:p>
      <w:pPr>
        <w:jc w:val="right"/>
        <w:rPr>
          <w:sz w:val="32"/>
          <w:szCs w:val="32"/>
        </w:rPr>
      </w:pPr>
    </w:p>
    <w:p>
      <w:pPr>
        <w:spacing w:line="572" w:lineRule="atLeas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/>
          <w:b/>
          <w:sz w:val="40"/>
          <w:szCs w:val="40"/>
        </w:rPr>
        <w:t>唐山市丰南区卫生健康局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对政协丰南区第</w:t>
      </w:r>
      <w:r>
        <w:rPr>
          <w:rFonts w:ascii="方正小标宋简体" w:eastAsia="方正小标宋简体"/>
          <w:b/>
          <w:sz w:val="40"/>
          <w:szCs w:val="40"/>
        </w:rPr>
        <w:t>七</w:t>
      </w:r>
      <w:r>
        <w:rPr>
          <w:rFonts w:ascii="方正小标宋简体" w:eastAsia="方正小标宋简体" w:hint="eastAsia"/>
          <w:b/>
          <w:sz w:val="40"/>
          <w:szCs w:val="40"/>
        </w:rPr>
        <w:t>届委员会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第</w:t>
      </w:r>
      <w:r>
        <w:rPr>
          <w:rFonts w:ascii="方正小标宋简体" w:eastAsia="方正小标宋简体"/>
          <w:b/>
          <w:sz w:val="40"/>
          <w:szCs w:val="40"/>
        </w:rPr>
        <w:t>四</w:t>
      </w:r>
      <w:r>
        <w:rPr>
          <w:rFonts w:ascii="方正小标宋简体" w:eastAsia="方正小标宋简体" w:hint="eastAsia"/>
          <w:b/>
          <w:sz w:val="40"/>
          <w:szCs w:val="40"/>
        </w:rPr>
        <w:t>次会议第</w:t>
      </w:r>
      <w:r>
        <w:rPr>
          <w:rFonts w:ascii="方正小标宋简体" w:eastAsia="方正小标宋简体" w:hint="eastAsia"/>
          <w:b/>
          <w:sz w:val="40"/>
          <w:szCs w:val="40"/>
          <w:lang w:val="en-US" w:eastAsia="zh-CN"/>
        </w:rPr>
        <w:t>24</w:t>
      </w:r>
      <w:r>
        <w:rPr>
          <w:rFonts w:ascii="方正小标宋简体" w:eastAsia="方正小标宋简体" w:hint="eastAsia"/>
          <w:b/>
          <w:sz w:val="40"/>
          <w:szCs w:val="40"/>
        </w:rPr>
        <w:t>号提案的答复</w:t>
      </w:r>
    </w:p>
    <w:p>
      <w:pPr>
        <w:spacing w:line="572" w:lineRule="atLeast"/>
        <w:ind w:left="0" w:firstLineChars="200" w:firstLine="640"/>
        <w:rPr>
          <w:rFonts w:ascii="方正仿宋简体" w:eastAsia="方正仿宋简体"/>
          <w:b/>
          <w:sz w:val="32"/>
          <w:szCs w:val="32"/>
          <w:u w:val="none" w:color="auto"/>
        </w:rPr>
      </w:pPr>
    </w:p>
    <w:p>
      <w:pPr>
        <w:spacing w:line="596" w:lineRule="exact"/>
        <w:rPr>
          <w:rFonts w:ascii="宋体" w:eastAsia="方正仿宋简体" w:hAnsi="宋体" w:hint="eastAsia"/>
          <w:b/>
          <w:sz w:val="32"/>
          <w:szCs w:val="32"/>
          <w:u w:val="none" w:color="auto"/>
        </w:rPr>
      </w:pPr>
      <w:r>
        <w:rPr>
          <w:rFonts w:ascii="宋体" w:eastAsia="方正仿宋简体" w:hAnsi="宋体" w:hint="eastAsia"/>
          <w:b/>
          <w:sz w:val="32"/>
          <w:szCs w:val="32"/>
          <w:u w:val="none" w:color="auto"/>
          <w:lang w:val="en-US" w:eastAsia="zh-CN"/>
        </w:rPr>
        <w:t>唐永靖</w:t>
      </w:r>
      <w:r>
        <w:rPr>
          <w:rFonts w:ascii="宋体" w:eastAsia="方正仿宋简体" w:hAnsi="宋体"/>
          <w:b/>
          <w:sz w:val="32"/>
          <w:szCs w:val="32"/>
        </w:rPr>
        <w:t>、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张秀梅</w:t>
      </w:r>
      <w:r>
        <w:rPr>
          <w:rFonts w:ascii="宋体" w:eastAsia="方正仿宋简体" w:hAnsi="宋体"/>
          <w:b/>
          <w:sz w:val="32"/>
          <w:szCs w:val="32"/>
        </w:rPr>
        <w:t>、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董景珍</w:t>
      </w:r>
      <w:r>
        <w:rPr>
          <w:rFonts w:ascii="宋体" w:eastAsia="方正仿宋简体" w:hAnsi="宋体"/>
          <w:b/>
          <w:sz w:val="32"/>
          <w:szCs w:val="32"/>
        </w:rPr>
        <w:t>、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么明玉</w:t>
      </w:r>
      <w:r>
        <w:rPr>
          <w:rFonts w:ascii="宋体" w:eastAsia="方正仿宋简体" w:hAnsi="宋体"/>
          <w:b/>
          <w:sz w:val="32"/>
          <w:szCs w:val="32"/>
        </w:rPr>
        <w:t>、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杜鹏宇</w:t>
      </w:r>
      <w:r>
        <w:rPr>
          <w:rFonts w:ascii="宋体" w:eastAsia="方正仿宋简体" w:hAnsi="宋体" w:hint="eastAsia"/>
          <w:b/>
          <w:sz w:val="32"/>
          <w:szCs w:val="32"/>
          <w:u w:val="none" w:color="auto"/>
        </w:rPr>
        <w:t>：</w:t>
      </w:r>
    </w:p>
    <w:p>
      <w:pPr>
        <w:spacing w:line="596" w:lineRule="exact"/>
        <w:ind w:left="0" w:firstLineChars="200" w:firstLine="640"/>
        <w:rPr>
          <w:rFonts w:ascii="宋体" w:eastAsia="方正仿宋简体" w:hAnsi="宋体" w:hint="eastAsia"/>
          <w:bCs w:val="0"/>
          <w:sz w:val="32"/>
          <w:szCs w:val="32"/>
        </w:rPr>
      </w:pPr>
      <w:r>
        <w:rPr>
          <w:rFonts w:ascii="宋体" w:eastAsia="方正仿宋简体" w:hAnsi="宋体" w:hint="eastAsia"/>
          <w:bCs w:val="0"/>
          <w:sz w:val="32"/>
          <w:szCs w:val="32"/>
        </w:rPr>
        <w:t>您</w:t>
      </w:r>
      <w:r>
        <w:rPr>
          <w:rFonts w:ascii="宋体" w:eastAsia="方正仿宋简体" w:hAnsi="宋体"/>
          <w:bCs w:val="0"/>
          <w:sz w:val="32"/>
          <w:szCs w:val="32"/>
        </w:rPr>
        <w:t>们</w:t>
      </w:r>
      <w:r>
        <w:rPr>
          <w:rFonts w:ascii="宋体" w:eastAsia="方正仿宋简体" w:hAnsi="宋体" w:hint="eastAsia"/>
          <w:bCs w:val="0"/>
          <w:sz w:val="32"/>
          <w:szCs w:val="32"/>
        </w:rPr>
        <w:t>提出的“</w:t>
      </w:r>
      <w:r>
        <w:rPr>
          <w:rFonts w:ascii="宋体" w:eastAsia="方正仿宋简体" w:hAnsi="宋体"/>
          <w:bCs w:val="0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>关于实施公共电除颤（PAD）规划的建议提案</w:t>
      </w:r>
      <w:r>
        <w:rPr>
          <w:rFonts w:ascii="宋体" w:eastAsia="方正仿宋简体" w:hAnsi="宋体" w:hint="eastAsia"/>
          <w:bCs w:val="0"/>
          <w:sz w:val="32"/>
          <w:szCs w:val="32"/>
        </w:rPr>
        <w:t>”收悉，现答复如下：</w:t>
      </w:r>
    </w:p>
    <w:p>
      <w:pPr>
        <w:spacing w:line="596" w:lineRule="exact"/>
        <w:ind w:left="0"/>
        <w:rPr>
          <w:rFonts w:ascii="宋体" w:eastAsia="方正仿宋简体" w:hAnsi="宋体"/>
          <w:bCs w:val="0"/>
          <w:sz w:val="32"/>
          <w:szCs w:val="32"/>
          <w:lang w:val="en-US" w:eastAsia="zh-CN"/>
        </w:rPr>
      </w:pP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 xml:space="preserve">    心肺骤停也称猝死，其中猝死的病人室颤发生率为50-80%，室颤最有效的救治是及时有效的心肺复苏和除颤。猝死病人抢救的黄金时间是4-6分钟，抢救时间每增加1分钟，成功率下降10%，8分钟后再抢救很可能抢救不过来了。在中国猝死病人抢救成功率为1%，发达国家抢救成功率也没有达到2%，90%以上的病人在院前急救等专业救治人员到达时猝死事件已超过10分钟，所以公共场所除颤仪的配置和心肺复苏的普及率，是提升猝死病人救治成功率的首要条件。</w:t>
      </w:r>
    </w:p>
    <w:p>
      <w:pPr>
        <w:spacing w:line="596" w:lineRule="exact"/>
        <w:ind w:left="0"/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</w:pP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 xml:space="preserve">     为了贯彻落实《基本医疗与健康促进法》、《健康中国行动（2019-2030）有关要求，进一步落实人员聚集场所自动体外除颤仪和急救药品配置工作，2023年7月我区健康中国.丰南行动领导小组办公室下发了《关于继续做好重点场所自动体外除颤仪（AED)和急救药品配置工作的通知》（丰健领办[2023]14号），文件要求学校、职工人数500名以上企业单位、大型商场、超市、大型宾馆等单位完成AED及急救药品配置工作。到目前为止我区公共场所已配置除颤仪和抢救药品的共31家，同时我局依托院前急救质控中心对公共场所进行多次培训，培训包括除颤仪的使用、心肺复苏、抢救及用药的注意事项、如何正确拨打120等进行多次培训。</w:t>
      </w:r>
    </w:p>
    <w:p>
      <w:pPr>
        <w:spacing w:line="596" w:lineRule="exact"/>
        <w:ind w:left="0"/>
        <w:rPr>
          <w:rFonts w:ascii="宋体" w:eastAsia="方正仿宋简体" w:hAnsi="宋体"/>
          <w:bCs w:val="0"/>
          <w:sz w:val="32"/>
          <w:szCs w:val="32"/>
          <w:lang w:val="en-US" w:eastAsia="zh-CN"/>
        </w:rPr>
      </w:pP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 xml:space="preserve">    接下来我局会进一步完善培训机制，持续督导公共场所除颤仪和抢救药品的配置工作，同时多轮次对公共场所人员及群众进行培训，确保公众能够正确、安全的使用AED,提高公众对AED的使用能力，以提升现场人员急救能力为目标，织密织牢急救网络，提升全区急救能力，从而提升猝死病人的救治成功率。</w:t>
      </w:r>
    </w:p>
    <w:p>
      <w:pPr>
        <w:spacing w:line="596" w:lineRule="exact"/>
        <w:ind w:left="0"/>
        <w:rPr>
          <w:rFonts w:ascii="宋体" w:eastAsia="方正仿宋简体" w:hAnsi="宋体" w:hint="eastAsia"/>
          <w:b/>
          <w:sz w:val="32"/>
          <w:szCs w:val="32"/>
          <w:lang w:val="en-US" w:eastAsia="zh-CN"/>
        </w:rPr>
      </w:pPr>
    </w:p>
    <w:p>
      <w:pPr>
        <w:spacing w:line="596" w:lineRule="exact"/>
        <w:ind w:firstLineChars="1745" w:firstLine="5584"/>
        <w:rPr>
          <w:rFonts w:ascii="宋体" w:eastAsia="方正仿宋简体" w:hAnsi="宋体" w:hint="eastAsia"/>
          <w:bCs w:val="0"/>
          <w:sz w:val="32"/>
          <w:szCs w:val="32"/>
        </w:rPr>
      </w:pPr>
      <w:r>
        <w:rPr>
          <w:rFonts w:ascii="宋体" w:eastAsia="方正仿宋简体" w:hAnsi="宋体"/>
          <w:bCs w:val="0"/>
          <w:sz w:val="32"/>
          <w:szCs w:val="32"/>
        </w:rPr>
        <w:t>2024</w:t>
      </w:r>
      <w:r>
        <w:rPr>
          <w:rFonts w:ascii="宋体" w:eastAsia="方正仿宋简体" w:hAnsi="宋体" w:hint="eastAsia"/>
          <w:bCs w:val="0"/>
          <w:sz w:val="32"/>
          <w:szCs w:val="32"/>
        </w:rPr>
        <w:t>年</w:t>
      </w:r>
      <w:r>
        <w:rPr>
          <w:rFonts w:ascii="宋体" w:eastAsia="方正仿宋简体" w:hAnsi="宋体"/>
          <w:bCs w:val="0"/>
          <w:sz w:val="32"/>
          <w:szCs w:val="32"/>
        </w:rPr>
        <w:t>8</w:t>
      </w:r>
      <w:r>
        <w:rPr>
          <w:rFonts w:ascii="宋体" w:eastAsia="方正仿宋简体" w:hAnsi="宋体" w:hint="eastAsia"/>
          <w:bCs w:val="0"/>
          <w:sz w:val="32"/>
          <w:szCs w:val="32"/>
        </w:rPr>
        <w:t>月</w:t>
      </w:r>
      <w:r>
        <w:rPr>
          <w:rFonts w:ascii="宋体" w:eastAsia="方正仿宋简体" w:hAnsi="宋体"/>
          <w:bCs w:val="0"/>
          <w:sz w:val="32"/>
          <w:szCs w:val="32"/>
        </w:rPr>
        <w:t>8</w:t>
      </w:r>
      <w:r>
        <w:rPr>
          <w:rFonts w:ascii="宋体" w:eastAsia="方正仿宋简体" w:hAnsi="宋体" w:hint="eastAsia"/>
          <w:bCs w:val="0"/>
          <w:sz w:val="32"/>
          <w:szCs w:val="32"/>
        </w:rPr>
        <w:t>日</w:t>
      </w: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 xml:space="preserve">领导签发：田宝生 </w:t>
      </w: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联系人及电话：田仕娟 8163900</w:t>
      </w:r>
      <w:bookmarkStart w:id="0" w:name="_GoBack"/>
      <w:bookmarkEnd w:id="0"/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抄送：区政府办公室（区行政中心515室）、区政协提案委员会（区行政中心928室）</w:t>
      </w:r>
    </w:p>
    <w:sectPr>
      <w:pgSz w:w="11907" w:h="16840"/>
      <w:pgMar w:top="1928" w:right="1474" w:bottom="153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mRkOTRkNmQwMzRjMmU3MTNmOGQ2OTRmMDg4MmNhNj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ACF8735-8822-4793-9CC4-E75F79163DE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20</TotalTime>
  <Application>Yozo_Office27021597764231179</Application>
  <Pages>2</Pages>
  <Words>0</Words>
  <Characters>717</Characters>
  <Lines>0</Lines>
  <Paragraphs>21</Paragraphs>
  <CharactersWithSpaces>957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2024-08-23T01:29:30Z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0A111B998D4944D684B6C505C2F7425F_12</vt:lpwstr>
  </property>
</Properties>
</file>