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一、唐山市丰南区供销合作社收支预算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一、唐山市丰南区供销合作社收支预算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225.60</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92.63</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6.66</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r>
              <w:t>120.31</w:t>
            </w: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6.00</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225.60</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225.60</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225.60</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225.60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497001唐山市丰南区供销合作社</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225.60</w:t>
            </w:r>
          </w:p>
        </w:tc>
        <w:tc>
          <w:tcPr>
            <w:tcW w:w="1134" w:type="dxa"/>
            <w:tcBorders>
              <w:left w:val="single" w:sz="6" w:space="0" w:color="auto"/>
              <w:right w:val="single" w:sz="6" w:space="0" w:color="auto"/>
            </w:tcBorders>
            <w:vAlign w:val="center"/>
          </w:tcPr>
          <w:p>
            <w:pPr>
              <w:pStyle w:val="23"/>
            </w:pPr>
            <w:r>
              <w:t>225.60</w:t>
            </w:r>
          </w:p>
        </w:tc>
        <w:tc>
          <w:tcPr>
            <w:tcW w:w="1134" w:type="dxa"/>
            <w:tcBorders>
              <w:left w:val="single" w:sz="6" w:space="0" w:color="auto"/>
              <w:right w:val="single" w:sz="6" w:space="0" w:color="auto"/>
            </w:tcBorders>
            <w:vAlign w:val="center"/>
          </w:tcPr>
          <w:p>
            <w:pPr>
              <w:pStyle w:val="23"/>
            </w:pPr>
            <w:r>
              <w:t>225.60</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r>
              <w:t>92.63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1559" w:type="dxa"/>
            <w:tcBorders>
              <w:left w:val="single" w:sz="6" w:space="0" w:color="auto"/>
              <w:right w:val="single" w:sz="6" w:space="0" w:color="auto"/>
            </w:tcBorders>
            <w:vAlign w:val="center"/>
          </w:tcPr>
          <w:p>
            <w:pPr>
              <w:pStyle w:val="20"/>
            </w:pPr>
            <w:r>
              <w:t>事业单位离退休</w:t>
            </w:r>
          </w:p>
        </w:tc>
        <w:tc>
          <w:tcPr>
            <w:tcW w:w="1134" w:type="dxa"/>
            <w:tcBorders>
              <w:left w:val="single" w:sz="6" w:space="0" w:color="auto"/>
              <w:right w:val="single" w:sz="6" w:space="0" w:color="auto"/>
            </w:tcBorders>
            <w:vAlign w:val="center"/>
          </w:tcPr>
          <w:p>
            <w:pPr>
              <w:pStyle w:val="19"/>
            </w:pPr>
            <w:r>
              <w:t>85.16</w:t>
            </w:r>
          </w:p>
        </w:tc>
        <w:tc>
          <w:tcPr>
            <w:tcW w:w="1134" w:type="dxa"/>
            <w:tcBorders>
              <w:left w:val="single" w:sz="6" w:space="0" w:color="auto"/>
              <w:right w:val="single" w:sz="6" w:space="0" w:color="auto"/>
            </w:tcBorders>
            <w:vAlign w:val="center"/>
          </w:tcPr>
          <w:p>
            <w:pPr>
              <w:pStyle w:val="19"/>
            </w:pPr>
            <w:r>
              <w:t>85.16</w:t>
            </w:r>
          </w:p>
        </w:tc>
        <w:tc>
          <w:tcPr>
            <w:tcW w:w="1134" w:type="dxa"/>
            <w:tcBorders>
              <w:left w:val="single" w:sz="6" w:space="0" w:color="auto"/>
              <w:right w:val="single" w:sz="6" w:space="0" w:color="auto"/>
            </w:tcBorders>
            <w:vAlign w:val="center"/>
          </w:tcPr>
          <w:p>
            <w:pPr>
              <w:pStyle w:val="19"/>
            </w:pPr>
            <w:r>
              <w:t>85.16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7.47</w:t>
            </w:r>
          </w:p>
        </w:tc>
        <w:tc>
          <w:tcPr>
            <w:tcW w:w="1134" w:type="dxa"/>
            <w:tcBorders>
              <w:left w:val="single" w:sz="6" w:space="0" w:color="auto"/>
              <w:right w:val="single" w:sz="6" w:space="0" w:color="auto"/>
            </w:tcBorders>
            <w:vAlign w:val="center"/>
          </w:tcPr>
          <w:p>
            <w:pPr>
              <w:pStyle w:val="19"/>
            </w:pPr>
            <w:r>
              <w:t>7.47</w:t>
            </w:r>
          </w:p>
        </w:tc>
        <w:tc>
          <w:tcPr>
            <w:tcW w:w="1134" w:type="dxa"/>
            <w:tcBorders>
              <w:left w:val="single" w:sz="6" w:space="0" w:color="auto"/>
              <w:right w:val="single" w:sz="6" w:space="0" w:color="auto"/>
            </w:tcBorders>
            <w:vAlign w:val="center"/>
          </w:tcPr>
          <w:p>
            <w:pPr>
              <w:pStyle w:val="19"/>
            </w:pPr>
            <w:r>
              <w:t>7.47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r>
              <w:t>6.66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2101102</w:t>
            </w:r>
          </w:p>
        </w:tc>
        <w:tc>
          <w:tcPr>
            <w:tcW w:w="1559" w:type="dxa"/>
            <w:tcBorders>
              <w:left w:val="single" w:sz="6" w:space="0" w:color="auto"/>
              <w:right w:val="single" w:sz="6" w:space="0" w:color="auto"/>
            </w:tcBorders>
            <w:vAlign w:val="center"/>
          </w:tcPr>
          <w:p>
            <w:pPr>
              <w:pStyle w:val="20"/>
            </w:pPr>
            <w:r>
              <w:t>事业单位医疗</w:t>
            </w:r>
          </w:p>
        </w:tc>
        <w:tc>
          <w:tcPr>
            <w:tcW w:w="1134" w:type="dxa"/>
            <w:tcBorders>
              <w:left w:val="single" w:sz="6" w:space="0" w:color="auto"/>
              <w:right w:val="single" w:sz="6" w:space="0" w:color="auto"/>
            </w:tcBorders>
            <w:vAlign w:val="center"/>
          </w:tcPr>
          <w:p>
            <w:pPr>
              <w:pStyle w:val="19"/>
            </w:pPr>
            <w:r>
              <w:t>3.12</w:t>
            </w:r>
          </w:p>
        </w:tc>
        <w:tc>
          <w:tcPr>
            <w:tcW w:w="1134" w:type="dxa"/>
            <w:tcBorders>
              <w:left w:val="single" w:sz="6" w:space="0" w:color="auto"/>
              <w:right w:val="single" w:sz="6" w:space="0" w:color="auto"/>
            </w:tcBorders>
            <w:vAlign w:val="center"/>
          </w:tcPr>
          <w:p>
            <w:pPr>
              <w:pStyle w:val="19"/>
            </w:pPr>
            <w:r>
              <w:t>3.12</w:t>
            </w:r>
          </w:p>
        </w:tc>
        <w:tc>
          <w:tcPr>
            <w:tcW w:w="1134" w:type="dxa"/>
            <w:tcBorders>
              <w:left w:val="single" w:sz="6" w:space="0" w:color="auto"/>
              <w:right w:val="single" w:sz="6" w:space="0" w:color="auto"/>
            </w:tcBorders>
            <w:vAlign w:val="center"/>
          </w:tcPr>
          <w:p>
            <w:pPr>
              <w:pStyle w:val="19"/>
            </w:pPr>
            <w:r>
              <w:t>3.12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3.54</w:t>
            </w:r>
          </w:p>
        </w:tc>
        <w:tc>
          <w:tcPr>
            <w:tcW w:w="1134" w:type="dxa"/>
            <w:tcBorders>
              <w:left w:val="single" w:sz="6" w:space="0" w:color="auto"/>
              <w:right w:val="single" w:sz="6" w:space="0" w:color="auto"/>
            </w:tcBorders>
            <w:vAlign w:val="center"/>
          </w:tcPr>
          <w:p>
            <w:pPr>
              <w:pStyle w:val="19"/>
            </w:pPr>
            <w:r>
              <w:t>3.54</w:t>
            </w:r>
          </w:p>
        </w:tc>
        <w:tc>
          <w:tcPr>
            <w:tcW w:w="1134" w:type="dxa"/>
            <w:tcBorders>
              <w:left w:val="single" w:sz="6" w:space="0" w:color="auto"/>
              <w:right w:val="single" w:sz="6" w:space="0" w:color="auto"/>
            </w:tcBorders>
            <w:vAlign w:val="center"/>
          </w:tcPr>
          <w:p>
            <w:pPr>
              <w:pStyle w:val="19"/>
            </w:pPr>
            <w:r>
              <w:t>3.54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216</w:t>
            </w:r>
          </w:p>
        </w:tc>
        <w:tc>
          <w:tcPr>
            <w:tcW w:w="1559" w:type="dxa"/>
            <w:tcBorders>
              <w:left w:val="single" w:sz="6" w:space="0" w:color="auto"/>
              <w:right w:val="single" w:sz="6" w:space="0" w:color="auto"/>
            </w:tcBorders>
            <w:vAlign w:val="center"/>
          </w:tcPr>
          <w:p>
            <w:pPr>
              <w:pStyle w:val="20"/>
            </w:pPr>
            <w:r>
              <w:t>商业服务业等支出</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21602</w:t>
            </w:r>
          </w:p>
        </w:tc>
        <w:tc>
          <w:tcPr>
            <w:tcW w:w="1559" w:type="dxa"/>
            <w:tcBorders>
              <w:left w:val="single" w:sz="6" w:space="0" w:color="auto"/>
              <w:right w:val="single" w:sz="6" w:space="0" w:color="auto"/>
            </w:tcBorders>
            <w:vAlign w:val="center"/>
          </w:tcPr>
          <w:p>
            <w:pPr>
              <w:pStyle w:val="20"/>
            </w:pPr>
            <w:r>
              <w:t>商业流通事务</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r>
              <w:t>120.31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2160250</w:t>
            </w:r>
          </w:p>
        </w:tc>
        <w:tc>
          <w:tcPr>
            <w:tcW w:w="1559" w:type="dxa"/>
            <w:tcBorders>
              <w:left w:val="single" w:sz="6" w:space="0" w:color="auto"/>
              <w:right w:val="single" w:sz="6" w:space="0" w:color="auto"/>
            </w:tcBorders>
            <w:vAlign w:val="center"/>
          </w:tcPr>
          <w:p>
            <w:pPr>
              <w:pStyle w:val="20"/>
            </w:pPr>
            <w:r>
              <w:t>事业运行</w:t>
            </w:r>
          </w:p>
        </w:tc>
        <w:tc>
          <w:tcPr>
            <w:tcW w:w="1134" w:type="dxa"/>
            <w:tcBorders>
              <w:left w:val="single" w:sz="6" w:space="0" w:color="auto"/>
              <w:right w:val="single" w:sz="6" w:space="0" w:color="auto"/>
            </w:tcBorders>
            <w:vAlign w:val="center"/>
          </w:tcPr>
          <w:p>
            <w:pPr>
              <w:pStyle w:val="19"/>
            </w:pPr>
            <w:r>
              <w:t>61.91</w:t>
            </w:r>
          </w:p>
        </w:tc>
        <w:tc>
          <w:tcPr>
            <w:tcW w:w="1134" w:type="dxa"/>
            <w:tcBorders>
              <w:left w:val="single" w:sz="6" w:space="0" w:color="auto"/>
              <w:right w:val="single" w:sz="6" w:space="0" w:color="auto"/>
            </w:tcBorders>
            <w:vAlign w:val="center"/>
          </w:tcPr>
          <w:p>
            <w:pPr>
              <w:pStyle w:val="19"/>
            </w:pPr>
            <w:r>
              <w:t>61.91</w:t>
            </w:r>
          </w:p>
        </w:tc>
        <w:tc>
          <w:tcPr>
            <w:tcW w:w="1134" w:type="dxa"/>
            <w:tcBorders>
              <w:left w:val="single" w:sz="6" w:space="0" w:color="auto"/>
              <w:right w:val="single" w:sz="6" w:space="0" w:color="auto"/>
            </w:tcBorders>
            <w:vAlign w:val="center"/>
          </w:tcPr>
          <w:p>
            <w:pPr>
              <w:pStyle w:val="19"/>
            </w:pPr>
            <w:r>
              <w:t>61.91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2160299</w:t>
            </w:r>
          </w:p>
        </w:tc>
        <w:tc>
          <w:tcPr>
            <w:tcW w:w="1559" w:type="dxa"/>
            <w:tcBorders>
              <w:left w:val="single" w:sz="6" w:space="0" w:color="auto"/>
              <w:right w:val="single" w:sz="6" w:space="0" w:color="auto"/>
            </w:tcBorders>
            <w:vAlign w:val="center"/>
          </w:tcPr>
          <w:p>
            <w:pPr>
              <w:pStyle w:val="20"/>
            </w:pPr>
            <w:r>
              <w:t>其他商业流通事务支出</w:t>
            </w:r>
          </w:p>
        </w:tc>
        <w:tc>
          <w:tcPr>
            <w:tcW w:w="1134" w:type="dxa"/>
            <w:tcBorders>
              <w:left w:val="single" w:sz="6" w:space="0" w:color="auto"/>
              <w:right w:val="single" w:sz="6" w:space="0" w:color="auto"/>
            </w:tcBorders>
            <w:vAlign w:val="center"/>
          </w:tcPr>
          <w:p>
            <w:pPr>
              <w:pStyle w:val="19"/>
            </w:pPr>
            <w:r>
              <w:t>58.40</w:t>
            </w:r>
          </w:p>
        </w:tc>
        <w:tc>
          <w:tcPr>
            <w:tcW w:w="1134" w:type="dxa"/>
            <w:tcBorders>
              <w:left w:val="single" w:sz="6" w:space="0" w:color="auto"/>
              <w:right w:val="single" w:sz="6" w:space="0" w:color="auto"/>
            </w:tcBorders>
            <w:vAlign w:val="center"/>
          </w:tcPr>
          <w:p>
            <w:pPr>
              <w:pStyle w:val="19"/>
            </w:pPr>
            <w:r>
              <w:t>58.40</w:t>
            </w:r>
          </w:p>
        </w:tc>
        <w:tc>
          <w:tcPr>
            <w:tcW w:w="1134" w:type="dxa"/>
            <w:tcBorders>
              <w:left w:val="single" w:sz="6" w:space="0" w:color="auto"/>
              <w:right w:val="single" w:sz="6" w:space="0" w:color="auto"/>
            </w:tcBorders>
            <w:vAlign w:val="center"/>
          </w:tcPr>
          <w:p>
            <w:pPr>
              <w:pStyle w:val="19"/>
            </w:pPr>
            <w:r>
              <w:t>58.40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r>
              <w:t>6.00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225.60</w:t>
            </w:r>
          </w:p>
        </w:tc>
        <w:tc>
          <w:tcPr>
            <w:tcW w:w="1361" w:type="dxa"/>
            <w:tcBorders>
              <w:left w:val="single" w:sz="6" w:space="0" w:color="auto"/>
              <w:right w:val="single" w:sz="6" w:space="0" w:color="auto"/>
            </w:tcBorders>
            <w:vAlign w:val="center"/>
          </w:tcPr>
          <w:p>
            <w:pPr>
              <w:pStyle w:val="23"/>
            </w:pPr>
            <w:r>
              <w:t>148.50</w:t>
            </w:r>
          </w:p>
        </w:tc>
        <w:tc>
          <w:tcPr>
            <w:tcW w:w="1361" w:type="dxa"/>
            <w:tcBorders>
              <w:left w:val="single" w:sz="6" w:space="0" w:color="auto"/>
              <w:right w:val="single" w:sz="6" w:space="0" w:color="auto"/>
            </w:tcBorders>
            <w:vAlign w:val="center"/>
          </w:tcPr>
          <w:p>
            <w:pPr>
              <w:pStyle w:val="23"/>
            </w:pPr>
            <w:r>
              <w:t>77.10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92.63</w:t>
            </w:r>
          </w:p>
        </w:tc>
        <w:tc>
          <w:tcPr>
            <w:tcW w:w="1361" w:type="dxa"/>
            <w:tcBorders>
              <w:left w:val="single" w:sz="6" w:space="0" w:color="auto"/>
              <w:right w:val="single" w:sz="6" w:space="0" w:color="auto"/>
            </w:tcBorders>
            <w:vAlign w:val="center"/>
          </w:tcPr>
          <w:p>
            <w:pPr>
              <w:pStyle w:val="19"/>
            </w:pPr>
            <w:r>
              <w:t>77.03</w:t>
            </w:r>
          </w:p>
        </w:tc>
        <w:tc>
          <w:tcPr>
            <w:tcW w:w="1361" w:type="dxa"/>
            <w:tcBorders>
              <w:left w:val="single" w:sz="6" w:space="0" w:color="auto"/>
              <w:right w:val="single" w:sz="6" w:space="0" w:color="auto"/>
            </w:tcBorders>
            <w:vAlign w:val="center"/>
          </w:tcPr>
          <w:p>
            <w:pPr>
              <w:pStyle w:val="19"/>
            </w:pPr>
            <w:r>
              <w:t>15.60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92.63</w:t>
            </w:r>
          </w:p>
        </w:tc>
        <w:tc>
          <w:tcPr>
            <w:tcW w:w="1361" w:type="dxa"/>
            <w:tcBorders>
              <w:left w:val="single" w:sz="6" w:space="0" w:color="auto"/>
              <w:right w:val="single" w:sz="6" w:space="0" w:color="auto"/>
            </w:tcBorders>
            <w:vAlign w:val="center"/>
          </w:tcPr>
          <w:p>
            <w:pPr>
              <w:pStyle w:val="19"/>
            </w:pPr>
            <w:r>
              <w:t>77.03</w:t>
            </w:r>
          </w:p>
        </w:tc>
        <w:tc>
          <w:tcPr>
            <w:tcW w:w="1361" w:type="dxa"/>
            <w:tcBorders>
              <w:left w:val="single" w:sz="6" w:space="0" w:color="auto"/>
              <w:right w:val="single" w:sz="6" w:space="0" w:color="auto"/>
            </w:tcBorders>
            <w:vAlign w:val="center"/>
          </w:tcPr>
          <w:p>
            <w:pPr>
              <w:pStyle w:val="19"/>
            </w:pPr>
            <w:r>
              <w:t>15.60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1361" w:type="dxa"/>
            <w:tcBorders>
              <w:left w:val="single" w:sz="6" w:space="0" w:color="auto"/>
              <w:right w:val="single" w:sz="6" w:space="0" w:color="auto"/>
            </w:tcBorders>
            <w:vAlign w:val="center"/>
          </w:tcPr>
          <w:p>
            <w:pPr>
              <w:pStyle w:val="19"/>
            </w:pPr>
            <w:r>
              <w:t>85.16</w:t>
            </w:r>
          </w:p>
        </w:tc>
        <w:tc>
          <w:tcPr>
            <w:tcW w:w="1361" w:type="dxa"/>
            <w:tcBorders>
              <w:left w:val="single" w:sz="6" w:space="0" w:color="auto"/>
              <w:right w:val="single" w:sz="6" w:space="0" w:color="auto"/>
            </w:tcBorders>
            <w:vAlign w:val="center"/>
          </w:tcPr>
          <w:p>
            <w:pPr>
              <w:pStyle w:val="19"/>
            </w:pPr>
            <w:r>
              <w:t>69.56</w:t>
            </w:r>
          </w:p>
        </w:tc>
        <w:tc>
          <w:tcPr>
            <w:tcW w:w="1361" w:type="dxa"/>
            <w:tcBorders>
              <w:left w:val="single" w:sz="6" w:space="0" w:color="auto"/>
              <w:right w:val="single" w:sz="6" w:space="0" w:color="auto"/>
            </w:tcBorders>
            <w:vAlign w:val="center"/>
          </w:tcPr>
          <w:p>
            <w:pPr>
              <w:pStyle w:val="19"/>
            </w:pPr>
            <w:r>
              <w:t>15.60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7.47</w:t>
            </w:r>
          </w:p>
        </w:tc>
        <w:tc>
          <w:tcPr>
            <w:tcW w:w="1361" w:type="dxa"/>
            <w:tcBorders>
              <w:left w:val="single" w:sz="6" w:space="0" w:color="auto"/>
              <w:right w:val="single" w:sz="6" w:space="0" w:color="auto"/>
            </w:tcBorders>
            <w:vAlign w:val="center"/>
          </w:tcPr>
          <w:p>
            <w:pPr>
              <w:pStyle w:val="19"/>
            </w:pPr>
            <w:r>
              <w:t>7.47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r>
              <w:t>6.66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1361" w:type="dxa"/>
            <w:tcBorders>
              <w:left w:val="single" w:sz="6" w:space="0" w:color="auto"/>
              <w:right w:val="single" w:sz="6" w:space="0" w:color="auto"/>
            </w:tcBorders>
            <w:vAlign w:val="center"/>
          </w:tcPr>
          <w:p>
            <w:pPr>
              <w:pStyle w:val="19"/>
            </w:pPr>
            <w:r>
              <w:t>3.12</w:t>
            </w:r>
          </w:p>
        </w:tc>
        <w:tc>
          <w:tcPr>
            <w:tcW w:w="1361" w:type="dxa"/>
            <w:tcBorders>
              <w:left w:val="single" w:sz="6" w:space="0" w:color="auto"/>
              <w:right w:val="single" w:sz="6" w:space="0" w:color="auto"/>
            </w:tcBorders>
            <w:vAlign w:val="center"/>
          </w:tcPr>
          <w:p>
            <w:pPr>
              <w:pStyle w:val="19"/>
            </w:pPr>
            <w:r>
              <w:t>3.12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3.54</w:t>
            </w:r>
          </w:p>
        </w:tc>
        <w:tc>
          <w:tcPr>
            <w:tcW w:w="1361" w:type="dxa"/>
            <w:tcBorders>
              <w:left w:val="single" w:sz="6" w:space="0" w:color="auto"/>
              <w:right w:val="single" w:sz="6" w:space="0" w:color="auto"/>
            </w:tcBorders>
            <w:vAlign w:val="center"/>
          </w:tcPr>
          <w:p>
            <w:pPr>
              <w:pStyle w:val="19"/>
            </w:pPr>
            <w:r>
              <w:t>3.54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1361" w:type="dxa"/>
            <w:tcBorders>
              <w:left w:val="single" w:sz="6" w:space="0" w:color="auto"/>
              <w:right w:val="single" w:sz="6" w:space="0" w:color="auto"/>
            </w:tcBorders>
            <w:vAlign w:val="center"/>
          </w:tcPr>
          <w:p>
            <w:pPr>
              <w:pStyle w:val="19"/>
            </w:pPr>
            <w:r>
              <w:t>120.31</w:t>
            </w:r>
          </w:p>
        </w:tc>
        <w:tc>
          <w:tcPr>
            <w:tcW w:w="1361" w:type="dxa"/>
            <w:tcBorders>
              <w:left w:val="single" w:sz="6" w:space="0" w:color="auto"/>
              <w:right w:val="single" w:sz="6" w:space="0" w:color="auto"/>
            </w:tcBorders>
            <w:vAlign w:val="center"/>
          </w:tcPr>
          <w:p>
            <w:pPr>
              <w:pStyle w:val="19"/>
            </w:pPr>
            <w:r>
              <w:t>58.81</w:t>
            </w:r>
          </w:p>
        </w:tc>
        <w:tc>
          <w:tcPr>
            <w:tcW w:w="1361" w:type="dxa"/>
            <w:tcBorders>
              <w:left w:val="single" w:sz="6" w:space="0" w:color="auto"/>
              <w:right w:val="single" w:sz="6" w:space="0" w:color="auto"/>
            </w:tcBorders>
            <w:vAlign w:val="center"/>
          </w:tcPr>
          <w:p>
            <w:pPr>
              <w:pStyle w:val="19"/>
            </w:pPr>
            <w:r>
              <w:t>61.50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1361" w:type="dxa"/>
            <w:tcBorders>
              <w:left w:val="single" w:sz="6" w:space="0" w:color="auto"/>
              <w:right w:val="single" w:sz="6" w:space="0" w:color="auto"/>
            </w:tcBorders>
            <w:vAlign w:val="center"/>
          </w:tcPr>
          <w:p>
            <w:pPr>
              <w:pStyle w:val="19"/>
            </w:pPr>
            <w:r>
              <w:t>120.31</w:t>
            </w:r>
          </w:p>
        </w:tc>
        <w:tc>
          <w:tcPr>
            <w:tcW w:w="1361" w:type="dxa"/>
            <w:tcBorders>
              <w:left w:val="single" w:sz="6" w:space="0" w:color="auto"/>
              <w:right w:val="single" w:sz="6" w:space="0" w:color="auto"/>
            </w:tcBorders>
            <w:vAlign w:val="center"/>
          </w:tcPr>
          <w:p>
            <w:pPr>
              <w:pStyle w:val="19"/>
            </w:pPr>
            <w:r>
              <w:t>58.81</w:t>
            </w:r>
          </w:p>
        </w:tc>
        <w:tc>
          <w:tcPr>
            <w:tcW w:w="1361" w:type="dxa"/>
            <w:tcBorders>
              <w:left w:val="single" w:sz="6" w:space="0" w:color="auto"/>
              <w:right w:val="single" w:sz="6" w:space="0" w:color="auto"/>
            </w:tcBorders>
            <w:vAlign w:val="center"/>
          </w:tcPr>
          <w:p>
            <w:pPr>
              <w:pStyle w:val="19"/>
            </w:pPr>
            <w:r>
              <w:t>61.50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2160250</w:t>
            </w:r>
          </w:p>
        </w:tc>
        <w:tc>
          <w:tcPr>
            <w:tcW w:w="4535" w:type="dxa"/>
            <w:tcBorders>
              <w:left w:val="single" w:sz="6" w:space="0" w:color="auto"/>
              <w:right w:val="single" w:sz="6" w:space="0" w:color="auto"/>
            </w:tcBorders>
            <w:vAlign w:val="center"/>
          </w:tcPr>
          <w:p>
            <w:pPr>
              <w:pStyle w:val="20"/>
            </w:pPr>
            <w:r>
              <w:t>事业运行</w:t>
            </w:r>
          </w:p>
        </w:tc>
        <w:tc>
          <w:tcPr>
            <w:tcW w:w="1361" w:type="dxa"/>
            <w:tcBorders>
              <w:left w:val="single" w:sz="6" w:space="0" w:color="auto"/>
              <w:right w:val="single" w:sz="6" w:space="0" w:color="auto"/>
            </w:tcBorders>
            <w:vAlign w:val="center"/>
          </w:tcPr>
          <w:p>
            <w:pPr>
              <w:pStyle w:val="19"/>
            </w:pPr>
            <w:r>
              <w:t>61.91</w:t>
            </w:r>
          </w:p>
        </w:tc>
        <w:tc>
          <w:tcPr>
            <w:tcW w:w="1361" w:type="dxa"/>
            <w:tcBorders>
              <w:left w:val="single" w:sz="6" w:space="0" w:color="auto"/>
              <w:right w:val="single" w:sz="6" w:space="0" w:color="auto"/>
            </w:tcBorders>
            <w:vAlign w:val="center"/>
          </w:tcPr>
          <w:p>
            <w:pPr>
              <w:pStyle w:val="19"/>
            </w:pPr>
            <w:r>
              <w:t>58.81</w:t>
            </w:r>
          </w:p>
        </w:tc>
        <w:tc>
          <w:tcPr>
            <w:tcW w:w="1361" w:type="dxa"/>
            <w:tcBorders>
              <w:left w:val="single" w:sz="6" w:space="0" w:color="auto"/>
              <w:right w:val="single" w:sz="6" w:space="0" w:color="auto"/>
            </w:tcBorders>
            <w:vAlign w:val="center"/>
          </w:tcPr>
          <w:p>
            <w:pPr>
              <w:pStyle w:val="19"/>
            </w:pPr>
            <w:r>
              <w:t>3.10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1361" w:type="dxa"/>
            <w:tcBorders>
              <w:left w:val="single" w:sz="6" w:space="0" w:color="auto"/>
              <w:right w:val="single" w:sz="6" w:space="0" w:color="auto"/>
            </w:tcBorders>
            <w:vAlign w:val="center"/>
          </w:tcPr>
          <w:p>
            <w:pPr>
              <w:pStyle w:val="19"/>
            </w:pPr>
            <w:r>
              <w:t>58.40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58.40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r>
              <w:t>6.00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225.60</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92.63</w:t>
            </w:r>
          </w:p>
        </w:tc>
        <w:tc>
          <w:tcPr>
            <w:tcW w:w="1474" w:type="dxa"/>
            <w:tcBorders>
              <w:left w:val="single" w:sz="6" w:space="0" w:color="auto"/>
              <w:right w:val="single" w:sz="6" w:space="0" w:color="auto"/>
            </w:tcBorders>
            <w:vAlign w:val="center"/>
          </w:tcPr>
          <w:p>
            <w:pPr>
              <w:pStyle w:val="19"/>
            </w:pPr>
            <w:r>
              <w:t>92.63</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6.66</w:t>
            </w:r>
          </w:p>
        </w:tc>
        <w:tc>
          <w:tcPr>
            <w:tcW w:w="1474" w:type="dxa"/>
            <w:tcBorders>
              <w:left w:val="single" w:sz="6" w:space="0" w:color="auto"/>
              <w:right w:val="single" w:sz="6" w:space="0" w:color="auto"/>
            </w:tcBorders>
            <w:vAlign w:val="center"/>
          </w:tcPr>
          <w:p>
            <w:pPr>
              <w:pStyle w:val="19"/>
            </w:pPr>
            <w:r>
              <w:t>6.66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r>
              <w:t>120.31</w:t>
            </w:r>
          </w:p>
        </w:tc>
        <w:tc>
          <w:tcPr>
            <w:tcW w:w="1474" w:type="dxa"/>
            <w:tcBorders>
              <w:left w:val="single" w:sz="6" w:space="0" w:color="auto"/>
              <w:right w:val="single" w:sz="6" w:space="0" w:color="auto"/>
            </w:tcBorders>
            <w:vAlign w:val="center"/>
          </w:tcPr>
          <w:p>
            <w:pPr>
              <w:pStyle w:val="19"/>
            </w:pPr>
            <w:r>
              <w:t>120.31</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6.00</w:t>
            </w:r>
          </w:p>
        </w:tc>
        <w:tc>
          <w:tcPr>
            <w:tcW w:w="1474" w:type="dxa"/>
            <w:tcBorders>
              <w:left w:val="single" w:sz="6" w:space="0" w:color="auto"/>
              <w:right w:val="single" w:sz="6" w:space="0" w:color="auto"/>
            </w:tcBorders>
            <w:vAlign w:val="center"/>
          </w:tcPr>
          <w:p>
            <w:pPr>
              <w:pStyle w:val="19"/>
            </w:pPr>
            <w:r>
              <w:t>6.00</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225.60</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225.60</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r>
              <w:t>225.60</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225.60</w:t>
            </w:r>
          </w:p>
        </w:tc>
        <w:tc>
          <w:tcPr>
            <w:tcW w:w="2551" w:type="dxa"/>
            <w:tcBorders>
              <w:left w:val="single" w:sz="6" w:space="0" w:color="auto"/>
              <w:right w:val="single" w:sz="6" w:space="0" w:color="auto"/>
            </w:tcBorders>
            <w:vAlign w:val="center"/>
          </w:tcPr>
          <w:p>
            <w:pPr>
              <w:pStyle w:val="23"/>
            </w:pPr>
            <w:r>
              <w:t>148.50</w:t>
            </w:r>
          </w:p>
        </w:tc>
        <w:tc>
          <w:tcPr>
            <w:tcW w:w="2551" w:type="dxa"/>
            <w:vAlign w:val="center"/>
          </w:tcPr>
          <w:p>
            <w:pPr>
              <w:pStyle w:val="23"/>
            </w:pPr>
            <w:r>
              <w:t>77.10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92.63</w:t>
            </w:r>
          </w:p>
        </w:tc>
        <w:tc>
          <w:tcPr>
            <w:tcW w:w="2551" w:type="dxa"/>
            <w:tcBorders>
              <w:left w:val="single" w:sz="6" w:space="0" w:color="auto"/>
              <w:right w:val="single" w:sz="6" w:space="0" w:color="auto"/>
            </w:tcBorders>
            <w:vAlign w:val="center"/>
          </w:tcPr>
          <w:p>
            <w:pPr>
              <w:pStyle w:val="19"/>
            </w:pPr>
            <w:r>
              <w:t>77.03</w:t>
            </w:r>
          </w:p>
        </w:tc>
        <w:tc>
          <w:tcPr>
            <w:tcW w:w="2551" w:type="dxa"/>
            <w:vAlign w:val="center"/>
          </w:tcPr>
          <w:p>
            <w:pPr>
              <w:pStyle w:val="19"/>
            </w:pPr>
            <w:r>
              <w:t>15.60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92.63</w:t>
            </w:r>
          </w:p>
        </w:tc>
        <w:tc>
          <w:tcPr>
            <w:tcW w:w="2551" w:type="dxa"/>
            <w:tcBorders>
              <w:left w:val="single" w:sz="6" w:space="0" w:color="auto"/>
              <w:right w:val="single" w:sz="6" w:space="0" w:color="auto"/>
            </w:tcBorders>
            <w:vAlign w:val="center"/>
          </w:tcPr>
          <w:p>
            <w:pPr>
              <w:pStyle w:val="19"/>
            </w:pPr>
            <w:r>
              <w:t>77.03</w:t>
            </w:r>
          </w:p>
        </w:tc>
        <w:tc>
          <w:tcPr>
            <w:tcW w:w="2551" w:type="dxa"/>
            <w:vAlign w:val="center"/>
          </w:tcPr>
          <w:p>
            <w:pPr>
              <w:pStyle w:val="19"/>
            </w:pPr>
            <w:r>
              <w:t>15.60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2551" w:type="dxa"/>
            <w:tcBorders>
              <w:left w:val="single" w:sz="6" w:space="0" w:color="auto"/>
              <w:right w:val="single" w:sz="6" w:space="0" w:color="auto"/>
            </w:tcBorders>
            <w:vAlign w:val="center"/>
          </w:tcPr>
          <w:p>
            <w:pPr>
              <w:pStyle w:val="19"/>
            </w:pPr>
            <w:r>
              <w:t>85.16</w:t>
            </w:r>
          </w:p>
        </w:tc>
        <w:tc>
          <w:tcPr>
            <w:tcW w:w="2551" w:type="dxa"/>
            <w:tcBorders>
              <w:left w:val="single" w:sz="6" w:space="0" w:color="auto"/>
              <w:right w:val="single" w:sz="6" w:space="0" w:color="auto"/>
            </w:tcBorders>
            <w:vAlign w:val="center"/>
          </w:tcPr>
          <w:p>
            <w:pPr>
              <w:pStyle w:val="19"/>
            </w:pPr>
            <w:r>
              <w:t>69.56</w:t>
            </w:r>
          </w:p>
        </w:tc>
        <w:tc>
          <w:tcPr>
            <w:tcW w:w="2551" w:type="dxa"/>
            <w:vAlign w:val="center"/>
          </w:tcPr>
          <w:p>
            <w:pPr>
              <w:pStyle w:val="19"/>
            </w:pPr>
            <w:r>
              <w:t>15.60</w:t>
            </w: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7.47</w:t>
            </w:r>
          </w:p>
        </w:tc>
        <w:tc>
          <w:tcPr>
            <w:tcW w:w="2551" w:type="dxa"/>
            <w:tcBorders>
              <w:left w:val="single" w:sz="6" w:space="0" w:color="auto"/>
              <w:right w:val="single" w:sz="6" w:space="0" w:color="auto"/>
            </w:tcBorders>
            <w:vAlign w:val="center"/>
          </w:tcPr>
          <w:p>
            <w:pPr>
              <w:pStyle w:val="19"/>
            </w:pPr>
            <w:r>
              <w:t>7.47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6.66</w:t>
            </w:r>
          </w:p>
        </w:tc>
        <w:tc>
          <w:tcPr>
            <w:tcW w:w="2551" w:type="dxa"/>
            <w:tcBorders>
              <w:left w:val="single" w:sz="6" w:space="0" w:color="auto"/>
              <w:right w:val="single" w:sz="6" w:space="0" w:color="auto"/>
            </w:tcBorders>
            <w:vAlign w:val="center"/>
          </w:tcPr>
          <w:p>
            <w:pPr>
              <w:pStyle w:val="19"/>
            </w:pPr>
            <w:r>
              <w:t>6.66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6.66</w:t>
            </w:r>
          </w:p>
        </w:tc>
        <w:tc>
          <w:tcPr>
            <w:tcW w:w="2551" w:type="dxa"/>
            <w:tcBorders>
              <w:left w:val="single" w:sz="6" w:space="0" w:color="auto"/>
              <w:right w:val="single" w:sz="6" w:space="0" w:color="auto"/>
            </w:tcBorders>
            <w:vAlign w:val="center"/>
          </w:tcPr>
          <w:p>
            <w:pPr>
              <w:pStyle w:val="19"/>
            </w:pPr>
            <w:r>
              <w:t>6.66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2551" w:type="dxa"/>
            <w:tcBorders>
              <w:left w:val="single" w:sz="6" w:space="0" w:color="auto"/>
              <w:right w:val="single" w:sz="6" w:space="0" w:color="auto"/>
            </w:tcBorders>
            <w:vAlign w:val="center"/>
          </w:tcPr>
          <w:p>
            <w:pPr>
              <w:pStyle w:val="19"/>
            </w:pPr>
            <w:r>
              <w:t>3.12</w:t>
            </w:r>
          </w:p>
        </w:tc>
        <w:tc>
          <w:tcPr>
            <w:tcW w:w="2551" w:type="dxa"/>
            <w:tcBorders>
              <w:left w:val="single" w:sz="6" w:space="0" w:color="auto"/>
              <w:right w:val="single" w:sz="6" w:space="0" w:color="auto"/>
            </w:tcBorders>
            <w:vAlign w:val="center"/>
          </w:tcPr>
          <w:p>
            <w:pPr>
              <w:pStyle w:val="19"/>
            </w:pPr>
            <w:r>
              <w:t>3.12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3.54</w:t>
            </w:r>
          </w:p>
        </w:tc>
        <w:tc>
          <w:tcPr>
            <w:tcW w:w="2551" w:type="dxa"/>
            <w:tcBorders>
              <w:left w:val="single" w:sz="6" w:space="0" w:color="auto"/>
              <w:right w:val="single" w:sz="6" w:space="0" w:color="auto"/>
            </w:tcBorders>
            <w:vAlign w:val="center"/>
          </w:tcPr>
          <w:p>
            <w:pPr>
              <w:pStyle w:val="19"/>
            </w:pPr>
            <w:r>
              <w:t>3.54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2551" w:type="dxa"/>
            <w:tcBorders>
              <w:left w:val="single" w:sz="6" w:space="0" w:color="auto"/>
              <w:right w:val="single" w:sz="6" w:space="0" w:color="auto"/>
            </w:tcBorders>
            <w:vAlign w:val="center"/>
          </w:tcPr>
          <w:p>
            <w:pPr>
              <w:pStyle w:val="19"/>
            </w:pPr>
            <w:r>
              <w:t>120.31</w:t>
            </w:r>
          </w:p>
        </w:tc>
        <w:tc>
          <w:tcPr>
            <w:tcW w:w="2551" w:type="dxa"/>
            <w:tcBorders>
              <w:left w:val="single" w:sz="6" w:space="0" w:color="auto"/>
              <w:right w:val="single" w:sz="6" w:space="0" w:color="auto"/>
            </w:tcBorders>
            <w:vAlign w:val="center"/>
          </w:tcPr>
          <w:p>
            <w:pPr>
              <w:pStyle w:val="19"/>
            </w:pPr>
            <w:r>
              <w:t>58.81</w:t>
            </w:r>
          </w:p>
        </w:tc>
        <w:tc>
          <w:tcPr>
            <w:tcW w:w="2551" w:type="dxa"/>
            <w:vAlign w:val="center"/>
          </w:tcPr>
          <w:p>
            <w:pPr>
              <w:pStyle w:val="19"/>
            </w:pPr>
            <w:r>
              <w:t>61.50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2551" w:type="dxa"/>
            <w:tcBorders>
              <w:left w:val="single" w:sz="6" w:space="0" w:color="auto"/>
              <w:right w:val="single" w:sz="6" w:space="0" w:color="auto"/>
            </w:tcBorders>
            <w:vAlign w:val="center"/>
          </w:tcPr>
          <w:p>
            <w:pPr>
              <w:pStyle w:val="19"/>
            </w:pPr>
            <w:r>
              <w:t>120.31</w:t>
            </w:r>
          </w:p>
        </w:tc>
        <w:tc>
          <w:tcPr>
            <w:tcW w:w="2551" w:type="dxa"/>
            <w:tcBorders>
              <w:left w:val="single" w:sz="6" w:space="0" w:color="auto"/>
              <w:right w:val="single" w:sz="6" w:space="0" w:color="auto"/>
            </w:tcBorders>
            <w:vAlign w:val="center"/>
          </w:tcPr>
          <w:p>
            <w:pPr>
              <w:pStyle w:val="19"/>
            </w:pPr>
            <w:r>
              <w:t>58.81</w:t>
            </w:r>
          </w:p>
        </w:tc>
        <w:tc>
          <w:tcPr>
            <w:tcW w:w="2551" w:type="dxa"/>
            <w:vAlign w:val="center"/>
          </w:tcPr>
          <w:p>
            <w:pPr>
              <w:pStyle w:val="19"/>
            </w:pPr>
            <w:r>
              <w:t>61.50</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2160250</w:t>
            </w:r>
          </w:p>
        </w:tc>
        <w:tc>
          <w:tcPr>
            <w:tcW w:w="4535" w:type="dxa"/>
            <w:tcBorders>
              <w:left w:val="single" w:sz="6" w:space="0" w:color="auto"/>
              <w:right w:val="single" w:sz="6" w:space="0" w:color="auto"/>
            </w:tcBorders>
            <w:vAlign w:val="center"/>
          </w:tcPr>
          <w:p>
            <w:pPr>
              <w:pStyle w:val="20"/>
            </w:pPr>
            <w:r>
              <w:t>事业运行</w:t>
            </w:r>
          </w:p>
        </w:tc>
        <w:tc>
          <w:tcPr>
            <w:tcW w:w="2551" w:type="dxa"/>
            <w:tcBorders>
              <w:left w:val="single" w:sz="6" w:space="0" w:color="auto"/>
              <w:right w:val="single" w:sz="6" w:space="0" w:color="auto"/>
            </w:tcBorders>
            <w:vAlign w:val="center"/>
          </w:tcPr>
          <w:p>
            <w:pPr>
              <w:pStyle w:val="19"/>
            </w:pPr>
            <w:r>
              <w:t>61.91</w:t>
            </w:r>
          </w:p>
        </w:tc>
        <w:tc>
          <w:tcPr>
            <w:tcW w:w="2551" w:type="dxa"/>
            <w:tcBorders>
              <w:left w:val="single" w:sz="6" w:space="0" w:color="auto"/>
              <w:right w:val="single" w:sz="6" w:space="0" w:color="auto"/>
            </w:tcBorders>
            <w:vAlign w:val="center"/>
          </w:tcPr>
          <w:p>
            <w:pPr>
              <w:pStyle w:val="19"/>
            </w:pPr>
            <w:r>
              <w:t>58.81</w:t>
            </w:r>
          </w:p>
        </w:tc>
        <w:tc>
          <w:tcPr>
            <w:tcW w:w="2551" w:type="dxa"/>
            <w:vAlign w:val="center"/>
          </w:tcPr>
          <w:p>
            <w:pPr>
              <w:pStyle w:val="19"/>
            </w:pPr>
            <w:r>
              <w:t>3.10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2551" w:type="dxa"/>
            <w:tcBorders>
              <w:left w:val="single" w:sz="6" w:space="0" w:color="auto"/>
              <w:right w:val="single" w:sz="6" w:space="0" w:color="auto"/>
            </w:tcBorders>
            <w:vAlign w:val="center"/>
          </w:tcPr>
          <w:p>
            <w:pPr>
              <w:pStyle w:val="19"/>
            </w:pPr>
            <w:r>
              <w:t>58.40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58.40</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148.50</w:t>
            </w:r>
          </w:p>
        </w:tc>
        <w:tc>
          <w:tcPr>
            <w:tcW w:w="2551" w:type="dxa"/>
            <w:tcBorders>
              <w:left w:val="single" w:sz="6" w:space="0" w:color="auto"/>
              <w:right w:val="single" w:sz="6" w:space="0" w:color="auto"/>
            </w:tcBorders>
            <w:vAlign w:val="center"/>
          </w:tcPr>
          <w:p>
            <w:pPr>
              <w:pStyle w:val="23"/>
            </w:pPr>
            <w:r>
              <w:t>146.50</w:t>
            </w:r>
          </w:p>
        </w:tc>
        <w:tc>
          <w:tcPr>
            <w:tcW w:w="2551" w:type="dxa"/>
            <w:vAlign w:val="center"/>
          </w:tcPr>
          <w:p>
            <w:pPr>
              <w:pStyle w:val="23"/>
            </w:pPr>
            <w:r>
              <w:t>2.00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74.84</w:t>
            </w:r>
          </w:p>
        </w:tc>
        <w:tc>
          <w:tcPr>
            <w:tcW w:w="2551" w:type="dxa"/>
            <w:tcBorders>
              <w:left w:val="single" w:sz="6" w:space="0" w:color="auto"/>
              <w:right w:val="single" w:sz="6" w:space="0" w:color="auto"/>
            </w:tcBorders>
            <w:vAlign w:val="center"/>
          </w:tcPr>
          <w:p>
            <w:pPr>
              <w:pStyle w:val="19"/>
            </w:pPr>
            <w:r>
              <w:t>74.84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20.95</w:t>
            </w:r>
          </w:p>
        </w:tc>
        <w:tc>
          <w:tcPr>
            <w:tcW w:w="2551" w:type="dxa"/>
            <w:tcBorders>
              <w:left w:val="single" w:sz="6" w:space="0" w:color="auto"/>
              <w:right w:val="single" w:sz="6" w:space="0" w:color="auto"/>
            </w:tcBorders>
            <w:vAlign w:val="center"/>
          </w:tcPr>
          <w:p>
            <w:pPr>
              <w:pStyle w:val="19"/>
            </w:pPr>
            <w:r>
              <w:t>20.95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5.07</w:t>
            </w:r>
          </w:p>
        </w:tc>
        <w:tc>
          <w:tcPr>
            <w:tcW w:w="2551" w:type="dxa"/>
            <w:tcBorders>
              <w:left w:val="single" w:sz="6" w:space="0" w:color="auto"/>
              <w:right w:val="single" w:sz="6" w:space="0" w:color="auto"/>
            </w:tcBorders>
            <w:vAlign w:val="center"/>
          </w:tcPr>
          <w:p>
            <w:pPr>
              <w:pStyle w:val="19"/>
            </w:pPr>
            <w:r>
              <w:t>5.07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27.99</w:t>
            </w:r>
          </w:p>
        </w:tc>
        <w:tc>
          <w:tcPr>
            <w:tcW w:w="2551" w:type="dxa"/>
            <w:tcBorders>
              <w:left w:val="single" w:sz="6" w:space="0" w:color="auto"/>
              <w:right w:val="single" w:sz="6" w:space="0" w:color="auto"/>
            </w:tcBorders>
            <w:vAlign w:val="center"/>
          </w:tcPr>
          <w:p>
            <w:pPr>
              <w:pStyle w:val="19"/>
            </w:pPr>
            <w:r>
              <w:t>27.99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7.47</w:t>
            </w:r>
          </w:p>
        </w:tc>
        <w:tc>
          <w:tcPr>
            <w:tcW w:w="2551" w:type="dxa"/>
            <w:tcBorders>
              <w:left w:val="single" w:sz="6" w:space="0" w:color="auto"/>
              <w:right w:val="single" w:sz="6" w:space="0" w:color="auto"/>
            </w:tcBorders>
            <w:vAlign w:val="center"/>
          </w:tcPr>
          <w:p>
            <w:pPr>
              <w:pStyle w:val="19"/>
            </w:pPr>
            <w:r>
              <w:t>7.47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3.12</w:t>
            </w:r>
          </w:p>
        </w:tc>
        <w:tc>
          <w:tcPr>
            <w:tcW w:w="2551" w:type="dxa"/>
            <w:tcBorders>
              <w:left w:val="single" w:sz="6" w:space="0" w:color="auto"/>
              <w:right w:val="single" w:sz="6" w:space="0" w:color="auto"/>
            </w:tcBorders>
            <w:vAlign w:val="center"/>
          </w:tcPr>
          <w:p>
            <w:pPr>
              <w:pStyle w:val="19"/>
            </w:pPr>
            <w:r>
              <w:t>3.12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3.54</w:t>
            </w:r>
          </w:p>
        </w:tc>
        <w:tc>
          <w:tcPr>
            <w:tcW w:w="2551" w:type="dxa"/>
            <w:tcBorders>
              <w:left w:val="single" w:sz="6" w:space="0" w:color="auto"/>
              <w:right w:val="single" w:sz="6" w:space="0" w:color="auto"/>
            </w:tcBorders>
            <w:vAlign w:val="center"/>
          </w:tcPr>
          <w:p>
            <w:pPr>
              <w:pStyle w:val="19"/>
            </w:pPr>
            <w:r>
              <w:t>3.54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0.70</w:t>
            </w:r>
          </w:p>
        </w:tc>
        <w:tc>
          <w:tcPr>
            <w:tcW w:w="2551" w:type="dxa"/>
            <w:tcBorders>
              <w:left w:val="single" w:sz="6" w:space="0" w:color="auto"/>
              <w:right w:val="single" w:sz="6" w:space="0" w:color="auto"/>
            </w:tcBorders>
            <w:vAlign w:val="center"/>
          </w:tcPr>
          <w:p>
            <w:pPr>
              <w:pStyle w:val="19"/>
            </w:pPr>
            <w:r>
              <w:t>0.70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6.00</w:t>
            </w:r>
          </w:p>
        </w:tc>
        <w:tc>
          <w:tcPr>
            <w:tcW w:w="2551" w:type="dxa"/>
            <w:tcBorders>
              <w:left w:val="single" w:sz="6" w:space="0" w:color="auto"/>
              <w:right w:val="single" w:sz="6" w:space="0" w:color="auto"/>
            </w:tcBorders>
            <w:vAlign w:val="center"/>
          </w:tcPr>
          <w:p>
            <w:pPr>
              <w:pStyle w:val="19"/>
            </w:pPr>
            <w:r>
              <w:t>6.00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71.66</w:t>
            </w:r>
          </w:p>
        </w:tc>
        <w:tc>
          <w:tcPr>
            <w:tcW w:w="2551" w:type="dxa"/>
            <w:tcBorders>
              <w:left w:val="single" w:sz="6" w:space="0" w:color="auto"/>
              <w:right w:val="single" w:sz="6" w:space="0" w:color="auto"/>
            </w:tcBorders>
            <w:vAlign w:val="center"/>
          </w:tcPr>
          <w:p>
            <w:pPr>
              <w:pStyle w:val="19"/>
            </w:pPr>
            <w:r>
              <w:t>71.66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69.56</w:t>
            </w:r>
          </w:p>
        </w:tc>
        <w:tc>
          <w:tcPr>
            <w:tcW w:w="2551" w:type="dxa"/>
            <w:tcBorders>
              <w:left w:val="single" w:sz="6" w:space="0" w:color="auto"/>
              <w:right w:val="single" w:sz="6" w:space="0" w:color="auto"/>
            </w:tcBorders>
            <w:vAlign w:val="center"/>
          </w:tcPr>
          <w:p>
            <w:pPr>
              <w:pStyle w:val="19"/>
            </w:pPr>
            <w:r>
              <w:t>69.56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2.10</w:t>
            </w:r>
          </w:p>
        </w:tc>
        <w:tc>
          <w:tcPr>
            <w:tcW w:w="2551" w:type="dxa"/>
            <w:tcBorders>
              <w:left w:val="single" w:sz="6" w:space="0" w:color="auto"/>
              <w:right w:val="single" w:sz="6" w:space="0" w:color="auto"/>
            </w:tcBorders>
            <w:vAlign w:val="center"/>
          </w:tcPr>
          <w:p>
            <w:pPr>
              <w:pStyle w:val="19"/>
            </w:pPr>
            <w:r>
              <w:t>2.10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497001唐山市丰南区供销合作社</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auto"/>
              <w:right w:val="single" w:sz="6" w:space="0" w:color="auto"/>
            </w:tcBorders>
            <w:vAlign w:val="center"/>
          </w:tcPr>
          <w:p>
            <w:pPr>
              <w:pStyle w:val="20"/>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唐山市丰南区供销合作社2025年单位预算信息公开情况说明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按照《中华人民共和国预算法》、《地方预决算公开操作规程》和《关于进一步推进预算公开工作的实施意见》规定，现将唐山市丰南区供销合作社2025年单位预算公开如下：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规范提升基层供销社，加强对供销社的规范指导，推动基层组织发展的同时，提升为农服务的能力；推广土地托管服务，计划完成土地托管3万亩；以融合共建村级服务站为契机，将农村产权易服务进驻全区镇村两级综合服务站，实现区乡村三级体系全覆盖。</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唐山市丰南区供销合作社</w:t>
            </w:r>
          </w:p>
        </w:tc>
        <w:tc>
          <w:tcPr>
            <w:tcW w:w="1843" w:type="dxa"/>
            <w:tcBorders>
              <w:left w:val="single" w:sz="6" w:space="0" w:color="auto"/>
              <w:right w:val="single" w:sz="6" w:space="0" w:color="auto"/>
            </w:tcBorders>
            <w:vAlign w:val="center"/>
          </w:tcPr>
          <w:p>
            <w:pPr>
              <w:pStyle w:val="21"/>
            </w:pPr>
            <w:r>
              <w:t>事业</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225.60万元，其中：一般公共预算收入225.60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供销合作社年度单位预算中支出预算的总体情况。2025年支出预算225.60万元，其中基本支出148.50万元，包括人员经费146.50万元和日常公用经费2.00万元；项目支出77.10万元，主要为1.供销社退休人员医疗保险及遗属补助</w:t>
      </w:r>
    </w:p>
    <w:p>
      <w:pPr>
        <w:pStyle w:val="26"/>
      </w:pPr>
      <w:r>
        <w:t>2.农村产权交易中心劳务派遣经费（劳务费）</w:t>
      </w:r>
    </w:p>
    <w:p>
      <w:pPr>
        <w:pStyle w:val="26"/>
      </w:pPr>
      <w:r>
        <w:t>3.产权交易中心运行经费</w:t>
      </w:r>
    </w:p>
    <w:p>
      <w:pPr>
        <w:pStyle w:val="26"/>
      </w:pPr>
      <w:r>
        <w:t>3、比上年增减情况</w:t>
      </w:r>
    </w:p>
    <w:p>
      <w:pPr>
        <w:pStyle w:val="26"/>
      </w:pPr>
      <w:r>
        <w:t>2025年预算收支安排225.60万元，较2024年预算增加15.82万元，其中：基本支出增加15.52万元，主要为人员经费增加。项目支出增加0.30万元，主要为产权交易中心运行经费增加。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2025年，我单位机关运行经费共计安排2.00万元，主要用于日常维修、办公用房水电费、办公用房取暖费、办公用房物业管理费等日常运行支出。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1、产权交易中心运行经费绩效目标表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13020725P000022102821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产权交易中心运行经费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网络平台使用费2.5万元，通信服务费0.6万元，现申请运行经费3.1万元。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1.农村产权交易中心劳务派遣人员运行经费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日常维护信息系统数量</w:t>
            </w:r>
          </w:p>
        </w:tc>
        <w:tc>
          <w:tcPr>
            <w:tcW w:w="5386" w:type="dxa"/>
            <w:tcBorders>
              <w:left w:val="single" w:sz="6" w:space="0" w:color="auto"/>
              <w:right w:val="single" w:sz="6" w:space="0" w:color="auto"/>
            </w:tcBorders>
            <w:vAlign w:val="center"/>
          </w:tcPr>
          <w:p>
            <w:pPr>
              <w:pStyle w:val="20"/>
            </w:pPr>
            <w:r>
              <w:t>反映日常维护信息系统数量情况</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设备使用率</w:t>
            </w:r>
          </w:p>
        </w:tc>
        <w:tc>
          <w:tcPr>
            <w:tcW w:w="5386" w:type="dxa"/>
            <w:tcBorders>
              <w:left w:val="single" w:sz="6" w:space="0" w:color="auto"/>
              <w:right w:val="single" w:sz="6" w:space="0" w:color="auto"/>
            </w:tcBorders>
            <w:vAlign w:val="center"/>
          </w:tcPr>
          <w:p>
            <w:pPr>
              <w:pStyle w:val="20"/>
            </w:pPr>
            <w:r>
              <w:t>使用的设备/设备总数*100%</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资金支付及时性</w:t>
            </w:r>
          </w:p>
        </w:tc>
        <w:tc>
          <w:tcPr>
            <w:tcW w:w="5386" w:type="dxa"/>
            <w:tcBorders>
              <w:left w:val="single" w:sz="6" w:space="0" w:color="auto"/>
              <w:right w:val="single" w:sz="6" w:space="0" w:color="auto"/>
            </w:tcBorders>
            <w:vAlign w:val="center"/>
          </w:tcPr>
          <w:p>
            <w:pPr>
              <w:pStyle w:val="20"/>
            </w:pPr>
            <w:r>
              <w:t>反映资金按合同支付情况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系统运行维护成本</w:t>
            </w:r>
          </w:p>
        </w:tc>
        <w:tc>
          <w:tcPr>
            <w:tcW w:w="5386" w:type="dxa"/>
            <w:tcBorders>
              <w:left w:val="single" w:sz="6" w:space="0" w:color="auto"/>
              <w:right w:val="single" w:sz="6" w:space="0" w:color="auto"/>
            </w:tcBorders>
            <w:vAlign w:val="center"/>
          </w:tcPr>
          <w:p>
            <w:pPr>
              <w:pStyle w:val="20"/>
            </w:pPr>
            <w:r>
              <w:t>反应系统维护成本情况</w:t>
            </w:r>
          </w:p>
        </w:tc>
        <w:tc>
          <w:tcPr>
            <w:tcW w:w="2268" w:type="dxa"/>
            <w:tcBorders>
              <w:left w:val="single" w:sz="6" w:space="0" w:color="auto"/>
              <w:right w:val="single" w:sz="6" w:space="0" w:color="auto"/>
            </w:tcBorders>
            <w:vAlign w:val="center"/>
          </w:tcPr>
          <w:p>
            <w:pPr>
              <w:pStyle w:val="20"/>
            </w:pPr>
            <w:r>
              <w:t>≤3.1万元</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对改善数据资源共享机制的有效程度</w:t>
            </w:r>
          </w:p>
        </w:tc>
        <w:tc>
          <w:tcPr>
            <w:tcW w:w="5386" w:type="dxa"/>
            <w:tcBorders>
              <w:left w:val="single" w:sz="6" w:space="0" w:color="auto"/>
              <w:right w:val="single" w:sz="6" w:space="0" w:color="auto"/>
            </w:tcBorders>
            <w:vAlign w:val="center"/>
          </w:tcPr>
          <w:p>
            <w:pPr>
              <w:pStyle w:val="20"/>
            </w:pPr>
            <w:r>
              <w:t>通过系统的实施对改善数据资源共享机制的影响程度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对提高公共服务能力和效率的改善或提升程度</w:t>
            </w:r>
          </w:p>
        </w:tc>
        <w:tc>
          <w:tcPr>
            <w:tcW w:w="5386" w:type="dxa"/>
            <w:tcBorders>
              <w:left w:val="single" w:sz="6" w:space="0" w:color="auto"/>
              <w:right w:val="single" w:sz="6" w:space="0" w:color="auto"/>
            </w:tcBorders>
            <w:vAlign w:val="center"/>
          </w:tcPr>
          <w:p>
            <w:pPr>
              <w:pStyle w:val="20"/>
            </w:pPr>
            <w:r>
              <w:t>通过项目的实施对提高公共服务能力和效率的改善或提升程度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保障系统持续稳定运行</w:t>
            </w:r>
          </w:p>
        </w:tc>
        <w:tc>
          <w:tcPr>
            <w:tcW w:w="5386" w:type="dxa"/>
            <w:tcBorders>
              <w:left w:val="single" w:sz="6" w:space="0" w:color="auto"/>
              <w:right w:val="single" w:sz="6" w:space="0" w:color="auto"/>
            </w:tcBorders>
            <w:vAlign w:val="center"/>
          </w:tcPr>
          <w:p>
            <w:pPr>
              <w:pStyle w:val="20"/>
            </w:pPr>
            <w:r>
              <w:t>反映保障系统持续稳定运行</w:t>
            </w:r>
          </w:p>
          <w:p>
            <w:pPr>
              <w:pStyle w:val="20"/>
            </w:pPr>
            <w:r>
              <w:t>情况</w:t>
            </w:r>
          </w:p>
        </w:tc>
        <w:tc>
          <w:tcPr>
            <w:tcW w:w="2268" w:type="dxa"/>
            <w:tcBorders>
              <w:left w:val="single" w:sz="6" w:space="0" w:color="auto"/>
              <w:right w:val="single" w:sz="6" w:space="0" w:color="auto"/>
            </w:tcBorders>
            <w:vAlign w:val="center"/>
          </w:tcPr>
          <w:p>
            <w:pPr>
              <w:pStyle w:val="20"/>
            </w:pPr>
            <w:r>
              <w:t>稳定运行</w:t>
            </w:r>
          </w:p>
        </w:tc>
        <w:tc>
          <w:tcPr>
            <w:tcW w:w="1276" w:type="dxa"/>
            <w:vAlign w:val="center"/>
          </w:tcPr>
          <w:p>
            <w:pPr>
              <w:pStyle w:val="20"/>
            </w:pPr>
            <w:r>
              <w:t>行业标准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使用人员满意程度</w:t>
            </w:r>
          </w:p>
        </w:tc>
        <w:tc>
          <w:tcPr>
            <w:tcW w:w="5386" w:type="dxa"/>
            <w:tcBorders>
              <w:left w:val="single" w:sz="6" w:space="0" w:color="auto"/>
              <w:right w:val="single" w:sz="6" w:space="0" w:color="auto"/>
            </w:tcBorders>
            <w:vAlign w:val="center"/>
          </w:tcPr>
          <w:p>
            <w:pPr>
              <w:pStyle w:val="20"/>
            </w:pPr>
            <w:r>
              <w:t>反映使用人员对项目实施效果满意程度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2、供销社退休人员医疗保险及遗属补助绩效目标表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13020725P00699110007K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供销社退休人员医疗保险及遗属补助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我单位有退休人员26人，退休遗属4人，退休人员医疗补助每月13000，退休遗属生活补贴770/月，现申请退休人员医疗保险及遗属补助合计20万元。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1.丰南区供销社退休人员医疗费及遗属补助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反映发放人数情况</w:t>
            </w:r>
          </w:p>
        </w:tc>
        <w:tc>
          <w:tcPr>
            <w:tcW w:w="2268" w:type="dxa"/>
            <w:tcBorders>
              <w:left w:val="single" w:sz="6" w:space="0" w:color="auto"/>
              <w:right w:val="single" w:sz="6" w:space="0" w:color="auto"/>
            </w:tcBorders>
            <w:vAlign w:val="center"/>
          </w:tcPr>
          <w:p>
            <w:pPr>
              <w:pStyle w:val="20"/>
            </w:pPr>
            <w:r>
              <w:t>26人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资金足额拨付率</w:t>
            </w:r>
          </w:p>
        </w:tc>
        <w:tc>
          <w:tcPr>
            <w:tcW w:w="5386" w:type="dxa"/>
            <w:tcBorders>
              <w:left w:val="single" w:sz="6" w:space="0" w:color="auto"/>
              <w:right w:val="single" w:sz="6" w:space="0" w:color="auto"/>
            </w:tcBorders>
            <w:vAlign w:val="center"/>
          </w:tcPr>
          <w:p>
            <w:pPr>
              <w:pStyle w:val="20"/>
            </w:pPr>
            <w:r>
              <w:t>反映补助经费拨付情况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补贴发放周期</w:t>
            </w:r>
          </w:p>
        </w:tc>
        <w:tc>
          <w:tcPr>
            <w:tcW w:w="5386" w:type="dxa"/>
            <w:tcBorders>
              <w:left w:val="single" w:sz="6" w:space="0" w:color="auto"/>
              <w:right w:val="single" w:sz="6" w:space="0" w:color="auto"/>
            </w:tcBorders>
            <w:vAlign w:val="center"/>
          </w:tcPr>
          <w:p>
            <w:pPr>
              <w:pStyle w:val="20"/>
            </w:pPr>
            <w:r>
              <w:t>反映补贴资金发放周期情况</w:t>
            </w:r>
          </w:p>
        </w:tc>
        <w:tc>
          <w:tcPr>
            <w:tcW w:w="2268" w:type="dxa"/>
            <w:tcBorders>
              <w:left w:val="single" w:sz="6" w:space="0" w:color="auto"/>
              <w:right w:val="single" w:sz="6" w:space="0" w:color="auto"/>
            </w:tcBorders>
            <w:vAlign w:val="center"/>
          </w:tcPr>
          <w:p>
            <w:pPr>
              <w:pStyle w:val="20"/>
            </w:pPr>
            <w:r>
              <w:t>按月发放</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≤20万元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有所提升</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享受补贴人员生活水平保障程度</w:t>
            </w:r>
          </w:p>
        </w:tc>
        <w:tc>
          <w:tcPr>
            <w:tcW w:w="5386" w:type="dxa"/>
            <w:tcBorders>
              <w:left w:val="single" w:sz="6" w:space="0" w:color="auto"/>
              <w:right w:val="single" w:sz="6" w:space="0" w:color="auto"/>
            </w:tcBorders>
            <w:vAlign w:val="center"/>
          </w:tcPr>
          <w:p>
            <w:pPr>
              <w:pStyle w:val="20"/>
            </w:pPr>
            <w:r>
              <w:t>反映享受补贴人员基本生活保障情况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经验标准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享受补贴人员生活水平改善程度</w:t>
            </w:r>
          </w:p>
        </w:tc>
        <w:tc>
          <w:tcPr>
            <w:tcW w:w="5386" w:type="dxa"/>
            <w:tcBorders>
              <w:left w:val="single" w:sz="6" w:space="0" w:color="auto"/>
              <w:right w:val="single" w:sz="6" w:space="0" w:color="auto"/>
            </w:tcBorders>
            <w:vAlign w:val="center"/>
          </w:tcPr>
          <w:p>
            <w:pPr>
              <w:pStyle w:val="20"/>
            </w:pPr>
            <w:r>
              <w:t>反映享受补贴人员生活水平改善程度情况</w:t>
            </w:r>
          </w:p>
        </w:tc>
        <w:tc>
          <w:tcPr>
            <w:tcW w:w="2268" w:type="dxa"/>
            <w:tcBorders>
              <w:left w:val="single" w:sz="6" w:space="0" w:color="auto"/>
              <w:right w:val="single" w:sz="6" w:space="0" w:color="auto"/>
            </w:tcBorders>
            <w:vAlign w:val="center"/>
          </w:tcPr>
          <w:p>
            <w:pPr>
              <w:pStyle w:val="20"/>
            </w:pPr>
            <w:r>
              <w:t>持续改善</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3、农村产权交易中心劳务派遣经费（劳务费）绩效目标表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13020725P00002210374M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农村产权交易中心劳务派遣经费（劳务费）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54.00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54.00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我单位有劳务派遣人员10人，工资标准2500元/月，全年工资30万元、保险24万元，预计共需资金54万元。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1.农村产权交易中心劳务派遣经费（劳务费）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10人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发放工资（补助）总金额</w:t>
            </w:r>
          </w:p>
        </w:tc>
        <w:tc>
          <w:tcPr>
            <w:tcW w:w="5386" w:type="dxa"/>
            <w:tcBorders>
              <w:left w:val="single" w:sz="6" w:space="0" w:color="auto"/>
              <w:right w:val="single" w:sz="6" w:space="0" w:color="auto"/>
            </w:tcBorders>
            <w:vAlign w:val="center"/>
          </w:tcPr>
          <w:p>
            <w:pPr>
              <w:pStyle w:val="20"/>
            </w:pPr>
            <w:r>
              <w:t>反映支付人员工资（补助）总金额情况</w:t>
            </w:r>
          </w:p>
        </w:tc>
        <w:tc>
          <w:tcPr>
            <w:tcW w:w="2268" w:type="dxa"/>
            <w:tcBorders>
              <w:left w:val="single" w:sz="6" w:space="0" w:color="auto"/>
              <w:right w:val="single" w:sz="6" w:space="0" w:color="auto"/>
            </w:tcBorders>
            <w:vAlign w:val="center"/>
          </w:tcPr>
          <w:p>
            <w:pPr>
              <w:pStyle w:val="20"/>
            </w:pPr>
            <w:r>
              <w:t>≤54万元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497001唐山市丰南区供销合作社</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唐山市丰南区供销合作社上年末固定资产金额为105.50万元（详见下表）。本年度拟购置固定资产总额为0.00万元，已按要求列入政府采购预算，详见政府采购预算表。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497001唐山市丰南区供销合作社</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105.50</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62</w:t>
            </w:r>
          </w:p>
        </w:tc>
        <w:tc>
          <w:tcPr>
            <w:tcW w:w="2835" w:type="dxa"/>
            <w:vAlign w:val="center"/>
          </w:tcPr>
          <w:p>
            <w:pPr>
              <w:pStyle w:val="19"/>
            </w:pPr>
            <w:r>
              <w:t>33.59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18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B635F88-D24E-4230-B1B2-DCB20340F24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21</Pages>
  <Words>0</Words>
  <Characters>7161</Characters>
  <Lines>0</Lines>
  <Paragraphs>94</Paragraphs>
  <CharactersWithSpaces>9549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2025-01-22T15:29:48Z</dcterms:created>
  <dcterms:modified xsi:type="dcterms:W3CDTF">2025-01-22T07:33:07Z</dcterms:modified>
</cp:coreProperties>
</file>