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12</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12</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497唐山市丰南区供销合作社</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225.60</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92.63</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6.66</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r>
              <w:t>120.31</w:t>
            </w: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6.00</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225.60</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225.60</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225.60</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225.60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497唐山市丰南区供销合作社</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225.60</w:t>
            </w:r>
          </w:p>
        </w:tc>
        <w:tc>
          <w:tcPr>
            <w:tcW w:w="1134" w:type="dxa"/>
            <w:tcBorders>
              <w:left w:val="single" w:sz="6" w:space="0" w:color="auto"/>
              <w:right w:val="single" w:sz="6" w:space="0" w:color="auto"/>
            </w:tcBorders>
            <w:vAlign w:val="center"/>
          </w:tcPr>
          <w:p>
            <w:pPr>
              <w:pStyle w:val="23"/>
            </w:pPr>
            <w:r>
              <w:t>225.60</w:t>
            </w:r>
          </w:p>
        </w:tc>
        <w:tc>
          <w:tcPr>
            <w:tcW w:w="1134" w:type="dxa"/>
            <w:tcBorders>
              <w:left w:val="single" w:sz="6" w:space="0" w:color="auto"/>
              <w:right w:val="single" w:sz="6" w:space="0" w:color="auto"/>
            </w:tcBorders>
            <w:vAlign w:val="center"/>
          </w:tcPr>
          <w:p>
            <w:pPr>
              <w:pStyle w:val="23"/>
            </w:pPr>
            <w:r>
              <w:t>225.60</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85.16</w:t>
            </w:r>
          </w:p>
        </w:tc>
        <w:tc>
          <w:tcPr>
            <w:tcW w:w="1134" w:type="dxa"/>
            <w:tcBorders>
              <w:left w:val="single" w:sz="6" w:space="0" w:color="auto"/>
              <w:right w:val="single" w:sz="6" w:space="0" w:color="auto"/>
            </w:tcBorders>
            <w:vAlign w:val="center"/>
          </w:tcPr>
          <w:p>
            <w:pPr>
              <w:pStyle w:val="19"/>
            </w:pPr>
            <w:r>
              <w:t>85.16</w:t>
            </w:r>
          </w:p>
        </w:tc>
        <w:tc>
          <w:tcPr>
            <w:tcW w:w="1134" w:type="dxa"/>
            <w:tcBorders>
              <w:left w:val="single" w:sz="6" w:space="0" w:color="auto"/>
              <w:right w:val="single" w:sz="6" w:space="0" w:color="auto"/>
            </w:tcBorders>
            <w:vAlign w:val="center"/>
          </w:tcPr>
          <w:p>
            <w:pPr>
              <w:pStyle w:val="19"/>
            </w:pPr>
            <w:r>
              <w:t>85.16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7.47</w:t>
            </w:r>
          </w:p>
        </w:tc>
        <w:tc>
          <w:tcPr>
            <w:tcW w:w="1134" w:type="dxa"/>
            <w:tcBorders>
              <w:left w:val="single" w:sz="6" w:space="0" w:color="auto"/>
              <w:right w:val="single" w:sz="6" w:space="0" w:color="auto"/>
            </w:tcBorders>
            <w:vAlign w:val="center"/>
          </w:tcPr>
          <w:p>
            <w:pPr>
              <w:pStyle w:val="19"/>
            </w:pPr>
            <w:r>
              <w:t>7.47</w:t>
            </w:r>
          </w:p>
        </w:tc>
        <w:tc>
          <w:tcPr>
            <w:tcW w:w="1134" w:type="dxa"/>
            <w:tcBorders>
              <w:left w:val="single" w:sz="6" w:space="0" w:color="auto"/>
              <w:right w:val="single" w:sz="6" w:space="0" w:color="auto"/>
            </w:tcBorders>
            <w:vAlign w:val="center"/>
          </w:tcPr>
          <w:p>
            <w:pPr>
              <w:pStyle w:val="19"/>
            </w:pPr>
            <w:r>
              <w:t>7.47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3.12</w:t>
            </w:r>
          </w:p>
        </w:tc>
        <w:tc>
          <w:tcPr>
            <w:tcW w:w="1134" w:type="dxa"/>
            <w:tcBorders>
              <w:left w:val="single" w:sz="6" w:space="0" w:color="auto"/>
              <w:right w:val="single" w:sz="6" w:space="0" w:color="auto"/>
            </w:tcBorders>
            <w:vAlign w:val="center"/>
          </w:tcPr>
          <w:p>
            <w:pPr>
              <w:pStyle w:val="19"/>
            </w:pPr>
            <w:r>
              <w:t>3.12</w:t>
            </w:r>
          </w:p>
        </w:tc>
        <w:tc>
          <w:tcPr>
            <w:tcW w:w="1134" w:type="dxa"/>
            <w:tcBorders>
              <w:left w:val="single" w:sz="6" w:space="0" w:color="auto"/>
              <w:right w:val="single" w:sz="6" w:space="0" w:color="auto"/>
            </w:tcBorders>
            <w:vAlign w:val="center"/>
          </w:tcPr>
          <w:p>
            <w:pPr>
              <w:pStyle w:val="19"/>
            </w:pPr>
            <w:r>
              <w:t>3.12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3.54</w:t>
            </w:r>
          </w:p>
        </w:tc>
        <w:tc>
          <w:tcPr>
            <w:tcW w:w="1134" w:type="dxa"/>
            <w:tcBorders>
              <w:left w:val="single" w:sz="6" w:space="0" w:color="auto"/>
              <w:right w:val="single" w:sz="6" w:space="0" w:color="auto"/>
            </w:tcBorders>
            <w:vAlign w:val="center"/>
          </w:tcPr>
          <w:p>
            <w:pPr>
              <w:pStyle w:val="19"/>
            </w:pPr>
            <w:r>
              <w:t>3.54</w:t>
            </w:r>
          </w:p>
        </w:tc>
        <w:tc>
          <w:tcPr>
            <w:tcW w:w="1134" w:type="dxa"/>
            <w:tcBorders>
              <w:left w:val="single" w:sz="6" w:space="0" w:color="auto"/>
              <w:right w:val="single" w:sz="6" w:space="0" w:color="auto"/>
            </w:tcBorders>
            <w:vAlign w:val="center"/>
          </w:tcPr>
          <w:p>
            <w:pPr>
              <w:pStyle w:val="19"/>
            </w:pPr>
            <w:r>
              <w:t>3.54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216</w:t>
            </w:r>
          </w:p>
        </w:tc>
        <w:tc>
          <w:tcPr>
            <w:tcW w:w="1559" w:type="dxa"/>
            <w:tcBorders>
              <w:left w:val="single" w:sz="6" w:space="0" w:color="auto"/>
              <w:right w:val="single" w:sz="6" w:space="0" w:color="auto"/>
            </w:tcBorders>
            <w:vAlign w:val="center"/>
          </w:tcPr>
          <w:p>
            <w:pPr>
              <w:pStyle w:val="20"/>
            </w:pPr>
            <w:r>
              <w:t>商业服务业等支出</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21602</w:t>
            </w:r>
          </w:p>
        </w:tc>
        <w:tc>
          <w:tcPr>
            <w:tcW w:w="1559" w:type="dxa"/>
            <w:tcBorders>
              <w:left w:val="single" w:sz="6" w:space="0" w:color="auto"/>
              <w:right w:val="single" w:sz="6" w:space="0" w:color="auto"/>
            </w:tcBorders>
            <w:vAlign w:val="center"/>
          </w:tcPr>
          <w:p>
            <w:pPr>
              <w:pStyle w:val="20"/>
            </w:pPr>
            <w:r>
              <w:t>商业流通事务</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2160250</w:t>
            </w:r>
          </w:p>
        </w:tc>
        <w:tc>
          <w:tcPr>
            <w:tcW w:w="1559" w:type="dxa"/>
            <w:tcBorders>
              <w:left w:val="single" w:sz="6" w:space="0" w:color="auto"/>
              <w:right w:val="single" w:sz="6" w:space="0" w:color="auto"/>
            </w:tcBorders>
            <w:vAlign w:val="center"/>
          </w:tcPr>
          <w:p>
            <w:pPr>
              <w:pStyle w:val="20"/>
            </w:pPr>
            <w:r>
              <w:t>事业运行</w:t>
            </w:r>
          </w:p>
        </w:tc>
        <w:tc>
          <w:tcPr>
            <w:tcW w:w="1134" w:type="dxa"/>
            <w:tcBorders>
              <w:left w:val="single" w:sz="6" w:space="0" w:color="auto"/>
              <w:right w:val="single" w:sz="6" w:space="0" w:color="auto"/>
            </w:tcBorders>
            <w:vAlign w:val="center"/>
          </w:tcPr>
          <w:p>
            <w:pPr>
              <w:pStyle w:val="19"/>
            </w:pPr>
            <w:r>
              <w:t>61.91</w:t>
            </w:r>
          </w:p>
        </w:tc>
        <w:tc>
          <w:tcPr>
            <w:tcW w:w="1134" w:type="dxa"/>
            <w:tcBorders>
              <w:left w:val="single" w:sz="6" w:space="0" w:color="auto"/>
              <w:right w:val="single" w:sz="6" w:space="0" w:color="auto"/>
            </w:tcBorders>
            <w:vAlign w:val="center"/>
          </w:tcPr>
          <w:p>
            <w:pPr>
              <w:pStyle w:val="19"/>
            </w:pPr>
            <w:r>
              <w:t>61.91</w:t>
            </w:r>
          </w:p>
        </w:tc>
        <w:tc>
          <w:tcPr>
            <w:tcW w:w="1134" w:type="dxa"/>
            <w:tcBorders>
              <w:left w:val="single" w:sz="6" w:space="0" w:color="auto"/>
              <w:right w:val="single" w:sz="6" w:space="0" w:color="auto"/>
            </w:tcBorders>
            <w:vAlign w:val="center"/>
          </w:tcPr>
          <w:p>
            <w:pPr>
              <w:pStyle w:val="19"/>
            </w:pPr>
            <w:r>
              <w:t>61.91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2160299</w:t>
            </w:r>
          </w:p>
        </w:tc>
        <w:tc>
          <w:tcPr>
            <w:tcW w:w="1559" w:type="dxa"/>
            <w:tcBorders>
              <w:left w:val="single" w:sz="6" w:space="0" w:color="auto"/>
              <w:right w:val="single" w:sz="6" w:space="0" w:color="auto"/>
            </w:tcBorders>
            <w:vAlign w:val="center"/>
          </w:tcPr>
          <w:p>
            <w:pPr>
              <w:pStyle w:val="20"/>
            </w:pPr>
            <w:r>
              <w:t>其他商业流通事务支出</w:t>
            </w:r>
          </w:p>
        </w:tc>
        <w:tc>
          <w:tcPr>
            <w:tcW w:w="1134" w:type="dxa"/>
            <w:tcBorders>
              <w:left w:val="single" w:sz="6" w:space="0" w:color="auto"/>
              <w:right w:val="single" w:sz="6" w:space="0" w:color="auto"/>
            </w:tcBorders>
            <w:vAlign w:val="center"/>
          </w:tcPr>
          <w:p>
            <w:pPr>
              <w:pStyle w:val="19"/>
            </w:pPr>
            <w:r>
              <w:t>58.40</w:t>
            </w:r>
          </w:p>
        </w:tc>
        <w:tc>
          <w:tcPr>
            <w:tcW w:w="1134" w:type="dxa"/>
            <w:tcBorders>
              <w:left w:val="single" w:sz="6" w:space="0" w:color="auto"/>
              <w:right w:val="single" w:sz="6" w:space="0" w:color="auto"/>
            </w:tcBorders>
            <w:vAlign w:val="center"/>
          </w:tcPr>
          <w:p>
            <w:pPr>
              <w:pStyle w:val="19"/>
            </w:pPr>
            <w:r>
              <w:t>58.40</w:t>
            </w:r>
          </w:p>
        </w:tc>
        <w:tc>
          <w:tcPr>
            <w:tcW w:w="1134" w:type="dxa"/>
            <w:tcBorders>
              <w:left w:val="single" w:sz="6" w:space="0" w:color="auto"/>
              <w:right w:val="single" w:sz="6" w:space="0" w:color="auto"/>
            </w:tcBorders>
            <w:vAlign w:val="center"/>
          </w:tcPr>
          <w:p>
            <w:pPr>
              <w:pStyle w:val="19"/>
            </w:pPr>
            <w:r>
              <w:t>58.40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225.60</w:t>
            </w:r>
          </w:p>
        </w:tc>
        <w:tc>
          <w:tcPr>
            <w:tcW w:w="1361" w:type="dxa"/>
            <w:tcBorders>
              <w:left w:val="single" w:sz="6" w:space="0" w:color="auto"/>
              <w:right w:val="single" w:sz="6" w:space="0" w:color="auto"/>
            </w:tcBorders>
            <w:vAlign w:val="center"/>
          </w:tcPr>
          <w:p>
            <w:pPr>
              <w:pStyle w:val="23"/>
            </w:pPr>
            <w:r>
              <w:t>148.50</w:t>
            </w:r>
          </w:p>
        </w:tc>
        <w:tc>
          <w:tcPr>
            <w:tcW w:w="1361" w:type="dxa"/>
            <w:tcBorders>
              <w:left w:val="single" w:sz="6" w:space="0" w:color="auto"/>
              <w:right w:val="single" w:sz="6" w:space="0" w:color="auto"/>
            </w:tcBorders>
            <w:vAlign w:val="center"/>
          </w:tcPr>
          <w:p>
            <w:pPr>
              <w:pStyle w:val="23"/>
            </w:pPr>
            <w:r>
              <w:t>77.10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92.63</w:t>
            </w:r>
          </w:p>
        </w:tc>
        <w:tc>
          <w:tcPr>
            <w:tcW w:w="1361" w:type="dxa"/>
            <w:tcBorders>
              <w:left w:val="single" w:sz="6" w:space="0" w:color="auto"/>
              <w:right w:val="single" w:sz="6" w:space="0" w:color="auto"/>
            </w:tcBorders>
            <w:vAlign w:val="center"/>
          </w:tcPr>
          <w:p>
            <w:pPr>
              <w:pStyle w:val="19"/>
            </w:pPr>
            <w:r>
              <w:t>77.03</w:t>
            </w:r>
          </w:p>
        </w:tc>
        <w:tc>
          <w:tcPr>
            <w:tcW w:w="1361" w:type="dxa"/>
            <w:tcBorders>
              <w:left w:val="single" w:sz="6" w:space="0" w:color="auto"/>
              <w:right w:val="single" w:sz="6" w:space="0" w:color="auto"/>
            </w:tcBorders>
            <w:vAlign w:val="center"/>
          </w:tcPr>
          <w:p>
            <w:pPr>
              <w:pStyle w:val="19"/>
            </w:pPr>
            <w:r>
              <w:t>15.60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92.63</w:t>
            </w:r>
          </w:p>
        </w:tc>
        <w:tc>
          <w:tcPr>
            <w:tcW w:w="1361" w:type="dxa"/>
            <w:tcBorders>
              <w:left w:val="single" w:sz="6" w:space="0" w:color="auto"/>
              <w:right w:val="single" w:sz="6" w:space="0" w:color="auto"/>
            </w:tcBorders>
            <w:vAlign w:val="center"/>
          </w:tcPr>
          <w:p>
            <w:pPr>
              <w:pStyle w:val="19"/>
            </w:pPr>
            <w:r>
              <w:t>77.03</w:t>
            </w:r>
          </w:p>
        </w:tc>
        <w:tc>
          <w:tcPr>
            <w:tcW w:w="1361" w:type="dxa"/>
            <w:tcBorders>
              <w:left w:val="single" w:sz="6" w:space="0" w:color="auto"/>
              <w:right w:val="single" w:sz="6" w:space="0" w:color="auto"/>
            </w:tcBorders>
            <w:vAlign w:val="center"/>
          </w:tcPr>
          <w:p>
            <w:pPr>
              <w:pStyle w:val="19"/>
            </w:pPr>
            <w:r>
              <w:t>15.60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85.16</w:t>
            </w:r>
          </w:p>
        </w:tc>
        <w:tc>
          <w:tcPr>
            <w:tcW w:w="1361" w:type="dxa"/>
            <w:tcBorders>
              <w:left w:val="single" w:sz="6" w:space="0" w:color="auto"/>
              <w:right w:val="single" w:sz="6" w:space="0" w:color="auto"/>
            </w:tcBorders>
            <w:vAlign w:val="center"/>
          </w:tcPr>
          <w:p>
            <w:pPr>
              <w:pStyle w:val="19"/>
            </w:pPr>
            <w:r>
              <w:t>69.56</w:t>
            </w:r>
          </w:p>
        </w:tc>
        <w:tc>
          <w:tcPr>
            <w:tcW w:w="1361" w:type="dxa"/>
            <w:tcBorders>
              <w:left w:val="single" w:sz="6" w:space="0" w:color="auto"/>
              <w:right w:val="single" w:sz="6" w:space="0" w:color="auto"/>
            </w:tcBorders>
            <w:vAlign w:val="center"/>
          </w:tcPr>
          <w:p>
            <w:pPr>
              <w:pStyle w:val="19"/>
            </w:pPr>
            <w:r>
              <w:t>15.60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7.47</w:t>
            </w:r>
          </w:p>
        </w:tc>
        <w:tc>
          <w:tcPr>
            <w:tcW w:w="1361" w:type="dxa"/>
            <w:tcBorders>
              <w:left w:val="single" w:sz="6" w:space="0" w:color="auto"/>
              <w:right w:val="single" w:sz="6" w:space="0" w:color="auto"/>
            </w:tcBorders>
            <w:vAlign w:val="center"/>
          </w:tcPr>
          <w:p>
            <w:pPr>
              <w:pStyle w:val="19"/>
            </w:pPr>
            <w:r>
              <w:t>7.47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3.12</w:t>
            </w:r>
          </w:p>
        </w:tc>
        <w:tc>
          <w:tcPr>
            <w:tcW w:w="1361" w:type="dxa"/>
            <w:tcBorders>
              <w:left w:val="single" w:sz="6" w:space="0" w:color="auto"/>
              <w:right w:val="single" w:sz="6" w:space="0" w:color="auto"/>
            </w:tcBorders>
            <w:vAlign w:val="center"/>
          </w:tcPr>
          <w:p>
            <w:pPr>
              <w:pStyle w:val="19"/>
            </w:pPr>
            <w:r>
              <w:t>3.12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3.54</w:t>
            </w:r>
          </w:p>
        </w:tc>
        <w:tc>
          <w:tcPr>
            <w:tcW w:w="1361" w:type="dxa"/>
            <w:tcBorders>
              <w:left w:val="single" w:sz="6" w:space="0" w:color="auto"/>
              <w:right w:val="single" w:sz="6" w:space="0" w:color="auto"/>
            </w:tcBorders>
            <w:vAlign w:val="center"/>
          </w:tcPr>
          <w:p>
            <w:pPr>
              <w:pStyle w:val="19"/>
            </w:pPr>
            <w:r>
              <w:t>3.54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1361" w:type="dxa"/>
            <w:tcBorders>
              <w:left w:val="single" w:sz="6" w:space="0" w:color="auto"/>
              <w:right w:val="single" w:sz="6" w:space="0" w:color="auto"/>
            </w:tcBorders>
            <w:vAlign w:val="center"/>
          </w:tcPr>
          <w:p>
            <w:pPr>
              <w:pStyle w:val="19"/>
            </w:pPr>
            <w:r>
              <w:t>120.31</w:t>
            </w:r>
          </w:p>
        </w:tc>
        <w:tc>
          <w:tcPr>
            <w:tcW w:w="1361" w:type="dxa"/>
            <w:tcBorders>
              <w:left w:val="single" w:sz="6" w:space="0" w:color="auto"/>
              <w:right w:val="single" w:sz="6" w:space="0" w:color="auto"/>
            </w:tcBorders>
            <w:vAlign w:val="center"/>
          </w:tcPr>
          <w:p>
            <w:pPr>
              <w:pStyle w:val="19"/>
            </w:pPr>
            <w:r>
              <w:t>58.81</w:t>
            </w:r>
          </w:p>
        </w:tc>
        <w:tc>
          <w:tcPr>
            <w:tcW w:w="1361" w:type="dxa"/>
            <w:tcBorders>
              <w:left w:val="single" w:sz="6" w:space="0" w:color="auto"/>
              <w:right w:val="single" w:sz="6" w:space="0" w:color="auto"/>
            </w:tcBorders>
            <w:vAlign w:val="center"/>
          </w:tcPr>
          <w:p>
            <w:pPr>
              <w:pStyle w:val="19"/>
            </w:pPr>
            <w:r>
              <w:t>61.50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1361" w:type="dxa"/>
            <w:tcBorders>
              <w:left w:val="single" w:sz="6" w:space="0" w:color="auto"/>
              <w:right w:val="single" w:sz="6" w:space="0" w:color="auto"/>
            </w:tcBorders>
            <w:vAlign w:val="center"/>
          </w:tcPr>
          <w:p>
            <w:pPr>
              <w:pStyle w:val="19"/>
            </w:pPr>
            <w:r>
              <w:t>120.31</w:t>
            </w:r>
          </w:p>
        </w:tc>
        <w:tc>
          <w:tcPr>
            <w:tcW w:w="1361" w:type="dxa"/>
            <w:tcBorders>
              <w:left w:val="single" w:sz="6" w:space="0" w:color="auto"/>
              <w:right w:val="single" w:sz="6" w:space="0" w:color="auto"/>
            </w:tcBorders>
            <w:vAlign w:val="center"/>
          </w:tcPr>
          <w:p>
            <w:pPr>
              <w:pStyle w:val="19"/>
            </w:pPr>
            <w:r>
              <w:t>58.81</w:t>
            </w:r>
          </w:p>
        </w:tc>
        <w:tc>
          <w:tcPr>
            <w:tcW w:w="1361" w:type="dxa"/>
            <w:tcBorders>
              <w:left w:val="single" w:sz="6" w:space="0" w:color="auto"/>
              <w:right w:val="single" w:sz="6" w:space="0" w:color="auto"/>
            </w:tcBorders>
            <w:vAlign w:val="center"/>
          </w:tcPr>
          <w:p>
            <w:pPr>
              <w:pStyle w:val="19"/>
            </w:pPr>
            <w:r>
              <w:t>61.50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2160250</w:t>
            </w:r>
          </w:p>
        </w:tc>
        <w:tc>
          <w:tcPr>
            <w:tcW w:w="4535" w:type="dxa"/>
            <w:tcBorders>
              <w:left w:val="single" w:sz="6" w:space="0" w:color="auto"/>
              <w:right w:val="single" w:sz="6" w:space="0" w:color="auto"/>
            </w:tcBorders>
            <w:vAlign w:val="center"/>
          </w:tcPr>
          <w:p>
            <w:pPr>
              <w:pStyle w:val="20"/>
            </w:pPr>
            <w:r>
              <w:t>事业运行</w:t>
            </w:r>
          </w:p>
        </w:tc>
        <w:tc>
          <w:tcPr>
            <w:tcW w:w="1361" w:type="dxa"/>
            <w:tcBorders>
              <w:left w:val="single" w:sz="6" w:space="0" w:color="auto"/>
              <w:right w:val="single" w:sz="6" w:space="0" w:color="auto"/>
            </w:tcBorders>
            <w:vAlign w:val="center"/>
          </w:tcPr>
          <w:p>
            <w:pPr>
              <w:pStyle w:val="19"/>
            </w:pPr>
            <w:r>
              <w:t>61.91</w:t>
            </w:r>
          </w:p>
        </w:tc>
        <w:tc>
          <w:tcPr>
            <w:tcW w:w="1361" w:type="dxa"/>
            <w:tcBorders>
              <w:left w:val="single" w:sz="6" w:space="0" w:color="auto"/>
              <w:right w:val="single" w:sz="6" w:space="0" w:color="auto"/>
            </w:tcBorders>
            <w:vAlign w:val="center"/>
          </w:tcPr>
          <w:p>
            <w:pPr>
              <w:pStyle w:val="19"/>
            </w:pPr>
            <w:r>
              <w:t>58.81</w:t>
            </w:r>
          </w:p>
        </w:tc>
        <w:tc>
          <w:tcPr>
            <w:tcW w:w="1361" w:type="dxa"/>
            <w:tcBorders>
              <w:left w:val="single" w:sz="6" w:space="0" w:color="auto"/>
              <w:right w:val="single" w:sz="6" w:space="0" w:color="auto"/>
            </w:tcBorders>
            <w:vAlign w:val="center"/>
          </w:tcPr>
          <w:p>
            <w:pPr>
              <w:pStyle w:val="19"/>
            </w:pPr>
            <w:r>
              <w:t>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1361" w:type="dxa"/>
            <w:tcBorders>
              <w:left w:val="single" w:sz="6" w:space="0" w:color="auto"/>
              <w:right w:val="single" w:sz="6" w:space="0" w:color="auto"/>
            </w:tcBorders>
            <w:vAlign w:val="center"/>
          </w:tcPr>
          <w:p>
            <w:pPr>
              <w:pStyle w:val="19"/>
            </w:pPr>
            <w:r>
              <w:t>58.40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58.40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225.60</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92.63</w:t>
            </w:r>
          </w:p>
        </w:tc>
        <w:tc>
          <w:tcPr>
            <w:tcW w:w="1474" w:type="dxa"/>
            <w:tcBorders>
              <w:left w:val="single" w:sz="6" w:space="0" w:color="auto"/>
              <w:right w:val="single" w:sz="6" w:space="0" w:color="auto"/>
            </w:tcBorders>
            <w:vAlign w:val="center"/>
          </w:tcPr>
          <w:p>
            <w:pPr>
              <w:pStyle w:val="19"/>
            </w:pPr>
            <w:r>
              <w:t>92.63</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6.66</w:t>
            </w:r>
          </w:p>
        </w:tc>
        <w:tc>
          <w:tcPr>
            <w:tcW w:w="1474" w:type="dxa"/>
            <w:tcBorders>
              <w:left w:val="single" w:sz="6" w:space="0" w:color="auto"/>
              <w:right w:val="single" w:sz="6" w:space="0" w:color="auto"/>
            </w:tcBorders>
            <w:vAlign w:val="center"/>
          </w:tcPr>
          <w:p>
            <w:pPr>
              <w:pStyle w:val="19"/>
            </w:pPr>
            <w:r>
              <w:t>6.66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r>
              <w:t>120.31</w:t>
            </w:r>
          </w:p>
        </w:tc>
        <w:tc>
          <w:tcPr>
            <w:tcW w:w="1474" w:type="dxa"/>
            <w:tcBorders>
              <w:left w:val="single" w:sz="6" w:space="0" w:color="auto"/>
              <w:right w:val="single" w:sz="6" w:space="0" w:color="auto"/>
            </w:tcBorders>
            <w:vAlign w:val="center"/>
          </w:tcPr>
          <w:p>
            <w:pPr>
              <w:pStyle w:val="19"/>
            </w:pPr>
            <w:r>
              <w:t>120.31</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6.00</w:t>
            </w:r>
          </w:p>
        </w:tc>
        <w:tc>
          <w:tcPr>
            <w:tcW w:w="1474" w:type="dxa"/>
            <w:tcBorders>
              <w:left w:val="single" w:sz="6" w:space="0" w:color="auto"/>
              <w:right w:val="single" w:sz="6" w:space="0" w:color="auto"/>
            </w:tcBorders>
            <w:vAlign w:val="center"/>
          </w:tcPr>
          <w:p>
            <w:pPr>
              <w:pStyle w:val="19"/>
            </w:pPr>
            <w:r>
              <w:t>6.00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225.60</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225.60</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225.60</w:t>
            </w:r>
          </w:p>
        </w:tc>
        <w:tc>
          <w:tcPr>
            <w:tcW w:w="2551" w:type="dxa"/>
            <w:tcBorders>
              <w:left w:val="single" w:sz="6" w:space="0" w:color="auto"/>
              <w:right w:val="single" w:sz="6" w:space="0" w:color="auto"/>
            </w:tcBorders>
            <w:vAlign w:val="center"/>
          </w:tcPr>
          <w:p>
            <w:pPr>
              <w:pStyle w:val="23"/>
            </w:pPr>
            <w:r>
              <w:t>148.50</w:t>
            </w:r>
          </w:p>
        </w:tc>
        <w:tc>
          <w:tcPr>
            <w:tcW w:w="2551" w:type="dxa"/>
            <w:vAlign w:val="center"/>
          </w:tcPr>
          <w:p>
            <w:pPr>
              <w:pStyle w:val="23"/>
            </w:pPr>
            <w:r>
              <w:t>77.10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92.63</w:t>
            </w:r>
          </w:p>
        </w:tc>
        <w:tc>
          <w:tcPr>
            <w:tcW w:w="2551" w:type="dxa"/>
            <w:tcBorders>
              <w:left w:val="single" w:sz="6" w:space="0" w:color="auto"/>
              <w:right w:val="single" w:sz="6" w:space="0" w:color="auto"/>
            </w:tcBorders>
            <w:vAlign w:val="center"/>
          </w:tcPr>
          <w:p>
            <w:pPr>
              <w:pStyle w:val="19"/>
            </w:pPr>
            <w:r>
              <w:t>77.03</w:t>
            </w:r>
          </w:p>
        </w:tc>
        <w:tc>
          <w:tcPr>
            <w:tcW w:w="2551" w:type="dxa"/>
            <w:vAlign w:val="center"/>
          </w:tcPr>
          <w:p>
            <w:pPr>
              <w:pStyle w:val="19"/>
            </w:pPr>
            <w:r>
              <w:t>15.60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92.63</w:t>
            </w:r>
          </w:p>
        </w:tc>
        <w:tc>
          <w:tcPr>
            <w:tcW w:w="2551" w:type="dxa"/>
            <w:tcBorders>
              <w:left w:val="single" w:sz="6" w:space="0" w:color="auto"/>
              <w:right w:val="single" w:sz="6" w:space="0" w:color="auto"/>
            </w:tcBorders>
            <w:vAlign w:val="center"/>
          </w:tcPr>
          <w:p>
            <w:pPr>
              <w:pStyle w:val="19"/>
            </w:pPr>
            <w:r>
              <w:t>77.03</w:t>
            </w:r>
          </w:p>
        </w:tc>
        <w:tc>
          <w:tcPr>
            <w:tcW w:w="2551" w:type="dxa"/>
            <w:vAlign w:val="center"/>
          </w:tcPr>
          <w:p>
            <w:pPr>
              <w:pStyle w:val="19"/>
            </w:pPr>
            <w:r>
              <w:t>15.60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85.16</w:t>
            </w:r>
          </w:p>
        </w:tc>
        <w:tc>
          <w:tcPr>
            <w:tcW w:w="2551" w:type="dxa"/>
            <w:tcBorders>
              <w:left w:val="single" w:sz="6" w:space="0" w:color="auto"/>
              <w:right w:val="single" w:sz="6" w:space="0" w:color="auto"/>
            </w:tcBorders>
            <w:vAlign w:val="center"/>
          </w:tcPr>
          <w:p>
            <w:pPr>
              <w:pStyle w:val="19"/>
            </w:pPr>
            <w:r>
              <w:t>69.56</w:t>
            </w:r>
          </w:p>
        </w:tc>
        <w:tc>
          <w:tcPr>
            <w:tcW w:w="2551" w:type="dxa"/>
            <w:vAlign w:val="center"/>
          </w:tcPr>
          <w:p>
            <w:pPr>
              <w:pStyle w:val="19"/>
            </w:pPr>
            <w:r>
              <w:t>15.60</w:t>
            </w: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7.47</w:t>
            </w:r>
          </w:p>
        </w:tc>
        <w:tc>
          <w:tcPr>
            <w:tcW w:w="2551" w:type="dxa"/>
            <w:tcBorders>
              <w:left w:val="single" w:sz="6" w:space="0" w:color="auto"/>
              <w:right w:val="single" w:sz="6" w:space="0" w:color="auto"/>
            </w:tcBorders>
            <w:vAlign w:val="center"/>
          </w:tcPr>
          <w:p>
            <w:pPr>
              <w:pStyle w:val="19"/>
            </w:pPr>
            <w:r>
              <w:t>7.47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6.66</w:t>
            </w:r>
          </w:p>
        </w:tc>
        <w:tc>
          <w:tcPr>
            <w:tcW w:w="2551" w:type="dxa"/>
            <w:tcBorders>
              <w:left w:val="single" w:sz="6" w:space="0" w:color="auto"/>
              <w:right w:val="single" w:sz="6" w:space="0" w:color="auto"/>
            </w:tcBorders>
            <w:vAlign w:val="center"/>
          </w:tcPr>
          <w:p>
            <w:pPr>
              <w:pStyle w:val="19"/>
            </w:pPr>
            <w:r>
              <w:t>6.66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6.66</w:t>
            </w:r>
          </w:p>
        </w:tc>
        <w:tc>
          <w:tcPr>
            <w:tcW w:w="2551" w:type="dxa"/>
            <w:tcBorders>
              <w:left w:val="single" w:sz="6" w:space="0" w:color="auto"/>
              <w:right w:val="single" w:sz="6" w:space="0" w:color="auto"/>
            </w:tcBorders>
            <w:vAlign w:val="center"/>
          </w:tcPr>
          <w:p>
            <w:pPr>
              <w:pStyle w:val="19"/>
            </w:pPr>
            <w:r>
              <w:t>6.66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3.12</w:t>
            </w:r>
          </w:p>
        </w:tc>
        <w:tc>
          <w:tcPr>
            <w:tcW w:w="2551" w:type="dxa"/>
            <w:tcBorders>
              <w:left w:val="single" w:sz="6" w:space="0" w:color="auto"/>
              <w:right w:val="single" w:sz="6" w:space="0" w:color="auto"/>
            </w:tcBorders>
            <w:vAlign w:val="center"/>
          </w:tcPr>
          <w:p>
            <w:pPr>
              <w:pStyle w:val="19"/>
            </w:pPr>
            <w:r>
              <w:t>3.12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3.54</w:t>
            </w:r>
          </w:p>
        </w:tc>
        <w:tc>
          <w:tcPr>
            <w:tcW w:w="2551" w:type="dxa"/>
            <w:tcBorders>
              <w:left w:val="single" w:sz="6" w:space="0" w:color="auto"/>
              <w:right w:val="single" w:sz="6" w:space="0" w:color="auto"/>
            </w:tcBorders>
            <w:vAlign w:val="center"/>
          </w:tcPr>
          <w:p>
            <w:pPr>
              <w:pStyle w:val="19"/>
            </w:pPr>
            <w:r>
              <w:t>3.54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2551" w:type="dxa"/>
            <w:tcBorders>
              <w:left w:val="single" w:sz="6" w:space="0" w:color="auto"/>
              <w:right w:val="single" w:sz="6" w:space="0" w:color="auto"/>
            </w:tcBorders>
            <w:vAlign w:val="center"/>
          </w:tcPr>
          <w:p>
            <w:pPr>
              <w:pStyle w:val="19"/>
            </w:pPr>
            <w:r>
              <w:t>120.31</w:t>
            </w:r>
          </w:p>
        </w:tc>
        <w:tc>
          <w:tcPr>
            <w:tcW w:w="2551" w:type="dxa"/>
            <w:tcBorders>
              <w:left w:val="single" w:sz="6" w:space="0" w:color="auto"/>
              <w:right w:val="single" w:sz="6" w:space="0" w:color="auto"/>
            </w:tcBorders>
            <w:vAlign w:val="center"/>
          </w:tcPr>
          <w:p>
            <w:pPr>
              <w:pStyle w:val="19"/>
            </w:pPr>
            <w:r>
              <w:t>58.81</w:t>
            </w:r>
          </w:p>
        </w:tc>
        <w:tc>
          <w:tcPr>
            <w:tcW w:w="2551" w:type="dxa"/>
            <w:vAlign w:val="center"/>
          </w:tcPr>
          <w:p>
            <w:pPr>
              <w:pStyle w:val="19"/>
            </w:pPr>
            <w:r>
              <w:t>61.50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2551" w:type="dxa"/>
            <w:tcBorders>
              <w:left w:val="single" w:sz="6" w:space="0" w:color="auto"/>
              <w:right w:val="single" w:sz="6" w:space="0" w:color="auto"/>
            </w:tcBorders>
            <w:vAlign w:val="center"/>
          </w:tcPr>
          <w:p>
            <w:pPr>
              <w:pStyle w:val="19"/>
            </w:pPr>
            <w:r>
              <w:t>120.31</w:t>
            </w:r>
          </w:p>
        </w:tc>
        <w:tc>
          <w:tcPr>
            <w:tcW w:w="2551" w:type="dxa"/>
            <w:tcBorders>
              <w:left w:val="single" w:sz="6" w:space="0" w:color="auto"/>
              <w:right w:val="single" w:sz="6" w:space="0" w:color="auto"/>
            </w:tcBorders>
            <w:vAlign w:val="center"/>
          </w:tcPr>
          <w:p>
            <w:pPr>
              <w:pStyle w:val="19"/>
            </w:pPr>
            <w:r>
              <w:t>58.81</w:t>
            </w:r>
          </w:p>
        </w:tc>
        <w:tc>
          <w:tcPr>
            <w:tcW w:w="2551" w:type="dxa"/>
            <w:vAlign w:val="center"/>
          </w:tcPr>
          <w:p>
            <w:pPr>
              <w:pStyle w:val="19"/>
            </w:pPr>
            <w:r>
              <w:t>61.50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2160250</w:t>
            </w:r>
          </w:p>
        </w:tc>
        <w:tc>
          <w:tcPr>
            <w:tcW w:w="4535" w:type="dxa"/>
            <w:tcBorders>
              <w:left w:val="single" w:sz="6" w:space="0" w:color="auto"/>
              <w:right w:val="single" w:sz="6" w:space="0" w:color="auto"/>
            </w:tcBorders>
            <w:vAlign w:val="center"/>
          </w:tcPr>
          <w:p>
            <w:pPr>
              <w:pStyle w:val="20"/>
            </w:pPr>
            <w:r>
              <w:t>事业运行</w:t>
            </w:r>
          </w:p>
        </w:tc>
        <w:tc>
          <w:tcPr>
            <w:tcW w:w="2551" w:type="dxa"/>
            <w:tcBorders>
              <w:left w:val="single" w:sz="6" w:space="0" w:color="auto"/>
              <w:right w:val="single" w:sz="6" w:space="0" w:color="auto"/>
            </w:tcBorders>
            <w:vAlign w:val="center"/>
          </w:tcPr>
          <w:p>
            <w:pPr>
              <w:pStyle w:val="19"/>
            </w:pPr>
            <w:r>
              <w:t>61.91</w:t>
            </w:r>
          </w:p>
        </w:tc>
        <w:tc>
          <w:tcPr>
            <w:tcW w:w="2551" w:type="dxa"/>
            <w:tcBorders>
              <w:left w:val="single" w:sz="6" w:space="0" w:color="auto"/>
              <w:right w:val="single" w:sz="6" w:space="0" w:color="auto"/>
            </w:tcBorders>
            <w:vAlign w:val="center"/>
          </w:tcPr>
          <w:p>
            <w:pPr>
              <w:pStyle w:val="19"/>
            </w:pPr>
            <w:r>
              <w:t>58.81</w:t>
            </w:r>
          </w:p>
        </w:tc>
        <w:tc>
          <w:tcPr>
            <w:tcW w:w="2551" w:type="dxa"/>
            <w:vAlign w:val="center"/>
          </w:tcPr>
          <w:p>
            <w:pPr>
              <w:pStyle w:val="19"/>
            </w:pPr>
            <w:r>
              <w:t>3.10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2551" w:type="dxa"/>
            <w:tcBorders>
              <w:left w:val="single" w:sz="6" w:space="0" w:color="auto"/>
              <w:right w:val="single" w:sz="6" w:space="0" w:color="auto"/>
            </w:tcBorders>
            <w:vAlign w:val="center"/>
          </w:tcPr>
          <w:p>
            <w:pPr>
              <w:pStyle w:val="19"/>
            </w:pPr>
            <w:r>
              <w:t>58.40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58.40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148.50</w:t>
            </w:r>
          </w:p>
        </w:tc>
        <w:tc>
          <w:tcPr>
            <w:tcW w:w="2551" w:type="dxa"/>
            <w:tcBorders>
              <w:left w:val="single" w:sz="6" w:space="0" w:color="auto"/>
              <w:right w:val="single" w:sz="6" w:space="0" w:color="auto"/>
            </w:tcBorders>
            <w:vAlign w:val="center"/>
          </w:tcPr>
          <w:p>
            <w:pPr>
              <w:pStyle w:val="23"/>
            </w:pPr>
            <w:r>
              <w:t>146.50</w:t>
            </w:r>
          </w:p>
        </w:tc>
        <w:tc>
          <w:tcPr>
            <w:tcW w:w="2551" w:type="dxa"/>
            <w:vAlign w:val="center"/>
          </w:tcPr>
          <w:p>
            <w:pPr>
              <w:pStyle w:val="23"/>
            </w:pPr>
            <w:r>
              <w:t>2.00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74.84</w:t>
            </w:r>
          </w:p>
        </w:tc>
        <w:tc>
          <w:tcPr>
            <w:tcW w:w="2551" w:type="dxa"/>
            <w:tcBorders>
              <w:left w:val="single" w:sz="6" w:space="0" w:color="auto"/>
              <w:right w:val="single" w:sz="6" w:space="0" w:color="auto"/>
            </w:tcBorders>
            <w:vAlign w:val="center"/>
          </w:tcPr>
          <w:p>
            <w:pPr>
              <w:pStyle w:val="19"/>
            </w:pPr>
            <w:r>
              <w:t>74.84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20.95</w:t>
            </w:r>
          </w:p>
        </w:tc>
        <w:tc>
          <w:tcPr>
            <w:tcW w:w="2551" w:type="dxa"/>
            <w:tcBorders>
              <w:left w:val="single" w:sz="6" w:space="0" w:color="auto"/>
              <w:right w:val="single" w:sz="6" w:space="0" w:color="auto"/>
            </w:tcBorders>
            <w:vAlign w:val="center"/>
          </w:tcPr>
          <w:p>
            <w:pPr>
              <w:pStyle w:val="19"/>
            </w:pPr>
            <w:r>
              <w:t>20.95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5.07</w:t>
            </w:r>
          </w:p>
        </w:tc>
        <w:tc>
          <w:tcPr>
            <w:tcW w:w="2551" w:type="dxa"/>
            <w:tcBorders>
              <w:left w:val="single" w:sz="6" w:space="0" w:color="auto"/>
              <w:right w:val="single" w:sz="6" w:space="0" w:color="auto"/>
            </w:tcBorders>
            <w:vAlign w:val="center"/>
          </w:tcPr>
          <w:p>
            <w:pPr>
              <w:pStyle w:val="19"/>
            </w:pPr>
            <w:r>
              <w:t>5.07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27.99</w:t>
            </w:r>
          </w:p>
        </w:tc>
        <w:tc>
          <w:tcPr>
            <w:tcW w:w="2551" w:type="dxa"/>
            <w:tcBorders>
              <w:left w:val="single" w:sz="6" w:space="0" w:color="auto"/>
              <w:right w:val="single" w:sz="6" w:space="0" w:color="auto"/>
            </w:tcBorders>
            <w:vAlign w:val="center"/>
          </w:tcPr>
          <w:p>
            <w:pPr>
              <w:pStyle w:val="19"/>
            </w:pPr>
            <w:r>
              <w:t>27.99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7.47</w:t>
            </w:r>
          </w:p>
        </w:tc>
        <w:tc>
          <w:tcPr>
            <w:tcW w:w="2551" w:type="dxa"/>
            <w:tcBorders>
              <w:left w:val="single" w:sz="6" w:space="0" w:color="auto"/>
              <w:right w:val="single" w:sz="6" w:space="0" w:color="auto"/>
            </w:tcBorders>
            <w:vAlign w:val="center"/>
          </w:tcPr>
          <w:p>
            <w:pPr>
              <w:pStyle w:val="19"/>
            </w:pPr>
            <w:r>
              <w:t>7.47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3.12</w:t>
            </w:r>
          </w:p>
        </w:tc>
        <w:tc>
          <w:tcPr>
            <w:tcW w:w="2551" w:type="dxa"/>
            <w:tcBorders>
              <w:left w:val="single" w:sz="6" w:space="0" w:color="auto"/>
              <w:right w:val="single" w:sz="6" w:space="0" w:color="auto"/>
            </w:tcBorders>
            <w:vAlign w:val="center"/>
          </w:tcPr>
          <w:p>
            <w:pPr>
              <w:pStyle w:val="19"/>
            </w:pPr>
            <w:r>
              <w:t>3.12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3.54</w:t>
            </w:r>
          </w:p>
        </w:tc>
        <w:tc>
          <w:tcPr>
            <w:tcW w:w="2551" w:type="dxa"/>
            <w:tcBorders>
              <w:left w:val="single" w:sz="6" w:space="0" w:color="auto"/>
              <w:right w:val="single" w:sz="6" w:space="0" w:color="auto"/>
            </w:tcBorders>
            <w:vAlign w:val="center"/>
          </w:tcPr>
          <w:p>
            <w:pPr>
              <w:pStyle w:val="19"/>
            </w:pPr>
            <w:r>
              <w:t>3.54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0.70</w:t>
            </w:r>
          </w:p>
        </w:tc>
        <w:tc>
          <w:tcPr>
            <w:tcW w:w="2551" w:type="dxa"/>
            <w:tcBorders>
              <w:left w:val="single" w:sz="6" w:space="0" w:color="auto"/>
              <w:right w:val="single" w:sz="6" w:space="0" w:color="auto"/>
            </w:tcBorders>
            <w:vAlign w:val="center"/>
          </w:tcPr>
          <w:p>
            <w:pPr>
              <w:pStyle w:val="19"/>
            </w:pPr>
            <w:r>
              <w:t>0.70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71.66</w:t>
            </w:r>
          </w:p>
        </w:tc>
        <w:tc>
          <w:tcPr>
            <w:tcW w:w="2551" w:type="dxa"/>
            <w:tcBorders>
              <w:left w:val="single" w:sz="6" w:space="0" w:color="auto"/>
              <w:right w:val="single" w:sz="6" w:space="0" w:color="auto"/>
            </w:tcBorders>
            <w:vAlign w:val="center"/>
          </w:tcPr>
          <w:p>
            <w:pPr>
              <w:pStyle w:val="19"/>
            </w:pPr>
            <w:r>
              <w:t>71.66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69.56</w:t>
            </w:r>
          </w:p>
        </w:tc>
        <w:tc>
          <w:tcPr>
            <w:tcW w:w="2551" w:type="dxa"/>
            <w:tcBorders>
              <w:left w:val="single" w:sz="6" w:space="0" w:color="auto"/>
              <w:right w:val="single" w:sz="6" w:space="0" w:color="auto"/>
            </w:tcBorders>
            <w:vAlign w:val="center"/>
          </w:tcPr>
          <w:p>
            <w:pPr>
              <w:pStyle w:val="19"/>
            </w:pPr>
            <w:r>
              <w:t>69.56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2.10</w:t>
            </w:r>
          </w:p>
        </w:tc>
        <w:tc>
          <w:tcPr>
            <w:tcW w:w="2551" w:type="dxa"/>
            <w:tcBorders>
              <w:left w:val="single" w:sz="6" w:space="0" w:color="auto"/>
              <w:right w:val="single" w:sz="6" w:space="0" w:color="auto"/>
            </w:tcBorders>
            <w:vAlign w:val="center"/>
          </w:tcPr>
          <w:p>
            <w:pPr>
              <w:pStyle w:val="19"/>
            </w:pPr>
            <w:r>
              <w:t>2.10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auto"/>
              <w:right w:val="single" w:sz="6" w:space="0" w:color="auto"/>
            </w:tcBorders>
            <w:vAlign w:val="center"/>
          </w:tcPr>
          <w:p>
            <w:pPr>
              <w:pStyle w:val="20"/>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唐山市丰南区供销合作社2025年部门预算信息公开情况说明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唐山市丰南区供销合作社2025年部门预算信息公开情况说明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按照《中华人民共和国预算法》、《地方预决算公开操作规程》和《关于进一步推进预算公开工作的实施意见》规定，现将唐山市丰南区供销合作社2025年部门预算公开如下：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规范提升基层供销社，加强对供销社的规范指导，推动基层组织发展的同时，提升为农服务的能力；推广土地托管服务，计划完成土地托管3万亩；以融合共建村级服务站为契机，将农村产权易服务进驻全区镇村两级综合服务站，实现区乡村三级体系全覆盖。</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唐山市丰南区供销合作社</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按照预算管理有关规定，目前部门预算的编制实行综合预算管理，即全部收入和支出都反映在预算中。唐山市丰南区供销合作社机关及所属事业单位的收支包含在部门预算中。</w:t>
      </w:r>
    </w:p>
    <w:p>
      <w:pPr>
        <w:pStyle w:val="26"/>
      </w:pPr>
      <w:r>
        <w:t>1、收入说明</w:t>
      </w:r>
    </w:p>
    <w:p>
      <w:pPr>
        <w:pStyle w:val="26"/>
      </w:pPr>
      <w:r>
        <w:t>反映本部门当年全部收入。2025年预算收入225.60万元，其中：一般公共预算收入225.60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供销合作社年度部门预算中支出预算的总体情况。2025年支出预算225.60万元，其中基本支出148.50万元，包括人员经费146.50万元和日常公用经费2.00万元；项目支出77.10万元，主要为1.供销社退休人员医疗保险及遗属补助</w:t>
      </w:r>
    </w:p>
    <w:p>
      <w:pPr>
        <w:pStyle w:val="26"/>
      </w:pPr>
      <w:r>
        <w:t>2.农村产权交易中心劳务派遣经费（劳务费）</w:t>
      </w:r>
      <w:bookmarkStart w:id="11" w:name="_GoBack"/>
      <w:bookmarkEnd w:id="11"/>
    </w:p>
    <w:p>
      <w:pPr>
        <w:pStyle w:val="26"/>
      </w:pPr>
      <w:r>
        <w:t>3.产权交易中心运行经费</w:t>
      </w:r>
    </w:p>
    <w:p>
      <w:pPr>
        <w:pStyle w:val="26"/>
      </w:pPr>
      <w:r>
        <w:t>3、比上年增减情况</w:t>
      </w:r>
    </w:p>
    <w:p>
      <w:pPr>
        <w:pStyle w:val="26"/>
      </w:pPr>
      <w:r>
        <w:t>2025年预算收支安排225.60万元，较2024年预算增加15.82万元，其中：基本支出增加15.52万元，主要为人员经费增加。项目支出增加0.30万元，主要为产权交易中心运行经费增加。</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2025年，我部门机关运行经费共计安排2.00万元，主要用于日常维修、办公用房水电费、办公用房取暖费、办公用房物业管理费等日常运行支出。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没有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加强基层组织建设，加深区社与基层社联系，恢复并入全省供销系统业务，同时改造升级薄弱基层社，探索推行两社融合发展，使其在组织业务产权上形成紧密连接，开展现代农业服务工作。完善社属企业，事业单位法人治理结构，对外加强合作指导，深化供销合作社综合改革。结合实际研究发展对策，助力社有企业突围脱困，立足为农服务宗旨，以规范基层组织建设，农资供应服务，农业社会化服务，农村产权交易服务为抓手，不断深化综合改制，提升为农服务水平。推广现代农业社会化服务。积极做好系统化肥储备与供应，保障我区农业生产资料供给充足。</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（一）农村产权交易体系管理</w:t>
      </w:r>
    </w:p>
    <w:p>
      <w:pPr>
        <w:pStyle w:val="30"/>
      </w:pPr>
      <w:r>
        <w:t>绩效目标：促进农村经济社会全面协调发展。</w:t>
      </w:r>
    </w:p>
    <w:p>
      <w:pPr>
        <w:pStyle w:val="30"/>
      </w:pPr>
      <w:r>
        <w:t>绩效指标：农村产权交易监督、指导创办农民专业合作社完成率</w:t>
      </w:r>
    </w:p>
    <w:p>
      <w:pPr>
        <w:pStyle w:val="30"/>
      </w:pPr>
      <w:r>
        <w:t>（二）盐业改制管理</w:t>
      </w:r>
    </w:p>
    <w:p>
      <w:pPr>
        <w:pStyle w:val="30"/>
      </w:pPr>
      <w:r>
        <w:t>绩效目标：对食盐的经营进行组织协调管理、负责管理政府委托的重要物资商品储备工作。</w:t>
      </w:r>
    </w:p>
    <w:p>
      <w:pPr>
        <w:pStyle w:val="30"/>
      </w:pPr>
      <w:r>
        <w:t>绩效指标：食盐储备完成率</w:t>
        <w:tab/>
      </w:r>
    </w:p>
    <w:p>
      <w:pPr>
        <w:pStyle w:val="30"/>
      </w:pPr>
      <w:r>
        <w:t>（三）人员综合事务管理</w:t>
      </w:r>
    </w:p>
    <w:p>
      <w:pPr>
        <w:pStyle w:val="30"/>
      </w:pPr>
      <w:r>
        <w:t>绩效目标：全面落实退休干部和离退休人员的生活待遇</w:t>
      </w:r>
    </w:p>
    <w:p>
      <w:pPr>
        <w:pStyle w:val="30"/>
      </w:pPr>
      <w:r>
        <w:t>绩效指标：离退休人员满意度</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深入学习贯彻落实党的二十大精神，坚持以习近平新时代中国特色社会主义思想为指导，牢固树立安全发展理念，弘扬生命至上，安全第一的思想，针对岁末年初供销系统安全生产状况，承担起安全生产第一责任人的责任，建立严格安全生产责任制，把责任落实到具体单位，具体岗位，具体人。加强督促检查，采取有效措施，解决突发问题，坚决遏制安全事故的发生。</w:t>
      </w:r>
    </w:p>
    <w:p>
      <w:pPr>
        <w:pStyle w:val="31"/>
      </w:pPr>
      <w:r>
        <w:t>继续贯彻落实供销社关于组织实施基层供销社振兴计划，实施好区供销社分社的帮扶振兴方案，实现供销社“经营实体、服务功能、组织职能”全面提升；体现覆盖水平，体现为农服务，进一步提升营销能力和服务能力，进一步加强机关作风建设，推进机关工作作风的进一步转变，提高为农服务水平。</w:t>
      </w:r>
    </w:p>
    <w:p>
      <w:pPr>
        <w:pStyle w:val="31"/>
      </w:pPr>
      <w:r>
        <w:t>完善制度建设。建立完善工作落实推进机制，各科室各部门负责人对确定的重点工作和目标任务完成情况进行全程研判，扎实推进绩效目标任务，务求实效。</w:t>
      </w:r>
    </w:p>
    <w:p>
      <w:pPr>
        <w:pStyle w:val="31"/>
      </w:pPr>
      <w:r>
        <w:t>加强支出管理。严格落实预算要求，对项目各项资金支出制定相应的预算明细，通过优化支出结构、编细编实预算、及时支付资金等措施，确保支出进度达标。</w:t>
      </w:r>
    </w:p>
    <w:p>
      <w:pPr>
        <w:pStyle w:val="31"/>
      </w:pPr>
      <w:r>
        <w:t>加强绩效运行监控。从项目前期谋划、备案等环节全程参与监管，按要求开展绩效运行监控，发现问题及时采取措施，确保绩效目标如期保质实现。</w:t>
      </w:r>
    </w:p>
    <w:p>
      <w:pPr>
        <w:pStyle w:val="31"/>
      </w:pPr>
      <w:r>
        <w:t>做好绩效自评。针对上级反馈的意见建议，对区社项目提出整改完善的具体措施，按要求开展上年度部门预算绩效自评和重点评价工作，针对不足及时调整完善工作内容，调整优化支出结构，提高资金使用效益。</w:t>
      </w:r>
    </w:p>
    <w:p>
      <w:pPr>
        <w:pStyle w:val="31"/>
      </w:pPr>
      <w:r>
        <w:t>规范财务资产管理。按照国家财经制度、法规要求，机关各项财务收支活动都应纳入财会部门统一管理、统一核算，并接受监督。区社的财务管理由理事会主任负总责，财务审计科负责全社的财务业务管理；社属各企业单位负责人具体负责本单位财务管理，区社领导班子负责决定区社的重大财务事项。财务审计科负责本单位的会计核算、办理会计业务；预算编制、正确编制会计报表等业务。参与本单位经济计划、业务计划的制定。单位各项开支均应取得真实合法的原始凭证，原始凭证必须由经办人签字，按规定审批程序批准后报销。</w:t>
      </w:r>
    </w:p>
    <w:p>
      <w:pPr>
        <w:pStyle w:val="31"/>
      </w:pPr>
      <w:r>
        <w:t>加强内部监督。落实市社全面督查指导，加强内部监督制度建设，对绩效运行情况、对外投资、资产处置及其他重要经济业务事项的决策和执行进行督导，对会计资料进行内部审计，并配合做好审计、财政监督等外部监督工作，提高资金安全性、真实性、规范性。</w:t>
      </w:r>
    </w:p>
    <w:p>
      <w:pPr>
        <w:pStyle w:val="31"/>
        <w:sectPr>
          <w:pgSz w:w="16840" w:h="11900" w:orient="landscape"/>
          <w:pgMar w:top="1361" w:right="1020" w:bottom="1361" w:left="1020" w:header="720" w:footer="720" w:gutter="0"/>
          <w:docGrid w:linePitch="326" w:charSpace="0"/>
        </w:sectPr>
      </w:pPr>
      <w:r>
        <w:t>加强宣传培训调研等。加强人员培训，高度重视人员考核工作，提高本部门职工业务素质;加强调研，加强对上沟通，积极寻找优化财政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1、产权交易中心运行经费绩效目标表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13020725P000022102821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产权交易中心运行经费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网络平台使用费2.5万元，通信服务费0.6万元，现申请运行经费3.1万元。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1.农村产权交易中心劳务派遣人员运行经费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日常维护信息系统数量</w:t>
            </w:r>
          </w:p>
        </w:tc>
        <w:tc>
          <w:tcPr>
            <w:tcW w:w="5386" w:type="dxa"/>
            <w:tcBorders>
              <w:left w:val="single" w:sz="6" w:space="0" w:color="auto"/>
              <w:right w:val="single" w:sz="6" w:space="0" w:color="auto"/>
            </w:tcBorders>
            <w:vAlign w:val="center"/>
          </w:tcPr>
          <w:p>
            <w:pPr>
              <w:pStyle w:val="20"/>
            </w:pPr>
            <w:r>
              <w:t>反映日常维护信息系统数量情况</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设备使用率</w:t>
            </w:r>
          </w:p>
        </w:tc>
        <w:tc>
          <w:tcPr>
            <w:tcW w:w="5386" w:type="dxa"/>
            <w:tcBorders>
              <w:left w:val="single" w:sz="6" w:space="0" w:color="auto"/>
              <w:right w:val="single" w:sz="6" w:space="0" w:color="auto"/>
            </w:tcBorders>
            <w:vAlign w:val="center"/>
          </w:tcPr>
          <w:p>
            <w:pPr>
              <w:pStyle w:val="20"/>
            </w:pPr>
            <w:r>
              <w:t>使用的设备/设备总数*100%</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反映资金按合同支付情况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系统运行维护成本</w:t>
            </w:r>
          </w:p>
        </w:tc>
        <w:tc>
          <w:tcPr>
            <w:tcW w:w="5386" w:type="dxa"/>
            <w:tcBorders>
              <w:left w:val="single" w:sz="6" w:space="0" w:color="auto"/>
              <w:right w:val="single" w:sz="6" w:space="0" w:color="auto"/>
            </w:tcBorders>
            <w:vAlign w:val="center"/>
          </w:tcPr>
          <w:p>
            <w:pPr>
              <w:pStyle w:val="20"/>
            </w:pPr>
            <w:r>
              <w:t>反应系统维护成本情况</w:t>
            </w:r>
          </w:p>
        </w:tc>
        <w:tc>
          <w:tcPr>
            <w:tcW w:w="2268" w:type="dxa"/>
            <w:tcBorders>
              <w:left w:val="single" w:sz="6" w:space="0" w:color="auto"/>
              <w:right w:val="single" w:sz="6" w:space="0" w:color="auto"/>
            </w:tcBorders>
            <w:vAlign w:val="center"/>
          </w:tcPr>
          <w:p>
            <w:pPr>
              <w:pStyle w:val="20"/>
            </w:pPr>
            <w:r>
              <w:t>≤3.1万元</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对改善数据资源共享机制的有效程度</w:t>
            </w:r>
          </w:p>
        </w:tc>
        <w:tc>
          <w:tcPr>
            <w:tcW w:w="5386" w:type="dxa"/>
            <w:tcBorders>
              <w:left w:val="single" w:sz="6" w:space="0" w:color="auto"/>
              <w:right w:val="single" w:sz="6" w:space="0" w:color="auto"/>
            </w:tcBorders>
            <w:vAlign w:val="center"/>
          </w:tcPr>
          <w:p>
            <w:pPr>
              <w:pStyle w:val="20"/>
            </w:pPr>
            <w:r>
              <w:t>通过系统的实施对改善数据资源共享机制的影响程度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对提高公共服务能力和效率的改善或提升程度</w:t>
            </w:r>
          </w:p>
        </w:tc>
        <w:tc>
          <w:tcPr>
            <w:tcW w:w="5386" w:type="dxa"/>
            <w:tcBorders>
              <w:left w:val="single" w:sz="6" w:space="0" w:color="auto"/>
              <w:right w:val="single" w:sz="6" w:space="0" w:color="auto"/>
            </w:tcBorders>
            <w:vAlign w:val="center"/>
          </w:tcPr>
          <w:p>
            <w:pPr>
              <w:pStyle w:val="20"/>
            </w:pPr>
            <w:r>
              <w:t>通过项目的实施对提高公共服务能力和效率的改善或提升程度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保障系统持续稳定运行</w:t>
            </w:r>
          </w:p>
        </w:tc>
        <w:tc>
          <w:tcPr>
            <w:tcW w:w="5386" w:type="dxa"/>
            <w:tcBorders>
              <w:left w:val="single" w:sz="6" w:space="0" w:color="auto"/>
              <w:right w:val="single" w:sz="6" w:space="0" w:color="auto"/>
            </w:tcBorders>
            <w:vAlign w:val="center"/>
          </w:tcPr>
          <w:p>
            <w:pPr>
              <w:pStyle w:val="20"/>
            </w:pPr>
            <w:r>
              <w:t>反映保障系统持续稳定运行</w:t>
            </w:r>
          </w:p>
          <w:p>
            <w:pPr>
              <w:pStyle w:val="20"/>
            </w:pPr>
            <w:r>
              <w:t>情况</w:t>
            </w:r>
          </w:p>
        </w:tc>
        <w:tc>
          <w:tcPr>
            <w:tcW w:w="2268" w:type="dxa"/>
            <w:tcBorders>
              <w:left w:val="single" w:sz="6" w:space="0" w:color="auto"/>
              <w:right w:val="single" w:sz="6" w:space="0" w:color="auto"/>
            </w:tcBorders>
            <w:vAlign w:val="center"/>
          </w:tcPr>
          <w:p>
            <w:pPr>
              <w:pStyle w:val="20"/>
            </w:pPr>
            <w:r>
              <w:t>稳定运行</w:t>
            </w:r>
          </w:p>
        </w:tc>
        <w:tc>
          <w:tcPr>
            <w:tcW w:w="1276" w:type="dxa"/>
            <w:vAlign w:val="center"/>
          </w:tcPr>
          <w:p>
            <w:pPr>
              <w:pStyle w:val="20"/>
            </w:pPr>
            <w:r>
              <w:t>行业标准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使用人员满意程度</w:t>
            </w:r>
          </w:p>
        </w:tc>
        <w:tc>
          <w:tcPr>
            <w:tcW w:w="5386" w:type="dxa"/>
            <w:tcBorders>
              <w:left w:val="single" w:sz="6" w:space="0" w:color="auto"/>
              <w:right w:val="single" w:sz="6" w:space="0" w:color="auto"/>
            </w:tcBorders>
            <w:vAlign w:val="center"/>
          </w:tcPr>
          <w:p>
            <w:pPr>
              <w:pStyle w:val="20"/>
            </w:pPr>
            <w:r>
              <w:t>反映使用人员对项目实施效果满意程度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2、供销社退休人员医疗保险及遗属补助绩效目标表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13020725P00699110007K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供销社退休人员医疗保险及遗属补助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我单位有退休人员26人，退休遗属4人，退休人员医疗补助每月13000，退休遗属生活补贴770/月，现申请退休人员医疗保险及遗属补助合计20万元。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1.丰南区供销社退休人员医疗费及遗属补助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反映发放人数情况</w:t>
            </w:r>
          </w:p>
        </w:tc>
        <w:tc>
          <w:tcPr>
            <w:tcW w:w="2268" w:type="dxa"/>
            <w:tcBorders>
              <w:left w:val="single" w:sz="6" w:space="0" w:color="auto"/>
              <w:right w:val="single" w:sz="6" w:space="0" w:color="auto"/>
            </w:tcBorders>
            <w:vAlign w:val="center"/>
          </w:tcPr>
          <w:p>
            <w:pPr>
              <w:pStyle w:val="20"/>
            </w:pPr>
            <w:r>
              <w:t>26人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资金足额拨付率</w:t>
            </w:r>
          </w:p>
        </w:tc>
        <w:tc>
          <w:tcPr>
            <w:tcW w:w="5386" w:type="dxa"/>
            <w:tcBorders>
              <w:left w:val="single" w:sz="6" w:space="0" w:color="auto"/>
              <w:right w:val="single" w:sz="6" w:space="0" w:color="auto"/>
            </w:tcBorders>
            <w:vAlign w:val="center"/>
          </w:tcPr>
          <w:p>
            <w:pPr>
              <w:pStyle w:val="20"/>
            </w:pPr>
            <w:r>
              <w:t>反映补助经费拨付情况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补贴发放周期</w:t>
            </w:r>
          </w:p>
        </w:tc>
        <w:tc>
          <w:tcPr>
            <w:tcW w:w="5386" w:type="dxa"/>
            <w:tcBorders>
              <w:left w:val="single" w:sz="6" w:space="0" w:color="auto"/>
              <w:right w:val="single" w:sz="6" w:space="0" w:color="auto"/>
            </w:tcBorders>
            <w:vAlign w:val="center"/>
          </w:tcPr>
          <w:p>
            <w:pPr>
              <w:pStyle w:val="20"/>
            </w:pPr>
            <w:r>
              <w:t>反映补贴资金发放周期情况</w:t>
            </w:r>
          </w:p>
        </w:tc>
        <w:tc>
          <w:tcPr>
            <w:tcW w:w="2268" w:type="dxa"/>
            <w:tcBorders>
              <w:left w:val="single" w:sz="6" w:space="0" w:color="auto"/>
              <w:right w:val="single" w:sz="6" w:space="0" w:color="auto"/>
            </w:tcBorders>
            <w:vAlign w:val="center"/>
          </w:tcPr>
          <w:p>
            <w:pPr>
              <w:pStyle w:val="20"/>
            </w:pPr>
            <w:r>
              <w:t>按月发放</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≤20万元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有所提升</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享受补贴人员生活水平保障程度</w:t>
            </w:r>
          </w:p>
        </w:tc>
        <w:tc>
          <w:tcPr>
            <w:tcW w:w="5386" w:type="dxa"/>
            <w:tcBorders>
              <w:left w:val="single" w:sz="6" w:space="0" w:color="auto"/>
              <w:right w:val="single" w:sz="6" w:space="0" w:color="auto"/>
            </w:tcBorders>
            <w:vAlign w:val="center"/>
          </w:tcPr>
          <w:p>
            <w:pPr>
              <w:pStyle w:val="20"/>
            </w:pPr>
            <w:r>
              <w:t>反映享受补贴人员基本生活保障情况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享受补贴人员生活水平改善程度</w:t>
            </w:r>
          </w:p>
        </w:tc>
        <w:tc>
          <w:tcPr>
            <w:tcW w:w="5386" w:type="dxa"/>
            <w:tcBorders>
              <w:left w:val="single" w:sz="6" w:space="0" w:color="auto"/>
              <w:right w:val="single" w:sz="6" w:space="0" w:color="auto"/>
            </w:tcBorders>
            <w:vAlign w:val="center"/>
          </w:tcPr>
          <w:p>
            <w:pPr>
              <w:pStyle w:val="20"/>
            </w:pPr>
            <w:r>
              <w:t>反映享受补贴人员生活水平改善程度情况</w:t>
            </w:r>
          </w:p>
        </w:tc>
        <w:tc>
          <w:tcPr>
            <w:tcW w:w="2268" w:type="dxa"/>
            <w:tcBorders>
              <w:left w:val="single" w:sz="6" w:space="0" w:color="auto"/>
              <w:right w:val="single" w:sz="6" w:space="0" w:color="auto"/>
            </w:tcBorders>
            <w:vAlign w:val="center"/>
          </w:tcPr>
          <w:p>
            <w:pPr>
              <w:pStyle w:val="20"/>
            </w:pPr>
            <w:r>
              <w:t>持续改善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3、农村产权交易中心劳务派遣经费（劳务费）绩效目标表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13020725P00002210374M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农村产权交易中心劳务派遣经费（劳务费）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我单位有劳务派遣人员10人，工资标准2500元/月，全年工资30万元、保险24万元，预计共需资金54万元。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1.农村产权交易中心劳务派遣经费（劳务费）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10人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发放工资（补助）总金额</w:t>
            </w:r>
          </w:p>
        </w:tc>
        <w:tc>
          <w:tcPr>
            <w:tcW w:w="5386" w:type="dxa"/>
            <w:tcBorders>
              <w:left w:val="single" w:sz="6" w:space="0" w:color="auto"/>
              <w:right w:val="single" w:sz="6" w:space="0" w:color="auto"/>
            </w:tcBorders>
            <w:vAlign w:val="center"/>
          </w:tcPr>
          <w:p>
            <w:pPr>
              <w:pStyle w:val="20"/>
            </w:pPr>
            <w:r>
              <w:t>反映支付人员工资（补助）总金额情况</w:t>
            </w:r>
          </w:p>
        </w:tc>
        <w:tc>
          <w:tcPr>
            <w:tcW w:w="2268" w:type="dxa"/>
            <w:tcBorders>
              <w:left w:val="single" w:sz="6" w:space="0" w:color="auto"/>
              <w:right w:val="single" w:sz="6" w:space="0" w:color="auto"/>
            </w:tcBorders>
            <w:vAlign w:val="center"/>
          </w:tcPr>
          <w:p>
            <w:pPr>
              <w:pStyle w:val="20"/>
            </w:pPr>
            <w:r>
              <w:t>≤54万元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497唐山市丰南区供销合作社</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唐山市丰南区供销合作社（含所属单位）上年末固定资产金额为105.50万元（详见下表）。本年度拟购置固定资产总额为0.00万元，已按要求列入政府采购预算，详见政府采购预算表。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497唐山市丰南区供销合作社</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105.50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62</w:t>
            </w:r>
          </w:p>
        </w:tc>
        <w:tc>
          <w:tcPr>
            <w:tcW w:w="2835" w:type="dxa"/>
            <w:vAlign w:val="center"/>
          </w:tcPr>
          <w:p>
            <w:pPr>
              <w:pStyle w:val="19"/>
            </w:pPr>
            <w:r>
              <w:t>33.59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35832B0-8ABD-45D9-80C2-4E348CA1FEB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26</Pages>
  <Words>0</Words>
  <Characters>9615</Characters>
  <Lines>0</Lines>
  <Paragraphs>140</Paragraphs>
  <CharactersWithSpaces>12821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2025-01-22T15:26:41Z</dcterms:created>
  <dcterms:modified xsi:type="dcterms:W3CDTF">2025-01-22T07:30:03Z</dcterms:modified>
</cp:coreProperties>
</file>