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Times New Roman"/>
          <w:b/>
          <w:sz w:val="30"/>
          <w:szCs w:val="30"/>
        </w:rPr>
      </w:pPr>
    </w:p>
    <w:p>
      <w:pPr>
        <w:widowControl/>
        <w:adjustRightInd w:val="0"/>
        <w:snapToGrid w:val="0"/>
        <w:spacing w:line="560" w:lineRule="exact"/>
        <w:jc w:val="left"/>
        <w:rPr>
          <w:rFonts w:ascii="宋体" w:hAnsi="宋体" w:eastAsia="仿宋" w:cs="宋体"/>
          <w:b/>
          <w:kern w:val="0"/>
          <w:sz w:val="32"/>
          <w:szCs w:val="32"/>
        </w:rPr>
      </w:pPr>
      <w:r>
        <w:rPr>
          <w:rFonts w:hint="eastAsia" w:ascii="宋体" w:hAnsi="宋体" w:eastAsia="仿宋" w:cs="宋体"/>
          <w:b/>
          <w:kern w:val="0"/>
          <w:sz w:val="32"/>
          <w:szCs w:val="32"/>
        </w:rPr>
        <w:t>附件2：</w:t>
      </w:r>
    </w:p>
    <w:tbl>
      <w:tblPr>
        <w:tblStyle w:val="9"/>
        <w:tblpPr w:leftFromText="180" w:rightFromText="180" w:vertAnchor="text" w:horzAnchor="margin" w:tblpXSpec="center" w:tblpY="901"/>
        <w:tblW w:w="104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7"/>
        <w:gridCol w:w="675"/>
        <w:gridCol w:w="690"/>
        <w:gridCol w:w="630"/>
        <w:gridCol w:w="1298"/>
        <w:gridCol w:w="607"/>
        <w:gridCol w:w="5251"/>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442" w:type="dxa"/>
            <w:gridSpan w:val="8"/>
            <w:tcBorders>
              <w:top w:val="nil"/>
              <w:left w:val="nil"/>
              <w:bottom w:val="single" w:color="auto" w:sz="4" w:space="0"/>
              <w:right w:val="nil"/>
            </w:tcBorders>
            <w:shd w:val="clear" w:color="auto" w:fill="auto"/>
            <w:vAlign w:val="center"/>
          </w:tcPr>
          <w:p>
            <w:pPr>
              <w:widowControl/>
              <w:jc w:val="center"/>
              <w:rPr>
                <w:rFonts w:hint="eastAsia" w:ascii="方正小标宋简体" w:eastAsia="方正小标宋简体" w:cs="宋体"/>
                <w:b/>
                <w:kern w:val="0"/>
                <w:sz w:val="32"/>
                <w:szCs w:val="32"/>
              </w:rPr>
            </w:pPr>
            <w:r>
              <w:rPr>
                <w:rFonts w:hint="eastAsia" w:ascii="方正小标宋简体" w:eastAsia="方正小标宋简体" w:cs="宋体"/>
                <w:b/>
                <w:kern w:val="0"/>
                <w:sz w:val="32"/>
                <w:szCs w:val="32"/>
              </w:rPr>
              <w:t>部门整体支出绩效评价指标体系评分表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一级指标</w:t>
            </w:r>
          </w:p>
        </w:tc>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分值</w:t>
            </w:r>
          </w:p>
        </w:tc>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二级指标</w:t>
            </w:r>
          </w:p>
        </w:tc>
        <w:tc>
          <w:tcPr>
            <w:tcW w:w="6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分值</w:t>
            </w:r>
          </w:p>
        </w:tc>
        <w:tc>
          <w:tcPr>
            <w:tcW w:w="129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三级指标</w:t>
            </w:r>
          </w:p>
        </w:tc>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分值</w:t>
            </w:r>
          </w:p>
        </w:tc>
        <w:tc>
          <w:tcPr>
            <w:tcW w:w="52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评价标准</w:t>
            </w:r>
          </w:p>
        </w:tc>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Times New Roman"/>
                <w:b/>
                <w:bCs/>
                <w:kern w:val="0"/>
                <w:sz w:val="20"/>
                <w:szCs w:val="20"/>
              </w:rPr>
            </w:pPr>
            <w:r>
              <w:rPr>
                <w:rFonts w:hint="eastAsia" w:ascii="宋体" w:hAnsi="宋体" w:eastAsia="仿宋_GB2312" w:cs="Times New Roman"/>
                <w:b/>
                <w:bCs/>
                <w:kern w:val="0"/>
                <w:sz w:val="20"/>
                <w:szCs w:val="2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6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投入</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8</w:t>
            </w:r>
          </w:p>
        </w:tc>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预算配置</w:t>
            </w:r>
          </w:p>
        </w:tc>
        <w:tc>
          <w:tcPr>
            <w:tcW w:w="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8</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在职人员控制率</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4</w:t>
            </w:r>
          </w:p>
        </w:tc>
        <w:tc>
          <w:tcPr>
            <w:tcW w:w="5251" w:type="dxa"/>
            <w:tcBorders>
              <w:top w:val="nil"/>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以100%为标准。在职人员控制率≦100%，计4分；每超过一个百分点扣0.5分，扣完为止。</w:t>
            </w:r>
          </w:p>
        </w:tc>
        <w:tc>
          <w:tcPr>
            <w:tcW w:w="654" w:type="dxa"/>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宋体" w:hAnsi="宋体" w:eastAsia="仿宋_GB2312" w:cs="Times New Roman"/>
                <w:b/>
                <w:bCs/>
                <w:kern w:val="0"/>
                <w:sz w:val="20"/>
                <w:szCs w:val="20"/>
                <w:lang w:val="en-US" w:eastAsia="zh-CN"/>
              </w:rPr>
            </w:pPr>
            <w:r>
              <w:rPr>
                <w:rFonts w:hint="eastAsia" w:ascii="宋体" w:hAnsi="宋体" w:eastAsia="仿宋_GB2312" w:cs="Times New Roman"/>
                <w:b/>
                <w:bCs/>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637" w:type="dxa"/>
            <w:vMerge w:val="continue"/>
            <w:tcBorders>
              <w:top w:val="nil"/>
              <w:left w:val="single" w:color="auto" w:sz="4" w:space="0"/>
              <w:bottom w:val="single" w:color="auto" w:sz="4" w:space="0"/>
              <w:right w:val="single" w:color="auto" w:sz="4" w:space="0"/>
            </w:tcBorders>
            <w:vAlign w:val="center"/>
          </w:tcPr>
          <w:p/>
        </w:tc>
        <w:tc>
          <w:tcPr>
            <w:tcW w:w="675" w:type="dxa"/>
            <w:vMerge w:val="continue"/>
            <w:tcBorders>
              <w:top w:val="nil"/>
              <w:left w:val="single" w:color="auto" w:sz="4" w:space="0"/>
              <w:bottom w:val="single" w:color="auto" w:sz="4" w:space="0"/>
              <w:right w:val="single" w:color="auto" w:sz="4" w:space="0"/>
            </w:tcBorders>
            <w:vAlign w:val="center"/>
          </w:tcPr>
          <w:p/>
        </w:tc>
        <w:tc>
          <w:tcPr>
            <w:tcW w:w="690" w:type="dxa"/>
            <w:vMerge w:val="continue"/>
            <w:tcBorders>
              <w:top w:val="nil"/>
              <w:left w:val="single" w:color="auto" w:sz="4" w:space="0"/>
              <w:bottom w:val="single" w:color="auto" w:sz="4" w:space="0"/>
              <w:right w:val="single" w:color="auto" w:sz="4" w:space="0"/>
            </w:tcBorders>
            <w:vAlign w:val="center"/>
          </w:tcPr>
          <w:p/>
        </w:tc>
        <w:tc>
          <w:tcPr>
            <w:tcW w:w="630" w:type="dxa"/>
            <w:vMerge w:val="continue"/>
            <w:tcBorders>
              <w:top w:val="nil"/>
              <w:left w:val="single" w:color="auto" w:sz="4" w:space="0"/>
              <w:bottom w:val="single" w:color="auto" w:sz="4" w:space="0"/>
              <w:right w:val="single" w:color="auto" w:sz="4" w:space="0"/>
            </w:tcBorders>
            <w:vAlign w:val="center"/>
          </w:tcP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“三公经费”变动率</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4</w:t>
            </w:r>
          </w:p>
        </w:tc>
        <w:tc>
          <w:tcPr>
            <w:tcW w:w="5251" w:type="dxa"/>
            <w:tcBorders>
              <w:top w:val="nil"/>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变动率=（本年三公经费预算数-上年度三公经费预算数）/上年度三公经费预算数*100%；“三公经费”变动率≦0,计4分；“三公经费”＞0，每超过一个百分点扣0.4分，扣完为止。</w:t>
            </w: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cs="Times New Roman"/>
                <w:b/>
                <w:kern w:val="0"/>
                <w:sz w:val="20"/>
                <w:szCs w:val="20"/>
                <w:lang w:val="en-US" w:eastAsia="zh-CN"/>
              </w:rPr>
            </w:pPr>
            <w:r>
              <w:rPr>
                <w:rFonts w:hint="eastAsia" w:ascii="宋体" w:cs="Times New Roman"/>
                <w:b/>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trPr>
        <w:tc>
          <w:tcPr>
            <w:tcW w:w="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过程</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66</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预算执行</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14</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预算完成率</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7</w:t>
            </w:r>
          </w:p>
        </w:tc>
        <w:tc>
          <w:tcPr>
            <w:tcW w:w="5251" w:type="dxa"/>
            <w:tcBorders>
              <w:top w:val="nil"/>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（上年结转+年初预算+本年追加预算-年末结余）/(上年结转+年初预算+本年追加预算)；100%计满分，每低于5%扣2分，扣完为止。</w:t>
            </w: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tc>
        <w:tc>
          <w:tcPr>
            <w:tcW w:w="675" w:type="dxa"/>
            <w:vMerge w:val="continue"/>
            <w:tcBorders>
              <w:top w:val="single" w:color="auto" w:sz="4" w:space="0"/>
              <w:left w:val="single" w:color="auto" w:sz="4" w:space="0"/>
              <w:bottom w:val="single" w:color="auto" w:sz="4" w:space="0"/>
              <w:right w:val="single" w:color="auto" w:sz="4" w:space="0"/>
            </w:tcBorders>
            <w:vAlign w:val="center"/>
          </w:tcPr>
          <w:p/>
        </w:tc>
        <w:tc>
          <w:tcPr>
            <w:tcW w:w="690" w:type="dxa"/>
            <w:vMerge w:val="continue"/>
            <w:tcBorders>
              <w:top w:val="single" w:color="auto" w:sz="4" w:space="0"/>
              <w:left w:val="single" w:color="auto" w:sz="4" w:space="0"/>
              <w:bottom w:val="single" w:color="auto" w:sz="4" w:space="0"/>
              <w:right w:val="single" w:color="auto" w:sz="4" w:space="0"/>
            </w:tcBorders>
            <w:vAlign w:val="center"/>
          </w:tcPr>
          <w:p/>
        </w:tc>
        <w:tc>
          <w:tcPr>
            <w:tcW w:w="630" w:type="dxa"/>
            <w:vMerge w:val="continue"/>
            <w:tcBorders>
              <w:top w:val="single" w:color="auto" w:sz="4" w:space="0"/>
              <w:left w:val="single" w:color="auto" w:sz="4" w:space="0"/>
              <w:bottom w:val="single" w:color="auto" w:sz="4" w:space="0"/>
              <w:right w:val="single" w:color="auto" w:sz="4" w:space="0"/>
            </w:tcBorders>
            <w:vAlign w:val="center"/>
          </w:tcP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预算控制率</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7</w:t>
            </w:r>
          </w:p>
        </w:tc>
        <w:tc>
          <w:tcPr>
            <w:tcW w:w="5251"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b/>
                <w:kern w:val="0"/>
                <w:sz w:val="20"/>
                <w:szCs w:val="20"/>
              </w:rPr>
            </w:pPr>
            <w:r>
              <w:rPr>
                <w:rFonts w:hint="eastAsia" w:ascii="宋体" w:cs="宋体"/>
                <w:b/>
                <w:kern w:val="0"/>
                <w:sz w:val="20"/>
                <w:szCs w:val="20"/>
              </w:rPr>
              <w:t>预算控制率（本年追加预算/年初预算数）=0，计7分；0-10%（含），计6分；10-20%（含），计5分；20-30%（含），计3分；大于30%不得分。</w:t>
            </w: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tc>
        <w:tc>
          <w:tcPr>
            <w:tcW w:w="675" w:type="dxa"/>
            <w:vMerge w:val="continue"/>
            <w:tcBorders>
              <w:top w:val="single" w:color="auto" w:sz="4" w:space="0"/>
              <w:left w:val="single" w:color="auto" w:sz="4" w:space="0"/>
              <w:bottom w:val="single" w:color="auto" w:sz="4" w:space="0"/>
              <w:right w:val="single" w:color="auto" w:sz="4" w:space="0"/>
            </w:tcBorders>
            <w:vAlign w:val="center"/>
          </w:tcP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预算管理</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ascii="宋体" w:cs="宋体"/>
                <w:b/>
                <w:kern w:val="0"/>
                <w:sz w:val="20"/>
                <w:szCs w:val="20"/>
              </w:rPr>
              <w:t>36</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公用经费控制率</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6</w:t>
            </w:r>
          </w:p>
        </w:tc>
        <w:tc>
          <w:tcPr>
            <w:tcW w:w="5251" w:type="dxa"/>
            <w:tcBorders>
              <w:top w:val="nil"/>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公用经费控制率=实际支出公用经费/预算安排公用经费*100%；100%以下（含）计满分，每超出1%扣1分，扣完为止。</w:t>
            </w: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7"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tc>
        <w:tc>
          <w:tcPr>
            <w:tcW w:w="675" w:type="dxa"/>
            <w:vMerge w:val="continue"/>
            <w:tcBorders>
              <w:top w:val="single" w:color="auto" w:sz="4" w:space="0"/>
              <w:left w:val="single" w:color="auto" w:sz="4" w:space="0"/>
              <w:bottom w:val="single" w:color="auto" w:sz="4" w:space="0"/>
              <w:right w:val="single" w:color="auto" w:sz="4" w:space="0"/>
            </w:tcBorders>
            <w:vAlign w:val="center"/>
          </w:tcPr>
          <w:p/>
        </w:tc>
        <w:tc>
          <w:tcPr>
            <w:tcW w:w="690" w:type="dxa"/>
            <w:vMerge w:val="continue"/>
            <w:tcBorders>
              <w:top w:val="single" w:color="auto" w:sz="4" w:space="0"/>
              <w:left w:val="single" w:color="auto" w:sz="4" w:space="0"/>
              <w:bottom w:val="single" w:color="auto" w:sz="4" w:space="0"/>
              <w:right w:val="single" w:color="auto" w:sz="4" w:space="0"/>
            </w:tcBorders>
            <w:vAlign w:val="center"/>
          </w:tcPr>
          <w:p/>
        </w:tc>
        <w:tc>
          <w:tcPr>
            <w:tcW w:w="630" w:type="dxa"/>
            <w:vMerge w:val="continue"/>
            <w:tcBorders>
              <w:top w:val="single" w:color="auto" w:sz="4" w:space="0"/>
              <w:left w:val="single" w:color="auto" w:sz="4" w:space="0"/>
              <w:bottom w:val="single" w:color="auto" w:sz="4" w:space="0"/>
              <w:right w:val="single" w:color="auto" w:sz="4" w:space="0"/>
            </w:tcBorders>
            <w:vAlign w:val="center"/>
          </w:tcP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“三公经费”控制率</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6</w:t>
            </w:r>
          </w:p>
        </w:tc>
        <w:tc>
          <w:tcPr>
            <w:tcW w:w="5251" w:type="dxa"/>
            <w:tcBorders>
              <w:top w:val="nil"/>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总体控制较好，较本年预算和上年决算支出数有较大幅度下降，三公经费控制率=三公经费实际支出数/三公经费预算安排数*100%；100%以下（含）计满分，每超出1%扣1分，扣完为止。</w:t>
            </w: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tc>
        <w:tc>
          <w:tcPr>
            <w:tcW w:w="675" w:type="dxa"/>
            <w:vMerge w:val="continue"/>
            <w:tcBorders>
              <w:top w:val="single" w:color="auto" w:sz="4" w:space="0"/>
              <w:left w:val="single" w:color="auto" w:sz="4" w:space="0"/>
              <w:bottom w:val="single" w:color="auto" w:sz="4" w:space="0"/>
              <w:right w:val="single" w:color="auto" w:sz="4" w:space="0"/>
            </w:tcBorders>
            <w:vAlign w:val="center"/>
          </w:tcPr>
          <w:p/>
        </w:tc>
        <w:tc>
          <w:tcPr>
            <w:tcW w:w="690" w:type="dxa"/>
            <w:vMerge w:val="continue"/>
            <w:tcBorders>
              <w:top w:val="single" w:color="auto" w:sz="4" w:space="0"/>
              <w:left w:val="single" w:color="auto" w:sz="4" w:space="0"/>
              <w:bottom w:val="single" w:color="auto" w:sz="4" w:space="0"/>
              <w:right w:val="single" w:color="auto" w:sz="4" w:space="0"/>
            </w:tcBorders>
            <w:vAlign w:val="center"/>
          </w:tcPr>
          <w:p/>
        </w:tc>
        <w:tc>
          <w:tcPr>
            <w:tcW w:w="630" w:type="dxa"/>
            <w:vMerge w:val="continue"/>
            <w:tcBorders>
              <w:top w:val="single" w:color="auto" w:sz="4" w:space="0"/>
              <w:left w:val="single" w:color="auto" w:sz="4" w:space="0"/>
              <w:bottom w:val="single" w:color="auto" w:sz="4" w:space="0"/>
              <w:right w:val="single" w:color="auto" w:sz="4" w:space="0"/>
            </w:tcBorders>
            <w:vAlign w:val="center"/>
          </w:tcP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政府采购执行率</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5</w:t>
            </w:r>
          </w:p>
        </w:tc>
        <w:tc>
          <w:tcPr>
            <w:tcW w:w="5251" w:type="dxa"/>
            <w:tcBorders>
              <w:top w:val="nil"/>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政府采购执行率=实际政府采购金额/政府采购预算数*100%；100%计满分，每超过（降低）5%扣2分。扣完为止。</w:t>
            </w: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1" w:hRule="atLeast"/>
        </w:trPr>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675" w:type="dxa"/>
            <w:vMerge w:val="continue"/>
            <w:tcBorders>
              <w:top w:val="single" w:color="auto" w:sz="4" w:space="0"/>
              <w:left w:val="single" w:color="auto" w:sz="4" w:space="0"/>
              <w:bottom w:val="single" w:color="auto" w:sz="4" w:space="0"/>
              <w:right w:val="single" w:color="auto" w:sz="4" w:space="0"/>
            </w:tcBorders>
            <w:vAlign w:val="center"/>
          </w:tcPr>
          <w:p/>
        </w:tc>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资金使用合规性</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5</w:t>
            </w:r>
          </w:p>
        </w:tc>
        <w:tc>
          <w:tcPr>
            <w:tcW w:w="5251" w:type="dxa"/>
            <w:tcBorders>
              <w:top w:val="nil"/>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7"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tc>
        <w:tc>
          <w:tcPr>
            <w:tcW w:w="675" w:type="dxa"/>
            <w:vMerge w:val="continue"/>
            <w:tcBorders>
              <w:top w:val="single" w:color="auto" w:sz="4" w:space="0"/>
              <w:left w:val="single" w:color="auto" w:sz="4" w:space="0"/>
              <w:bottom w:val="single" w:color="auto" w:sz="4" w:space="0"/>
              <w:right w:val="single" w:color="auto" w:sz="4" w:space="0"/>
            </w:tcBorders>
            <w:vAlign w:val="center"/>
          </w:tcPr>
          <w:p/>
        </w:tc>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预决算信息公开性</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6</w:t>
            </w:r>
          </w:p>
        </w:tc>
        <w:tc>
          <w:tcPr>
            <w:tcW w:w="5251" w:type="dxa"/>
            <w:tcBorders>
              <w:top w:val="nil"/>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 xml:space="preserve">①按规定内容公开预决算信息，1.5分；②按规定时限公开预决算信息，1.5分；③基础数据信息和会计信息资料真实，1分；④基础数据信息和会计信息资料完整，1分；⑤基础数据信息和汇集信息资料准确，1分。  </w:t>
            </w: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7"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tc>
        <w:tc>
          <w:tcPr>
            <w:tcW w:w="675" w:type="dxa"/>
            <w:vMerge w:val="continue"/>
            <w:tcBorders>
              <w:top w:val="single" w:color="auto" w:sz="4" w:space="0"/>
              <w:left w:val="single" w:color="auto" w:sz="4" w:space="0"/>
              <w:bottom w:val="single" w:color="auto" w:sz="4" w:space="0"/>
              <w:right w:val="single" w:color="auto" w:sz="4" w:space="0"/>
            </w:tcBorders>
            <w:vAlign w:val="center"/>
          </w:tcPr>
          <w:p/>
        </w:tc>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管理制度健全性</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8</w:t>
            </w:r>
          </w:p>
        </w:tc>
        <w:tc>
          <w:tcPr>
            <w:tcW w:w="5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①内部财务管理制度、内部控制制度、会计核算制度等管理制度，2分；②有本部门厉行节约制度,2分；③相关管理制度合法、合规、完整，2分；④相关管理制度得到有效执行，有考核制度2分。</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7"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tc>
        <w:tc>
          <w:tcPr>
            <w:tcW w:w="675" w:type="dxa"/>
            <w:vMerge w:val="continue"/>
            <w:tcBorders>
              <w:top w:val="single" w:color="auto" w:sz="4" w:space="0"/>
              <w:left w:val="single" w:color="auto" w:sz="4" w:space="0"/>
              <w:bottom w:val="single" w:color="auto" w:sz="4" w:space="0"/>
              <w:right w:val="single" w:color="auto" w:sz="4" w:space="0"/>
            </w:tcBorders>
            <w:vAlign w:val="center"/>
          </w:tcPr>
          <w:p/>
        </w:tc>
        <w:tc>
          <w:tcPr>
            <w:tcW w:w="6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预算绩效开展</w:t>
            </w:r>
          </w:p>
        </w:tc>
        <w:tc>
          <w:tcPr>
            <w:tcW w:w="6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16</w:t>
            </w:r>
          </w:p>
        </w:tc>
        <w:tc>
          <w:tcPr>
            <w:tcW w:w="12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绩效目标设定情况</w:t>
            </w:r>
          </w:p>
        </w:tc>
        <w:tc>
          <w:tcPr>
            <w:tcW w:w="6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8</w:t>
            </w:r>
          </w:p>
        </w:tc>
        <w:tc>
          <w:tcPr>
            <w:tcW w:w="52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绩效目标符合规定格式要求，计2分；内容完整，充分体现“干什么”、“干到什么程度（预期效果）计3分；目标量化、具体，计3分。</w:t>
            </w:r>
          </w:p>
        </w:tc>
        <w:tc>
          <w:tcPr>
            <w:tcW w:w="6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8</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9" w:hRule="atLeast"/>
        </w:trPr>
        <w:tc>
          <w:tcPr>
            <w:tcW w:w="637" w:type="dxa"/>
            <w:vMerge w:val="continue"/>
            <w:tcBorders>
              <w:top w:val="nil"/>
              <w:left w:val="single" w:color="auto" w:sz="4" w:space="0"/>
              <w:bottom w:val="single" w:color="auto" w:sz="4" w:space="0"/>
              <w:right w:val="single" w:color="auto" w:sz="4" w:space="0"/>
            </w:tcBorders>
            <w:vAlign w:val="center"/>
          </w:tcPr>
          <w:p/>
        </w:tc>
        <w:tc>
          <w:tcPr>
            <w:tcW w:w="675" w:type="dxa"/>
            <w:vMerge w:val="continue"/>
            <w:tcBorders>
              <w:top w:val="nil"/>
              <w:left w:val="single" w:color="auto" w:sz="4" w:space="0"/>
              <w:bottom w:val="single" w:color="auto" w:sz="4" w:space="0"/>
              <w:right w:val="single" w:color="auto" w:sz="4" w:space="0"/>
            </w:tcBorders>
            <w:vAlign w:val="center"/>
          </w:tcPr>
          <w:p/>
        </w:tc>
        <w:tc>
          <w:tcPr>
            <w:tcW w:w="690" w:type="dxa"/>
            <w:vMerge w:val="continue"/>
            <w:tcBorders>
              <w:top w:val="nil"/>
              <w:left w:val="single" w:color="auto" w:sz="4" w:space="0"/>
              <w:bottom w:val="single" w:color="000000" w:sz="4" w:space="0"/>
              <w:right w:val="single" w:color="auto" w:sz="4" w:space="0"/>
            </w:tcBorders>
            <w:vAlign w:val="center"/>
          </w:tcPr>
          <w:p/>
        </w:tc>
        <w:tc>
          <w:tcPr>
            <w:tcW w:w="630" w:type="dxa"/>
            <w:vMerge w:val="continue"/>
            <w:tcBorders>
              <w:top w:val="nil"/>
              <w:left w:val="single" w:color="auto" w:sz="4" w:space="0"/>
              <w:bottom w:val="single" w:color="000000" w:sz="4" w:space="0"/>
              <w:right w:val="single" w:color="auto" w:sz="4" w:space="0"/>
            </w:tcBorders>
            <w:vAlign w:val="center"/>
          </w:tcP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项目绩效自评覆盖率</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8</w:t>
            </w:r>
          </w:p>
        </w:tc>
        <w:tc>
          <w:tcPr>
            <w:tcW w:w="5251" w:type="dxa"/>
            <w:tcBorders>
              <w:top w:val="nil"/>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覆盖率=项目支出绩效自评金额/全年项目支出金额*100%；100%计满分，每降低1%扣1分，扣完为止。</w:t>
            </w: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5" w:hRule="atLeast"/>
        </w:trPr>
        <w:tc>
          <w:tcPr>
            <w:tcW w:w="6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产出及效率</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26</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职责履行</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8</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重点工作办结率</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8</w:t>
            </w:r>
          </w:p>
        </w:tc>
        <w:tc>
          <w:tcPr>
            <w:tcW w:w="5251" w:type="dxa"/>
            <w:tcBorders>
              <w:top w:val="nil"/>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37" w:type="dxa"/>
            <w:vMerge w:val="continue"/>
            <w:tcBorders>
              <w:top w:val="nil"/>
              <w:left w:val="single" w:color="auto" w:sz="4" w:space="0"/>
              <w:bottom w:val="single" w:color="auto" w:sz="4" w:space="0"/>
              <w:right w:val="single" w:color="auto" w:sz="4" w:space="0"/>
            </w:tcBorders>
            <w:vAlign w:val="center"/>
          </w:tcPr>
          <w:p/>
        </w:tc>
        <w:tc>
          <w:tcPr>
            <w:tcW w:w="675" w:type="dxa"/>
            <w:vMerge w:val="continue"/>
            <w:tcBorders>
              <w:top w:val="nil"/>
              <w:left w:val="single" w:color="auto" w:sz="4" w:space="0"/>
              <w:bottom w:val="single" w:color="auto" w:sz="4" w:space="0"/>
              <w:right w:val="single" w:color="auto" w:sz="4" w:space="0"/>
            </w:tcBorders>
            <w:vAlign w:val="center"/>
          </w:tcPr>
          <w:p/>
        </w:tc>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履职 效益</w:t>
            </w:r>
          </w:p>
        </w:tc>
        <w:tc>
          <w:tcPr>
            <w:tcW w:w="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6</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18"/>
                <w:szCs w:val="18"/>
              </w:rPr>
            </w:pPr>
            <w:r>
              <w:rPr>
                <w:rFonts w:hint="eastAsia" w:ascii="宋体" w:cs="宋体"/>
                <w:b/>
                <w:kern w:val="0"/>
                <w:sz w:val="18"/>
                <w:szCs w:val="18"/>
              </w:rPr>
              <w:t>经济效益</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3</w:t>
            </w:r>
          </w:p>
        </w:tc>
        <w:tc>
          <w:tcPr>
            <w:tcW w:w="5251" w:type="dxa"/>
            <w:vMerge w:val="restart"/>
            <w:tcBorders>
              <w:top w:val="nil"/>
              <w:left w:val="nil"/>
              <w:bottom w:val="nil"/>
              <w:right w:val="nil"/>
            </w:tcBorders>
            <w:shd w:val="clear" w:color="auto" w:fill="auto"/>
            <w:vAlign w:val="center"/>
          </w:tcPr>
          <w:p>
            <w:pPr>
              <w:widowControl/>
              <w:jc w:val="center"/>
              <w:rPr>
                <w:rFonts w:ascii="宋体" w:cs="宋体"/>
                <w:b/>
                <w:color w:val="000000"/>
                <w:kern w:val="0"/>
                <w:sz w:val="20"/>
                <w:szCs w:val="20"/>
              </w:rPr>
            </w:pPr>
            <w:r>
              <w:rPr>
                <w:rFonts w:hint="eastAsia" w:ascii="宋体" w:cs="宋体"/>
                <w:b/>
                <w:color w:val="000000"/>
                <w:kern w:val="0"/>
                <w:sz w:val="20"/>
                <w:szCs w:val="20"/>
              </w:rPr>
              <w:t>对照绩效目标评价社会效益（按优6分、良4分、中2分、差0分进行评分）</w:t>
            </w:r>
          </w:p>
        </w:tc>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37" w:type="dxa"/>
            <w:vMerge w:val="continue"/>
            <w:tcBorders>
              <w:top w:val="nil"/>
              <w:left w:val="single" w:color="auto" w:sz="4" w:space="0"/>
              <w:bottom w:val="single" w:color="auto" w:sz="4" w:space="0"/>
              <w:right w:val="single" w:color="auto" w:sz="4" w:space="0"/>
            </w:tcBorders>
            <w:vAlign w:val="center"/>
          </w:tcPr>
          <w:p/>
        </w:tc>
        <w:tc>
          <w:tcPr>
            <w:tcW w:w="675" w:type="dxa"/>
            <w:vMerge w:val="continue"/>
            <w:tcBorders>
              <w:top w:val="nil"/>
              <w:left w:val="single" w:color="auto" w:sz="4" w:space="0"/>
              <w:bottom w:val="single" w:color="auto" w:sz="4" w:space="0"/>
              <w:right w:val="single" w:color="auto" w:sz="4" w:space="0"/>
            </w:tcBorders>
            <w:vAlign w:val="center"/>
          </w:tcPr>
          <w:p/>
        </w:tc>
        <w:tc>
          <w:tcPr>
            <w:tcW w:w="690" w:type="dxa"/>
            <w:vMerge w:val="continue"/>
            <w:tcBorders>
              <w:top w:val="nil"/>
              <w:left w:val="single" w:color="auto" w:sz="4" w:space="0"/>
              <w:bottom w:val="single" w:color="auto" w:sz="4" w:space="0"/>
              <w:right w:val="single" w:color="auto" w:sz="4" w:space="0"/>
            </w:tcBorders>
            <w:vAlign w:val="center"/>
          </w:tcPr>
          <w:p/>
        </w:tc>
        <w:tc>
          <w:tcPr>
            <w:tcW w:w="630" w:type="dxa"/>
            <w:vMerge w:val="continue"/>
            <w:tcBorders>
              <w:top w:val="nil"/>
              <w:left w:val="single" w:color="auto" w:sz="4" w:space="0"/>
              <w:bottom w:val="single" w:color="auto" w:sz="4" w:space="0"/>
              <w:right w:val="single" w:color="auto" w:sz="4" w:space="0"/>
            </w:tcBorders>
            <w:vAlign w:val="center"/>
          </w:tcP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18"/>
                <w:szCs w:val="18"/>
              </w:rPr>
            </w:pPr>
            <w:r>
              <w:rPr>
                <w:rFonts w:hint="eastAsia" w:ascii="宋体" w:cs="宋体"/>
                <w:b/>
                <w:kern w:val="0"/>
                <w:sz w:val="18"/>
                <w:szCs w:val="18"/>
              </w:rPr>
              <w:t>社会效益</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3</w:t>
            </w:r>
          </w:p>
        </w:tc>
        <w:tc>
          <w:tcPr>
            <w:tcW w:w="5251" w:type="dxa"/>
            <w:vMerge w:val="continue"/>
            <w:tcBorders>
              <w:top w:val="nil"/>
              <w:left w:val="nil"/>
              <w:bottom w:val="nil"/>
              <w:right w:val="nil"/>
            </w:tcBorders>
            <w:vAlign w:val="center"/>
          </w:tcPr>
          <w:p/>
        </w:tc>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637" w:type="dxa"/>
            <w:vMerge w:val="continue"/>
            <w:tcBorders>
              <w:top w:val="nil"/>
              <w:left w:val="single" w:color="auto" w:sz="4" w:space="0"/>
              <w:bottom w:val="single" w:color="auto" w:sz="4" w:space="0"/>
              <w:right w:val="single" w:color="auto" w:sz="4" w:space="0"/>
            </w:tcBorders>
            <w:vAlign w:val="center"/>
          </w:tcPr>
          <w:p/>
        </w:tc>
        <w:tc>
          <w:tcPr>
            <w:tcW w:w="675" w:type="dxa"/>
            <w:vMerge w:val="continue"/>
            <w:tcBorders>
              <w:top w:val="nil"/>
              <w:left w:val="single" w:color="auto" w:sz="4" w:space="0"/>
              <w:bottom w:val="single" w:color="auto" w:sz="4" w:space="0"/>
              <w:right w:val="single" w:color="auto" w:sz="4" w:space="0"/>
            </w:tcBorders>
            <w:vAlign w:val="center"/>
          </w:tcPr>
          <w:p/>
        </w:tc>
        <w:tc>
          <w:tcPr>
            <w:tcW w:w="690" w:type="dxa"/>
            <w:vMerge w:val="continue"/>
            <w:tcBorders>
              <w:top w:val="nil"/>
              <w:left w:val="single" w:color="auto" w:sz="4" w:space="0"/>
              <w:bottom w:val="single" w:color="auto" w:sz="4" w:space="0"/>
              <w:right w:val="single" w:color="auto" w:sz="4" w:space="0"/>
            </w:tcBorders>
            <w:vAlign w:val="center"/>
          </w:tcPr>
          <w:p/>
        </w:tc>
        <w:tc>
          <w:tcPr>
            <w:tcW w:w="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12</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机关工作整体满意度</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6</w:t>
            </w:r>
          </w:p>
        </w:tc>
        <w:tc>
          <w:tcPr>
            <w:tcW w:w="52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根据区委年度考核结果计分，优秀得6分，良好得4分，合格得2分，不合格0分。</w:t>
            </w: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637" w:type="dxa"/>
            <w:vMerge w:val="continue"/>
            <w:tcBorders>
              <w:top w:val="nil"/>
              <w:left w:val="single" w:color="auto" w:sz="4" w:space="0"/>
              <w:bottom w:val="single" w:color="auto" w:sz="4" w:space="0"/>
              <w:right w:val="single" w:color="auto" w:sz="4" w:space="0"/>
            </w:tcBorders>
            <w:vAlign w:val="center"/>
          </w:tcPr>
          <w:p/>
        </w:tc>
        <w:tc>
          <w:tcPr>
            <w:tcW w:w="675" w:type="dxa"/>
            <w:vMerge w:val="continue"/>
            <w:tcBorders>
              <w:top w:val="nil"/>
              <w:left w:val="single" w:color="auto" w:sz="4" w:space="0"/>
              <w:bottom w:val="single" w:color="auto" w:sz="4" w:space="0"/>
              <w:right w:val="single" w:color="auto" w:sz="4" w:space="0"/>
            </w:tcBorders>
            <w:vAlign w:val="center"/>
          </w:tcPr>
          <w:p/>
        </w:tc>
        <w:tc>
          <w:tcPr>
            <w:tcW w:w="690" w:type="dxa"/>
            <w:vMerge w:val="continue"/>
            <w:tcBorders>
              <w:top w:val="nil"/>
              <w:left w:val="single" w:color="auto" w:sz="4" w:space="0"/>
              <w:bottom w:val="single" w:color="auto" w:sz="4" w:space="0"/>
              <w:right w:val="single" w:color="auto" w:sz="4" w:space="0"/>
            </w:tcBorders>
            <w:vAlign w:val="center"/>
          </w:tcPr>
          <w:p/>
        </w:tc>
        <w:tc>
          <w:tcPr>
            <w:tcW w:w="630" w:type="dxa"/>
            <w:vMerge w:val="continue"/>
            <w:tcBorders>
              <w:top w:val="nil"/>
              <w:left w:val="single" w:color="auto" w:sz="4" w:space="0"/>
              <w:bottom w:val="single" w:color="auto" w:sz="4" w:space="0"/>
              <w:right w:val="single" w:color="auto" w:sz="4" w:space="0"/>
            </w:tcBorders>
            <w:vAlign w:val="center"/>
          </w:tcP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社会公众</w:t>
            </w:r>
            <w:r>
              <w:rPr>
                <w:rFonts w:ascii="宋体" w:cs="宋体"/>
                <w:b/>
                <w:kern w:val="0"/>
                <w:sz w:val="20"/>
                <w:szCs w:val="20"/>
              </w:rPr>
              <w:t>或</w:t>
            </w:r>
            <w:r>
              <w:rPr>
                <w:rFonts w:hint="eastAsia" w:ascii="宋体" w:cs="宋体"/>
                <w:b/>
                <w:kern w:val="0"/>
                <w:sz w:val="20"/>
                <w:szCs w:val="20"/>
              </w:rPr>
              <w:t>服务对象满意度</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kern w:val="0"/>
                <w:sz w:val="20"/>
                <w:szCs w:val="20"/>
              </w:rPr>
            </w:pPr>
            <w:r>
              <w:rPr>
                <w:rFonts w:hint="eastAsia" w:ascii="宋体" w:cs="宋体"/>
                <w:b/>
                <w:kern w:val="0"/>
                <w:sz w:val="20"/>
                <w:szCs w:val="20"/>
              </w:rPr>
              <w:t>6</w:t>
            </w:r>
          </w:p>
        </w:tc>
        <w:tc>
          <w:tcPr>
            <w:tcW w:w="5251" w:type="dxa"/>
            <w:tcBorders>
              <w:top w:val="nil"/>
              <w:left w:val="nil"/>
              <w:bottom w:val="single" w:color="auto" w:sz="4" w:space="0"/>
              <w:right w:val="single" w:color="auto" w:sz="4" w:space="0"/>
            </w:tcBorders>
            <w:shd w:val="clear" w:color="auto" w:fill="auto"/>
            <w:vAlign w:val="center"/>
          </w:tcPr>
          <w:p>
            <w:pPr>
              <w:widowControl/>
              <w:jc w:val="left"/>
              <w:rPr>
                <w:rFonts w:ascii="宋体" w:cs="宋体"/>
                <w:b/>
                <w:kern w:val="0"/>
                <w:sz w:val="20"/>
                <w:szCs w:val="20"/>
              </w:rPr>
            </w:pPr>
            <w:r>
              <w:rPr>
                <w:rFonts w:hint="eastAsia" w:ascii="宋体" w:cs="宋体"/>
                <w:b/>
                <w:kern w:val="0"/>
                <w:sz w:val="20"/>
                <w:szCs w:val="20"/>
              </w:rPr>
              <w:t>90%（含）以上计6分；80%（含）-90%，计5分；70%（含）-80%，计3分；低于70%计2分。</w:t>
            </w: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eastAsia="宋体" w:cs="Times New Roman"/>
                <w:b/>
                <w:kern w:val="0"/>
                <w:sz w:val="20"/>
                <w:szCs w:val="20"/>
                <w:lang w:val="en-US" w:eastAsia="zh-CN"/>
              </w:rPr>
            </w:pPr>
            <w:r>
              <w:rPr>
                <w:rFonts w:hint="eastAsia" w:ascii="宋体" w:cs="Times New Roman"/>
                <w:b/>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合  计</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100</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　</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100</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　</w:t>
            </w:r>
          </w:p>
        </w:tc>
        <w:tc>
          <w:tcPr>
            <w:tcW w:w="607"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100</w:t>
            </w:r>
          </w:p>
        </w:tc>
        <w:tc>
          <w:tcPr>
            <w:tcW w:w="5251"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kern w:val="0"/>
                <w:sz w:val="20"/>
                <w:szCs w:val="20"/>
              </w:rPr>
            </w:pPr>
            <w:r>
              <w:rPr>
                <w:rFonts w:hint="eastAsia" w:ascii="宋体" w:cs="宋体"/>
                <w:b/>
                <w:bCs/>
                <w:kern w:val="0"/>
                <w:sz w:val="20"/>
                <w:szCs w:val="20"/>
              </w:rPr>
              <w:t>　</w:t>
            </w:r>
          </w:p>
        </w:tc>
        <w:tc>
          <w:tcPr>
            <w:tcW w:w="6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eastAsia="宋体" w:cs="Times New Roman"/>
                <w:b/>
                <w:bCs/>
                <w:kern w:val="0"/>
                <w:sz w:val="20"/>
                <w:szCs w:val="20"/>
                <w:lang w:val="en-US" w:eastAsia="zh-CN"/>
              </w:rPr>
            </w:pPr>
            <w:r>
              <w:rPr>
                <w:rFonts w:hint="eastAsia" w:ascii="宋体" w:cs="Times New Roman"/>
                <w:b/>
                <w:bCs/>
                <w:kern w:val="0"/>
                <w:sz w:val="20"/>
                <w:szCs w:val="20"/>
                <w:lang w:val="en-US" w:eastAsia="zh-CN"/>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9788" w:type="dxa"/>
            <w:gridSpan w:val="7"/>
            <w:tcBorders>
              <w:top w:val="nil"/>
              <w:left w:val="nil"/>
              <w:bottom w:val="nil"/>
              <w:right w:val="nil"/>
            </w:tcBorders>
            <w:shd w:val="clear" w:color="auto" w:fill="auto"/>
            <w:vAlign w:val="bottom"/>
          </w:tcPr>
          <w:p>
            <w:pPr>
              <w:widowControl/>
              <w:jc w:val="left"/>
              <w:rPr>
                <w:rFonts w:ascii="宋体" w:cs="宋体"/>
                <w:b/>
                <w:bCs/>
                <w:kern w:val="0"/>
                <w:sz w:val="20"/>
                <w:szCs w:val="20"/>
              </w:rPr>
            </w:pPr>
            <w:r>
              <w:rPr>
                <w:rFonts w:hint="eastAsia" w:ascii="宋体" w:cs="宋体"/>
                <w:b/>
                <w:bCs/>
                <w:kern w:val="0"/>
                <w:sz w:val="20"/>
                <w:szCs w:val="20"/>
              </w:rPr>
              <w:t>绩效评价等级：优（100-90）；良（89-80）；中（79-70）；差（70分以下）</w:t>
            </w:r>
          </w:p>
        </w:tc>
        <w:tc>
          <w:tcPr>
            <w:tcW w:w="654" w:type="dxa"/>
            <w:tcBorders>
              <w:top w:val="nil"/>
              <w:left w:val="nil"/>
              <w:bottom w:val="nil"/>
              <w:right w:val="nil"/>
            </w:tcBorders>
            <w:shd w:val="clear" w:color="auto" w:fill="auto"/>
            <w:vAlign w:val="center"/>
          </w:tcPr>
          <w:p>
            <w:pPr>
              <w:widowControl/>
              <w:jc w:val="center"/>
              <w:rPr>
                <w:rFonts w:ascii="宋体" w:cs="Times New Roman"/>
                <w:b/>
                <w:bCs/>
                <w:kern w:val="0"/>
                <w:sz w:val="20"/>
                <w:szCs w:val="20"/>
              </w:rPr>
            </w:pPr>
          </w:p>
        </w:tc>
      </w:tr>
    </w:tbl>
    <w:p>
      <w:pPr>
        <w:widowControl/>
        <w:adjustRightInd w:val="0"/>
        <w:snapToGrid w:val="0"/>
        <w:spacing w:line="560" w:lineRule="exact"/>
        <w:jc w:val="left"/>
        <w:rPr>
          <w:rFonts w:ascii="宋体" w:hAnsi="宋体" w:eastAsia="仿宋" w:cs="宋体"/>
          <w:b/>
          <w:kern w:val="0"/>
          <w:sz w:val="32"/>
          <w:szCs w:val="32"/>
        </w:rPr>
      </w:pPr>
    </w:p>
    <w:p>
      <w:pPr>
        <w:keepNext w:val="0"/>
        <w:keepLines w:val="0"/>
        <w:pageBreakBefore w:val="0"/>
        <w:widowControl w:val="0"/>
        <w:kinsoku/>
        <w:wordWrap/>
        <w:overflowPunct/>
        <w:topLinePunct w:val="0"/>
        <w:autoSpaceDE/>
        <w:autoSpaceDN/>
        <w:adjustRightInd/>
        <w:snapToGrid/>
        <w:spacing w:line="592" w:lineRule="exact"/>
        <w:jc w:val="right"/>
        <w:rPr>
          <w:rFonts w:hint="eastAsia" w:ascii="宋体" w:hAnsi="宋体" w:eastAsia="方正仿宋简体" w:cs="方正仿宋简体"/>
          <w:b/>
          <w:bCs/>
          <w:spacing w:val="6"/>
          <w:sz w:val="30"/>
          <w:szCs w:val="30"/>
        </w:rPr>
      </w:pPr>
    </w:p>
    <w:sectPr>
      <w:footerReference r:id="rId3" w:type="default"/>
      <w:footerReference r:id="rId4" w:type="even"/>
      <w:pgSz w:w="11906" w:h="16838"/>
      <w:pgMar w:top="1757" w:right="1474" w:bottom="1531" w:left="1587" w:header="851" w:footer="992" w:gutter="0"/>
      <w:pgNumType w:start="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0" w:h="199" w:hRule="exact" w:wrap="around" w:vAnchor="text" w:hAnchor="margin" w:xAlign="center" w:y="1"/>
      <w:pBdr>
        <w:top w:val="none" w:color="auto" w:sz="0" w:space="0"/>
        <w:left w:val="none" w:color="auto" w:sz="0" w:space="0"/>
        <w:bottom w:val="none" w:color="auto" w:sz="0" w:space="0"/>
        <w:right w:val="none" w:color="auto" w:sz="0" w:space="0"/>
      </w:pBdr>
    </w:pPr>
  </w:p>
  <w:p>
    <w:pPr>
      <w:pStyle w:val="5"/>
      <w:framePr w:w="0" w:h="199" w:hRule="exact" w:wrap="around" w:vAnchor="text" w:hAnchor="margin" w:xAlign="center" w:y="1"/>
      <w:pBdr>
        <w:top w:val="none" w:color="auto" w:sz="0" w:space="0"/>
        <w:left w:val="none" w:color="auto" w:sz="0" w:space="0"/>
        <w:bottom w:val="none" w:color="auto" w:sz="0" w:space="0"/>
        <w:right w:val="none" w:color="auto" w:sz="0" w:space="0"/>
      </w:pBd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0" w:wrap="around" w:vAnchor="text" w:hAnchor="margin" w:xAlign="center" w:y="1"/>
      <w:pBdr>
        <w:top w:val="none" w:color="auto" w:sz="0" w:space="0"/>
        <w:left w:val="none" w:color="auto" w:sz="0" w:space="0"/>
        <w:bottom w:val="none" w:color="auto" w:sz="0" w:space="0"/>
        <w:right w:val="none" w:color="auto" w:sz="0" w:space="0"/>
      </w:pBdr>
    </w:pPr>
    <w:r>
      <w:rPr>
        <w:rStyle w:val="8"/>
      </w:rPr>
      <w:fldChar w:fldCharType="begin"/>
    </w:r>
    <w:r>
      <w:rPr>
        <w:rStyle w:val="8"/>
      </w:rPr>
      <w:instrText xml:space="preserve">Page</w:instrText>
    </w:r>
    <w:r>
      <w:rPr>
        <w:rStyle w:val="8"/>
      </w:rPr>
      <w:fldChar w:fldCharType="separate"/>
    </w:r>
    <w:r>
      <w:rPr>
        <w:rStyle w:val="8"/>
      </w:rPr>
      <w:t>1</w:t>
    </w:r>
    <w:r>
      <w:rPr>
        <w:rStyle w:val="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134D00B9"/>
    <w:rsid w:val="28373E52"/>
    <w:rsid w:val="4B5D7340"/>
    <w:rsid w:val="6C2A065C"/>
    <w:rsid w:val="6E7F47C2"/>
    <w:rsid w:val="7FE053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9535D-3E62-4BCA-97AA-B9C4333A4DA0}">
  <ds:schemaRefs/>
</ds:datastoreItem>
</file>

<file path=docProps/app.xml><?xml version="1.0" encoding="utf-8"?>
<Properties xmlns="http://schemas.openxmlformats.org/officeDocument/2006/extended-properties" xmlns:vt="http://schemas.openxmlformats.org/officeDocument/2006/docPropsVTypes">
  <Template>Normal.eit</Template>
  <Pages>4</Pages>
  <Words>0</Words>
  <Characters>1629</Characters>
  <Lines>0</Lines>
  <Paragraphs>42</Paragraphs>
  <ScaleCrop>false</ScaleCrop>
  <LinksUpToDate>false</LinksUpToDate>
  <CharactersWithSpaces>2172</CharactersWithSpaces>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2020-08-25T07:30:00Z</dcterms:created>
  <dc:creator>lenovo</dc:creator>
  <cp:lastModifiedBy>Administrator</cp:lastModifiedBy>
  <cp:lastPrinted>2021-01-18T01:12:00Z</cp:lastPrinted>
  <dcterms:modified xsi:type="dcterms:W3CDTF">2023-03-22T06:54:38Z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