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s="Times New Roman"/>
          <w:sz w:val="30"/>
          <w:szCs w:val="30"/>
        </w:rPr>
      </w:pPr>
      <w:r>
        <w:rPr>
          <w:rFonts w:hint="eastAsia" w:ascii="Times New Roman" w:hAnsi="Times New Roman" w:cs="Times New Roman"/>
          <w:sz w:val="30"/>
          <w:szCs w:val="30"/>
        </w:rPr>
        <w:t>附件1</w:t>
      </w:r>
    </w:p>
    <w:p>
      <w:pPr>
        <w:jc w:val="center"/>
        <w:rPr>
          <w:rFonts w:ascii="Times New Roman" w:hAnsi="Times New Roman" w:cs="Times New Roman"/>
          <w:sz w:val="44"/>
          <w:szCs w:val="44"/>
        </w:rPr>
      </w:pPr>
      <w:r>
        <w:rPr>
          <w:rFonts w:ascii="Times New Roman" w:hAnsi="Times New Roman" w:cs="Times New Roman"/>
          <w:sz w:val="44"/>
          <w:szCs w:val="44"/>
        </w:rPr>
        <w:t>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pPr>
        <w:jc w:val="center"/>
        <w:rPr>
          <w:rFonts w:ascii="Times New Roman" w:hAnsi="Times New Roman" w:eastAsia="仿宋" w:cs="Times New Roman"/>
          <w:sz w:val="30"/>
          <w:szCs w:val="30"/>
        </w:rPr>
      </w:pPr>
      <w:r>
        <w:rPr>
          <w:rFonts w:ascii="Times New Roman" w:hAnsi="Times New Roman" w:eastAsia="仿宋" w:cs="Times New Roman"/>
          <w:sz w:val="30"/>
          <w:szCs w:val="30"/>
        </w:rPr>
        <w:t>（202</w:t>
      </w:r>
      <w:r>
        <w:rPr>
          <w:rFonts w:hint="eastAsia" w:ascii="Times New Roman" w:hAnsi="Times New Roman" w:eastAsia="仿宋" w:cs="Times New Roman"/>
          <w:sz w:val="30"/>
          <w:szCs w:val="30"/>
          <w:lang w:val="en-US" w:eastAsia="zh-CN"/>
        </w:rPr>
        <w:t>1</w:t>
      </w:r>
      <w:r>
        <w:rPr>
          <w:rFonts w:ascii="Times New Roman" w:hAnsi="Times New Roman" w:eastAsia="仿宋" w:cs="Times New Roman"/>
          <w:sz w:val="30"/>
          <w:szCs w:val="30"/>
        </w:rPr>
        <w:t>年度）</w:t>
      </w:r>
    </w:p>
    <w:p>
      <w:pPr>
        <w:rPr>
          <w:rFonts w:ascii="Times New Roman" w:hAnsi="Times New Roman" w:eastAsia="仿宋" w:cs="Times New Roman"/>
        </w:rPr>
      </w:pPr>
    </w:p>
    <w:p>
      <w:pPr>
        <w:rPr>
          <w:rFonts w:ascii="Times New Roman" w:hAnsi="Times New Roman" w:eastAsia="仿宋" w:cs="Times New Roman"/>
        </w:rPr>
      </w:pPr>
    </w:p>
    <w:p>
      <w:pPr>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hint="eastAsia" w:ascii="Times New Roman" w:hAnsi="Times New Roman" w:eastAsia="仿宋" w:cs="Times New Roman"/>
          <w:sz w:val="44"/>
          <w:szCs w:val="44"/>
        </w:rPr>
        <w:t>☑</w:t>
      </w:r>
      <w:r>
        <w:rPr>
          <w:rFonts w:ascii="Times New Roman" w:hAnsi="Times New Roman" w:eastAsia="仿宋" w:cs="Times New Roman"/>
          <w:sz w:val="32"/>
          <w:szCs w:val="32"/>
        </w:rPr>
        <w:t xml:space="preserve">直接组织评价        </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ind w:firstLine="1920" w:firstLineChars="600"/>
        <w:rPr>
          <w:rFonts w:ascii="Times New Roman" w:hAnsi="Times New Roman" w:eastAsia="仿宋" w:cs="Times New Roman"/>
          <w:sz w:val="32"/>
          <w:szCs w:val="32"/>
        </w:rPr>
      </w:pPr>
    </w:p>
    <w:p>
      <w:pPr>
        <w:ind w:firstLine="1920" w:firstLineChars="600"/>
        <w:rPr>
          <w:rFonts w:ascii="Times New Roman" w:hAnsi="Times New Roman" w:eastAsia="仿宋" w:cs="Times New Roman"/>
          <w:sz w:val="32"/>
          <w:szCs w:val="32"/>
        </w:rPr>
      </w:pPr>
    </w:p>
    <w:p>
      <w:pPr>
        <w:ind w:firstLine="1920" w:firstLineChars="600"/>
        <w:rPr>
          <w:rFonts w:ascii="Times New Roman" w:hAnsi="Times New Roman" w:eastAsia="仿宋" w:cs="Times New Roman"/>
          <w:sz w:val="32"/>
          <w:szCs w:val="32"/>
        </w:rPr>
      </w:pPr>
    </w:p>
    <w:p>
      <w:pPr>
        <w:ind w:firstLine="640" w:firstLineChars="200"/>
        <w:rPr>
          <w:rFonts w:ascii="Times New Roman" w:hAnsi="Times New Roman" w:eastAsia="仿宋" w:cs="Times New Roman"/>
          <w:sz w:val="32"/>
          <w:szCs w:val="32"/>
          <w:u w:val="single"/>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u w:val="single"/>
          <w:lang w:val="en-US" w:eastAsia="zh-CN"/>
        </w:rPr>
        <w:t>丰南区委党校</w:t>
      </w:r>
      <w:r>
        <w:rPr>
          <w:rFonts w:hint="eastAsia" w:ascii="Times New Roman" w:hAnsi="Times New Roman" w:eastAsia="仿宋" w:cs="Times New Roman"/>
          <w:sz w:val="32"/>
          <w:szCs w:val="32"/>
          <w:u w:val="single"/>
        </w:rPr>
        <w:t>（加盖公章）</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联系电话：</w:t>
      </w:r>
      <w:r>
        <w:rPr>
          <w:rFonts w:hint="eastAsia" w:ascii="Times New Roman" w:hAnsi="Times New Roman" w:eastAsia="仿宋" w:cs="Times New Roman"/>
          <w:sz w:val="32"/>
          <w:szCs w:val="32"/>
          <w:u w:val="single"/>
        </w:rPr>
        <w:t>0315-</w:t>
      </w:r>
      <w:r>
        <w:rPr>
          <w:rFonts w:hint="eastAsia" w:ascii="Times New Roman" w:hAnsi="Times New Roman" w:eastAsia="仿宋" w:cs="Times New Roman"/>
          <w:sz w:val="32"/>
          <w:szCs w:val="32"/>
          <w:u w:val="single"/>
          <w:lang w:val="en-US" w:eastAsia="zh-CN"/>
        </w:rPr>
        <w:t>8122328</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4</w:t>
      </w:r>
      <w:r>
        <w:rPr>
          <w:rFonts w:ascii="Times New Roman" w:hAnsi="Times New Roman" w:eastAsia="仿宋" w:cs="Times New Roman"/>
          <w:sz w:val="32"/>
          <w:szCs w:val="32"/>
        </w:rPr>
        <w:t xml:space="preserve">月 </w:t>
      </w:r>
      <w:r>
        <w:rPr>
          <w:rFonts w:hint="eastAsia" w:ascii="Times New Roman" w:hAnsi="Times New Roman" w:eastAsia="仿宋" w:cs="Times New Roman"/>
          <w:sz w:val="32"/>
          <w:szCs w:val="32"/>
          <w:lang w:val="en-US" w:eastAsia="zh-CN"/>
        </w:rPr>
        <w:t>15</w:t>
      </w:r>
      <w:r>
        <w:rPr>
          <w:rFonts w:ascii="Times New Roman" w:hAnsi="Times New Roman" w:eastAsia="仿宋" w:cs="Times New Roman"/>
          <w:sz w:val="32"/>
          <w:szCs w:val="32"/>
        </w:rPr>
        <w:t>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pPr>
        <w:numPr>
          <w:ilvl w:val="0"/>
          <w:numId w:val="1"/>
        </w:numPr>
        <w:ind w:firstLine="602" w:firstLineChars="200"/>
        <w:rPr>
          <w:rFonts w:ascii="Times New Roman" w:hAnsi="Times New Roman" w:eastAsia="黑体" w:cs="Times New Roman"/>
          <w:b/>
          <w:sz w:val="30"/>
          <w:szCs w:val="30"/>
        </w:rPr>
      </w:pPr>
      <w:r>
        <w:rPr>
          <w:rFonts w:ascii="Times New Roman" w:hAnsi="Times New Roman" w:eastAsia="黑体" w:cs="Times New Roman"/>
          <w:b/>
          <w:sz w:val="30"/>
          <w:szCs w:val="30"/>
        </w:rPr>
        <w:t>部门</w:t>
      </w:r>
      <w:r>
        <w:rPr>
          <w:rFonts w:hint="eastAsia" w:ascii="Times New Roman" w:hAnsi="Times New Roman" w:eastAsia="黑体" w:cs="Times New Roman"/>
          <w:b/>
          <w:sz w:val="30"/>
          <w:szCs w:val="30"/>
        </w:rPr>
        <w:t>整体</w:t>
      </w:r>
      <w:r>
        <w:rPr>
          <w:rFonts w:ascii="Times New Roman" w:hAnsi="Times New Roman" w:eastAsia="黑体" w:cs="Times New Roman"/>
          <w:b/>
          <w:sz w:val="30"/>
          <w:szCs w:val="30"/>
        </w:rPr>
        <w:t>概况</w:t>
      </w:r>
    </w:p>
    <w:p>
      <w:pPr>
        <w:pStyle w:val="16"/>
        <w:numPr>
          <w:ilvl w:val="0"/>
          <w:numId w:val="2"/>
        </w:numPr>
        <w:ind w:firstLineChars="0"/>
        <w:rPr>
          <w:rFonts w:eastAsia="仿宋"/>
          <w:b/>
          <w:sz w:val="30"/>
          <w:szCs w:val="30"/>
        </w:rPr>
      </w:pPr>
      <w:r>
        <w:rPr>
          <w:rFonts w:hint="eastAsia" w:eastAsia="仿宋"/>
          <w:b/>
          <w:sz w:val="30"/>
          <w:szCs w:val="30"/>
        </w:rPr>
        <w:t>部门主要职责职能及人员情况</w:t>
      </w:r>
    </w:p>
    <w:p>
      <w:pPr>
        <w:snapToGrid w:val="0"/>
        <w:spacing w:line="520" w:lineRule="exact"/>
        <w:ind w:firstLine="643" w:firstLineChars="200"/>
        <w:rPr>
          <w:rFonts w:ascii="仿宋_GB2312" w:hAnsi="仿宋" w:eastAsia="仿宋_GB2312"/>
          <w:sz w:val="32"/>
          <w:szCs w:val="32"/>
        </w:rPr>
      </w:pPr>
      <w:r>
        <w:rPr>
          <w:rFonts w:hint="eastAsia" w:ascii="仿宋_GB2312" w:eastAsia="仿宋_GB2312"/>
          <w:b/>
          <w:color w:val="000000"/>
          <w:sz w:val="32"/>
          <w:szCs w:val="32"/>
        </w:rPr>
        <w:t>1、部门主要职责职能：</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（1）培训和轮训全区乡科级干部和基层党员干部。</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（2）坚持马列主义、毛泽东思想、邓小平理论、科学发展观和伟大复兴中国梦为指导，坚持面向实际，面向</w:t>
      </w:r>
      <w:r>
        <w:fldChar w:fldCharType="begin"/>
      </w:r>
      <w:r>
        <w:instrText xml:space="preserve"> HYPERLINK "http://www.fengnan.gov.cn" \t "_blank" \o "丰南" </w:instrText>
      </w:r>
      <w:r>
        <w:fldChar w:fldCharType="separate"/>
      </w:r>
      <w:r>
        <w:rPr>
          <w:rFonts w:ascii="仿宋_GB2312" w:hAnsi="仿宋" w:eastAsia="仿宋_GB2312"/>
          <w:sz w:val="32"/>
          <w:szCs w:val="32"/>
        </w:rPr>
        <w:t>丰南</w:t>
      </w:r>
      <w:r>
        <w:rPr>
          <w:rFonts w:ascii="仿宋_GB2312" w:hAnsi="仿宋" w:eastAsia="仿宋_GB2312"/>
          <w:sz w:val="32"/>
          <w:szCs w:val="32"/>
        </w:rPr>
        <w:fldChar w:fldCharType="end"/>
      </w:r>
      <w:r>
        <w:rPr>
          <w:rFonts w:hint="eastAsia" w:ascii="仿宋_GB2312" w:hAnsi="仿宋" w:eastAsia="仿宋_GB2312"/>
          <w:sz w:val="32"/>
          <w:szCs w:val="32"/>
        </w:rPr>
        <w:t>深入研究和准确把握全区改革和建设中具有全面性、战略性、前瞻性重大问题，努力搞好科研工作，为区委、区政府决策服务。</w:t>
      </w:r>
    </w:p>
    <w:p>
      <w:pPr>
        <w:adjustRightInd w:val="0"/>
        <w:snapToGrid w:val="0"/>
        <w:spacing w:line="560" w:lineRule="exact"/>
        <w:ind w:left="178" w:leftChars="85" w:firstLine="540"/>
        <w:rPr>
          <w:rFonts w:hint="eastAsia" w:ascii="仿宋_GB2312" w:hAnsi="仿宋" w:eastAsia="仿宋_GB2312"/>
          <w:color w:val="000000"/>
          <w:sz w:val="32"/>
          <w:szCs w:val="32"/>
          <w:lang w:eastAsia="zh-CN"/>
        </w:rPr>
      </w:pPr>
      <w:r>
        <w:rPr>
          <w:rFonts w:hint="eastAsia" w:ascii="仿宋_GB2312" w:hAnsi="宋体" w:eastAsia="仿宋_GB2312" w:cs="宋体"/>
          <w:b/>
          <w:color w:val="000000"/>
          <w:sz w:val="32"/>
          <w:szCs w:val="32"/>
        </w:rPr>
        <w:t>2、</w:t>
      </w:r>
      <w:r>
        <w:rPr>
          <w:rFonts w:hint="eastAsia" w:ascii="仿宋_GB2312" w:hAnsi="仿宋" w:eastAsia="仿宋_GB2312"/>
          <w:b/>
          <w:bCs/>
          <w:color w:val="000000"/>
          <w:sz w:val="32"/>
          <w:szCs w:val="32"/>
        </w:rPr>
        <w:t>人员</w:t>
      </w:r>
      <w:r>
        <w:rPr>
          <w:rFonts w:hint="eastAsia" w:ascii="仿宋_GB2312" w:hAnsi="仿宋" w:eastAsia="仿宋_GB2312"/>
          <w:b/>
          <w:bCs/>
          <w:color w:val="000000"/>
          <w:sz w:val="32"/>
          <w:szCs w:val="32"/>
          <w:lang w:val="en-US" w:eastAsia="zh-CN"/>
        </w:rPr>
        <w:t>情况</w:t>
      </w:r>
    </w:p>
    <w:p>
      <w:pPr>
        <w:snapToGrid w:val="0"/>
        <w:spacing w:line="520" w:lineRule="exact"/>
        <w:ind w:firstLine="420" w:firstLineChars="200"/>
        <w:rPr>
          <w:rFonts w:ascii="仿宋" w:hAnsi="仿宋" w:eastAsia="仿宋" w:cs="Times New Roman"/>
          <w:sz w:val="30"/>
          <w:szCs w:val="30"/>
        </w:rPr>
      </w:pPr>
      <w:r>
        <w:fldChar w:fldCharType="begin"/>
      </w:r>
      <w:r>
        <w:instrText xml:space="preserve"> HYPERLINK "http://www.fengnan.gov.cn" \t "_blank" \o "丰南" </w:instrText>
      </w:r>
      <w:r>
        <w:fldChar w:fldCharType="separate"/>
      </w:r>
      <w:r>
        <w:rPr>
          <w:rFonts w:ascii="仿宋_GB2312" w:hAnsi="仿宋" w:eastAsia="仿宋_GB2312"/>
          <w:sz w:val="32"/>
          <w:szCs w:val="32"/>
        </w:rPr>
        <w:t>丰南</w:t>
      </w:r>
      <w:r>
        <w:rPr>
          <w:rFonts w:ascii="仿宋_GB2312" w:hAnsi="仿宋" w:eastAsia="仿宋_GB2312"/>
          <w:sz w:val="32"/>
          <w:szCs w:val="32"/>
        </w:rPr>
        <w:fldChar w:fldCharType="end"/>
      </w:r>
      <w:r>
        <w:rPr>
          <w:rFonts w:hint="eastAsia" w:ascii="仿宋_GB2312" w:hAnsi="仿宋" w:eastAsia="仿宋_GB2312"/>
          <w:sz w:val="32"/>
          <w:szCs w:val="32"/>
        </w:rPr>
        <w:t>区委党校属于财政全额拨款、独立核算的事业单位，单位编制数20人，到2</w:t>
      </w:r>
      <w:r>
        <w:rPr>
          <w:rFonts w:ascii="仿宋_GB2312" w:hAnsi="仿宋" w:eastAsia="仿宋_GB2312"/>
          <w:sz w:val="32"/>
          <w:szCs w:val="32"/>
        </w:rPr>
        <w:t>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年底实有在职人员</w:t>
      </w:r>
      <w:r>
        <w:rPr>
          <w:rFonts w:hint="eastAsia" w:ascii="仿宋_GB2312" w:hAnsi="仿宋" w:eastAsia="仿宋_GB2312"/>
          <w:sz w:val="32"/>
          <w:szCs w:val="32"/>
          <w:lang w:val="en-US" w:eastAsia="zh-CN"/>
        </w:rPr>
        <w:t>21</w:t>
      </w:r>
      <w:r>
        <w:rPr>
          <w:rFonts w:hint="eastAsia" w:ascii="仿宋_GB2312" w:hAnsi="仿宋" w:eastAsia="仿宋_GB2312"/>
          <w:sz w:val="32"/>
          <w:szCs w:val="32"/>
        </w:rPr>
        <w:t>人，人事代理4人，聘用制</w:t>
      </w:r>
      <w:r>
        <w:rPr>
          <w:rFonts w:hint="eastAsia" w:ascii="仿宋_GB2312" w:hAnsi="仿宋" w:eastAsia="仿宋_GB2312"/>
          <w:sz w:val="32"/>
          <w:szCs w:val="32"/>
          <w:lang w:val="en-US" w:eastAsia="zh-CN"/>
        </w:rPr>
        <w:t>2</w:t>
      </w:r>
      <w:r>
        <w:rPr>
          <w:rFonts w:hint="eastAsia" w:ascii="仿宋_GB2312" w:hAnsi="仿宋" w:eastAsia="仿宋_GB2312"/>
          <w:sz w:val="32"/>
          <w:szCs w:val="32"/>
        </w:rPr>
        <w:t>人，劳务派遣人员</w:t>
      </w:r>
      <w:r>
        <w:rPr>
          <w:rFonts w:ascii="仿宋_GB2312" w:hAnsi="仿宋" w:eastAsia="仿宋_GB2312"/>
          <w:sz w:val="32"/>
          <w:szCs w:val="32"/>
        </w:rPr>
        <w:t>8</w:t>
      </w:r>
      <w:r>
        <w:rPr>
          <w:rFonts w:hint="eastAsia" w:ascii="仿宋_GB2312" w:hAnsi="仿宋" w:eastAsia="仿宋_GB2312"/>
          <w:sz w:val="32"/>
          <w:szCs w:val="32"/>
        </w:rPr>
        <w:t>人，退休人员2</w:t>
      </w:r>
      <w:r>
        <w:rPr>
          <w:rFonts w:ascii="仿宋_GB2312" w:hAnsi="仿宋" w:eastAsia="仿宋_GB2312"/>
          <w:sz w:val="32"/>
          <w:szCs w:val="32"/>
        </w:rPr>
        <w:t>0</w:t>
      </w:r>
      <w:r>
        <w:rPr>
          <w:rFonts w:hint="eastAsia" w:ascii="仿宋_GB2312" w:hAnsi="仿宋" w:eastAsia="仿宋_GB2312"/>
          <w:sz w:val="32"/>
          <w:szCs w:val="32"/>
        </w:rPr>
        <w:t>人，遗属人员1人。</w:t>
      </w:r>
    </w:p>
    <w:p>
      <w:pPr>
        <w:ind w:firstLine="602" w:firstLineChars="200"/>
        <w:rPr>
          <w:rFonts w:ascii="Times New Roman" w:hAnsi="Times New Roman" w:eastAsia="仿宋" w:cs="Times New Roman"/>
          <w:b/>
          <w:sz w:val="30"/>
          <w:szCs w:val="30"/>
        </w:rPr>
      </w:pPr>
      <w:r>
        <w:rPr>
          <w:rFonts w:hint="eastAsia" w:ascii="Times New Roman" w:hAnsi="Times New Roman" w:eastAsia="仿宋" w:cs="Times New Roman"/>
          <w:b/>
          <w:sz w:val="30"/>
          <w:szCs w:val="30"/>
        </w:rPr>
        <w:t>（二）部门预算执行情况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部门202</w:t>
      </w:r>
      <w:r>
        <w:rPr>
          <w:rFonts w:hint="eastAsia" w:ascii="Times New Roman" w:hAnsi="Times New Roman" w:eastAsia="仿宋" w:cs="Times New Roman"/>
          <w:sz w:val="32"/>
          <w:szCs w:val="32"/>
          <w:lang w:val="en-US" w:eastAsia="zh-CN"/>
        </w:rPr>
        <w:t>1</w:t>
      </w:r>
      <w:r>
        <w:rPr>
          <w:rFonts w:ascii="Times New Roman" w:hAnsi="Times New Roman" w:eastAsia="仿宋" w:cs="Times New Roman"/>
          <w:sz w:val="32"/>
          <w:szCs w:val="32"/>
        </w:rPr>
        <w:t>年度申请预算</w:t>
      </w:r>
      <w:r>
        <w:rPr>
          <w:rFonts w:hint="eastAsia" w:ascii="Times New Roman" w:hAnsi="Times New Roman" w:eastAsia="仿宋" w:cs="Times New Roman"/>
          <w:sz w:val="32"/>
          <w:szCs w:val="32"/>
        </w:rPr>
        <w:t>资金</w:t>
      </w:r>
      <w:r>
        <w:rPr>
          <w:rFonts w:hint="eastAsia" w:eastAsia="仿宋" w:cs="宋体"/>
          <w:sz w:val="32"/>
          <w:szCs w:val="32"/>
          <w:lang w:val="en-US" w:eastAsia="zh-CN"/>
        </w:rPr>
        <w:t>533.36</w:t>
      </w:r>
      <w:r>
        <w:rPr>
          <w:rFonts w:hint="eastAsia" w:ascii="Times New Roman" w:hAnsi="Times New Roman" w:eastAsia="仿宋" w:cs="Times New Roman"/>
          <w:sz w:val="32"/>
          <w:szCs w:val="32"/>
        </w:rPr>
        <w:t>万元，实际支出</w:t>
      </w:r>
      <w:r>
        <w:rPr>
          <w:rFonts w:hint="eastAsia" w:eastAsia="仿宋" w:cs="宋体"/>
          <w:sz w:val="32"/>
          <w:szCs w:val="32"/>
          <w:lang w:val="en-US" w:eastAsia="zh-CN"/>
        </w:rPr>
        <w:t>533.36</w:t>
      </w:r>
      <w:r>
        <w:rPr>
          <w:rFonts w:hint="eastAsia" w:ascii="Times New Roman" w:hAnsi="Times New Roman" w:eastAsia="仿宋" w:cs="Times New Roman"/>
          <w:sz w:val="32"/>
          <w:szCs w:val="32"/>
        </w:rPr>
        <w:t>万元，预算执行率</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。其中：专项</w:t>
      </w:r>
      <w:r>
        <w:rPr>
          <w:rFonts w:ascii="Times New Roman" w:hAnsi="Times New Roman" w:eastAsia="仿宋" w:cs="Times New Roman"/>
          <w:sz w:val="32"/>
          <w:szCs w:val="32"/>
        </w:rPr>
        <w:t>项目3个，金额合计</w:t>
      </w:r>
      <w:r>
        <w:rPr>
          <w:rFonts w:hint="eastAsia" w:ascii="仿宋_GB2312" w:hAnsi="仿宋" w:eastAsia="仿宋_GB2312"/>
          <w:sz w:val="32"/>
          <w:szCs w:val="32"/>
          <w:lang w:val="en-US" w:eastAsia="zh-CN"/>
        </w:rPr>
        <w:t>51.1</w:t>
      </w:r>
      <w:r>
        <w:rPr>
          <w:rFonts w:ascii="Times New Roman" w:hAnsi="Times New Roman" w:eastAsia="仿宋" w:cs="Times New Roman"/>
          <w:sz w:val="32"/>
          <w:szCs w:val="32"/>
        </w:rPr>
        <w:t>万元，实际</w:t>
      </w:r>
      <w:r>
        <w:rPr>
          <w:rFonts w:hint="eastAsia" w:ascii="Times New Roman" w:hAnsi="Times New Roman" w:eastAsia="仿宋" w:cs="Times New Roman"/>
          <w:sz w:val="32"/>
          <w:szCs w:val="32"/>
        </w:rPr>
        <w:t>支出</w:t>
      </w:r>
      <w:r>
        <w:rPr>
          <w:rFonts w:hint="eastAsia" w:ascii="仿宋_GB2312" w:hAnsi="仿宋" w:eastAsia="仿宋_GB2312"/>
          <w:sz w:val="32"/>
          <w:szCs w:val="32"/>
          <w:lang w:val="en-US" w:eastAsia="zh-CN"/>
        </w:rPr>
        <w:t>49.02</w:t>
      </w:r>
      <w:r>
        <w:rPr>
          <w:rFonts w:ascii="Times New Roman" w:hAnsi="Times New Roman" w:eastAsia="仿宋" w:cs="Times New Roman"/>
          <w:sz w:val="32"/>
          <w:szCs w:val="32"/>
        </w:rPr>
        <w:t>万元，</w:t>
      </w:r>
      <w:r>
        <w:rPr>
          <w:rFonts w:hint="eastAsia" w:ascii="Times New Roman" w:hAnsi="Times New Roman" w:eastAsia="仿宋" w:cs="Times New Roman"/>
          <w:sz w:val="32"/>
          <w:szCs w:val="32"/>
        </w:rPr>
        <w:t>预算</w:t>
      </w:r>
      <w:r>
        <w:rPr>
          <w:rFonts w:ascii="Times New Roman" w:hAnsi="Times New Roman" w:eastAsia="仿宋" w:cs="Times New Roman"/>
          <w:sz w:val="32"/>
          <w:szCs w:val="32"/>
        </w:rPr>
        <w:t>执行率为</w:t>
      </w:r>
      <w:r>
        <w:rPr>
          <w:rFonts w:hint="eastAsia" w:ascii="Times New Roman" w:hAnsi="Times New Roman" w:eastAsia="仿宋" w:cs="Times New Roman"/>
          <w:sz w:val="32"/>
          <w:szCs w:val="32"/>
          <w:lang w:val="en-US" w:eastAsia="zh-CN"/>
        </w:rPr>
        <w:t>95.93</w:t>
      </w:r>
      <w:r>
        <w:rPr>
          <w:rFonts w:ascii="Times New Roman" w:hAnsi="Times New Roman" w:eastAsia="仿宋" w:cs="Times New Roman"/>
          <w:sz w:val="32"/>
          <w:szCs w:val="32"/>
        </w:rPr>
        <w:t>%。</w:t>
      </w:r>
    </w:p>
    <w:p>
      <w:pPr>
        <w:ind w:firstLine="602" w:firstLineChars="200"/>
        <w:rPr>
          <w:rFonts w:ascii="Times New Roman" w:hAnsi="Times New Roman" w:eastAsia="黑体" w:cs="Times New Roman"/>
          <w:b/>
          <w:sz w:val="30"/>
          <w:szCs w:val="30"/>
        </w:rPr>
      </w:pPr>
      <w:r>
        <w:rPr>
          <w:rFonts w:ascii="Times New Roman" w:hAnsi="Times New Roman" w:eastAsia="黑体" w:cs="Times New Roman"/>
          <w:b/>
          <w:sz w:val="30"/>
          <w:szCs w:val="30"/>
        </w:rPr>
        <w:t>二、绩效评价组织情况</w:t>
      </w:r>
    </w:p>
    <w:p>
      <w:pPr>
        <w:widowControl/>
        <w:shd w:val="clear" w:color="auto" w:fill="FFFFFF"/>
        <w:spacing w:line="580" w:lineRule="atLeast"/>
        <w:ind w:right="300" w:firstLine="640"/>
        <w:jc w:val="left"/>
        <w:rPr>
          <w:rFonts w:ascii="仿宋" w:hAnsi="仿宋" w:eastAsia="仿宋" w:cs="Times New Roman"/>
          <w:sz w:val="30"/>
          <w:szCs w:val="30"/>
        </w:rPr>
      </w:pPr>
      <w:r>
        <w:rPr>
          <w:rFonts w:ascii="仿宋" w:hAnsi="仿宋" w:eastAsia="仿宋" w:cs="Times New Roman"/>
          <w:sz w:val="30"/>
          <w:szCs w:val="30"/>
        </w:rPr>
        <w:t>本次绩效评价项目3个，</w:t>
      </w:r>
      <w:r>
        <w:rPr>
          <w:rFonts w:hint="eastAsia" w:ascii="仿宋" w:hAnsi="仿宋" w:eastAsia="仿宋" w:cs="Times New Roman"/>
          <w:sz w:val="30"/>
          <w:szCs w:val="30"/>
          <w:lang w:val="en-US" w:eastAsia="zh-CN"/>
        </w:rPr>
        <w:t>占部门项目总数的100%，</w:t>
      </w:r>
      <w:r>
        <w:rPr>
          <w:rFonts w:ascii="仿宋" w:hAnsi="仿宋" w:eastAsia="仿宋" w:cs="Times New Roman"/>
          <w:sz w:val="30"/>
          <w:szCs w:val="30"/>
        </w:rPr>
        <w:t>涉及金额</w:t>
      </w:r>
      <w:r>
        <w:rPr>
          <w:rFonts w:hint="eastAsia" w:ascii="仿宋" w:hAnsi="仿宋" w:eastAsia="仿宋" w:cs="Times New Roman"/>
          <w:sz w:val="30"/>
          <w:szCs w:val="30"/>
          <w:lang w:val="en-US" w:eastAsia="zh-CN"/>
        </w:rPr>
        <w:t>51.1</w:t>
      </w:r>
      <w:r>
        <w:rPr>
          <w:rFonts w:ascii="仿宋" w:hAnsi="仿宋" w:eastAsia="仿宋" w:cs="Times New Roman"/>
          <w:sz w:val="30"/>
          <w:szCs w:val="30"/>
        </w:rPr>
        <w:t>万元。采取成立本部门绩效自评工作组</w:t>
      </w:r>
      <w:r>
        <w:rPr>
          <w:rFonts w:hint="eastAsia" w:ascii="仿宋" w:hAnsi="仿宋" w:eastAsia="仿宋" w:cs="Times New Roman"/>
          <w:sz w:val="30"/>
          <w:szCs w:val="30"/>
        </w:rPr>
        <w:t>的</w:t>
      </w:r>
      <w:r>
        <w:rPr>
          <w:rFonts w:ascii="仿宋" w:hAnsi="仿宋" w:eastAsia="仿宋" w:cs="Times New Roman"/>
          <w:sz w:val="30"/>
          <w:szCs w:val="30"/>
        </w:rPr>
        <w:t>形式，本着客观、公正、公开的原则开展自评工作，所有项目的绩效自评均设计了合理、明晰、可考核的、关键性产出指标和效果指标。自评结果真实可靠。</w:t>
      </w:r>
    </w:p>
    <w:p>
      <w:pPr>
        <w:pStyle w:val="2"/>
        <w:ind w:firstLine="640" w:firstLineChars="200"/>
        <w:rPr>
          <w:rFonts w:hint="eastAsia" w:ascii="Times New Roman" w:hAnsi="Times New Roman" w:eastAsia="仿宋" w:cs="Times New Roman"/>
          <w:sz w:val="32"/>
          <w:szCs w:val="32"/>
          <w:lang w:bidi="ar-SA"/>
        </w:rPr>
      </w:pPr>
      <w:r>
        <w:rPr>
          <w:rFonts w:ascii="Times New Roman" w:hAnsi="Times New Roman" w:eastAsia="仿宋" w:cs="Times New Roman"/>
          <w:sz w:val="32"/>
          <w:szCs w:val="32"/>
          <w:lang w:bidi="ar-SA"/>
        </w:rPr>
        <w:t>本部门年初设定的部门</w:t>
      </w:r>
      <w:r>
        <w:rPr>
          <w:rFonts w:hint="eastAsia" w:ascii="Times New Roman" w:hAnsi="Times New Roman" w:eastAsia="仿宋" w:cs="Times New Roman"/>
          <w:sz w:val="32"/>
          <w:szCs w:val="32"/>
          <w:lang w:bidi="ar-SA"/>
        </w:rPr>
        <w:t>整体</w:t>
      </w:r>
      <w:r>
        <w:rPr>
          <w:rFonts w:ascii="Times New Roman" w:hAnsi="Times New Roman" w:eastAsia="仿宋" w:cs="Times New Roman"/>
          <w:sz w:val="32"/>
          <w:szCs w:val="32"/>
          <w:lang w:bidi="ar-SA"/>
        </w:rPr>
        <w:t>绩效指标是：</w:t>
      </w:r>
      <w:r>
        <w:rPr>
          <w:rFonts w:hint="eastAsia" w:ascii="Times New Roman" w:hAnsi="Times New Roman" w:eastAsia="仿宋" w:cs="Times New Roman"/>
          <w:sz w:val="32"/>
          <w:szCs w:val="32"/>
          <w:lang w:bidi="ar-SA"/>
        </w:rPr>
        <w:t>把学习《习近平谈治国理政》（第三卷）等党的重大理论、党的十九届五中全会精神及国民经济和社会发展第十四个五年计划等重大决策部署纳入党校教学计划。按照区委统一安排，抓好宣讲辅导工作。充分发挥党校作为干部培训主渠道、决策咨询思想库、理论宣讲主阵地作用，突出党校工作为推动高质量发展服务、为全面深化改革服务、为干部健康成长服务。立足工业经济实力较强、全民创业氛围浓厚、外向经济程度高、社会事业协调发展这四大特色，着力在课程体系建设、教学基地建设、理论宣讲、对外培训等方面形成一批独具特色的品牌项目。在发展战略上，立足党校长远发展，突出党校在培养党的执政骨干队伍方面的独特作用，坚持以教学为立校之本，以科研为强校之基，以人才为兴校之源，不断推动党校整体工作水平的提升。</w:t>
      </w:r>
    </w:p>
    <w:p>
      <w:pPr>
        <w:ind w:firstLine="602" w:firstLineChars="200"/>
        <w:rPr>
          <w:rFonts w:ascii="Times New Roman" w:hAnsi="Times New Roman" w:eastAsia="黑体" w:cs="Times New Roman"/>
          <w:b/>
          <w:sz w:val="30"/>
          <w:szCs w:val="30"/>
        </w:rPr>
      </w:pPr>
      <w:r>
        <w:rPr>
          <w:rFonts w:ascii="Times New Roman" w:hAnsi="Times New Roman" w:eastAsia="黑体" w:cs="Times New Roman"/>
          <w:b/>
          <w:sz w:val="30"/>
          <w:szCs w:val="30"/>
        </w:rPr>
        <w:t>三、</w:t>
      </w:r>
      <w:r>
        <w:rPr>
          <w:rFonts w:hint="eastAsia" w:ascii="Times New Roman" w:hAnsi="Times New Roman" w:eastAsia="黑体" w:cs="Times New Roman"/>
          <w:b/>
          <w:sz w:val="30"/>
          <w:szCs w:val="30"/>
        </w:rPr>
        <w:t>部门绩效管理开展的整体绩效实现情况</w:t>
      </w:r>
    </w:p>
    <w:p>
      <w:pPr>
        <w:spacing w:line="640" w:lineRule="exact"/>
        <w:ind w:firstLine="64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一）夯实基础，提升业务水平。坚持跟班参训，集中15天时间，跟班参加了全市乡镇（街道）党（工）委书记网班培训2期、市委党校组织的党的十九届五中全会精神师资力量专题培训3期、中央党校十九届五中全会精神解读网班培训2期、中国干部网络学院师资力量直播培训班2期。选派6名教师参加省委党校组织的教研骨干培训班；选派1名教师参加全省党校系统教学比赛。同时，按照形势需求合理设置教学培训专题，协同相关部门把党性党纪党史教育、全面从严治党、防范党的建设重大风险、国家安全观、民法典、统战工作等一并列入教学培训计划。</w:t>
      </w:r>
    </w:p>
    <w:p>
      <w:pPr>
        <w:spacing w:line="640" w:lineRule="exact"/>
        <w:ind w:firstLine="64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二）顺应形势需求，落实培训工作任务。聚焦党的理论教育、党性教育，配合上级党校和区委组织部门积极组织参与省市县乡四级网络专题培训班，选派班主任对参训学员进行全程管理；深入开展五中、六中全会精神、习近平总书记“七一”重要讲话精神和党史学习教育宣讲活动。选派了4名骨干教师作为区委宣讲团成员，深入各地各单位进行培训辅导。目前，已深入区法院、检察院、公安局、交通运输局、住建局、农业农村局、街道社区等部门和西葛、唐坊、柳树瞿阝、尖字沽、岔河、东田庄等乡镇以及部分区内重点企业开展理论宣讲和送课上门服务31场次，受益群众6500多人次，并将其作为区级文明实践中心志愿服务、党校“金思想”送学服务和党史学习教育“我为群众办实事”实践活动的重要内容。同时与区直部门合作，承接了区老科协培训班2期，党工委入党积极分子培训班1期，妇联培训班1期，政法系统培训2期。</w:t>
      </w:r>
    </w:p>
    <w:p>
      <w:pPr>
        <w:spacing w:line="640" w:lineRule="exact"/>
        <w:ind w:firstLine="64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三）发挥智能作用，提高科研工作水平。结合省、市委党校下达的科研工作任务，紧紧围绕中央和省、市、区委中心工作，组织完成了一批科研成果。去年以来，已获得唐山市社科联科研项目结项1个，获得河北省党校系统科研项目结项3个，获得国家级科研项目结项1个；发表省级理论文4篇。深入落实“四个一”工程，其中丰南区运河唐人街乡村振兴现场教学点建设项目获得省“四个一百”工程挂名项目。</w:t>
      </w:r>
    </w:p>
    <w:p>
      <w:pPr>
        <w:spacing w:line="640" w:lineRule="exact"/>
        <w:ind w:firstLine="640"/>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部门整体支出绩效自评中，通过部门整体支出绩效评价表综合得分98分，绩效评价等级为优。</w:t>
      </w:r>
    </w:p>
    <w:p>
      <w:pPr>
        <w:spacing w:line="640" w:lineRule="exact"/>
        <w:ind w:firstLine="640"/>
        <w:rPr>
          <w:rFonts w:ascii="仿宋" w:hAnsi="仿宋" w:eastAsia="仿宋"/>
          <w:sz w:val="30"/>
          <w:szCs w:val="30"/>
        </w:rPr>
      </w:pPr>
      <w:r>
        <w:rPr>
          <w:rFonts w:hint="eastAsia" w:ascii="仿宋" w:hAnsi="仿宋" w:eastAsia="仿宋" w:cs="Times New Roman"/>
          <w:sz w:val="30"/>
          <w:szCs w:val="30"/>
          <w:lang w:val="en-US" w:eastAsia="zh-CN"/>
        </w:rPr>
        <w:t>本部门项目依据充分，项目立项规范，绩效目标合理，绩效指标明确。项目资金到位及时，使用合规，符合国家财经法规和财务管理制度规定，符合部门预算批复的用途，最大限度地发挥了资金效益。财务控制有效，会计核算规范。各项工作的顺利推进，项目的绩效目标基本实现。</w:t>
      </w:r>
    </w:p>
    <w:p>
      <w:pPr>
        <w:pStyle w:val="2"/>
        <w:rPr>
          <w:rFonts w:hint="eastAsia"/>
          <w:lang w:val="en-US" w:eastAsia="zh-CN"/>
        </w:rPr>
      </w:pPr>
    </w:p>
    <w:p>
      <w:pPr>
        <w:ind w:firstLine="602" w:firstLineChars="200"/>
        <w:rPr>
          <w:rFonts w:ascii="Times New Roman" w:hAnsi="Times New Roman" w:eastAsia="黑体" w:cs="Times New Roman"/>
          <w:b/>
          <w:sz w:val="30"/>
          <w:szCs w:val="30"/>
        </w:rPr>
      </w:pPr>
      <w:r>
        <w:rPr>
          <w:rFonts w:ascii="Times New Roman" w:hAnsi="Times New Roman" w:eastAsia="黑体" w:cs="Times New Roman"/>
          <w:b/>
          <w:sz w:val="30"/>
          <w:szCs w:val="30"/>
        </w:rPr>
        <w:t>四、存在的问题和建议</w:t>
      </w:r>
    </w:p>
    <w:p>
      <w:pPr>
        <w:spacing w:line="360" w:lineRule="auto"/>
        <w:ind w:firstLine="600" w:firstLineChars="200"/>
        <w:rPr>
          <w:rFonts w:hint="eastAsia" w:ascii="仿宋" w:hAnsi="Calibri" w:eastAsia="仿宋" w:cs="仿宋"/>
          <w:kern w:val="2"/>
          <w:sz w:val="32"/>
          <w:szCs w:val="32"/>
          <w:lang w:val="en-US" w:eastAsia="zh-CN" w:bidi="ar"/>
        </w:rPr>
      </w:pPr>
      <w:r>
        <w:rPr>
          <w:rFonts w:hint="eastAsia" w:ascii="仿宋" w:hAnsi="仿宋" w:eastAsia="仿宋"/>
          <w:sz w:val="30"/>
          <w:szCs w:val="30"/>
          <w:lang w:eastAsia="zh-CN"/>
        </w:rPr>
        <w:t>存在问题：</w:t>
      </w:r>
      <w:r>
        <w:rPr>
          <w:rFonts w:hint="eastAsia" w:ascii="仿宋" w:hAnsi="Calibri" w:eastAsia="仿宋" w:cs="仿宋"/>
          <w:kern w:val="2"/>
          <w:sz w:val="32"/>
          <w:szCs w:val="32"/>
          <w:lang w:val="en-US" w:eastAsia="zh-CN" w:bidi="ar"/>
        </w:rPr>
        <w:t>由于项目绩效评价工作需要财务人员对接业务人员设定绩效目标和后期评价，专业性较强，需要反复沟通核对，工作量较大，评价的客观性内容较多，对项目的社会效果估量不足。</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lang w:eastAsia="zh-CN"/>
        </w:rPr>
        <w:t>建议：</w:t>
      </w:r>
      <w:r>
        <w:rPr>
          <w:rFonts w:hint="eastAsia" w:ascii="仿宋" w:hAnsi="仿宋" w:eastAsia="仿宋" w:cs="仿宋"/>
          <w:sz w:val="30"/>
          <w:szCs w:val="30"/>
        </w:rPr>
        <w:t>切实加强组织领导</w:t>
      </w:r>
      <w:r>
        <w:rPr>
          <w:rFonts w:hint="eastAsia" w:ascii="仿宋" w:hAnsi="仿宋" w:eastAsia="仿宋"/>
          <w:sz w:val="30"/>
          <w:szCs w:val="30"/>
        </w:rPr>
        <w:t>，规范项目工程和资金管理，加强督促协调，对</w:t>
      </w:r>
      <w:r>
        <w:rPr>
          <w:rFonts w:hint="eastAsia" w:ascii="仿宋" w:hAnsi="仿宋" w:eastAsia="仿宋"/>
          <w:sz w:val="30"/>
          <w:szCs w:val="30"/>
          <w:lang w:val="en-US" w:eastAsia="zh-CN"/>
        </w:rPr>
        <w:t>项目</w:t>
      </w:r>
      <w:r>
        <w:rPr>
          <w:rFonts w:hint="eastAsia" w:ascii="仿宋" w:hAnsi="仿宋" w:eastAsia="仿宋"/>
          <w:sz w:val="30"/>
          <w:szCs w:val="30"/>
        </w:rPr>
        <w:t>实施情况、日常管理维护情况和质量状况严格把控，保障项目及时实施完成，发挥预期效益。</w:t>
      </w:r>
    </w:p>
    <w:p>
      <w:pPr>
        <w:numPr>
          <w:ilvl w:val="0"/>
          <w:numId w:val="3"/>
        </w:numPr>
        <w:ind w:firstLine="602" w:firstLineChars="200"/>
        <w:rPr>
          <w:rFonts w:hint="eastAsia" w:ascii="Times New Roman" w:hAnsi="Times New Roman" w:eastAsia="黑体" w:cs="Times New Roman"/>
          <w:b/>
          <w:sz w:val="30"/>
          <w:szCs w:val="30"/>
          <w:lang w:val="en-US" w:eastAsia="zh-CN"/>
        </w:rPr>
      </w:pPr>
      <w:r>
        <w:rPr>
          <w:rFonts w:hint="eastAsia" w:ascii="Times New Roman" w:hAnsi="Times New Roman" w:eastAsia="黑体" w:cs="Times New Roman"/>
          <w:b/>
          <w:sz w:val="30"/>
          <w:szCs w:val="30"/>
          <w:lang w:val="en-US" w:eastAsia="zh-CN"/>
        </w:rPr>
        <w:t>其他需要说明的问题</w:t>
      </w:r>
    </w:p>
    <w:p>
      <w:pPr>
        <w:pStyle w:val="2"/>
        <w:numPr>
          <w:numId w:val="0"/>
        </w:numPr>
        <w:ind w:firstLine="600" w:firstLineChars="200"/>
        <w:rPr>
          <w:rFonts w:ascii="仿宋" w:eastAsia="仿宋" w:cs="宋体"/>
          <w:kern w:val="0"/>
          <w:sz w:val="32"/>
          <w:szCs w:val="32"/>
        </w:rPr>
      </w:pPr>
      <w:r>
        <w:rPr>
          <w:rFonts w:hint="eastAsia" w:ascii="仿宋" w:hAnsi="仿宋" w:eastAsia="仿宋"/>
          <w:sz w:val="30"/>
          <w:szCs w:val="30"/>
          <w:lang w:val="en-US" w:eastAsia="zh-CN"/>
        </w:rPr>
        <w:t>无</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w:instrText>
    </w:r>
    <w:r>
      <w:fldChar w:fldCharType="separate"/>
    </w:r>
    <w:r>
      <w:t>25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abstractNum w:abstractNumId="1">
    <w:nsid w:val="0DE369B2"/>
    <w:multiLevelType w:val="multilevel"/>
    <w:tmpl w:val="0DE369B2"/>
    <w:lvl w:ilvl="0" w:tentative="0">
      <w:start w:val="1"/>
      <w:numFmt w:val="japaneseCounting"/>
      <w:lvlText w:val="（%1）"/>
      <w:lvlJc w:val="left"/>
      <w:pPr>
        <w:ind w:left="1682" w:hanging="108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2">
    <w:nsid w:val="46EF9977"/>
    <w:multiLevelType w:val="singleLevel"/>
    <w:tmpl w:val="46EF9977"/>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ZGMwZTcyODkxOTg4MTcwYjg1YTMwZWJmNWFjNDEifQ=="/>
  </w:docVars>
  <w:rsids>
    <w:rsidRoot w:val="00FE41AC"/>
    <w:rsid w:val="00065129"/>
    <w:rsid w:val="00110314"/>
    <w:rsid w:val="00170D9E"/>
    <w:rsid w:val="001B3545"/>
    <w:rsid w:val="002173FD"/>
    <w:rsid w:val="00220401"/>
    <w:rsid w:val="00235821"/>
    <w:rsid w:val="002C54C8"/>
    <w:rsid w:val="00302B4A"/>
    <w:rsid w:val="00331CD2"/>
    <w:rsid w:val="00440CF9"/>
    <w:rsid w:val="00456021"/>
    <w:rsid w:val="00502819"/>
    <w:rsid w:val="00504D89"/>
    <w:rsid w:val="00561ADE"/>
    <w:rsid w:val="0069201A"/>
    <w:rsid w:val="006A2EAE"/>
    <w:rsid w:val="007D122C"/>
    <w:rsid w:val="00880096"/>
    <w:rsid w:val="008D0857"/>
    <w:rsid w:val="008D3B24"/>
    <w:rsid w:val="00974057"/>
    <w:rsid w:val="009E60D3"/>
    <w:rsid w:val="009F78EB"/>
    <w:rsid w:val="00AA35E5"/>
    <w:rsid w:val="00AC48F0"/>
    <w:rsid w:val="00B53E4A"/>
    <w:rsid w:val="00BC6C11"/>
    <w:rsid w:val="00BD085C"/>
    <w:rsid w:val="00C75600"/>
    <w:rsid w:val="00D5010F"/>
    <w:rsid w:val="00E32015"/>
    <w:rsid w:val="00FE41AC"/>
    <w:rsid w:val="0143677F"/>
    <w:rsid w:val="03043147"/>
    <w:rsid w:val="05EC445F"/>
    <w:rsid w:val="06035C4C"/>
    <w:rsid w:val="07842CF4"/>
    <w:rsid w:val="0AF53DB5"/>
    <w:rsid w:val="0B7E024F"/>
    <w:rsid w:val="0FE8213B"/>
    <w:rsid w:val="128554C2"/>
    <w:rsid w:val="136917E4"/>
    <w:rsid w:val="15714A54"/>
    <w:rsid w:val="17CE1BA5"/>
    <w:rsid w:val="1C4A100D"/>
    <w:rsid w:val="1DA17DCD"/>
    <w:rsid w:val="213D605E"/>
    <w:rsid w:val="250B3EE1"/>
    <w:rsid w:val="25E058A6"/>
    <w:rsid w:val="27AE55C0"/>
    <w:rsid w:val="295D53A7"/>
    <w:rsid w:val="29EA4D09"/>
    <w:rsid w:val="2D393B7E"/>
    <w:rsid w:val="31A33CBC"/>
    <w:rsid w:val="31E85B72"/>
    <w:rsid w:val="3262151A"/>
    <w:rsid w:val="32674CE9"/>
    <w:rsid w:val="32A7158A"/>
    <w:rsid w:val="357D6A45"/>
    <w:rsid w:val="37044840"/>
    <w:rsid w:val="390414E4"/>
    <w:rsid w:val="39843C01"/>
    <w:rsid w:val="39930B01"/>
    <w:rsid w:val="3A2D7A1A"/>
    <w:rsid w:val="3D112421"/>
    <w:rsid w:val="3DA037A5"/>
    <w:rsid w:val="403F72A5"/>
    <w:rsid w:val="480F57AF"/>
    <w:rsid w:val="487F6199"/>
    <w:rsid w:val="48AE5515"/>
    <w:rsid w:val="4A9F2ECE"/>
    <w:rsid w:val="502119D7"/>
    <w:rsid w:val="5060129E"/>
    <w:rsid w:val="5187285A"/>
    <w:rsid w:val="51DC0DF8"/>
    <w:rsid w:val="52D07295"/>
    <w:rsid w:val="54D538DD"/>
    <w:rsid w:val="57935AA3"/>
    <w:rsid w:val="596D4A2C"/>
    <w:rsid w:val="5A1E605A"/>
    <w:rsid w:val="5B9A056E"/>
    <w:rsid w:val="5DB26EB1"/>
    <w:rsid w:val="5E25527C"/>
    <w:rsid w:val="5EAF5C0D"/>
    <w:rsid w:val="689618A9"/>
    <w:rsid w:val="6953779A"/>
    <w:rsid w:val="6C9E6F7E"/>
    <w:rsid w:val="6F9F2AA8"/>
    <w:rsid w:val="703A69E6"/>
    <w:rsid w:val="757271FA"/>
    <w:rsid w:val="762E3982"/>
    <w:rsid w:val="7C077F70"/>
    <w:rsid w:val="7E66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UserStyle_1"/>
    <w:basedOn w:val="1"/>
    <w:qFormat/>
    <w:uiPriority w:val="0"/>
    <w:pPr>
      <w:textAlignment w:val="baseline"/>
    </w:pPr>
    <w:rPr>
      <w:sz w:val="18"/>
      <w:szCs w:val="18"/>
    </w:rPr>
  </w:style>
  <w:style w:type="paragraph" w:styleId="6">
    <w:name w:val="Normal Indent"/>
    <w:basedOn w:val="1"/>
    <w:next w:val="7"/>
    <w:qFormat/>
    <w:uiPriority w:val="0"/>
    <w:pPr>
      <w:adjustRightInd w:val="0"/>
      <w:snapToGrid w:val="0"/>
      <w:spacing w:line="360" w:lineRule="auto"/>
      <w:ind w:firstLine="420" w:firstLineChars="200"/>
      <w:jc w:val="left"/>
    </w:pPr>
    <w:rPr>
      <w:rFonts w:cs="Times New Roman"/>
      <w:sz w:val="28"/>
      <w:szCs w:val="21"/>
    </w:rPr>
  </w:style>
  <w:style w:type="paragraph" w:styleId="7">
    <w:name w:val="Normal (Web)"/>
    <w:basedOn w:val="1"/>
    <w:next w:val="8"/>
    <w:qFormat/>
    <w:uiPriority w:val="0"/>
    <w:pPr>
      <w:adjustRightInd w:val="0"/>
      <w:snapToGrid w:val="0"/>
      <w:spacing w:beforeAutospacing="1" w:afterAutospacing="1" w:line="360" w:lineRule="auto"/>
      <w:ind w:firstLine="880" w:firstLineChars="200"/>
      <w:jc w:val="left"/>
    </w:pPr>
    <w:rPr>
      <w:rFonts w:ascii="Times New Roman" w:hAnsi="Times New Roman" w:cs="Times New Roman"/>
      <w:kern w:val="0"/>
      <w:sz w:val="24"/>
      <w:szCs w:val="24"/>
    </w:rPr>
  </w:style>
  <w:style w:type="paragraph" w:styleId="8">
    <w:name w:val="Date"/>
    <w:basedOn w:val="1"/>
    <w:next w:val="1"/>
    <w:link w:val="19"/>
    <w:qFormat/>
    <w:uiPriority w:val="0"/>
    <w:pPr>
      <w:adjustRightInd w:val="0"/>
      <w:snapToGrid w:val="0"/>
      <w:spacing w:line="360" w:lineRule="auto"/>
      <w:ind w:firstLine="880" w:firstLineChars="200"/>
      <w:jc w:val="left"/>
    </w:pPr>
    <w:rPr>
      <w:rFonts w:ascii="宋体" w:hAnsi="Times New Roman" w:cs="Times New Roman"/>
      <w:sz w:val="32"/>
      <w:szCs w:val="24"/>
    </w:rPr>
  </w:style>
  <w:style w:type="paragraph" w:styleId="9">
    <w:name w:val="annotation text"/>
    <w:basedOn w:val="1"/>
    <w:link w:val="17"/>
    <w:qFormat/>
    <w:uiPriority w:val="0"/>
    <w:pPr>
      <w:adjustRightInd w:val="0"/>
      <w:snapToGrid w:val="0"/>
      <w:spacing w:line="600" w:lineRule="exact"/>
      <w:ind w:firstLine="200" w:firstLineChars="200"/>
      <w:jc w:val="left"/>
    </w:pPr>
    <w:rPr>
      <w:rFonts w:ascii="Times New Roman" w:hAnsi="Times New Roman" w:cs="Times New Roman"/>
      <w:sz w:val="28"/>
      <w:szCs w:val="24"/>
    </w:rPr>
  </w:style>
  <w:style w:type="paragraph" w:styleId="10">
    <w:name w:val="Body Text"/>
    <w:basedOn w:val="1"/>
    <w:link w:val="21"/>
    <w:semiHidden/>
    <w:unhideWhenUsed/>
    <w:uiPriority w:val="99"/>
    <w:pPr>
      <w:spacing w:after="120" w:afterLines="0" w:afterAutospacing="0"/>
    </w:pPr>
  </w:style>
  <w:style w:type="paragraph" w:styleId="11">
    <w:name w:val="Body Text Indent"/>
    <w:basedOn w:val="1"/>
    <w:link w:val="18"/>
    <w:qFormat/>
    <w:uiPriority w:val="0"/>
    <w:pPr>
      <w:adjustRightInd w:val="0"/>
      <w:snapToGrid w:val="0"/>
      <w:spacing w:after="120" w:line="360" w:lineRule="auto"/>
      <w:ind w:left="420" w:leftChars="200" w:firstLine="880" w:firstLineChars="200"/>
      <w:jc w:val="left"/>
    </w:pPr>
    <w:rPr>
      <w:rFonts w:ascii="Times New Roman" w:hAnsi="Times New Roman" w:cs="Times New Roman"/>
      <w:sz w:val="28"/>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Paragraph"/>
    <w:basedOn w:val="1"/>
    <w:qFormat/>
    <w:uiPriority w:val="0"/>
    <w:pPr>
      <w:ind w:firstLine="200" w:firstLineChars="200"/>
    </w:pPr>
    <w:rPr>
      <w:rFonts w:ascii="Times New Roman" w:hAnsi="Times New Roman" w:eastAsia="仿宋_GB2312" w:cs="Times New Roman"/>
      <w:sz w:val="32"/>
      <w:szCs w:val="32"/>
    </w:rPr>
  </w:style>
  <w:style w:type="character" w:customStyle="1" w:styleId="17">
    <w:name w:val="批注文字 Char"/>
    <w:basedOn w:val="15"/>
    <w:link w:val="9"/>
    <w:qFormat/>
    <w:uiPriority w:val="0"/>
    <w:rPr>
      <w:kern w:val="2"/>
      <w:sz w:val="28"/>
      <w:szCs w:val="24"/>
    </w:rPr>
  </w:style>
  <w:style w:type="character" w:customStyle="1" w:styleId="18">
    <w:name w:val="正文文本缩进 Char"/>
    <w:basedOn w:val="15"/>
    <w:link w:val="11"/>
    <w:qFormat/>
    <w:uiPriority w:val="0"/>
    <w:rPr>
      <w:kern w:val="2"/>
      <w:sz w:val="28"/>
      <w:szCs w:val="24"/>
    </w:rPr>
  </w:style>
  <w:style w:type="character" w:customStyle="1" w:styleId="19">
    <w:name w:val="日期 Char"/>
    <w:basedOn w:val="15"/>
    <w:link w:val="8"/>
    <w:qFormat/>
    <w:uiPriority w:val="0"/>
    <w:rPr>
      <w:rFonts w:ascii="宋体"/>
      <w:kern w:val="2"/>
      <w:sz w:val="32"/>
      <w:szCs w:val="24"/>
    </w:rPr>
  </w:style>
  <w:style w:type="character" w:customStyle="1" w:styleId="20">
    <w:name w:val="hei141"/>
    <w:basedOn w:val="15"/>
    <w:qFormat/>
    <w:uiPriority w:val="0"/>
    <w:rPr>
      <w:rFonts w:ascii="宋体" w:hAnsi="宋体" w:eastAsia="宋体" w:cs="Times New Roman"/>
      <w:color w:val="000000"/>
      <w:sz w:val="19"/>
      <w:szCs w:val="19"/>
      <w:u w:val="none"/>
    </w:rPr>
  </w:style>
  <w:style w:type="character" w:customStyle="1" w:styleId="21">
    <w:name w:val="正文文本 Char"/>
    <w:basedOn w:val="15"/>
    <w:link w:val="10"/>
    <w:qFormat/>
    <w:uiPriority w:val="0"/>
    <w:rPr>
      <w:rFonts w:hint="default" w:ascii="Calibri" w:hAnsi="Calibri" w:eastAsia="宋体" w:cs="Arial"/>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2036</Words>
  <Characters>2100</Characters>
  <Lines>93</Lines>
  <Paragraphs>26</Paragraphs>
  <TotalTime>2</TotalTime>
  <ScaleCrop>false</ScaleCrop>
  <LinksUpToDate>false</LinksUpToDate>
  <CharactersWithSpaces>2119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2019-12-30T03:34:00Z</dcterms:created>
  <dc:creator>admin</dc:creator>
  <cp:lastModifiedBy>郑昉</cp:lastModifiedBy>
  <cp:lastPrinted>2022-05-26T00:26:39Z</cp:lastPrinted>
  <dcterms:modified xsi:type="dcterms:W3CDTF">2022-05-26T00:30:00Z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554117D09F354EF1A1CC67B1C41DEE43</vt:lpwstr>
  </property>
</Properties>
</file>