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一、唐山市丰南区信访局本级收支预算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一、唐山市丰南区信访局本级收支预算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716.43</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587.46</w:t>
            </w: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53.97</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39.18</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35.82</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716.43</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716.43</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716.43</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716.43</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304001唐山市丰南区信访局本级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716.43</w:t>
            </w:r>
          </w:p>
        </w:tc>
        <w:tc>
          <w:tcPr>
            <w:tcW w:w="1134" w:type="dxa"/>
            <w:tcBorders>
              <w:left w:val="single" w:sz="6" w:space="0" w:color="auto"/>
              <w:right w:val="single" w:sz="6" w:space="0" w:color="auto"/>
            </w:tcBorders>
            <w:vAlign w:val="center"/>
          </w:tcPr>
          <w:p>
            <w:pPr>
              <w:pStyle w:val="23"/>
            </w:pPr>
            <w:r>
              <w:t>716.43</w:t>
            </w:r>
          </w:p>
        </w:tc>
        <w:tc>
          <w:tcPr>
            <w:tcW w:w="1134" w:type="dxa"/>
            <w:tcBorders>
              <w:left w:val="single" w:sz="6" w:space="0" w:color="auto"/>
              <w:right w:val="single" w:sz="6" w:space="0" w:color="auto"/>
            </w:tcBorders>
            <w:vAlign w:val="center"/>
          </w:tcPr>
          <w:p>
            <w:pPr>
              <w:pStyle w:val="23"/>
            </w:pPr>
            <w:r>
              <w:t>716.43</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1559" w:type="dxa"/>
            <w:tcBorders>
              <w:left w:val="single" w:sz="6" w:space="0" w:color="auto"/>
              <w:right w:val="single" w:sz="6" w:space="0" w:color="auto"/>
            </w:tcBorders>
            <w:vAlign w:val="center"/>
          </w:tcPr>
          <w:p>
            <w:pPr>
              <w:pStyle w:val="20"/>
            </w:pPr>
            <w:r>
              <w:t>一般公共服务支出</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20140</w:t>
            </w:r>
          </w:p>
        </w:tc>
        <w:tc>
          <w:tcPr>
            <w:tcW w:w="1559" w:type="dxa"/>
            <w:tcBorders>
              <w:left w:val="single" w:sz="6" w:space="0" w:color="auto"/>
              <w:right w:val="single" w:sz="6" w:space="0" w:color="auto"/>
            </w:tcBorders>
            <w:vAlign w:val="center"/>
          </w:tcPr>
          <w:p>
            <w:pPr>
              <w:pStyle w:val="20"/>
            </w:pPr>
            <w:r>
              <w:t>信访事务</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r>
              <w:t>587.46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2014001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324.46</w:t>
            </w:r>
          </w:p>
        </w:tc>
        <w:tc>
          <w:tcPr>
            <w:tcW w:w="1134" w:type="dxa"/>
            <w:tcBorders>
              <w:left w:val="single" w:sz="6" w:space="0" w:color="auto"/>
              <w:right w:val="single" w:sz="6" w:space="0" w:color="auto"/>
            </w:tcBorders>
            <w:vAlign w:val="center"/>
          </w:tcPr>
          <w:p>
            <w:pPr>
              <w:pStyle w:val="19"/>
            </w:pPr>
            <w:r>
              <w:t>324.46</w:t>
            </w:r>
          </w:p>
        </w:tc>
        <w:tc>
          <w:tcPr>
            <w:tcW w:w="1134" w:type="dxa"/>
            <w:tcBorders>
              <w:left w:val="single" w:sz="6" w:space="0" w:color="auto"/>
              <w:right w:val="single" w:sz="6" w:space="0" w:color="auto"/>
            </w:tcBorders>
            <w:vAlign w:val="center"/>
          </w:tcPr>
          <w:p>
            <w:pPr>
              <w:pStyle w:val="19"/>
            </w:pPr>
            <w:r>
              <w:t>324.46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2014004</w:t>
            </w:r>
          </w:p>
        </w:tc>
        <w:tc>
          <w:tcPr>
            <w:tcW w:w="1559" w:type="dxa"/>
            <w:tcBorders>
              <w:left w:val="single" w:sz="6" w:space="0" w:color="auto"/>
              <w:right w:val="single" w:sz="6" w:space="0" w:color="auto"/>
            </w:tcBorders>
            <w:vAlign w:val="center"/>
          </w:tcPr>
          <w:p>
            <w:pPr>
              <w:pStyle w:val="20"/>
            </w:pPr>
            <w:r>
              <w:t>信访业务</w:t>
            </w:r>
          </w:p>
        </w:tc>
        <w:tc>
          <w:tcPr>
            <w:tcW w:w="1134" w:type="dxa"/>
            <w:tcBorders>
              <w:left w:val="single" w:sz="6" w:space="0" w:color="auto"/>
              <w:right w:val="single" w:sz="6" w:space="0" w:color="auto"/>
            </w:tcBorders>
            <w:vAlign w:val="center"/>
          </w:tcPr>
          <w:p>
            <w:pPr>
              <w:pStyle w:val="19"/>
            </w:pPr>
            <w:r>
              <w:t>263.00</w:t>
            </w:r>
          </w:p>
        </w:tc>
        <w:tc>
          <w:tcPr>
            <w:tcW w:w="1134" w:type="dxa"/>
            <w:tcBorders>
              <w:left w:val="single" w:sz="6" w:space="0" w:color="auto"/>
              <w:right w:val="single" w:sz="6" w:space="0" w:color="auto"/>
            </w:tcBorders>
            <w:vAlign w:val="center"/>
          </w:tcPr>
          <w:p>
            <w:pPr>
              <w:pStyle w:val="19"/>
            </w:pPr>
            <w:r>
              <w:t>263.00</w:t>
            </w:r>
          </w:p>
        </w:tc>
        <w:tc>
          <w:tcPr>
            <w:tcW w:w="1134" w:type="dxa"/>
            <w:tcBorders>
              <w:left w:val="single" w:sz="6" w:space="0" w:color="auto"/>
              <w:right w:val="single" w:sz="6" w:space="0" w:color="auto"/>
            </w:tcBorders>
            <w:vAlign w:val="center"/>
          </w:tcPr>
          <w:p>
            <w:pPr>
              <w:pStyle w:val="19"/>
            </w:pPr>
            <w:r>
              <w:t>263.00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r>
              <w:t>53.97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2080501</w:t>
            </w:r>
          </w:p>
        </w:tc>
        <w:tc>
          <w:tcPr>
            <w:tcW w:w="1559" w:type="dxa"/>
            <w:tcBorders>
              <w:left w:val="single" w:sz="6" w:space="0" w:color="auto"/>
              <w:right w:val="single" w:sz="6" w:space="0" w:color="auto"/>
            </w:tcBorders>
            <w:vAlign w:val="center"/>
          </w:tcPr>
          <w:p>
            <w:pPr>
              <w:pStyle w:val="20"/>
            </w:pPr>
            <w:r>
              <w:t>行政单位离退休</w:t>
            </w:r>
          </w:p>
        </w:tc>
        <w:tc>
          <w:tcPr>
            <w:tcW w:w="1134" w:type="dxa"/>
            <w:tcBorders>
              <w:left w:val="single" w:sz="6" w:space="0" w:color="auto"/>
              <w:right w:val="single" w:sz="6" w:space="0" w:color="auto"/>
            </w:tcBorders>
            <w:vAlign w:val="center"/>
          </w:tcPr>
          <w:p>
            <w:pPr>
              <w:pStyle w:val="19"/>
            </w:pPr>
            <w:r>
              <w:t>9.05</w:t>
            </w:r>
          </w:p>
        </w:tc>
        <w:tc>
          <w:tcPr>
            <w:tcW w:w="1134" w:type="dxa"/>
            <w:tcBorders>
              <w:left w:val="single" w:sz="6" w:space="0" w:color="auto"/>
              <w:right w:val="single" w:sz="6" w:space="0" w:color="auto"/>
            </w:tcBorders>
            <w:vAlign w:val="center"/>
          </w:tcPr>
          <w:p>
            <w:pPr>
              <w:pStyle w:val="19"/>
            </w:pPr>
            <w:r>
              <w:t>9.05</w:t>
            </w:r>
          </w:p>
        </w:tc>
        <w:tc>
          <w:tcPr>
            <w:tcW w:w="1134" w:type="dxa"/>
            <w:tcBorders>
              <w:left w:val="single" w:sz="6" w:space="0" w:color="auto"/>
              <w:right w:val="single" w:sz="6" w:space="0" w:color="auto"/>
            </w:tcBorders>
            <w:vAlign w:val="center"/>
          </w:tcPr>
          <w:p>
            <w:pPr>
              <w:pStyle w:val="19"/>
            </w:pPr>
            <w:r>
              <w:t>9.05</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44.92</w:t>
            </w:r>
          </w:p>
        </w:tc>
        <w:tc>
          <w:tcPr>
            <w:tcW w:w="1134" w:type="dxa"/>
            <w:tcBorders>
              <w:left w:val="single" w:sz="6" w:space="0" w:color="auto"/>
              <w:right w:val="single" w:sz="6" w:space="0" w:color="auto"/>
            </w:tcBorders>
            <w:vAlign w:val="center"/>
          </w:tcPr>
          <w:p>
            <w:pPr>
              <w:pStyle w:val="19"/>
            </w:pPr>
            <w:r>
              <w:t>44.92</w:t>
            </w:r>
          </w:p>
        </w:tc>
        <w:tc>
          <w:tcPr>
            <w:tcW w:w="1134" w:type="dxa"/>
            <w:tcBorders>
              <w:left w:val="single" w:sz="6" w:space="0" w:color="auto"/>
              <w:right w:val="single" w:sz="6" w:space="0" w:color="auto"/>
            </w:tcBorders>
            <w:vAlign w:val="center"/>
          </w:tcPr>
          <w:p>
            <w:pPr>
              <w:pStyle w:val="19"/>
            </w:pPr>
            <w:r>
              <w:t>44.92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r>
              <w:t>39.18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2101101</w:t>
            </w:r>
          </w:p>
        </w:tc>
        <w:tc>
          <w:tcPr>
            <w:tcW w:w="1559" w:type="dxa"/>
            <w:tcBorders>
              <w:left w:val="single" w:sz="6" w:space="0" w:color="auto"/>
              <w:right w:val="single" w:sz="6" w:space="0" w:color="auto"/>
            </w:tcBorders>
            <w:vAlign w:val="center"/>
          </w:tcPr>
          <w:p>
            <w:pPr>
              <w:pStyle w:val="20"/>
            </w:pPr>
            <w:r>
              <w:t>行政单位医疗</w:t>
            </w:r>
          </w:p>
        </w:tc>
        <w:tc>
          <w:tcPr>
            <w:tcW w:w="1134" w:type="dxa"/>
            <w:tcBorders>
              <w:left w:val="single" w:sz="6" w:space="0" w:color="auto"/>
              <w:right w:val="single" w:sz="6" w:space="0" w:color="auto"/>
            </w:tcBorders>
            <w:vAlign w:val="center"/>
          </w:tcPr>
          <w:p>
            <w:pPr>
              <w:pStyle w:val="19"/>
            </w:pPr>
            <w:r>
              <w:t>18.94</w:t>
            </w:r>
          </w:p>
        </w:tc>
        <w:tc>
          <w:tcPr>
            <w:tcW w:w="1134" w:type="dxa"/>
            <w:tcBorders>
              <w:left w:val="single" w:sz="6" w:space="0" w:color="auto"/>
              <w:right w:val="single" w:sz="6" w:space="0" w:color="auto"/>
            </w:tcBorders>
            <w:vAlign w:val="center"/>
          </w:tcPr>
          <w:p>
            <w:pPr>
              <w:pStyle w:val="19"/>
            </w:pPr>
            <w:r>
              <w:t>18.94</w:t>
            </w:r>
          </w:p>
        </w:tc>
        <w:tc>
          <w:tcPr>
            <w:tcW w:w="1134" w:type="dxa"/>
            <w:tcBorders>
              <w:left w:val="single" w:sz="6" w:space="0" w:color="auto"/>
              <w:right w:val="single" w:sz="6" w:space="0" w:color="auto"/>
            </w:tcBorders>
            <w:vAlign w:val="center"/>
          </w:tcPr>
          <w:p>
            <w:pPr>
              <w:pStyle w:val="19"/>
            </w:pPr>
            <w:r>
              <w:t>18.94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20.24</w:t>
            </w:r>
          </w:p>
        </w:tc>
        <w:tc>
          <w:tcPr>
            <w:tcW w:w="1134" w:type="dxa"/>
            <w:tcBorders>
              <w:left w:val="single" w:sz="6" w:space="0" w:color="auto"/>
              <w:right w:val="single" w:sz="6" w:space="0" w:color="auto"/>
            </w:tcBorders>
            <w:vAlign w:val="center"/>
          </w:tcPr>
          <w:p>
            <w:pPr>
              <w:pStyle w:val="19"/>
            </w:pPr>
            <w:r>
              <w:t>20.24</w:t>
            </w:r>
          </w:p>
        </w:tc>
        <w:tc>
          <w:tcPr>
            <w:tcW w:w="1134" w:type="dxa"/>
            <w:tcBorders>
              <w:left w:val="single" w:sz="6" w:space="0" w:color="auto"/>
              <w:right w:val="single" w:sz="6" w:space="0" w:color="auto"/>
            </w:tcBorders>
            <w:vAlign w:val="center"/>
          </w:tcPr>
          <w:p>
            <w:pPr>
              <w:pStyle w:val="19"/>
            </w:pPr>
            <w:r>
              <w:t>20.24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r>
              <w:t>35.82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716.43</w:t>
            </w:r>
          </w:p>
        </w:tc>
        <w:tc>
          <w:tcPr>
            <w:tcW w:w="1361" w:type="dxa"/>
            <w:tcBorders>
              <w:left w:val="single" w:sz="6" w:space="0" w:color="auto"/>
              <w:right w:val="single" w:sz="6" w:space="0" w:color="auto"/>
            </w:tcBorders>
            <w:vAlign w:val="center"/>
          </w:tcPr>
          <w:p>
            <w:pPr>
              <w:pStyle w:val="23"/>
            </w:pPr>
            <w:r>
              <w:t>453.43</w:t>
            </w:r>
          </w:p>
        </w:tc>
        <w:tc>
          <w:tcPr>
            <w:tcW w:w="1361" w:type="dxa"/>
            <w:tcBorders>
              <w:left w:val="single" w:sz="6" w:space="0" w:color="auto"/>
              <w:right w:val="single" w:sz="6" w:space="0" w:color="auto"/>
            </w:tcBorders>
            <w:vAlign w:val="center"/>
          </w:tcPr>
          <w:p>
            <w:pPr>
              <w:pStyle w:val="23"/>
            </w:pPr>
            <w:r>
              <w:t>263.00</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1361" w:type="dxa"/>
            <w:tcBorders>
              <w:left w:val="single" w:sz="6" w:space="0" w:color="auto"/>
              <w:right w:val="single" w:sz="6" w:space="0" w:color="auto"/>
            </w:tcBorders>
            <w:vAlign w:val="center"/>
          </w:tcPr>
          <w:p>
            <w:pPr>
              <w:pStyle w:val="19"/>
            </w:pPr>
            <w:r>
              <w:t>587.46</w:t>
            </w:r>
          </w:p>
        </w:tc>
        <w:tc>
          <w:tcPr>
            <w:tcW w:w="1361" w:type="dxa"/>
            <w:tcBorders>
              <w:left w:val="single" w:sz="6" w:space="0" w:color="auto"/>
              <w:right w:val="single" w:sz="6" w:space="0" w:color="auto"/>
            </w:tcBorders>
            <w:vAlign w:val="center"/>
          </w:tcPr>
          <w:p>
            <w:pPr>
              <w:pStyle w:val="19"/>
            </w:pPr>
            <w:r>
              <w:t>324.46</w:t>
            </w:r>
          </w:p>
        </w:tc>
        <w:tc>
          <w:tcPr>
            <w:tcW w:w="1361" w:type="dxa"/>
            <w:tcBorders>
              <w:left w:val="single" w:sz="6" w:space="0" w:color="auto"/>
              <w:right w:val="single" w:sz="6" w:space="0" w:color="auto"/>
            </w:tcBorders>
            <w:vAlign w:val="center"/>
          </w:tcPr>
          <w:p>
            <w:pPr>
              <w:pStyle w:val="19"/>
            </w:pPr>
            <w:r>
              <w:t>263.00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20140</w:t>
            </w:r>
          </w:p>
        </w:tc>
        <w:tc>
          <w:tcPr>
            <w:tcW w:w="4535" w:type="dxa"/>
            <w:tcBorders>
              <w:left w:val="single" w:sz="6" w:space="0" w:color="auto"/>
              <w:right w:val="single" w:sz="6" w:space="0" w:color="auto"/>
            </w:tcBorders>
            <w:vAlign w:val="center"/>
          </w:tcPr>
          <w:p>
            <w:pPr>
              <w:pStyle w:val="20"/>
            </w:pPr>
            <w:r>
              <w:t>信访事务</w:t>
            </w:r>
          </w:p>
        </w:tc>
        <w:tc>
          <w:tcPr>
            <w:tcW w:w="1361" w:type="dxa"/>
            <w:tcBorders>
              <w:left w:val="single" w:sz="6" w:space="0" w:color="auto"/>
              <w:right w:val="single" w:sz="6" w:space="0" w:color="auto"/>
            </w:tcBorders>
            <w:vAlign w:val="center"/>
          </w:tcPr>
          <w:p>
            <w:pPr>
              <w:pStyle w:val="19"/>
            </w:pPr>
            <w:r>
              <w:t>587.46</w:t>
            </w:r>
          </w:p>
        </w:tc>
        <w:tc>
          <w:tcPr>
            <w:tcW w:w="1361" w:type="dxa"/>
            <w:tcBorders>
              <w:left w:val="single" w:sz="6" w:space="0" w:color="auto"/>
              <w:right w:val="single" w:sz="6" w:space="0" w:color="auto"/>
            </w:tcBorders>
            <w:vAlign w:val="center"/>
          </w:tcPr>
          <w:p>
            <w:pPr>
              <w:pStyle w:val="19"/>
            </w:pPr>
            <w:r>
              <w:t>324.46</w:t>
            </w:r>
          </w:p>
        </w:tc>
        <w:tc>
          <w:tcPr>
            <w:tcW w:w="1361" w:type="dxa"/>
            <w:tcBorders>
              <w:left w:val="single" w:sz="6" w:space="0" w:color="auto"/>
              <w:right w:val="single" w:sz="6" w:space="0" w:color="auto"/>
            </w:tcBorders>
            <w:vAlign w:val="center"/>
          </w:tcPr>
          <w:p>
            <w:pPr>
              <w:pStyle w:val="19"/>
            </w:pPr>
            <w:r>
              <w:t>263.00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2014001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324.46</w:t>
            </w:r>
          </w:p>
        </w:tc>
        <w:tc>
          <w:tcPr>
            <w:tcW w:w="1361" w:type="dxa"/>
            <w:tcBorders>
              <w:left w:val="single" w:sz="6" w:space="0" w:color="auto"/>
              <w:right w:val="single" w:sz="6" w:space="0" w:color="auto"/>
            </w:tcBorders>
            <w:vAlign w:val="center"/>
          </w:tcPr>
          <w:p>
            <w:pPr>
              <w:pStyle w:val="19"/>
            </w:pPr>
            <w:r>
              <w:t>324.46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2014004</w:t>
            </w:r>
          </w:p>
        </w:tc>
        <w:tc>
          <w:tcPr>
            <w:tcW w:w="4535" w:type="dxa"/>
            <w:tcBorders>
              <w:left w:val="single" w:sz="6" w:space="0" w:color="auto"/>
              <w:right w:val="single" w:sz="6" w:space="0" w:color="auto"/>
            </w:tcBorders>
            <w:vAlign w:val="center"/>
          </w:tcPr>
          <w:p>
            <w:pPr>
              <w:pStyle w:val="20"/>
            </w:pPr>
            <w:r>
              <w:t>信访业务</w:t>
            </w:r>
          </w:p>
        </w:tc>
        <w:tc>
          <w:tcPr>
            <w:tcW w:w="1361" w:type="dxa"/>
            <w:tcBorders>
              <w:left w:val="single" w:sz="6" w:space="0" w:color="auto"/>
              <w:right w:val="single" w:sz="6" w:space="0" w:color="auto"/>
            </w:tcBorders>
            <w:vAlign w:val="center"/>
          </w:tcPr>
          <w:p>
            <w:pPr>
              <w:pStyle w:val="19"/>
            </w:pPr>
            <w:r>
              <w:t>263.00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263.00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53.97</w:t>
            </w:r>
          </w:p>
        </w:tc>
        <w:tc>
          <w:tcPr>
            <w:tcW w:w="1361" w:type="dxa"/>
            <w:tcBorders>
              <w:left w:val="single" w:sz="6" w:space="0" w:color="auto"/>
              <w:right w:val="single" w:sz="6" w:space="0" w:color="auto"/>
            </w:tcBorders>
            <w:vAlign w:val="center"/>
          </w:tcPr>
          <w:p>
            <w:pPr>
              <w:pStyle w:val="19"/>
            </w:pPr>
            <w:r>
              <w:t>53.97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53.97</w:t>
            </w:r>
          </w:p>
        </w:tc>
        <w:tc>
          <w:tcPr>
            <w:tcW w:w="1361" w:type="dxa"/>
            <w:tcBorders>
              <w:left w:val="single" w:sz="6" w:space="0" w:color="auto"/>
              <w:right w:val="single" w:sz="6" w:space="0" w:color="auto"/>
            </w:tcBorders>
            <w:vAlign w:val="center"/>
          </w:tcPr>
          <w:p>
            <w:pPr>
              <w:pStyle w:val="19"/>
            </w:pPr>
            <w:r>
              <w:t>53.97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1361" w:type="dxa"/>
            <w:tcBorders>
              <w:left w:val="single" w:sz="6" w:space="0" w:color="auto"/>
              <w:right w:val="single" w:sz="6" w:space="0" w:color="auto"/>
            </w:tcBorders>
            <w:vAlign w:val="center"/>
          </w:tcPr>
          <w:p>
            <w:pPr>
              <w:pStyle w:val="19"/>
            </w:pPr>
            <w:r>
              <w:t>9.05</w:t>
            </w:r>
          </w:p>
        </w:tc>
        <w:tc>
          <w:tcPr>
            <w:tcW w:w="1361" w:type="dxa"/>
            <w:tcBorders>
              <w:left w:val="single" w:sz="6" w:space="0" w:color="auto"/>
              <w:right w:val="single" w:sz="6" w:space="0" w:color="auto"/>
            </w:tcBorders>
            <w:vAlign w:val="center"/>
          </w:tcPr>
          <w:p>
            <w:pPr>
              <w:pStyle w:val="19"/>
            </w:pPr>
            <w:r>
              <w:t>9.05</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44.92</w:t>
            </w:r>
          </w:p>
        </w:tc>
        <w:tc>
          <w:tcPr>
            <w:tcW w:w="1361" w:type="dxa"/>
            <w:tcBorders>
              <w:left w:val="single" w:sz="6" w:space="0" w:color="auto"/>
              <w:right w:val="single" w:sz="6" w:space="0" w:color="auto"/>
            </w:tcBorders>
            <w:vAlign w:val="center"/>
          </w:tcPr>
          <w:p>
            <w:pPr>
              <w:pStyle w:val="19"/>
            </w:pPr>
            <w:r>
              <w:t>44.92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39.18</w:t>
            </w:r>
          </w:p>
        </w:tc>
        <w:tc>
          <w:tcPr>
            <w:tcW w:w="1361" w:type="dxa"/>
            <w:tcBorders>
              <w:left w:val="single" w:sz="6" w:space="0" w:color="auto"/>
              <w:right w:val="single" w:sz="6" w:space="0" w:color="auto"/>
            </w:tcBorders>
            <w:vAlign w:val="center"/>
          </w:tcPr>
          <w:p>
            <w:pPr>
              <w:pStyle w:val="19"/>
            </w:pPr>
            <w:r>
              <w:t>39.18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39.18</w:t>
            </w:r>
          </w:p>
        </w:tc>
        <w:tc>
          <w:tcPr>
            <w:tcW w:w="1361" w:type="dxa"/>
            <w:tcBorders>
              <w:left w:val="single" w:sz="6" w:space="0" w:color="auto"/>
              <w:right w:val="single" w:sz="6" w:space="0" w:color="auto"/>
            </w:tcBorders>
            <w:vAlign w:val="center"/>
          </w:tcPr>
          <w:p>
            <w:pPr>
              <w:pStyle w:val="19"/>
            </w:pPr>
            <w:r>
              <w:t>39.18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1361" w:type="dxa"/>
            <w:tcBorders>
              <w:left w:val="single" w:sz="6" w:space="0" w:color="auto"/>
              <w:right w:val="single" w:sz="6" w:space="0" w:color="auto"/>
            </w:tcBorders>
            <w:vAlign w:val="center"/>
          </w:tcPr>
          <w:p>
            <w:pPr>
              <w:pStyle w:val="19"/>
            </w:pPr>
            <w:r>
              <w:t>18.94</w:t>
            </w:r>
          </w:p>
        </w:tc>
        <w:tc>
          <w:tcPr>
            <w:tcW w:w="1361" w:type="dxa"/>
            <w:tcBorders>
              <w:left w:val="single" w:sz="6" w:space="0" w:color="auto"/>
              <w:right w:val="single" w:sz="6" w:space="0" w:color="auto"/>
            </w:tcBorders>
            <w:vAlign w:val="center"/>
          </w:tcPr>
          <w:p>
            <w:pPr>
              <w:pStyle w:val="19"/>
            </w:pPr>
            <w:r>
              <w:t>18.94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20.24</w:t>
            </w:r>
          </w:p>
        </w:tc>
        <w:tc>
          <w:tcPr>
            <w:tcW w:w="1361" w:type="dxa"/>
            <w:tcBorders>
              <w:left w:val="single" w:sz="6" w:space="0" w:color="auto"/>
              <w:right w:val="single" w:sz="6" w:space="0" w:color="auto"/>
            </w:tcBorders>
            <w:vAlign w:val="center"/>
          </w:tcPr>
          <w:p>
            <w:pPr>
              <w:pStyle w:val="19"/>
            </w:pPr>
            <w:r>
              <w:t>20.24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r>
              <w:t>35.82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716.43</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r>
              <w:t>587.46</w:t>
            </w:r>
          </w:p>
        </w:tc>
        <w:tc>
          <w:tcPr>
            <w:tcW w:w="1474" w:type="dxa"/>
            <w:tcBorders>
              <w:left w:val="single" w:sz="6" w:space="0" w:color="auto"/>
              <w:right w:val="single" w:sz="6" w:space="0" w:color="auto"/>
            </w:tcBorders>
            <w:vAlign w:val="center"/>
          </w:tcPr>
          <w:p>
            <w:pPr>
              <w:pStyle w:val="19"/>
            </w:pPr>
            <w:r>
              <w:t>587.46</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53.97</w:t>
            </w:r>
          </w:p>
        </w:tc>
        <w:tc>
          <w:tcPr>
            <w:tcW w:w="1474" w:type="dxa"/>
            <w:tcBorders>
              <w:left w:val="single" w:sz="6" w:space="0" w:color="auto"/>
              <w:right w:val="single" w:sz="6" w:space="0" w:color="auto"/>
            </w:tcBorders>
            <w:vAlign w:val="center"/>
          </w:tcPr>
          <w:p>
            <w:pPr>
              <w:pStyle w:val="19"/>
            </w:pPr>
            <w:r>
              <w:t>53.97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39.18</w:t>
            </w:r>
          </w:p>
        </w:tc>
        <w:tc>
          <w:tcPr>
            <w:tcW w:w="1474" w:type="dxa"/>
            <w:tcBorders>
              <w:left w:val="single" w:sz="6" w:space="0" w:color="auto"/>
              <w:right w:val="single" w:sz="6" w:space="0" w:color="auto"/>
            </w:tcBorders>
            <w:vAlign w:val="center"/>
          </w:tcPr>
          <w:p>
            <w:pPr>
              <w:pStyle w:val="19"/>
            </w:pPr>
            <w:r>
              <w:t>39.18</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35.82</w:t>
            </w:r>
          </w:p>
        </w:tc>
        <w:tc>
          <w:tcPr>
            <w:tcW w:w="1474" w:type="dxa"/>
            <w:tcBorders>
              <w:left w:val="single" w:sz="6" w:space="0" w:color="auto"/>
              <w:right w:val="single" w:sz="6" w:space="0" w:color="auto"/>
            </w:tcBorders>
            <w:vAlign w:val="center"/>
          </w:tcPr>
          <w:p>
            <w:pPr>
              <w:pStyle w:val="19"/>
            </w:pPr>
            <w:r>
              <w:t>35.82</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716.43</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716.43</w:t>
            </w:r>
          </w:p>
        </w:tc>
        <w:tc>
          <w:tcPr>
            <w:tcW w:w="1474" w:type="dxa"/>
            <w:tcBorders>
              <w:left w:val="single" w:sz="6" w:space="0" w:color="auto"/>
              <w:right w:val="single" w:sz="6" w:space="0" w:color="auto"/>
            </w:tcBorders>
            <w:vAlign w:val="center"/>
          </w:tcPr>
          <w:p>
            <w:pPr>
              <w:pStyle w:val="23"/>
            </w:pPr>
            <w:r>
              <w:t>716.43</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716.43</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716.43</w:t>
            </w:r>
          </w:p>
        </w:tc>
        <w:tc>
          <w:tcPr>
            <w:tcW w:w="1474" w:type="dxa"/>
            <w:tcBorders>
              <w:left w:val="single" w:sz="6" w:space="0" w:color="auto"/>
              <w:right w:val="single" w:sz="6" w:space="0" w:color="auto"/>
            </w:tcBorders>
            <w:vAlign w:val="center"/>
          </w:tcPr>
          <w:p>
            <w:pPr>
              <w:pStyle w:val="23"/>
            </w:pPr>
            <w:r>
              <w:t>716.43</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716.43</w:t>
            </w:r>
          </w:p>
        </w:tc>
        <w:tc>
          <w:tcPr>
            <w:tcW w:w="2551" w:type="dxa"/>
            <w:tcBorders>
              <w:left w:val="single" w:sz="6" w:space="0" w:color="auto"/>
              <w:right w:val="single" w:sz="6" w:space="0" w:color="auto"/>
            </w:tcBorders>
            <w:vAlign w:val="center"/>
          </w:tcPr>
          <w:p>
            <w:pPr>
              <w:pStyle w:val="23"/>
            </w:pPr>
            <w:r>
              <w:t>453.43</w:t>
            </w:r>
          </w:p>
        </w:tc>
        <w:tc>
          <w:tcPr>
            <w:tcW w:w="2551" w:type="dxa"/>
            <w:vAlign w:val="center"/>
          </w:tcPr>
          <w:p>
            <w:pPr>
              <w:pStyle w:val="23"/>
            </w:pPr>
            <w:r>
              <w:t>263.00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2551" w:type="dxa"/>
            <w:tcBorders>
              <w:left w:val="single" w:sz="6" w:space="0" w:color="auto"/>
              <w:right w:val="single" w:sz="6" w:space="0" w:color="auto"/>
            </w:tcBorders>
            <w:vAlign w:val="center"/>
          </w:tcPr>
          <w:p>
            <w:pPr>
              <w:pStyle w:val="19"/>
            </w:pPr>
            <w:r>
              <w:t>587.46</w:t>
            </w:r>
          </w:p>
        </w:tc>
        <w:tc>
          <w:tcPr>
            <w:tcW w:w="2551" w:type="dxa"/>
            <w:tcBorders>
              <w:left w:val="single" w:sz="6" w:space="0" w:color="auto"/>
              <w:right w:val="single" w:sz="6" w:space="0" w:color="auto"/>
            </w:tcBorders>
            <w:vAlign w:val="center"/>
          </w:tcPr>
          <w:p>
            <w:pPr>
              <w:pStyle w:val="19"/>
            </w:pPr>
            <w:r>
              <w:t>324.46</w:t>
            </w:r>
          </w:p>
        </w:tc>
        <w:tc>
          <w:tcPr>
            <w:tcW w:w="2551" w:type="dxa"/>
            <w:vAlign w:val="center"/>
          </w:tcPr>
          <w:p>
            <w:pPr>
              <w:pStyle w:val="19"/>
            </w:pPr>
            <w:r>
              <w:t>263.00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20140</w:t>
            </w:r>
          </w:p>
        </w:tc>
        <w:tc>
          <w:tcPr>
            <w:tcW w:w="4535" w:type="dxa"/>
            <w:tcBorders>
              <w:left w:val="single" w:sz="6" w:space="0" w:color="auto"/>
              <w:right w:val="single" w:sz="6" w:space="0" w:color="auto"/>
            </w:tcBorders>
            <w:vAlign w:val="center"/>
          </w:tcPr>
          <w:p>
            <w:pPr>
              <w:pStyle w:val="20"/>
            </w:pPr>
            <w:r>
              <w:t>信访事务</w:t>
            </w:r>
          </w:p>
        </w:tc>
        <w:tc>
          <w:tcPr>
            <w:tcW w:w="2551" w:type="dxa"/>
            <w:tcBorders>
              <w:left w:val="single" w:sz="6" w:space="0" w:color="auto"/>
              <w:right w:val="single" w:sz="6" w:space="0" w:color="auto"/>
            </w:tcBorders>
            <w:vAlign w:val="center"/>
          </w:tcPr>
          <w:p>
            <w:pPr>
              <w:pStyle w:val="19"/>
            </w:pPr>
            <w:r>
              <w:t>587.46</w:t>
            </w:r>
          </w:p>
        </w:tc>
        <w:tc>
          <w:tcPr>
            <w:tcW w:w="2551" w:type="dxa"/>
            <w:tcBorders>
              <w:left w:val="single" w:sz="6" w:space="0" w:color="auto"/>
              <w:right w:val="single" w:sz="6" w:space="0" w:color="auto"/>
            </w:tcBorders>
            <w:vAlign w:val="center"/>
          </w:tcPr>
          <w:p>
            <w:pPr>
              <w:pStyle w:val="19"/>
            </w:pPr>
            <w:r>
              <w:t>324.46</w:t>
            </w:r>
          </w:p>
        </w:tc>
        <w:tc>
          <w:tcPr>
            <w:tcW w:w="2551" w:type="dxa"/>
            <w:vAlign w:val="center"/>
          </w:tcPr>
          <w:p>
            <w:pPr>
              <w:pStyle w:val="19"/>
            </w:pPr>
            <w:r>
              <w:t>263.00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2014001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324.46</w:t>
            </w:r>
          </w:p>
        </w:tc>
        <w:tc>
          <w:tcPr>
            <w:tcW w:w="2551" w:type="dxa"/>
            <w:tcBorders>
              <w:left w:val="single" w:sz="6" w:space="0" w:color="auto"/>
              <w:right w:val="single" w:sz="6" w:space="0" w:color="auto"/>
            </w:tcBorders>
            <w:vAlign w:val="center"/>
          </w:tcPr>
          <w:p>
            <w:pPr>
              <w:pStyle w:val="19"/>
            </w:pPr>
            <w:r>
              <w:t>324.46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2014004</w:t>
            </w:r>
          </w:p>
        </w:tc>
        <w:tc>
          <w:tcPr>
            <w:tcW w:w="4535" w:type="dxa"/>
            <w:tcBorders>
              <w:left w:val="single" w:sz="6" w:space="0" w:color="auto"/>
              <w:right w:val="single" w:sz="6" w:space="0" w:color="auto"/>
            </w:tcBorders>
            <w:vAlign w:val="center"/>
          </w:tcPr>
          <w:p>
            <w:pPr>
              <w:pStyle w:val="20"/>
            </w:pPr>
            <w:r>
              <w:t>信访业务</w:t>
            </w:r>
          </w:p>
        </w:tc>
        <w:tc>
          <w:tcPr>
            <w:tcW w:w="2551" w:type="dxa"/>
            <w:tcBorders>
              <w:left w:val="single" w:sz="6" w:space="0" w:color="auto"/>
              <w:right w:val="single" w:sz="6" w:space="0" w:color="auto"/>
            </w:tcBorders>
            <w:vAlign w:val="center"/>
          </w:tcPr>
          <w:p>
            <w:pPr>
              <w:pStyle w:val="19"/>
            </w:pPr>
            <w:r>
              <w:t>263.00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263.00</w:t>
            </w: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53.97</w:t>
            </w:r>
          </w:p>
        </w:tc>
        <w:tc>
          <w:tcPr>
            <w:tcW w:w="2551" w:type="dxa"/>
            <w:tcBorders>
              <w:left w:val="single" w:sz="6" w:space="0" w:color="auto"/>
              <w:right w:val="single" w:sz="6" w:space="0" w:color="auto"/>
            </w:tcBorders>
            <w:vAlign w:val="center"/>
          </w:tcPr>
          <w:p>
            <w:pPr>
              <w:pStyle w:val="19"/>
            </w:pPr>
            <w:r>
              <w:t>53.97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53.97</w:t>
            </w:r>
          </w:p>
        </w:tc>
        <w:tc>
          <w:tcPr>
            <w:tcW w:w="2551" w:type="dxa"/>
            <w:tcBorders>
              <w:left w:val="single" w:sz="6" w:space="0" w:color="auto"/>
              <w:right w:val="single" w:sz="6" w:space="0" w:color="auto"/>
            </w:tcBorders>
            <w:vAlign w:val="center"/>
          </w:tcPr>
          <w:p>
            <w:pPr>
              <w:pStyle w:val="19"/>
            </w:pPr>
            <w:r>
              <w:t>53.97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2551" w:type="dxa"/>
            <w:tcBorders>
              <w:left w:val="single" w:sz="6" w:space="0" w:color="auto"/>
              <w:right w:val="single" w:sz="6" w:space="0" w:color="auto"/>
            </w:tcBorders>
            <w:vAlign w:val="center"/>
          </w:tcPr>
          <w:p>
            <w:pPr>
              <w:pStyle w:val="19"/>
            </w:pPr>
            <w:r>
              <w:t>9.05</w:t>
            </w:r>
          </w:p>
        </w:tc>
        <w:tc>
          <w:tcPr>
            <w:tcW w:w="2551" w:type="dxa"/>
            <w:tcBorders>
              <w:left w:val="single" w:sz="6" w:space="0" w:color="auto"/>
              <w:right w:val="single" w:sz="6" w:space="0" w:color="auto"/>
            </w:tcBorders>
            <w:vAlign w:val="center"/>
          </w:tcPr>
          <w:p>
            <w:pPr>
              <w:pStyle w:val="19"/>
            </w:pPr>
            <w:r>
              <w:t>9.05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44.92</w:t>
            </w:r>
          </w:p>
        </w:tc>
        <w:tc>
          <w:tcPr>
            <w:tcW w:w="2551" w:type="dxa"/>
            <w:tcBorders>
              <w:left w:val="single" w:sz="6" w:space="0" w:color="auto"/>
              <w:right w:val="single" w:sz="6" w:space="0" w:color="auto"/>
            </w:tcBorders>
            <w:vAlign w:val="center"/>
          </w:tcPr>
          <w:p>
            <w:pPr>
              <w:pStyle w:val="19"/>
            </w:pPr>
            <w:r>
              <w:t>44.92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39.18</w:t>
            </w:r>
          </w:p>
        </w:tc>
        <w:tc>
          <w:tcPr>
            <w:tcW w:w="2551" w:type="dxa"/>
            <w:tcBorders>
              <w:left w:val="single" w:sz="6" w:space="0" w:color="auto"/>
              <w:right w:val="single" w:sz="6" w:space="0" w:color="auto"/>
            </w:tcBorders>
            <w:vAlign w:val="center"/>
          </w:tcPr>
          <w:p>
            <w:pPr>
              <w:pStyle w:val="19"/>
            </w:pPr>
            <w:r>
              <w:t>39.18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39.18</w:t>
            </w:r>
          </w:p>
        </w:tc>
        <w:tc>
          <w:tcPr>
            <w:tcW w:w="2551" w:type="dxa"/>
            <w:tcBorders>
              <w:left w:val="single" w:sz="6" w:space="0" w:color="auto"/>
              <w:right w:val="single" w:sz="6" w:space="0" w:color="auto"/>
            </w:tcBorders>
            <w:vAlign w:val="center"/>
          </w:tcPr>
          <w:p>
            <w:pPr>
              <w:pStyle w:val="19"/>
            </w:pPr>
            <w:r>
              <w:t>39.18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2551" w:type="dxa"/>
            <w:tcBorders>
              <w:left w:val="single" w:sz="6" w:space="0" w:color="auto"/>
              <w:right w:val="single" w:sz="6" w:space="0" w:color="auto"/>
            </w:tcBorders>
            <w:vAlign w:val="center"/>
          </w:tcPr>
          <w:p>
            <w:pPr>
              <w:pStyle w:val="19"/>
            </w:pPr>
            <w:r>
              <w:t>18.94</w:t>
            </w:r>
          </w:p>
        </w:tc>
        <w:tc>
          <w:tcPr>
            <w:tcW w:w="2551" w:type="dxa"/>
            <w:tcBorders>
              <w:left w:val="single" w:sz="6" w:space="0" w:color="auto"/>
              <w:right w:val="single" w:sz="6" w:space="0" w:color="auto"/>
            </w:tcBorders>
            <w:vAlign w:val="center"/>
          </w:tcPr>
          <w:p>
            <w:pPr>
              <w:pStyle w:val="19"/>
            </w:pPr>
            <w:r>
              <w:t>18.94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20.24</w:t>
            </w:r>
          </w:p>
        </w:tc>
        <w:tc>
          <w:tcPr>
            <w:tcW w:w="2551" w:type="dxa"/>
            <w:tcBorders>
              <w:left w:val="single" w:sz="6" w:space="0" w:color="auto"/>
              <w:right w:val="single" w:sz="6" w:space="0" w:color="auto"/>
            </w:tcBorders>
            <w:vAlign w:val="center"/>
          </w:tcPr>
          <w:p>
            <w:pPr>
              <w:pStyle w:val="19"/>
            </w:pPr>
            <w:r>
              <w:t>20.24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35.82</w:t>
            </w:r>
          </w:p>
        </w:tc>
        <w:tc>
          <w:tcPr>
            <w:tcW w:w="2551" w:type="dxa"/>
            <w:tcBorders>
              <w:left w:val="single" w:sz="6" w:space="0" w:color="auto"/>
              <w:right w:val="single" w:sz="6" w:space="0" w:color="auto"/>
            </w:tcBorders>
            <w:vAlign w:val="center"/>
          </w:tcPr>
          <w:p>
            <w:pPr>
              <w:pStyle w:val="19"/>
            </w:pPr>
            <w:r>
              <w:t>35.82</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35.82</w:t>
            </w:r>
          </w:p>
        </w:tc>
        <w:tc>
          <w:tcPr>
            <w:tcW w:w="2551" w:type="dxa"/>
            <w:tcBorders>
              <w:left w:val="single" w:sz="6" w:space="0" w:color="auto"/>
              <w:right w:val="single" w:sz="6" w:space="0" w:color="auto"/>
            </w:tcBorders>
            <w:vAlign w:val="center"/>
          </w:tcPr>
          <w:p>
            <w:pPr>
              <w:pStyle w:val="19"/>
            </w:pPr>
            <w:r>
              <w:t>35.82</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35.82</w:t>
            </w:r>
          </w:p>
        </w:tc>
        <w:tc>
          <w:tcPr>
            <w:tcW w:w="2551" w:type="dxa"/>
            <w:tcBorders>
              <w:left w:val="single" w:sz="6" w:space="0" w:color="auto"/>
              <w:right w:val="single" w:sz="6" w:space="0" w:color="auto"/>
            </w:tcBorders>
            <w:vAlign w:val="center"/>
          </w:tcPr>
          <w:p>
            <w:pPr>
              <w:pStyle w:val="19"/>
            </w:pPr>
            <w:r>
              <w:t>35.82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453.43</w:t>
            </w:r>
          </w:p>
        </w:tc>
        <w:tc>
          <w:tcPr>
            <w:tcW w:w="2551" w:type="dxa"/>
            <w:tcBorders>
              <w:left w:val="single" w:sz="6" w:space="0" w:color="auto"/>
              <w:right w:val="single" w:sz="6" w:space="0" w:color="auto"/>
            </w:tcBorders>
            <w:vAlign w:val="center"/>
          </w:tcPr>
          <w:p>
            <w:pPr>
              <w:pStyle w:val="23"/>
            </w:pPr>
            <w:r>
              <w:t>415.33</w:t>
            </w:r>
          </w:p>
        </w:tc>
        <w:tc>
          <w:tcPr>
            <w:tcW w:w="2551" w:type="dxa"/>
            <w:vAlign w:val="center"/>
          </w:tcPr>
          <w:p>
            <w:pPr>
              <w:pStyle w:val="23"/>
            </w:pPr>
            <w:r>
              <w:t>38.10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406.28</w:t>
            </w:r>
          </w:p>
        </w:tc>
        <w:tc>
          <w:tcPr>
            <w:tcW w:w="2551" w:type="dxa"/>
            <w:tcBorders>
              <w:left w:val="single" w:sz="6" w:space="0" w:color="auto"/>
              <w:right w:val="single" w:sz="6" w:space="0" w:color="auto"/>
            </w:tcBorders>
            <w:vAlign w:val="center"/>
          </w:tcPr>
          <w:p>
            <w:pPr>
              <w:pStyle w:val="19"/>
            </w:pPr>
            <w:r>
              <w:t>406.28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86.52</w:t>
            </w:r>
          </w:p>
        </w:tc>
        <w:tc>
          <w:tcPr>
            <w:tcW w:w="2551" w:type="dxa"/>
            <w:tcBorders>
              <w:left w:val="single" w:sz="6" w:space="0" w:color="auto"/>
              <w:right w:val="single" w:sz="6" w:space="0" w:color="auto"/>
            </w:tcBorders>
            <w:vAlign w:val="center"/>
          </w:tcPr>
          <w:p>
            <w:pPr>
              <w:pStyle w:val="19"/>
            </w:pPr>
            <w:r>
              <w:t>86.52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62.85</w:t>
            </w:r>
          </w:p>
        </w:tc>
        <w:tc>
          <w:tcPr>
            <w:tcW w:w="2551" w:type="dxa"/>
            <w:tcBorders>
              <w:left w:val="single" w:sz="6" w:space="0" w:color="auto"/>
              <w:right w:val="single" w:sz="6" w:space="0" w:color="auto"/>
            </w:tcBorders>
            <w:vAlign w:val="center"/>
          </w:tcPr>
          <w:p>
            <w:pPr>
              <w:pStyle w:val="19"/>
            </w:pPr>
            <w:r>
              <w:t>62.85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23.88</w:t>
            </w:r>
          </w:p>
        </w:tc>
        <w:tc>
          <w:tcPr>
            <w:tcW w:w="2551" w:type="dxa"/>
            <w:tcBorders>
              <w:left w:val="single" w:sz="6" w:space="0" w:color="auto"/>
              <w:right w:val="single" w:sz="6" w:space="0" w:color="auto"/>
            </w:tcBorders>
            <w:vAlign w:val="center"/>
          </w:tcPr>
          <w:p>
            <w:pPr>
              <w:pStyle w:val="19"/>
            </w:pPr>
            <w:r>
              <w:t>23.88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63.12</w:t>
            </w:r>
          </w:p>
        </w:tc>
        <w:tc>
          <w:tcPr>
            <w:tcW w:w="2551" w:type="dxa"/>
            <w:tcBorders>
              <w:left w:val="single" w:sz="6" w:space="0" w:color="auto"/>
              <w:right w:val="single" w:sz="6" w:space="0" w:color="auto"/>
            </w:tcBorders>
            <w:vAlign w:val="center"/>
          </w:tcPr>
          <w:p>
            <w:pPr>
              <w:pStyle w:val="19"/>
            </w:pPr>
            <w:r>
              <w:t>63.12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38.00</w:t>
            </w:r>
          </w:p>
        </w:tc>
        <w:tc>
          <w:tcPr>
            <w:tcW w:w="2551" w:type="dxa"/>
            <w:tcBorders>
              <w:left w:val="single" w:sz="6" w:space="0" w:color="auto"/>
              <w:right w:val="single" w:sz="6" w:space="0" w:color="auto"/>
            </w:tcBorders>
            <w:vAlign w:val="center"/>
          </w:tcPr>
          <w:p>
            <w:pPr>
              <w:pStyle w:val="19"/>
            </w:pPr>
            <w:r>
              <w:t>38.00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16.00</w:t>
            </w:r>
          </w:p>
        </w:tc>
        <w:tc>
          <w:tcPr>
            <w:tcW w:w="2551" w:type="dxa"/>
            <w:tcBorders>
              <w:left w:val="single" w:sz="6" w:space="0" w:color="auto"/>
              <w:right w:val="single" w:sz="6" w:space="0" w:color="auto"/>
            </w:tcBorders>
            <w:vAlign w:val="center"/>
          </w:tcPr>
          <w:p>
            <w:pPr>
              <w:pStyle w:val="19"/>
            </w:pPr>
            <w:r>
              <w:t>16.00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17.00</w:t>
            </w:r>
          </w:p>
        </w:tc>
        <w:tc>
          <w:tcPr>
            <w:tcW w:w="2551" w:type="dxa"/>
            <w:tcBorders>
              <w:left w:val="single" w:sz="6" w:space="0" w:color="auto"/>
              <w:right w:val="single" w:sz="6" w:space="0" w:color="auto"/>
            </w:tcBorders>
            <w:vAlign w:val="center"/>
          </w:tcPr>
          <w:p>
            <w:pPr>
              <w:pStyle w:val="19"/>
            </w:pPr>
            <w:r>
              <w:t>17.00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2.50</w:t>
            </w:r>
          </w:p>
        </w:tc>
        <w:tc>
          <w:tcPr>
            <w:tcW w:w="2551" w:type="dxa"/>
            <w:tcBorders>
              <w:left w:val="single" w:sz="6" w:space="0" w:color="auto"/>
              <w:right w:val="single" w:sz="6" w:space="0" w:color="auto"/>
            </w:tcBorders>
            <w:vAlign w:val="center"/>
          </w:tcPr>
          <w:p>
            <w:pPr>
              <w:pStyle w:val="19"/>
            </w:pPr>
            <w:r>
              <w:t>2.50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30.00</w:t>
            </w:r>
          </w:p>
        </w:tc>
        <w:tc>
          <w:tcPr>
            <w:tcW w:w="2551" w:type="dxa"/>
            <w:tcBorders>
              <w:left w:val="single" w:sz="6" w:space="0" w:color="auto"/>
              <w:right w:val="single" w:sz="6" w:space="0" w:color="auto"/>
            </w:tcBorders>
            <w:vAlign w:val="center"/>
          </w:tcPr>
          <w:p>
            <w:pPr>
              <w:pStyle w:val="19"/>
            </w:pPr>
            <w:r>
              <w:t>30.00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66.41</w:t>
            </w:r>
          </w:p>
        </w:tc>
        <w:tc>
          <w:tcPr>
            <w:tcW w:w="2551" w:type="dxa"/>
            <w:tcBorders>
              <w:left w:val="single" w:sz="6" w:space="0" w:color="auto"/>
              <w:right w:val="single" w:sz="6" w:space="0" w:color="auto"/>
            </w:tcBorders>
            <w:vAlign w:val="center"/>
          </w:tcPr>
          <w:p>
            <w:pPr>
              <w:pStyle w:val="19"/>
            </w:pPr>
            <w:r>
              <w:t>66.41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38.10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38.10</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5.20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5.20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7.60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7.60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30213</w:t>
            </w:r>
          </w:p>
        </w:tc>
        <w:tc>
          <w:tcPr>
            <w:tcW w:w="4535" w:type="dxa"/>
            <w:tcBorders>
              <w:left w:val="single" w:sz="6" w:space="0" w:color="auto"/>
              <w:right w:val="single" w:sz="6" w:space="0" w:color="auto"/>
            </w:tcBorders>
            <w:vAlign w:val="center"/>
          </w:tcPr>
          <w:p>
            <w:pPr>
              <w:pStyle w:val="20"/>
            </w:pPr>
            <w:r>
              <w:t>维修(护)费</w:t>
            </w:r>
          </w:p>
        </w:tc>
        <w:tc>
          <w:tcPr>
            <w:tcW w:w="2551" w:type="dxa"/>
            <w:tcBorders>
              <w:left w:val="single" w:sz="6" w:space="0" w:color="auto"/>
              <w:right w:val="single" w:sz="6" w:space="0" w:color="auto"/>
            </w:tcBorders>
            <w:vAlign w:val="center"/>
          </w:tcPr>
          <w:p>
            <w:pPr>
              <w:pStyle w:val="19"/>
            </w:pPr>
            <w:r>
              <w:t>3.60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6.29</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6.29</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2.56</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2.56</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7.50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0.35</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0.35</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9.05</w:t>
            </w:r>
          </w:p>
        </w:tc>
        <w:tc>
          <w:tcPr>
            <w:tcW w:w="2551" w:type="dxa"/>
            <w:tcBorders>
              <w:left w:val="single" w:sz="6" w:space="0" w:color="auto"/>
              <w:right w:val="single" w:sz="6" w:space="0" w:color="auto"/>
            </w:tcBorders>
            <w:vAlign w:val="center"/>
          </w:tcPr>
          <w:p>
            <w:pPr>
              <w:pStyle w:val="19"/>
            </w:pPr>
            <w:r>
              <w:t>9.05</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9.05</w:t>
            </w:r>
          </w:p>
        </w:tc>
        <w:tc>
          <w:tcPr>
            <w:tcW w:w="2551" w:type="dxa"/>
            <w:tcBorders>
              <w:left w:val="single" w:sz="6" w:space="0" w:color="auto"/>
              <w:right w:val="single" w:sz="6" w:space="0" w:color="auto"/>
            </w:tcBorders>
            <w:vAlign w:val="center"/>
          </w:tcPr>
          <w:p>
            <w:pPr>
              <w:pStyle w:val="19"/>
            </w:pPr>
            <w:r>
              <w:t>9.05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8.00</w:t>
            </w:r>
          </w:p>
        </w:tc>
        <w:tc>
          <w:tcPr>
            <w:tcW w:w="2381" w:type="dxa"/>
            <w:tcBorders>
              <w:left w:val="single" w:sz="6" w:space="0" w:color="auto"/>
              <w:right w:val="single" w:sz="6" w:space="0" w:color="auto"/>
            </w:tcBorders>
            <w:vAlign w:val="center"/>
          </w:tcPr>
          <w:p>
            <w:pPr>
              <w:pStyle w:val="23"/>
            </w:pPr>
            <w:r>
              <w:t>8.00</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8.00</w:t>
            </w:r>
          </w:p>
        </w:tc>
        <w:tc>
          <w:tcPr>
            <w:tcW w:w="2381" w:type="dxa"/>
            <w:tcBorders>
              <w:left w:val="single" w:sz="6" w:space="0" w:color="auto"/>
              <w:right w:val="single" w:sz="6" w:space="0" w:color="auto"/>
            </w:tcBorders>
            <w:vAlign w:val="center"/>
          </w:tcPr>
          <w:p>
            <w:pPr>
              <w:pStyle w:val="19"/>
            </w:pPr>
            <w:r>
              <w:t>8.00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8.00</w:t>
            </w:r>
          </w:p>
        </w:tc>
        <w:tc>
          <w:tcPr>
            <w:tcW w:w="2381" w:type="dxa"/>
            <w:tcBorders>
              <w:left w:val="single" w:sz="6" w:space="0" w:color="auto"/>
              <w:right w:val="single" w:sz="6" w:space="0" w:color="auto"/>
            </w:tcBorders>
            <w:vAlign w:val="center"/>
          </w:tcPr>
          <w:p>
            <w:pPr>
              <w:pStyle w:val="19"/>
            </w:pPr>
            <w:r>
              <w:t>8.00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唐山市丰南区信访局本级2025年单位预算信息公开情况说明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按照《中华人民共和国预算法》、《地方预决算公开操作规程》和《关于进一步推进预算公开工作的实施意见》规定，现将唐山市丰南区信访局本级2025年单位预算公开如下：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 研究提出全区信访工作思路，拟订信访工作方针政策。</w:t>
      </w:r>
    </w:p>
    <w:p>
      <w:pPr>
        <w:pStyle w:val="25"/>
      </w:pPr>
      <w:r>
        <w:t>(二)办理人民群众来信，接待群众来访，受理群众网上投诉，查办信访案件，负责人民群众建议征集工作。</w:t>
      </w:r>
    </w:p>
    <w:p>
      <w:pPr>
        <w:pStyle w:val="25"/>
      </w:pPr>
      <w:r>
        <w:t>(三)调查研究和综合分析全区信访形势及信访工作状况，总结推广各地各部门信访工作经验，提出改进和加强信访工作的意见和建议。</w:t>
      </w:r>
    </w:p>
    <w:p>
      <w:pPr>
        <w:pStyle w:val="25"/>
      </w:pPr>
      <w:r>
        <w:t>(四)参与组织、协调、指导全区社会治安综合治理和维护社会政治稳定工作，协助保障国家、省、市和区重大政治活动顺利进行，参与处理影响社会政治稳定的突发性、群体性事件。</w:t>
      </w:r>
    </w:p>
    <w:p>
      <w:pPr>
        <w:pStyle w:val="25"/>
      </w:pPr>
      <w:r>
        <w:t>(五)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pStyle w:val="25"/>
      </w:pPr>
      <w:r>
        <w:t>(六)协助国家信访局、省、市信访局处理属地群众进京、赴省、去市上访工作，综合协调处理跨地区、跨部门、跨行业的重要信访问题，协助公安机关维护区委、区政府机关正常工作秩序。</w:t>
      </w:r>
    </w:p>
    <w:p>
      <w:pPr>
        <w:pStyle w:val="25"/>
      </w:pPr>
      <w:r>
        <w:t>(七) 负责省、市、区级领导和区直部门领导公开接访和包联案件的组织协调工作。</w:t>
      </w:r>
    </w:p>
    <w:p>
      <w:pPr>
        <w:pStyle w:val="25"/>
      </w:pPr>
      <w:r>
        <w:t>(八) 承担唐山市丰南区信访工作联席会议的日常工作，督促落实联席会议决定的事项。</w:t>
      </w:r>
    </w:p>
    <w:p>
      <w:pPr>
        <w:pStyle w:val="25"/>
      </w:pPr>
      <w:r>
        <w:t>(九)完成区委、区政府以及国家、省、市信访局交办的其他任务。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唐山市丰南区信访局本级</w:t>
            </w:r>
          </w:p>
        </w:tc>
        <w:tc>
          <w:tcPr>
            <w:tcW w:w="1843" w:type="dxa"/>
            <w:tcBorders>
              <w:left w:val="single" w:sz="6" w:space="0" w:color="auto"/>
              <w:right w:val="single" w:sz="6" w:space="0" w:color="auto"/>
            </w:tcBorders>
            <w:vAlign w:val="center"/>
          </w:tcPr>
          <w:p>
            <w:pPr>
              <w:pStyle w:val="21"/>
            </w:pPr>
            <w:r>
              <w:t>行政</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716.43万元，其中：一般公共预算收入716.43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信访局本级年度单位预算中支出预算的总体情况。2025年支出预算716.43万元，其中基本支出453.43万元，包括人员经费415.33万元和日常公用经费38.10万元；项目支出263.00万元，主要为群众工作中心经费等。</w:t>
      </w:r>
    </w:p>
    <w:p>
      <w:pPr>
        <w:pStyle w:val="26"/>
      </w:pPr>
      <w:r>
        <w:t>3、比上年增减情况</w:t>
      </w:r>
    </w:p>
    <w:p>
      <w:pPr>
        <w:pStyle w:val="26"/>
      </w:pPr>
      <w:r>
        <w:t>2025年预算收支安排716.43万元，较2024年预算减少13.34万元，其中：基本支出减少8.34万元，主要为人员经费减少，日常公用经费减少项目支出减少5.00万元，主要为劳务派遣人员经费(劳务费）。</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8.00万元，其中因公出国（境）费0.00万元；公务用车购置及运维费8.00万元（其中：公务用车购置费为0.00万元，公务用车运维费8.00万元)；公务接待费0.00万元。与2024年相比增加0.00万元，增减变化的主要原因是没有增减变化。</w:t>
      </w: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1、解决特殊疑难信访问题专项资金绩效目标表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13020725P006F4E10008B</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解决特殊疑难信访问题专项资金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解决特殊疑难信访问题专项资金100万元，主要用于：对找不到解决主体、积累时间久远，难以化解和解决的“无头案、钉子案、骨头案”特殊疑难信访个案和对生活困难无其他救济渠道信访人的救济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1.对找不到解决主体、积累时间久远，难以化解和解决的“无头案、钉子案、骨头案”特殊疑难信访个案实现息诉罢访，对生活困难无其他救济渠道的信访人，帮助解决困难。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及时受理率</w:t>
            </w:r>
          </w:p>
        </w:tc>
        <w:tc>
          <w:tcPr>
            <w:tcW w:w="5386" w:type="dxa"/>
            <w:tcBorders>
              <w:left w:val="single" w:sz="6" w:space="0" w:color="auto"/>
              <w:right w:val="single" w:sz="6" w:space="0" w:color="auto"/>
            </w:tcBorders>
            <w:vAlign w:val="center"/>
          </w:tcPr>
          <w:p>
            <w:pPr>
              <w:pStyle w:val="20"/>
            </w:pPr>
            <w:r>
              <w:t>及时受理此类案件的比例</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资金发放覆盖率</w:t>
            </w:r>
          </w:p>
        </w:tc>
        <w:tc>
          <w:tcPr>
            <w:tcW w:w="5386" w:type="dxa"/>
            <w:tcBorders>
              <w:left w:val="single" w:sz="6" w:space="0" w:color="auto"/>
              <w:right w:val="single" w:sz="6" w:space="0" w:color="auto"/>
            </w:tcBorders>
            <w:vAlign w:val="center"/>
          </w:tcPr>
          <w:p>
            <w:pPr>
              <w:pStyle w:val="20"/>
            </w:pPr>
            <w:r>
              <w:t>反映实际发放资金的覆盖程度，覆盖率=实发人数/应发人数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资金发放及时率</w:t>
            </w:r>
          </w:p>
        </w:tc>
        <w:tc>
          <w:tcPr>
            <w:tcW w:w="5386" w:type="dxa"/>
            <w:tcBorders>
              <w:left w:val="single" w:sz="6" w:space="0" w:color="auto"/>
              <w:right w:val="single" w:sz="6" w:space="0" w:color="auto"/>
            </w:tcBorders>
            <w:vAlign w:val="center"/>
          </w:tcPr>
          <w:p>
            <w:pPr>
              <w:pStyle w:val="20"/>
            </w:pPr>
            <w:r>
              <w:t>反映解决特殊疑难信访问题专项资金发放及时情况</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资金控制情况</w:t>
            </w:r>
          </w:p>
        </w:tc>
        <w:tc>
          <w:tcPr>
            <w:tcW w:w="5386" w:type="dxa"/>
            <w:tcBorders>
              <w:left w:val="single" w:sz="6" w:space="0" w:color="auto"/>
              <w:right w:val="single" w:sz="6" w:space="0" w:color="auto"/>
            </w:tcBorders>
            <w:vAlign w:val="center"/>
          </w:tcPr>
          <w:p>
            <w:pPr>
              <w:pStyle w:val="20"/>
            </w:pPr>
            <w:r>
              <w:t>资金控制在预算内</w:t>
            </w:r>
          </w:p>
        </w:tc>
        <w:tc>
          <w:tcPr>
            <w:tcW w:w="2268" w:type="dxa"/>
            <w:tcBorders>
              <w:left w:val="single" w:sz="6" w:space="0" w:color="auto"/>
              <w:right w:val="single" w:sz="6" w:space="0" w:color="auto"/>
            </w:tcBorders>
            <w:vAlign w:val="center"/>
          </w:tcPr>
          <w:p>
            <w:pPr>
              <w:pStyle w:val="20"/>
            </w:pPr>
            <w:r>
              <w:t>有效控制</w:t>
            </w:r>
          </w:p>
        </w:tc>
        <w:tc>
          <w:tcPr>
            <w:tcW w:w="1276" w:type="dxa"/>
            <w:vAlign w:val="center"/>
          </w:tcPr>
          <w:p>
            <w:pPr>
              <w:pStyle w:val="20"/>
            </w:pPr>
            <w:r>
              <w:t>预算标准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维护社会稳定</w:t>
            </w:r>
          </w:p>
        </w:tc>
        <w:tc>
          <w:tcPr>
            <w:tcW w:w="5386" w:type="dxa"/>
            <w:tcBorders>
              <w:left w:val="single" w:sz="6" w:space="0" w:color="auto"/>
              <w:right w:val="single" w:sz="6" w:space="0" w:color="auto"/>
            </w:tcBorders>
            <w:vAlign w:val="center"/>
          </w:tcPr>
          <w:p>
            <w:pPr>
              <w:pStyle w:val="20"/>
            </w:pPr>
            <w:r>
              <w:t>反映保障困难群体生活,维护社会稳定</w:t>
            </w:r>
          </w:p>
        </w:tc>
        <w:tc>
          <w:tcPr>
            <w:tcW w:w="2268" w:type="dxa"/>
            <w:tcBorders>
              <w:left w:val="single" w:sz="6" w:space="0" w:color="auto"/>
              <w:right w:val="single" w:sz="6" w:space="0" w:color="auto"/>
            </w:tcBorders>
            <w:vAlign w:val="center"/>
          </w:tcPr>
          <w:p>
            <w:pPr>
              <w:pStyle w:val="20"/>
            </w:pPr>
            <w:r>
              <w:t>有效维护</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 xml:space="preserve"> 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2、劳务派遣人员经费(劳务费)绩效目标表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13020725P00002210281D</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2025年申请劳务派遣人员经费73万元，主要用于：支付劳务派遣人员工资、缴纳社保等费用。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1.每月及时发放工资、缴纳社保缴费，保证该类人员工资待遇。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13人</w:t>
            </w:r>
          </w:p>
        </w:tc>
        <w:tc>
          <w:tcPr>
            <w:tcW w:w="1276" w:type="dxa"/>
            <w:vAlign w:val="center"/>
          </w:tcPr>
          <w:p>
            <w:pPr>
              <w:pStyle w:val="20"/>
            </w:pPr>
            <w:r>
              <w:t>合同、上年末人数</w:t>
            </w:r>
          </w:p>
          <w:p>
            <w:pPr>
              <w:pStyle w:val="20"/>
            </w:pP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工资发放合规率</w:t>
            </w:r>
          </w:p>
        </w:tc>
        <w:tc>
          <w:tcPr>
            <w:tcW w:w="5386" w:type="dxa"/>
            <w:tcBorders>
              <w:left w:val="single" w:sz="6" w:space="0" w:color="auto"/>
              <w:right w:val="single" w:sz="6" w:space="0" w:color="auto"/>
            </w:tcBorders>
            <w:vAlign w:val="center"/>
          </w:tcPr>
          <w:p>
            <w:pPr>
              <w:pStyle w:val="20"/>
            </w:pPr>
            <w:r>
              <w:t>反遇按规定范围、标准发放情况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合同、劳务派遣人员调整工资审批表</w:t>
            </w:r>
          </w:p>
          <w:p>
            <w:pPr>
              <w:pStyle w:val="20"/>
            </w:pP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合同、劳务派遣人员调整工资审批表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≥3120元/月</w:t>
            </w:r>
          </w:p>
        </w:tc>
        <w:tc>
          <w:tcPr>
            <w:tcW w:w="1276" w:type="dxa"/>
            <w:vAlign w:val="center"/>
          </w:tcPr>
          <w:p>
            <w:pPr>
              <w:pStyle w:val="20"/>
            </w:pPr>
            <w:r>
              <w:t>合同、劳务派遣人员调整工资审批表</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3、群众工作中心经费绩效目标表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13020725P006D4E100122</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群众工作中心经费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12.00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12.00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2025年申请群众工作经费12万元，主要用于：群众工作中心的印刷费用7万元，对参与信访工作日常值班律师所需的劳务费用5万元。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1.确保区群众工作中心正常运转，充分发挥律师在维护群众合法权益、化解矛盾、促进社会和谐稳定中的重要作用，集中解决群众问题，把问题解决在县级以下，减少群众越级访，维护全区和谐稳定。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综合事务完成率</w:t>
            </w:r>
          </w:p>
        </w:tc>
        <w:tc>
          <w:tcPr>
            <w:tcW w:w="5386" w:type="dxa"/>
            <w:tcBorders>
              <w:left w:val="single" w:sz="6" w:space="0" w:color="auto"/>
              <w:right w:val="single" w:sz="6" w:space="0" w:color="auto"/>
            </w:tcBorders>
            <w:vAlign w:val="center"/>
          </w:tcPr>
          <w:p>
            <w:pPr>
              <w:pStyle w:val="20"/>
            </w:pPr>
            <w:r>
              <w:t>反映单位日常工作完成情况的比率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反映运转经费保障工作正常开展</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经费及时保障</w:t>
            </w:r>
          </w:p>
        </w:tc>
        <w:tc>
          <w:tcPr>
            <w:tcW w:w="5386" w:type="dxa"/>
            <w:tcBorders>
              <w:left w:val="single" w:sz="6" w:space="0" w:color="auto"/>
              <w:right w:val="single" w:sz="6" w:space="0" w:color="auto"/>
            </w:tcBorders>
            <w:vAlign w:val="center"/>
          </w:tcPr>
          <w:p>
            <w:pPr>
              <w:pStyle w:val="20"/>
            </w:pPr>
            <w:r>
              <w:t>经费在规定时间内支付到位情况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经费控制情况</w:t>
            </w:r>
          </w:p>
        </w:tc>
        <w:tc>
          <w:tcPr>
            <w:tcW w:w="5386" w:type="dxa"/>
            <w:tcBorders>
              <w:left w:val="single" w:sz="6" w:space="0" w:color="auto"/>
              <w:right w:val="single" w:sz="6" w:space="0" w:color="auto"/>
            </w:tcBorders>
            <w:vAlign w:val="center"/>
          </w:tcPr>
          <w:p>
            <w:pPr>
              <w:pStyle w:val="20"/>
            </w:pPr>
            <w:r>
              <w:t>经费控制在预算内</w:t>
            </w:r>
          </w:p>
        </w:tc>
        <w:tc>
          <w:tcPr>
            <w:tcW w:w="2268" w:type="dxa"/>
            <w:tcBorders>
              <w:left w:val="single" w:sz="6" w:space="0" w:color="auto"/>
              <w:right w:val="single" w:sz="6" w:space="0" w:color="auto"/>
            </w:tcBorders>
            <w:vAlign w:val="center"/>
          </w:tcPr>
          <w:p>
            <w:pPr>
              <w:pStyle w:val="20"/>
            </w:pPr>
            <w:r>
              <w:t>有效控制</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保障中心正常运转</w:t>
            </w:r>
          </w:p>
        </w:tc>
        <w:tc>
          <w:tcPr>
            <w:tcW w:w="5386" w:type="dxa"/>
            <w:tcBorders>
              <w:left w:val="single" w:sz="6" w:space="0" w:color="auto"/>
              <w:right w:val="single" w:sz="6" w:space="0" w:color="auto"/>
            </w:tcBorders>
            <w:vAlign w:val="center"/>
          </w:tcPr>
          <w:p>
            <w:pPr>
              <w:pStyle w:val="20"/>
            </w:pPr>
            <w:r>
              <w:t>反映保障群众工作中心正常运转情况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反映群众满意程度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4、信访维稳工作经费绩效目标表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13020725P002N6110008U</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信访维稳工作经费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78.00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78.00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信访维稳工作经费78万元。主要用于：长期驻京、赴省值班，暑假北戴河值班，日常安保任务及重大节日、敏感期期间增派值班力量，劝返、应急处置、信息沟通和协调联动等工作所需的值班人员差旅费用75万元，车辆费用3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1.保障长期驻京、赴省值班，暑假北戴河值班，日常安保任务及重大节日、敏感期期间增派值班力量，劝返、应急处置、信息沟通和协调联动等工作的开展，有力维护社会稳定。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不稳定群体或人员排查率</w:t>
            </w:r>
          </w:p>
        </w:tc>
        <w:tc>
          <w:tcPr>
            <w:tcW w:w="5386" w:type="dxa"/>
            <w:tcBorders>
              <w:left w:val="single" w:sz="6" w:space="0" w:color="auto"/>
              <w:right w:val="single" w:sz="6" w:space="0" w:color="auto"/>
            </w:tcBorders>
            <w:vAlign w:val="center"/>
          </w:tcPr>
          <w:p>
            <w:pPr>
              <w:pStyle w:val="20"/>
            </w:pPr>
            <w:r>
              <w:t>矛盾纠纷排查数量与矛盾纠纷总量的比率</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反映经费保障维稳工作正常开展情况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维稳经费及时保障</w:t>
            </w:r>
          </w:p>
        </w:tc>
        <w:tc>
          <w:tcPr>
            <w:tcW w:w="5386" w:type="dxa"/>
            <w:tcBorders>
              <w:left w:val="single" w:sz="6" w:space="0" w:color="auto"/>
              <w:right w:val="single" w:sz="6" w:space="0" w:color="auto"/>
            </w:tcBorders>
            <w:vAlign w:val="center"/>
          </w:tcPr>
          <w:p>
            <w:pPr>
              <w:pStyle w:val="20"/>
            </w:pPr>
            <w:r>
              <w:t>维稳经费支付到位情况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经费控制情况</w:t>
            </w:r>
          </w:p>
        </w:tc>
        <w:tc>
          <w:tcPr>
            <w:tcW w:w="5386" w:type="dxa"/>
            <w:tcBorders>
              <w:left w:val="single" w:sz="6" w:space="0" w:color="auto"/>
              <w:right w:val="single" w:sz="6" w:space="0" w:color="auto"/>
            </w:tcBorders>
            <w:vAlign w:val="center"/>
          </w:tcPr>
          <w:p>
            <w:pPr>
              <w:pStyle w:val="20"/>
            </w:pPr>
            <w:r>
              <w:t>经费控制在预算内</w:t>
            </w:r>
          </w:p>
        </w:tc>
        <w:tc>
          <w:tcPr>
            <w:tcW w:w="2268" w:type="dxa"/>
            <w:tcBorders>
              <w:left w:val="single" w:sz="6" w:space="0" w:color="auto"/>
              <w:right w:val="single" w:sz="6" w:space="0" w:color="auto"/>
            </w:tcBorders>
            <w:vAlign w:val="center"/>
          </w:tcPr>
          <w:p>
            <w:pPr>
              <w:pStyle w:val="20"/>
            </w:pPr>
            <w:r>
              <w:t>有效控制</w:t>
            </w:r>
          </w:p>
        </w:tc>
        <w:tc>
          <w:tcPr>
            <w:tcW w:w="1276" w:type="dxa"/>
            <w:vAlign w:val="center"/>
          </w:tcPr>
          <w:p>
            <w:pPr>
              <w:pStyle w:val="20"/>
            </w:pPr>
            <w:r>
              <w:t>预算标准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维护社会稳定</w:t>
            </w:r>
          </w:p>
        </w:tc>
        <w:tc>
          <w:tcPr>
            <w:tcW w:w="5386" w:type="dxa"/>
            <w:tcBorders>
              <w:left w:val="single" w:sz="6" w:space="0" w:color="auto"/>
              <w:right w:val="single" w:sz="6" w:space="0" w:color="auto"/>
            </w:tcBorders>
            <w:vAlign w:val="center"/>
          </w:tcPr>
          <w:p>
            <w:pPr>
              <w:pStyle w:val="20"/>
            </w:pPr>
            <w:r>
              <w:t>维护社会稳定情况</w:t>
            </w:r>
          </w:p>
        </w:tc>
        <w:tc>
          <w:tcPr>
            <w:tcW w:w="2268" w:type="dxa"/>
            <w:tcBorders>
              <w:left w:val="single" w:sz="6" w:space="0" w:color="auto"/>
              <w:right w:val="single" w:sz="6" w:space="0" w:color="auto"/>
            </w:tcBorders>
            <w:vAlign w:val="center"/>
          </w:tcPr>
          <w:p>
            <w:pPr>
              <w:pStyle w:val="20"/>
            </w:pPr>
            <w:r>
              <w:t>有效维护</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反映群众满意程度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304001唐山市丰南区信访局本级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唐山市丰南区信访局本级上年末固定资产金额为414.89万元（详见下表）。本年度拟购置固定资产总额为0.00万元，已按要求列入政府采购预算，详见政府采购预算表。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304001唐山市丰南区信访局本级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414.89</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2500</w:t>
            </w:r>
          </w:p>
        </w:tc>
        <w:tc>
          <w:tcPr>
            <w:tcW w:w="2835" w:type="dxa"/>
            <w:vAlign w:val="center"/>
          </w:tcPr>
          <w:p>
            <w:pPr>
              <w:pStyle w:val="19"/>
            </w:pPr>
            <w:r>
              <w:t>226.01</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2500</w:t>
            </w:r>
          </w:p>
        </w:tc>
        <w:tc>
          <w:tcPr>
            <w:tcW w:w="2835" w:type="dxa"/>
            <w:vAlign w:val="center"/>
          </w:tcPr>
          <w:p>
            <w:pPr>
              <w:pStyle w:val="19"/>
            </w:pPr>
            <w:r>
              <w:t>226.01</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27.40</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596</w:t>
            </w:r>
          </w:p>
        </w:tc>
        <w:tc>
          <w:tcPr>
            <w:tcW w:w="2835" w:type="dxa"/>
            <w:vAlign w:val="center"/>
          </w:tcPr>
          <w:p>
            <w:pPr>
              <w:pStyle w:val="19"/>
            </w:pPr>
            <w:r>
              <w:t>161.48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31BD57B-63C6-4BF4-9463-6A4F8680100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24</Pages>
  <Words>0</Words>
  <Characters>8086</Characters>
  <Lines>0</Lines>
  <Paragraphs>105</Paragraphs>
  <CharactersWithSpaces>10782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2025-01-22T09:04:16Z</dcterms:created>
  <dcterms:modified xsi:type="dcterms:W3CDTF">2025-01-22T01:18:25Z</dcterms:modified>
</cp:coreProperties>
</file>