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ascii="方正小标宋简体" w:hint="eastAsia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  <w:r>
        <w:rPr>
          <w:rFonts w:ascii="方正小标宋简体" w:hint="eastAsia"/>
          <w:sz w:val="40"/>
          <w:szCs w:val="40"/>
        </w:rPr>
        <w:t>（范本）</w:t>
      </w:r>
    </w:p>
    <w:p>
      <w:pPr>
        <w:spacing w:line="580" w:lineRule="exact"/>
        <w:ind w:left="0"/>
        <w:jc w:val="center"/>
        <w:rPr>
          <w:rFonts w:ascii="方正楷体简体" w:eastAsia="方正楷体简体" w:hint="eastAsia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 xml:space="preserve">（ </w:t>
      </w:r>
      <w:r>
        <w:rPr>
          <w:rFonts w:ascii="方正楷体简体" w:eastAsia="方正楷体简体"/>
          <w:sz w:val="30"/>
          <w:szCs w:val="30"/>
        </w:rPr>
        <w:t>2022</w:t>
      </w:r>
      <w:bookmarkStart w:id="0" w:name="_GoBack"/>
      <w:bookmarkEnd w:id="0"/>
      <w:r>
        <w:rPr>
          <w:rFonts w:ascii="方正楷体简体" w:eastAsia="方正楷体简体" w:hint="eastAsia"/>
          <w:sz w:val="30"/>
          <w:szCs w:val="30"/>
        </w:rPr>
        <w:t xml:space="preserve">  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 唐山市丰南区财政局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徐敬成    </w:t>
      </w: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2023年3月2日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 w:hint="eastAsia"/>
          <w:sz w:val="30"/>
          <w:szCs w:val="30"/>
        </w:rPr>
      </w:pPr>
    </w:p>
    <w:p>
      <w:pPr>
        <w:spacing w:line="5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一、绩效自评工作组织开展情况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  <w:lang w:eastAsia="zh-CN"/>
        </w:rPr>
      </w:pPr>
      <w:r>
        <w:rPr>
          <w:rFonts w:ascii="仿宋" w:eastAsia="仿宋" w:cs="仿宋" w:hint="eastAsia"/>
          <w:sz w:val="30"/>
          <w:szCs w:val="30"/>
          <w:lang w:val="en-US" w:eastAsia="zh-CN"/>
        </w:rPr>
        <w:t>1、</w:t>
      </w:r>
      <w:r>
        <w:rPr>
          <w:rFonts w:ascii="仿宋" w:eastAsia="仿宋" w:cs="仿宋" w:hint="eastAsia"/>
          <w:sz w:val="30"/>
          <w:szCs w:val="30"/>
        </w:rPr>
        <w:t>自评工作的组织情况、实施过程。</w:t>
      </w:r>
      <w:r>
        <w:rPr>
          <w:rFonts w:ascii="仿宋" w:eastAsia="仿宋" w:cs="仿宋" w:hint="eastAsia"/>
          <w:sz w:val="30"/>
          <w:szCs w:val="30"/>
          <w:lang w:val="en-US" w:eastAsia="zh-CN"/>
          <w:highlight w:val="auto"/>
        </w:rPr>
        <w:t>项目绩效自评由本单位自行组织实施</w:t>
      </w:r>
      <w:r>
        <w:rPr>
          <w:rFonts w:ascii="仿宋" w:eastAsia="仿宋" w:cs="仿宋" w:hint="eastAsia"/>
          <w:sz w:val="30"/>
          <w:szCs w:val="30"/>
          <w:lang w:eastAsia="zh-CN"/>
          <w:highlight w:val="auto"/>
        </w:rPr>
        <w:t>，</w:t>
      </w:r>
      <w:r>
        <w:rPr>
          <w:rFonts w:ascii="仿宋" w:eastAsia="仿宋" w:cs="仿宋" w:hint="eastAsia"/>
          <w:sz w:val="30"/>
          <w:szCs w:val="30"/>
        </w:rPr>
        <w:t>我单位组织成立了绩效评价小组，评价小组采取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听取报告</w:t>
      </w:r>
      <w:r>
        <w:rPr>
          <w:rFonts w:ascii="仿宋" w:eastAsia="仿宋" w:cs="仿宋" w:hint="eastAsia"/>
          <w:sz w:val="30"/>
          <w:szCs w:val="30"/>
        </w:rPr>
        <w:t>、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评价小组讨论</w:t>
      </w:r>
      <w:r>
        <w:rPr>
          <w:rFonts w:ascii="仿宋" w:eastAsia="仿宋" w:cs="仿宋" w:hint="eastAsia"/>
          <w:sz w:val="30"/>
          <w:szCs w:val="30"/>
        </w:rPr>
        <w:t>等方式听取情况，检查基本支出、项目支出有关账目，收集整理支出相关资料，对资料进行分析和总结</w:t>
      </w:r>
      <w:r>
        <w:rPr>
          <w:rFonts w:ascii="仿宋" w:eastAsia="仿宋" w:cs="仿宋" w:hint="eastAsia"/>
          <w:sz w:val="30"/>
          <w:szCs w:val="30"/>
          <w:lang w:eastAsia="zh-CN"/>
        </w:rPr>
        <w:t>。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2、部门日常财务管理、专项监督检查及审计意见方面。我单位</w:t>
      </w:r>
      <w:r>
        <w:rPr>
          <w:rFonts w:ascii="仿宋" w:eastAsia="仿宋" w:cs="仿宋" w:hint="eastAsia"/>
          <w:sz w:val="30"/>
          <w:szCs w:val="30"/>
          <w:highlight w:val="auto"/>
        </w:rPr>
        <w:t>严格按照财务制度对项目支出进行统一管理，资金拨付严格审批程序，健全各种制度，同时定期自查，规范使用资金。</w:t>
      </w:r>
    </w:p>
    <w:p>
      <w:pPr>
        <w:spacing w:line="5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二、绩效目标实现情况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按照区财政预算绩效管理要求，唐山市丰南区</w:t>
      </w:r>
      <w:r>
        <w:rPr>
          <w:rFonts w:ascii="仿宋" w:eastAsia="仿宋" w:cs="仿宋" w:hint="eastAsia"/>
          <w:sz w:val="30"/>
          <w:szCs w:val="30"/>
          <w:lang w:eastAsia="zh-CN"/>
        </w:rPr>
        <w:t>财政局</w:t>
      </w:r>
      <w:r>
        <w:rPr>
          <w:rFonts w:ascii="仿宋" w:eastAsia="仿宋" w:cs="仿宋" w:hint="eastAsia"/>
          <w:sz w:val="30"/>
          <w:szCs w:val="30"/>
        </w:rPr>
        <w:t>对2022年确定的部门一般公共预算支出项目全面开展了绩效自评。2022年安排预算项目（调整后）541.8</w:t>
      </w:r>
      <w:r>
        <w:rPr>
          <w:rFonts w:ascii="仿宋" w:eastAsia="仿宋" w:cs="仿宋" w:hint="eastAsia"/>
          <w:sz w:val="30"/>
          <w:szCs w:val="30"/>
          <w:highlight w:val="auto"/>
        </w:rPr>
        <w:t>万</w:t>
      </w:r>
      <w:r>
        <w:rPr>
          <w:rFonts w:ascii="仿宋" w:eastAsia="仿宋" w:cs="仿宋" w:hint="eastAsia"/>
          <w:sz w:val="30"/>
          <w:szCs w:val="30"/>
        </w:rPr>
        <w:t>元，</w:t>
      </w:r>
      <w:r>
        <w:rPr>
          <w:rFonts w:ascii="仿宋" w:eastAsia="仿宋" w:cs="仿宋"/>
          <w:sz w:val="30"/>
          <w:szCs w:val="30"/>
        </w:rPr>
        <w:t>其中：区级资金540.8万元，专项转移支付省级资金1万元；</w:t>
      </w:r>
      <w:r>
        <w:rPr>
          <w:rFonts w:ascii="仿宋" w:eastAsia="仿宋" w:cs="仿宋" w:hint="eastAsia"/>
          <w:sz w:val="30"/>
          <w:szCs w:val="30"/>
        </w:rPr>
        <w:t>到位资金389.1万元</w:t>
      </w:r>
      <w:r>
        <w:rPr>
          <w:rFonts w:ascii="仿宋" w:eastAsia="仿宋" w:cs="仿宋"/>
          <w:sz w:val="30"/>
          <w:szCs w:val="30"/>
        </w:rPr>
        <w:t>；</w:t>
      </w:r>
      <w:r>
        <w:rPr>
          <w:rFonts w:ascii="仿宋" w:eastAsia="仿宋" w:cs="仿宋" w:hint="eastAsia"/>
          <w:sz w:val="30"/>
          <w:szCs w:val="30"/>
        </w:rPr>
        <w:t>本年支出合计389.1万元</w:t>
      </w:r>
      <w:r>
        <w:rPr>
          <w:rFonts w:ascii="仿宋" w:eastAsia="仿宋" w:cs="仿宋"/>
          <w:sz w:val="30"/>
          <w:szCs w:val="30"/>
        </w:rPr>
        <w:t>，其中：区级资金388.1万元，专项转移支付省级资金1万元。</w:t>
      </w:r>
      <w:r>
        <w:rPr>
          <w:rFonts w:ascii="仿宋" w:eastAsia="仿宋" w:cs="仿宋" w:hint="eastAsia"/>
          <w:sz w:val="30"/>
          <w:szCs w:val="30"/>
        </w:rPr>
        <w:t>绩效自评覆盖率达到100%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。</w:t>
      </w:r>
      <w:r>
        <w:rPr>
          <w:rFonts w:ascii="仿宋" w:eastAsia="仿宋" w:cs="仿宋" w:hint="eastAsia"/>
          <w:sz w:val="30"/>
          <w:szCs w:val="30"/>
        </w:rPr>
        <w:t>共涉及预算项目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14</w:t>
      </w:r>
      <w:r>
        <w:rPr>
          <w:rFonts w:ascii="仿宋" w:eastAsia="仿宋" w:cs="仿宋" w:hint="eastAsia"/>
          <w:sz w:val="30"/>
          <w:szCs w:val="30"/>
        </w:rPr>
        <w:t>个</w:t>
      </w:r>
      <w:r>
        <w:rPr>
          <w:rFonts w:ascii="仿宋" w:eastAsia="仿宋" w:cs="仿宋" w:hint="eastAsia"/>
          <w:sz w:val="30"/>
          <w:szCs w:val="30"/>
          <w:lang w:eastAsia="zh-CN"/>
        </w:rPr>
        <w:t>，预算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执行率为71.82</w:t>
      </w:r>
      <w:r>
        <w:rPr>
          <w:rFonts w:ascii="仿宋" w:eastAsia="仿宋" w:cs="仿宋" w:hint="eastAsia"/>
          <w:sz w:val="30"/>
          <w:szCs w:val="30"/>
          <w:highlight w:val="auto"/>
        </w:rPr>
        <w:t>%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，</w:t>
      </w:r>
      <w:r>
        <w:rPr>
          <w:rFonts w:ascii="仿宋" w:eastAsia="仿宋" w:cs="仿宋" w:hint="eastAsia"/>
          <w:sz w:val="30"/>
          <w:szCs w:val="30"/>
        </w:rPr>
        <w:t>其中国有资产管理费、出租屋税金、公物仓运行费、农村综合改革项目验收费用和政策性农业保险核查经费等</w:t>
      </w:r>
      <w:r>
        <w:rPr>
          <w:rFonts w:ascii="仿宋" w:eastAsia="仿宋" w:cs="仿宋" w:hint="eastAsia"/>
          <w:sz w:val="30"/>
          <w:szCs w:val="30"/>
          <w:lang w:eastAsia="zh-CN"/>
        </w:rPr>
        <w:t>项目支出率低，</w:t>
      </w:r>
      <w:r>
        <w:rPr>
          <w:rFonts w:ascii="仿宋" w:eastAsia="仿宋" w:cs="仿宋" w:hint="eastAsia"/>
          <w:sz w:val="30"/>
          <w:szCs w:val="30"/>
        </w:rPr>
        <w:t>原因：国有资产管理费因草泊地出租未进行；出租屋税金主要是证券租赁面积减少及税率发生变化导致，2023年预算压减了此项目经费；公物仓运行费因公物仓地点进行了调整，取消了旧公物仓；农村综合改革项目验收费用因项目未完工；政策性农业保险核查经费因此项工作未实施，2023年未做项目预算。</w:t>
      </w:r>
      <w:r>
        <w:rPr>
          <w:rFonts w:ascii="仿宋" w:eastAsia="仿宋" w:cs="仿宋" w:hint="eastAsia"/>
          <w:sz w:val="30"/>
          <w:szCs w:val="30"/>
          <w:lang w:eastAsia="zh-CN"/>
        </w:rPr>
        <w:t>以后争取进一步提高预算准确度。</w:t>
      </w:r>
    </w:p>
    <w:p>
      <w:pPr>
        <w:spacing w:line="5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三、绩效目标设定质量情况</w:t>
      </w:r>
    </w:p>
    <w:p>
      <w:pPr>
        <w:spacing w:line="52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  <w:lang w:val="en-US" w:eastAsia="zh-CN"/>
        </w:rPr>
        <w:t>年度绩效指标分三个层次：产出指标、效果指标、满意度指标，此次自评的</w:t>
      </w:r>
      <w:r>
        <w:rPr>
          <w:rFonts w:ascii="仿宋" w:eastAsia="仿宋" w:cs="仿宋" w:hint="eastAsia"/>
          <w:sz w:val="30"/>
          <w:szCs w:val="30"/>
        </w:rPr>
        <w:t>目的在于全面确保机关日常正常运转，认真履行好部门职能职责，圆满完成上级下达的各项业务目标任务，使服务对象满意，整体效益得到提高</w:t>
      </w:r>
      <w:r>
        <w:rPr>
          <w:rFonts w:ascii="仿宋" w:eastAsia="仿宋" w:cs="仿宋" w:hint="eastAsia"/>
          <w:sz w:val="30"/>
          <w:szCs w:val="30"/>
          <w:lang w:eastAsia="zh-CN"/>
        </w:rPr>
        <w:t>。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项目支出在财政部门的配合下，执行到位，资金管理比较规范，实行了专款专用，未出现挪用、滥用现象，较好得实现了项目实施总体目标。</w:t>
      </w:r>
      <w:r>
        <w:rPr>
          <w:rFonts w:ascii="仿宋" w:eastAsia="仿宋" w:cs="仿宋" w:hint="eastAsia"/>
          <w:sz w:val="30"/>
          <w:szCs w:val="30"/>
        </w:rPr>
        <w:t>项目的申请、设立过程符合相关要求，项目绩效目标符合设计要求和目的，符合实际需要，项目计划实施进度明确，项目决策依据充分，项目实施规划和管理制度较为完善，资金分配符合相关规定，分配及时，分配结果合理，资金按规定及时</w:t>
      </w:r>
      <w:r>
        <w:rPr>
          <w:rFonts w:ascii="仿宋" w:eastAsia="仿宋" w:cs="仿宋" w:hint="eastAsia"/>
          <w:sz w:val="30"/>
          <w:szCs w:val="30"/>
          <w:lang w:val="en-US" w:eastAsia="zh-CN"/>
        </w:rPr>
        <w:t>足额</w:t>
      </w:r>
      <w:r>
        <w:rPr>
          <w:rFonts w:ascii="仿宋" w:eastAsia="仿宋" w:cs="仿宋" w:hint="eastAsia"/>
          <w:sz w:val="30"/>
          <w:szCs w:val="30"/>
        </w:rPr>
        <w:t>拨付。</w:t>
      </w:r>
    </w:p>
    <w:p>
      <w:pPr>
        <w:spacing w:line="5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四、整改措施及结果应用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  <w:highlight w:val="auto"/>
        </w:rPr>
        <w:t>1、有针对性的加强项目资金的执行和监管，并进行绩效评价考核，按规定期限完成目标任务，</w:t>
      </w:r>
      <w:r>
        <w:rPr>
          <w:rFonts w:ascii="仿宋" w:eastAsia="仿宋" w:cs="仿宋" w:hint="eastAsia"/>
          <w:sz w:val="30"/>
          <w:szCs w:val="30"/>
        </w:rPr>
        <w:t>细化预算编制，认真做好预算的编制。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2、进一步加强单位内部机构各预算单位的管理意识，严格按照预算编制的相关制度和要求进行预算编制，建立健全单位财务管理制度体系，规范单位财务行为，按照预算规定的费用项目和用途进行资金使用审核、财务核算。</w:t>
      </w:r>
    </w:p>
    <w:p>
      <w:pPr>
        <w:snapToGrid w:val="0"/>
        <w:spacing w:line="480" w:lineRule="exact"/>
        <w:ind w:firstLineChars="200" w:firstLine="608"/>
        <w:rPr>
          <w:rFonts w:ascii="仿宋" w:eastAsia="仿宋" w:cs="仿宋" w:hint="eastAsia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3、加强对相关人员的业务培训，特别是针对项目绩效指标的编制设定、实施、验收结果系列指标值的制定。</w:t>
      </w:r>
    </w:p>
    <w:p>
      <w:pPr>
        <w:spacing w:line="520" w:lineRule="exact"/>
        <w:ind w:firstLineChars="200" w:firstLine="608"/>
        <w:rPr>
          <w:rFonts w:ascii="仿宋" w:eastAsia="仿宋" w:cs="仿宋" w:hint="eastAsia"/>
          <w:sz w:val="30"/>
          <w:szCs w:val="30"/>
        </w:rPr>
        <w:sectPr>
          <w:footerReference w:type="default" r:id="rId2"/>
          <w:footerReference w:type="even" r:id="rId3"/>
          <w:footerReference w:type="first" r:id="rId4"/>
          <w:pgSz w:w="11907" w:h="16840"/>
          <w:pgMar w:top="1814" w:right="1474" w:bottom="1531" w:left="1588" w:header="851" w:footer="992" w:gutter="0"/>
          <w:pgNumType/>
          <w:docGrid w:type="lines" w:linePitch="312" w:charSpace="0"/>
        </w:sectPr>
      </w:pPr>
    </w:p>
    <w:p>
      <w:pPr>
        <w:spacing w:line="480" w:lineRule="exact"/>
        <w:ind w:firstLineChars="200" w:firstLine="648"/>
        <w:rPr>
          <w:rFonts w:ascii="Times New Roman" w:eastAsia="仿宋" w:cs="Times New Roman" w:hAnsi="Times New Roman"/>
          <w:sz w:val="32"/>
          <w:szCs w:val="32"/>
          <w:lang w:val="en-US" w:eastAsia="zh-CN" w:bidi="ar-SA"/>
        </w:rPr>
      </w:pPr>
      <w:r>
        <w:rPr>
          <w:rFonts w:ascii="Times New Roman" w:eastAsia="仿宋" w:cs="Times New Roman" w:hAnsi="Times New Roman"/>
          <w:sz w:val="32"/>
          <w:szCs w:val="32"/>
          <w:lang w:val="en-US" w:eastAsia="zh-CN" w:bidi="ar-SA"/>
        </w:rPr>
        <w:t>附件：</w:t>
      </w:r>
    </w:p>
    <w:p>
      <w:pPr>
        <w:spacing w:line="480" w:lineRule="exact"/>
        <w:ind w:firstLineChars="1050" w:firstLine="3402"/>
        <w:rPr>
          <w:rFonts w:ascii="仿宋" w:eastAsia="仿宋" w:cs="Times New Roman" w:hint="eastAsia"/>
          <w:sz w:val="32"/>
          <w:szCs w:val="32"/>
          <w:lang w:val="en-US" w:eastAsia="zh-CN" w:bidi="ar-SA"/>
        </w:rPr>
      </w:pPr>
      <w:r>
        <w:rPr>
          <w:rFonts w:ascii="仿宋" w:eastAsia="仿宋" w:cs="Times New Roman" w:hint="eastAsia"/>
          <w:sz w:val="32"/>
          <w:szCs w:val="32"/>
          <w:lang w:val="en-US" w:eastAsia="zh-CN" w:bidi="ar-SA"/>
        </w:rPr>
        <w:t>丰南区财政局</w:t>
      </w:r>
    </w:p>
    <w:p>
      <w:pPr>
        <w:spacing w:line="480" w:lineRule="exact"/>
        <w:ind w:firstLineChars="700" w:firstLine="2268"/>
        <w:rPr>
          <w:rFonts w:ascii="仿宋" w:eastAsia="仿宋" w:cs="Times New Roman" w:hint="eastAsia"/>
          <w:sz w:val="32"/>
          <w:szCs w:val="32"/>
          <w:lang w:val="en-US" w:eastAsia="zh-CN" w:bidi="ar-SA"/>
        </w:rPr>
      </w:pPr>
      <w:r>
        <w:rPr>
          <w:rFonts w:ascii="仿宋" w:eastAsia="仿宋" w:cs="Times New Roman" w:hint="eastAsia"/>
          <w:sz w:val="32"/>
          <w:szCs w:val="32"/>
          <w:lang w:val="en-US" w:eastAsia="zh-CN" w:bidi="ar-SA"/>
        </w:rPr>
        <w:t>202</w:t>
      </w:r>
      <w:r>
        <w:rPr>
          <w:rFonts w:ascii="仿宋" w:eastAsia="仿宋" w:cs="Times New Roman"/>
          <w:sz w:val="32"/>
          <w:szCs w:val="32"/>
          <w:lang w:val="en-US" w:eastAsia="zh-CN" w:bidi="ar-SA"/>
        </w:rPr>
        <w:t>2</w:t>
      </w:r>
      <w:r>
        <w:rPr>
          <w:rFonts w:ascii="仿宋" w:eastAsia="仿宋" w:cs="Times New Roman" w:hint="eastAsia"/>
          <w:sz w:val="32"/>
          <w:szCs w:val="32"/>
          <w:lang w:val="en-US" w:eastAsia="zh-CN" w:bidi="ar-SA"/>
        </w:rPr>
        <w:t>年预算项目绩效自评结果</w:t>
      </w:r>
    </w:p>
    <w:p>
      <w:pPr>
        <w:spacing w:line="480" w:lineRule="exact"/>
        <w:ind w:firstLineChars="200" w:firstLine="648"/>
        <w:rPr>
          <w:rFonts w:ascii="仿宋" w:eastAsia="仿宋" w:cs="Times New Roman" w:hint="eastAsia"/>
          <w:sz w:val="32"/>
          <w:szCs w:val="32"/>
          <w:lang w:val="en-US" w:eastAsia="zh-CN" w:bidi="ar-SA"/>
        </w:rPr>
      </w:pPr>
      <w:r>
        <w:rPr>
          <w:rFonts w:ascii="仿宋" w:eastAsia="仿宋" w:cs="Times New Roman" w:hint="eastAsia"/>
          <w:sz w:val="32"/>
          <w:szCs w:val="32"/>
          <w:lang w:val="en-US" w:eastAsia="zh-CN" w:bidi="ar-SA"/>
        </w:rPr>
        <w:t>我单位对202</w:t>
      </w:r>
      <w:r>
        <w:rPr>
          <w:rFonts w:ascii="仿宋" w:eastAsia="仿宋" w:cs="Times New Roman"/>
          <w:sz w:val="32"/>
          <w:szCs w:val="32"/>
          <w:lang w:val="en-US" w:eastAsia="zh-CN" w:bidi="ar-SA"/>
        </w:rPr>
        <w:t>2</w:t>
      </w:r>
      <w:r>
        <w:rPr>
          <w:rFonts w:ascii="仿宋" w:eastAsia="仿宋" w:cs="Times New Roman" w:hint="eastAsia"/>
          <w:sz w:val="32"/>
          <w:szCs w:val="32"/>
          <w:lang w:val="en-US" w:eastAsia="zh-CN" w:bidi="ar-SA"/>
        </w:rPr>
        <w:t>年1</w:t>
      </w:r>
      <w:r>
        <w:rPr>
          <w:rFonts w:ascii="仿宋" w:eastAsia="仿宋" w:cs="Times New Roman"/>
          <w:sz w:val="32"/>
          <w:szCs w:val="32"/>
          <w:lang w:val="en-US" w:eastAsia="zh-CN" w:bidi="ar-SA"/>
        </w:rPr>
        <w:t>4</w:t>
      </w:r>
      <w:r>
        <w:rPr>
          <w:rFonts w:ascii="仿宋" w:eastAsia="仿宋" w:cs="Times New Roman" w:hint="eastAsia"/>
          <w:sz w:val="32"/>
          <w:szCs w:val="32"/>
          <w:lang w:val="en-US" w:eastAsia="zh-CN" w:bidi="ar-SA"/>
        </w:rPr>
        <w:t>个预算项目进行了绩效自评，涉及金额</w:t>
      </w:r>
      <w:r>
        <w:rPr>
          <w:rFonts w:ascii="仿宋" w:eastAsia="仿宋" w:cs="Times New Roman"/>
          <w:sz w:val="32"/>
          <w:szCs w:val="32"/>
          <w:lang w:val="en-US" w:eastAsia="zh-CN" w:bidi="ar-SA"/>
        </w:rPr>
        <w:t>541.80</w:t>
      </w:r>
      <w:r>
        <w:rPr>
          <w:rFonts w:ascii="仿宋" w:eastAsia="仿宋" w:cs="Times New Roman" w:hint="eastAsia"/>
          <w:sz w:val="32"/>
          <w:szCs w:val="32"/>
          <w:lang w:val="en-US" w:eastAsia="zh-CN" w:bidi="ar-SA"/>
        </w:rPr>
        <w:t>万元，除涉密项目外自评率100%。1</w:t>
      </w:r>
      <w:r>
        <w:rPr>
          <w:rFonts w:ascii="仿宋" w:eastAsia="仿宋" w:cs="Times New Roman"/>
          <w:sz w:val="32"/>
          <w:szCs w:val="32"/>
          <w:lang w:val="en-US" w:eastAsia="zh-CN" w:bidi="ar-SA"/>
        </w:rPr>
        <w:t>4</w:t>
      </w:r>
      <w:r>
        <w:rPr>
          <w:rFonts w:ascii="仿宋" w:eastAsia="仿宋" w:cs="Times New Roman" w:hint="eastAsia"/>
          <w:sz w:val="32"/>
          <w:szCs w:val="32"/>
          <w:lang w:val="en-US" w:eastAsia="zh-CN" w:bidi="ar-SA"/>
        </w:rPr>
        <w:t>个项目均为优秀。具体自评结果如下：</w:t>
      </w:r>
    </w:p>
    <w:p>
      <w:pPr>
        <w:spacing w:line="480" w:lineRule="exact"/>
        <w:ind w:firstLineChars="200" w:firstLine="648"/>
        <w:rPr>
          <w:rFonts w:ascii="仿宋" w:eastAsia="仿宋" w:cs="Times New Roman" w:hint="eastAsia"/>
          <w:sz w:val="32"/>
          <w:szCs w:val="32"/>
          <w:lang w:val="en-US" w:eastAsia="zh-CN" w:bidi="ar-SA"/>
        </w:rPr>
      </w:pPr>
      <w:r>
        <w:rPr>
          <w:rFonts w:ascii="仿宋" w:eastAsia="仿宋" w:cs="Times New Roman" w:hint="eastAsia"/>
          <w:sz w:val="32"/>
          <w:szCs w:val="32"/>
          <w:lang w:val="en-US" w:eastAsia="zh-CN" w:bidi="ar-SA"/>
        </w:rPr>
        <w:t xml:space="preserve">                                   单位：万元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808"/>
        <w:gridCol w:w="1175"/>
        <w:gridCol w:w="1386"/>
      </w:tblGrid>
      <w:tr>
        <w:trPr>
          <w:trHeight w:val="719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序号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自评项目名称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金额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自评等级</w:t>
            </w:r>
          </w:p>
        </w:tc>
      </w:tr>
      <w:tr>
        <w:trPr>
          <w:trHeight w:val="632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1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就业见习基本生活费补贴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8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2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财政业务信息化建设资金及维护费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112.4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3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国有资产管理费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23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4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业务工作经费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50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5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关于下达2021年ppp示范项目奖补资金的通知(唐财资合【2021】1-2号)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35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6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出租屋税金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10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7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投资评审人员劳务费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148.8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8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劳务派遣人员经费（劳务费）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70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9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公物仓运行费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17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10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保安保洁服务费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35.5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11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伤残抚恤金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5.1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12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提前下达2022年省级农村综合改革转移支付预算（唐财农【2021】114号）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13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农村综合改革项目验收费用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18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14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政策性农业保险核查经费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8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优秀</w:t>
            </w:r>
          </w:p>
        </w:tc>
      </w:tr>
      <w:tr>
        <w:trPr>
          <w:trHeight w:val="510"/>
        </w:trPr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 w:hint="eastAsia"/>
                <w:color w:val="000000"/>
              </w:rPr>
              <w:t>合计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  <w:r>
              <w:rPr>
                <w:rFonts w:ascii="仿宋" w:eastAsia="仿宋"/>
                <w:color w:val="000000"/>
              </w:rPr>
              <w:t>541.8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eastAsia="仿宋" w:hint="eastAsia"/>
                <w:color w:val="000000"/>
              </w:rPr>
            </w:pP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7"/>
      </w:tabs>
      <w:jc w:val="center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宋体" w:eastAsia="方正小标宋简体" w:cs="Arial" w:hAnsi="宋体"/>
      <w:b/>
      <w:spacing w:val="2"/>
      <w:kern w:val="2"/>
      <w:sz w:val="18"/>
      <w:szCs w:val="20"/>
      <w:lang w:val="en-US" w:eastAsia="zh-CN" w:bidi="ar-SA"/>
    </w:rPr>
  </w:style>
  <w:style w:type="character" w:styleId="16">
    <w:name w:val="page numbe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9C400120-D5A4-4094-ACBC-4831787EC06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70</TotalTime>
  <Application>Yozo_Office27021597764231179</Application>
  <Pages>4</Pages>
  <Words>0</Words>
  <Characters>1326</Characters>
  <Lines>0</Lines>
  <Paragraphs>42</Paragraphs>
  <CharactersWithSpaces>1769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1</cp:revision>
  <cp:lastPrinted>2023-04-23T05:22:22Z</cp:lastPrinted>
  <dcterms:created xsi:type="dcterms:W3CDTF">2023-03-02T01:15:30Z</dcterms:created>
  <dcterms:modified xsi:type="dcterms:W3CDTF">2023-04-23T05:22:27Z</dcterms:modified>
</cp:coreProperties>
</file>