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left"/>
        <w:rPr>
          <w:rFonts w:ascii="Times New Roman" w:eastAsia="宋体" w:cs="Times New Roman" w:hAnsi="Times New Roman"/>
          <w:sz w:val="30"/>
          <w:szCs w:val="30"/>
          <w:lang w:val="en-US" w:eastAsia="zh-CN"/>
        </w:rPr>
      </w:pPr>
      <w:r>
        <w:rPr>
          <w:rFonts w:ascii="Times New Roman" w:cs="Times New Roman" w:hAnsi="Times New Roman" w:hint="eastAsia"/>
          <w:sz w:val="30"/>
          <w:szCs w:val="30"/>
          <w:lang w:eastAsia="zh-CN"/>
        </w:rPr>
        <w:t>附件</w:t>
      </w:r>
      <w:r>
        <w:rPr>
          <w:rFonts w:ascii="Times New Roman" w:cs="Times New Roman" w:hAnsi="Times New Roman" w:hint="eastAsia"/>
          <w:sz w:val="30"/>
          <w:szCs w:val="30"/>
          <w:lang w:val="en-US" w:eastAsia="zh-CN"/>
        </w:rPr>
        <w:t>1</w:t>
      </w:r>
    </w:p>
    <w:p>
      <w:pPr>
        <w:jc w:val="center"/>
        <w:rPr>
          <w:rFonts w:ascii="Times New Roman" w:cs="Times New Roman" w:hAnsi="Times New Roman"/>
          <w:sz w:val="44"/>
          <w:szCs w:val="44"/>
        </w:rPr>
      </w:pPr>
      <w:r>
        <w:rPr>
          <w:rFonts w:ascii="Times New Roman" w:cs="Times New Roman" w:hAnsi="Times New Roman"/>
          <w:sz w:val="44"/>
          <w:szCs w:val="44"/>
        </w:rPr>
        <w:t>预算部门</w:t>
      </w:r>
      <w:r>
        <w:rPr>
          <w:rFonts w:ascii="Times New Roman" w:cs="Times New Roman" w:hAnsi="Times New Roman" w:hint="eastAsia"/>
          <w:sz w:val="44"/>
          <w:szCs w:val="44"/>
        </w:rPr>
        <w:t>整体</w:t>
      </w:r>
      <w:r>
        <w:rPr>
          <w:rFonts w:ascii="Times New Roman" w:cs="Times New Roman" w:hAnsi="Times New Roman"/>
          <w:sz w:val="44"/>
          <w:szCs w:val="44"/>
        </w:rPr>
        <w:t>绩效自评报告</w:t>
      </w:r>
    </w:p>
    <w:p>
      <w:pPr>
        <w:jc w:val="center"/>
        <w:rPr>
          <w:rFonts w:ascii="Times New Roman" w:eastAsia="仿宋" w:cs="Times New Roman" w:hAnsi="Times New Roman"/>
          <w:sz w:val="30"/>
          <w:szCs w:val="30"/>
        </w:rPr>
      </w:pPr>
      <w:r>
        <w:rPr>
          <w:rFonts w:ascii="Times New Roman" w:eastAsia="仿宋" w:cs="Times New Roman" w:hAnsi="Times New Roman"/>
          <w:sz w:val="30"/>
          <w:szCs w:val="30"/>
        </w:rPr>
        <w:t>（2022年度）</w:t>
      </w:r>
    </w:p>
    <w:p>
      <w:pPr>
        <w:rPr>
          <w:rFonts w:ascii="Times New Roman" w:eastAsia="仿宋" w:cs="Times New Roman" w:hAnsi="Times New Roman"/>
        </w:rPr>
      </w:pPr>
    </w:p>
    <w:p>
      <w:pPr>
        <w:rPr>
          <w:rFonts w:ascii="Times New Roman" w:eastAsia="仿宋" w:cs="Times New Roman" w:hAnsi="Times New Roman"/>
        </w:rPr>
      </w:pPr>
    </w:p>
    <w:p>
      <w:pPr>
        <w:ind w:firstLineChars="100" w:firstLine="320"/>
        <w:rPr>
          <w:rFonts w:ascii="Times New Roman" w:eastAsia="仿宋" w:cs="Times New Roman" w:hAnsi="Times New Roman"/>
          <w:sz w:val="32"/>
          <w:szCs w:val="32"/>
        </w:rPr>
      </w:pPr>
      <w:r>
        <w:rPr>
          <w:rFonts w:ascii="Times New Roman" w:eastAsia="仿宋" w:cs="Times New Roman" w:hAnsi="Times New Roman"/>
          <w:sz w:val="32"/>
          <w:szCs w:val="32"/>
        </w:rPr>
        <w:t>评价方式：</w:t>
      </w:r>
      <w:r>
        <w:rPr>
          <w:rFonts w:ascii="Times New Roman" w:eastAsia="仿宋" w:cs="Times New Roman" w:hAnsi="Times New Roman"/>
          <w:sz w:val="44"/>
          <w:szCs w:val="44"/>
        </w:rPr>
        <w:sym w:font="Wingdings 2" w:char="52"/>
      </w:r>
      <w:r>
        <w:rPr>
          <w:rFonts w:ascii="Times New Roman" w:eastAsia="仿宋" w:cs="Times New Roman" w:hAnsi="Times New Roman"/>
          <w:sz w:val="32"/>
          <w:szCs w:val="32"/>
        </w:rPr>
        <w:t xml:space="preserve">直接组织评价        </w:t>
      </w:r>
      <w:r>
        <w:rPr>
          <w:rFonts w:ascii="Times New Roman" w:eastAsia="仿宋" w:cs="Times New Roman" w:hAnsi="Times New Roman"/>
          <w:sz w:val="44"/>
          <w:szCs w:val="44"/>
        </w:rPr>
        <w:t>□</w:t>
      </w:r>
      <w:r>
        <w:rPr>
          <w:rFonts w:ascii="Times New Roman" w:eastAsia="仿宋" w:cs="Times New Roman" w:hAnsi="Times New Roman"/>
          <w:sz w:val="32"/>
          <w:szCs w:val="32"/>
        </w:rPr>
        <w:t>委托评价</w:t>
      </w:r>
    </w:p>
    <w:p>
      <w:pPr>
        <w:rPr>
          <w:rFonts w:ascii="Times New Roman" w:eastAsia="仿宋" w:cs="Times New Roman" w:hAnsi="Times New Roman"/>
        </w:rPr>
      </w:pPr>
    </w:p>
    <w:p>
      <w:pPr>
        <w:rPr>
          <w:rFonts w:ascii="Times New Roman" w:eastAsia="仿宋" w:cs="Times New Roman" w:hAnsi="Times New Roman"/>
        </w:rPr>
      </w:pPr>
    </w:p>
    <w:p>
      <w:pPr>
        <w:rPr>
          <w:rFonts w:ascii="Times New Roman" w:eastAsia="仿宋" w:cs="Times New Roman" w:hAnsi="Times New Roman"/>
        </w:rPr>
      </w:pPr>
    </w:p>
    <w:p>
      <w:pPr>
        <w:ind w:firstLineChars="600" w:firstLine="1920"/>
        <w:rPr>
          <w:rFonts w:ascii="Times New Roman" w:eastAsia="仿宋" w:cs="Times New Roman" w:hAnsi="Times New Roman"/>
          <w:sz w:val="32"/>
          <w:szCs w:val="32"/>
        </w:rPr>
      </w:pPr>
    </w:p>
    <w:p>
      <w:pPr>
        <w:ind w:firstLineChars="600" w:firstLine="1920"/>
        <w:rPr>
          <w:rFonts w:ascii="Times New Roman" w:eastAsia="仿宋" w:cs="Times New Roman" w:hAnsi="Times New Roman"/>
          <w:sz w:val="32"/>
          <w:szCs w:val="32"/>
        </w:rPr>
      </w:pPr>
    </w:p>
    <w:p>
      <w:pPr>
        <w:ind w:firstLineChars="600" w:firstLine="1920"/>
        <w:rPr>
          <w:rFonts w:ascii="Times New Roman" w:eastAsia="仿宋" w:cs="Times New Roman" w:hAnsi="Times New Roman"/>
          <w:sz w:val="32"/>
          <w:szCs w:val="32"/>
        </w:rPr>
      </w:pPr>
    </w:p>
    <w:p>
      <w:pPr>
        <w:ind w:firstLineChars="200" w:firstLine="640"/>
        <w:rPr>
          <w:rFonts w:ascii="Times New Roman" w:eastAsia="仿宋" w:cs="Times New Roman" w:hAnsi="Times New Roman"/>
          <w:sz w:val="32"/>
          <w:szCs w:val="32"/>
          <w:u w:val="single"/>
        </w:rPr>
      </w:pPr>
      <w:r>
        <w:rPr>
          <w:rFonts w:ascii="Times New Roman" w:eastAsia="仿宋" w:cs="Times New Roman" w:hAnsi="Times New Roman"/>
          <w:sz w:val="32"/>
          <w:szCs w:val="32"/>
        </w:rPr>
        <w:t>部门名称：</w:t>
      </w:r>
      <w:r>
        <w:rPr>
          <w:rFonts w:ascii="Times New Roman" w:eastAsia="仿宋" w:cs="Times New Roman" w:hAnsi="Times New Roman" w:hint="eastAsia"/>
          <w:sz w:val="32"/>
          <w:szCs w:val="32"/>
          <w:u w:val="single"/>
        </w:rPr>
        <w:t xml:space="preserve"> </w:t>
      </w:r>
      <w:r>
        <w:rPr>
          <w:rFonts w:ascii="Times New Roman" w:eastAsia="仿宋" w:cs="Times New Roman" w:hAnsi="Times New Roman" w:hint="eastAsia"/>
          <w:sz w:val="32"/>
          <w:szCs w:val="32"/>
          <w:u w:val="single"/>
          <w:lang w:eastAsia="zh-CN"/>
        </w:rPr>
        <w:t>唐山市丰南区财政局</w:t>
      </w:r>
      <w:r>
        <w:rPr>
          <w:rFonts w:ascii="Times New Roman" w:eastAsia="仿宋" w:cs="Times New Roman" w:hAnsi="Times New Roman" w:hint="eastAsia"/>
          <w:sz w:val="32"/>
          <w:szCs w:val="32"/>
          <w:u w:val="single"/>
        </w:rPr>
        <w:t xml:space="preserve">    （加盖公章）</w:t>
      </w:r>
    </w:p>
    <w:p>
      <w:pPr>
        <w:ind w:firstLineChars="200" w:firstLine="640"/>
        <w:rPr>
          <w:rFonts w:ascii="Times New Roman" w:eastAsia="仿宋" w:cs="Times New Roman" w:hAnsi="Times New Roman"/>
          <w:sz w:val="32"/>
          <w:szCs w:val="32"/>
        </w:rPr>
      </w:pPr>
      <w:r>
        <w:rPr>
          <w:rFonts w:ascii="Times New Roman" w:eastAsia="仿宋" w:cs="Times New Roman" w:hAnsi="Times New Roman"/>
          <w:sz w:val="32"/>
          <w:szCs w:val="32"/>
        </w:rPr>
        <w:t>联系电话：</w:t>
      </w:r>
      <w:r>
        <w:rPr>
          <w:rFonts w:ascii="Times New Roman" w:eastAsia="仿宋" w:cs="Times New Roman" w:hAnsi="Times New Roman"/>
          <w:sz w:val="32"/>
          <w:szCs w:val="32"/>
          <w:u w:val="single"/>
        </w:rPr>
        <w:t xml:space="preserve">  </w:t>
      </w:r>
      <w:r>
        <w:rPr>
          <w:rFonts w:ascii="Times New Roman" w:eastAsia="仿宋" w:cs="Times New Roman" w:hAnsi="Times New Roman" w:hint="eastAsia"/>
          <w:sz w:val="32"/>
          <w:szCs w:val="32"/>
          <w:u w:val="single"/>
          <w:lang w:val="en-US" w:eastAsia="zh-CN"/>
        </w:rPr>
        <w:t>0315-8189718</w:t>
      </w:r>
      <w:r>
        <w:rPr>
          <w:rFonts w:ascii="Times New Roman" w:eastAsia="仿宋" w:cs="Times New Roman" w:hAnsi="Times New Roman"/>
          <w:sz w:val="32"/>
          <w:szCs w:val="32"/>
          <w:u w:val="single"/>
        </w:rPr>
        <w:t xml:space="preserve">  </w:t>
      </w:r>
      <w:r>
        <w:rPr>
          <w:rFonts w:ascii="Times New Roman" w:eastAsia="仿宋" w:cs="Times New Roman" w:hAnsi="Times New Roman" w:hint="eastAsia"/>
          <w:sz w:val="32"/>
          <w:szCs w:val="32"/>
          <w:u w:val="single"/>
        </w:rPr>
        <w:t xml:space="preserve">             </w:t>
      </w:r>
      <w:r>
        <w:rPr>
          <w:rFonts w:ascii="Times New Roman" w:eastAsia="仿宋" w:cs="Times New Roman" w:hAnsi="Times New Roman"/>
          <w:sz w:val="32"/>
          <w:szCs w:val="32"/>
          <w:u w:val="single"/>
        </w:rPr>
        <w:t xml:space="preserve"> </w:t>
      </w:r>
      <w:r>
        <w:rPr>
          <w:rFonts w:ascii="Times New Roman" w:eastAsia="仿宋" w:cs="Times New Roman" w:hAnsi="Times New Roman" w:hint="eastAsia"/>
          <w:sz w:val="32"/>
          <w:szCs w:val="32"/>
          <w:u w:val="single"/>
        </w:rPr>
        <w:t xml:space="preserve">         </w:t>
      </w:r>
      <w:r>
        <w:rPr>
          <w:rFonts w:ascii="Times New Roman" w:eastAsia="仿宋" w:cs="Times New Roman" w:hAnsi="Times New Roman"/>
          <w:sz w:val="32"/>
          <w:szCs w:val="32"/>
          <w:u w:val="single"/>
        </w:rPr>
        <w:t xml:space="preserve">      </w:t>
      </w: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jc w:val="center"/>
        <w:rPr>
          <w:rFonts w:ascii="Times New Roman" w:eastAsia="仿宋" w:cs="Times New Roman" w:hAnsi="Times New Roman"/>
          <w:sz w:val="32"/>
          <w:szCs w:val="32"/>
        </w:rPr>
      </w:pPr>
      <w:r>
        <w:rPr>
          <w:rFonts w:ascii="Times New Roman" w:eastAsia="仿宋" w:cs="Times New Roman" w:hAnsi="Times New Roman"/>
          <w:sz w:val="32"/>
          <w:szCs w:val="32"/>
        </w:rPr>
        <w:t>填报日期</w:t>
      </w:r>
      <w:r>
        <w:rPr>
          <w:rFonts w:ascii="Times New Roman" w:eastAsia="仿宋" w:cs="Times New Roman" w:hAnsi="Times New Roman" w:hint="eastAsia"/>
          <w:sz w:val="32"/>
          <w:szCs w:val="32"/>
        </w:rPr>
        <w:t>：</w:t>
      </w:r>
      <w:r>
        <w:rPr>
          <w:rFonts w:ascii="Times New Roman" w:eastAsia="仿宋" w:cs="Times New Roman" w:hAnsi="Times New Roman" w:hint="eastAsia"/>
          <w:sz w:val="32"/>
          <w:szCs w:val="32"/>
          <w:lang w:val="en-US" w:eastAsia="zh-CN"/>
        </w:rPr>
        <w:t>202</w:t>
      </w:r>
      <w:r>
        <w:rPr>
          <w:rFonts w:ascii="Times New Roman" w:eastAsia="仿宋" w:cs="Times New Roman" w:hAnsi="Times New Roman"/>
          <w:sz w:val="32"/>
          <w:szCs w:val="32"/>
          <w:lang w:val="en-US" w:eastAsia="zh-CN"/>
        </w:rPr>
        <w:t>3</w:t>
      </w:r>
      <w:r>
        <w:rPr>
          <w:rFonts w:ascii="Times New Roman" w:eastAsia="仿宋" w:cs="Times New Roman" w:hAnsi="Times New Roman"/>
          <w:sz w:val="32"/>
          <w:szCs w:val="32"/>
        </w:rPr>
        <w:t>年</w:t>
      </w:r>
      <w:r>
        <w:rPr>
          <w:rFonts w:ascii="Times New Roman" w:eastAsia="仿宋" w:cs="Times New Roman" w:hAnsi="Times New Roman" w:hint="eastAsia"/>
          <w:sz w:val="32"/>
          <w:szCs w:val="32"/>
        </w:rPr>
        <w:t xml:space="preserve"> </w:t>
      </w:r>
      <w:r>
        <w:rPr>
          <w:rFonts w:ascii="Times New Roman" w:eastAsia="仿宋" w:cs="Times New Roman" w:hAnsi="Times New Roman"/>
          <w:sz w:val="32"/>
          <w:szCs w:val="32"/>
          <w:lang w:val="en-US" w:eastAsia="zh-CN"/>
        </w:rPr>
        <w:t>3</w:t>
      </w:r>
      <w:r>
        <w:rPr>
          <w:rFonts w:ascii="Times New Roman" w:eastAsia="仿宋" w:cs="Times New Roman" w:hAnsi="Times New Roman"/>
          <w:sz w:val="32"/>
          <w:szCs w:val="32"/>
        </w:rPr>
        <w:t>月</w:t>
      </w:r>
      <w:r>
        <w:rPr>
          <w:rFonts w:ascii="Times New Roman" w:eastAsia="仿宋" w:cs="Times New Roman" w:hAnsi="Times New Roman"/>
          <w:sz w:val="32"/>
          <w:szCs w:val="32"/>
          <w:lang w:val="en-US" w:eastAsia="zh-CN"/>
        </w:rPr>
        <w:t>18</w:t>
      </w:r>
      <w:r>
        <w:rPr>
          <w:rFonts w:ascii="Times New Roman" w:eastAsia="仿宋" w:cs="Times New Roman" w:hAnsi="Times New Roman" w:hint="eastAsia"/>
          <w:sz w:val="32"/>
          <w:szCs w:val="32"/>
        </w:rPr>
        <w:t xml:space="preserve"> </w:t>
      </w:r>
      <w:r>
        <w:rPr>
          <w:rFonts w:ascii="Times New Roman" w:eastAsia="仿宋" w:cs="Times New Roman" w:hAnsi="Times New Roman"/>
          <w:sz w:val="32"/>
          <w:szCs w:val="32"/>
        </w:rPr>
        <w:t>日</w:t>
      </w: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r>
        <w:rPr>
          <w:rFonts w:ascii="宋体" w:cs="Times New Roman"/>
          <w:b/>
          <w:sz w:val="44"/>
          <w:szCs w:val="44"/>
        </w:rPr>
        <w:t>部门</w:t>
      </w:r>
      <w:r>
        <w:rPr>
          <w:rFonts w:ascii="宋体" w:cs="Times New Roman" w:hint="eastAsia"/>
          <w:b/>
          <w:sz w:val="44"/>
          <w:szCs w:val="44"/>
        </w:rPr>
        <w:t>整体</w:t>
      </w:r>
      <w:r>
        <w:rPr>
          <w:rFonts w:ascii="宋体" w:cs="Times New Roman"/>
          <w:b/>
          <w:sz w:val="44"/>
          <w:szCs w:val="44"/>
        </w:rPr>
        <w:t>绩效自评情况</w:t>
      </w:r>
    </w:p>
    <w:p>
      <w:pPr>
        <w:ind w:firstLineChars="200" w:firstLine="640"/>
        <w:rPr>
          <w:rFonts w:ascii="Times New Roman" w:eastAsia="黑体" w:cs="Times New Roman" w:hAnsi="Times New Roman"/>
          <w:b/>
          <w:sz w:val="32"/>
          <w:szCs w:val="32"/>
        </w:rPr>
      </w:pPr>
      <w:r>
        <w:rPr>
          <w:rFonts w:ascii="Times New Roman" w:eastAsia="黑体" w:cs="Times New Roman" w:hAnsi="Times New Roman"/>
          <w:b/>
          <w:sz w:val="32"/>
          <w:szCs w:val="32"/>
        </w:rPr>
        <w:t>一、部门</w:t>
      </w:r>
      <w:r>
        <w:rPr>
          <w:rFonts w:ascii="Times New Roman" w:eastAsia="黑体" w:cs="Times New Roman" w:hAnsi="Times New Roman" w:hint="eastAsia"/>
          <w:b/>
          <w:sz w:val="32"/>
          <w:szCs w:val="32"/>
        </w:rPr>
        <w:t>整体</w:t>
      </w:r>
      <w:r>
        <w:rPr>
          <w:rFonts w:ascii="Times New Roman" w:eastAsia="黑体" w:cs="Times New Roman" w:hAnsi="Times New Roman"/>
          <w:b/>
          <w:sz w:val="32"/>
          <w:szCs w:val="32"/>
        </w:rPr>
        <w:t>概况</w:t>
      </w:r>
    </w:p>
    <w:p>
      <w:pPr>
        <w:numPr>
          <w:ilvl w:val="0"/>
          <w:numId w:val="1"/>
        </w:numPr>
        <w:rPr>
          <w:rFonts w:ascii="Times New Roman" w:eastAsia="黑体" w:cs="Times New Roman" w:hAnsi="Times New Roman"/>
          <w:sz w:val="32"/>
          <w:szCs w:val="32"/>
        </w:rPr>
      </w:pPr>
      <w:r>
        <w:rPr>
          <w:rFonts w:ascii="Times New Roman" w:eastAsia="黑体" w:cs="Times New Roman" w:hAnsi="Times New Roman"/>
          <w:sz w:val="32"/>
          <w:szCs w:val="32"/>
        </w:rPr>
        <w:t>部门主要职责职能及人员情况</w:t>
      </w:r>
    </w:p>
    <w:p>
      <w:pPr>
        <w:numPr>
          <w:ilvl w:val="0"/>
          <w:numId w:val="2"/>
        </w:numPr>
        <w:snapToGrid w:val="0"/>
        <w:rPr>
          <w:rFonts w:ascii="仿宋" w:eastAsia="仿宋" w:hint="eastAsia"/>
          <w:sz w:val="32"/>
          <w:szCs w:val="32"/>
        </w:rPr>
      </w:pPr>
      <w:r>
        <w:rPr>
          <w:rFonts w:ascii="仿宋" w:eastAsia="仿宋" w:hint="eastAsia"/>
          <w:sz w:val="32"/>
          <w:szCs w:val="32"/>
        </w:rPr>
        <w:t>主要职责</w:t>
      </w:r>
      <w:r>
        <w:rPr>
          <w:rFonts w:ascii="仿宋" w:eastAsia="仿宋"/>
          <w:sz w:val="32"/>
          <w:szCs w:val="32"/>
        </w:rPr>
        <w:t>职能</w:t>
      </w:r>
      <w:r>
        <w:rPr>
          <w:rFonts w:ascii="仿宋" w:eastAsia="仿宋" w:hint="eastAsia"/>
          <w:sz w:val="32"/>
          <w:szCs w:val="32"/>
        </w:rPr>
        <w:t>。</w:t>
      </w:r>
    </w:p>
    <w:p>
      <w:pPr>
        <w:spacing w:line="500" w:lineRule="exact"/>
        <w:ind w:firstLineChars="200" w:firstLine="600"/>
        <w:rPr>
          <w:rFonts w:ascii="仿宋" w:eastAsia="仿宋" w:hint="eastAsia"/>
          <w:sz w:val="30"/>
          <w:szCs w:val="30"/>
        </w:rPr>
      </w:pPr>
      <w:r>
        <w:rPr>
          <w:rFonts w:ascii="仿宋" w:eastAsia="仿宋" w:hint="eastAsia"/>
          <w:sz w:val="30"/>
          <w:szCs w:val="30"/>
        </w:rPr>
        <w:t>(1)贯彻执行国家财政发展战略、方针、政策和法律、法规；根据全区国民经济和社会发展总体规划，制定财政发展战略和中长期规划；拟订和执行区与乡镇、国家与地区的分配政策</w:t>
      </w:r>
    </w:p>
    <w:p>
      <w:pPr>
        <w:spacing w:line="500" w:lineRule="exact"/>
        <w:ind w:firstLineChars="200" w:firstLine="600"/>
        <w:rPr>
          <w:rFonts w:ascii="仿宋" w:eastAsia="仿宋" w:hint="eastAsia"/>
          <w:sz w:val="30"/>
          <w:szCs w:val="30"/>
        </w:rPr>
      </w:pPr>
      <w:r>
        <w:rPr>
          <w:rFonts w:ascii="仿宋" w:eastAsia="仿宋" w:hint="eastAsia"/>
          <w:sz w:val="30"/>
          <w:szCs w:val="30"/>
        </w:rPr>
        <w:t>(2)编制全区年度财政预决算草案，执行区人大批准的财政预算；协调国、地税组织各项财政收入；管理有关政府性基金和行政事业性收费，拟定和执行政府采购政策，对全区行政事业单位小汽车编制进行管理；负责乡镇财政工作。</w:t>
      </w:r>
    </w:p>
    <w:p>
      <w:pPr>
        <w:spacing w:line="500" w:lineRule="exact"/>
        <w:ind w:firstLineChars="200" w:firstLine="600"/>
        <w:rPr>
          <w:rFonts w:ascii="仿宋" w:eastAsia="仿宋" w:hint="eastAsia"/>
          <w:sz w:val="30"/>
          <w:szCs w:val="30"/>
        </w:rPr>
      </w:pPr>
      <w:r>
        <w:rPr>
          <w:rFonts w:ascii="仿宋" w:eastAsia="仿宋" w:hint="eastAsia"/>
          <w:sz w:val="30"/>
          <w:szCs w:val="30"/>
        </w:rPr>
        <w:t>(3)管理财政公共支出，按照有保有压的原则，确保全区经济建设和社会各项事业健康发展；管理国库账户和财政专户，国库支付实习零余额清算。</w:t>
      </w:r>
    </w:p>
    <w:p>
      <w:pPr>
        <w:spacing w:line="500" w:lineRule="exact"/>
        <w:ind w:firstLineChars="200" w:firstLine="600"/>
        <w:rPr>
          <w:rFonts w:ascii="仿宋" w:eastAsia="仿宋" w:hint="eastAsia"/>
          <w:sz w:val="30"/>
          <w:szCs w:val="30"/>
        </w:rPr>
      </w:pPr>
      <w:r>
        <w:rPr>
          <w:rFonts w:ascii="仿宋" w:eastAsia="仿宋" w:hint="eastAsia"/>
          <w:sz w:val="30"/>
          <w:szCs w:val="30"/>
        </w:rPr>
        <w:t>(4)负责城市维护建设资金、财政性基本建设资金、国债专项资金的使用、管理和监督工作；研究拟定全区基本建设、发展改革、交通运输、环境保护、国土（国土专项资金）等部门、单位的财务管理制度及上述部门和所属事业单位年度预算执行、分析和监督；负责汽车下乡补贴、家电下乡补贴、成品油补贴、粮食补贴等政策性补贴资金工作。</w:t>
      </w:r>
    </w:p>
    <w:p>
      <w:pPr>
        <w:spacing w:line="500" w:lineRule="exact"/>
        <w:ind w:firstLineChars="200" w:firstLine="600"/>
        <w:rPr>
          <w:rFonts w:ascii="仿宋" w:eastAsia="仿宋" w:hint="eastAsia"/>
          <w:sz w:val="30"/>
          <w:szCs w:val="30"/>
        </w:rPr>
      </w:pPr>
      <w:r>
        <w:rPr>
          <w:rFonts w:ascii="仿宋" w:eastAsia="仿宋" w:hint="eastAsia"/>
          <w:sz w:val="30"/>
          <w:szCs w:val="30"/>
        </w:rPr>
        <w:t>(5)研究拟订社会保障财务管理制度，编制区本级社会保障资金的预决算草案，负责办理区本级社会保障专项资金和基本建设资金业务。</w:t>
      </w:r>
    </w:p>
    <w:p>
      <w:pPr>
        <w:spacing w:line="500" w:lineRule="exact"/>
        <w:ind w:firstLineChars="200" w:firstLine="600"/>
        <w:rPr>
          <w:rFonts w:ascii="仿宋" w:eastAsia="仿宋" w:hint="eastAsia"/>
          <w:sz w:val="30"/>
          <w:szCs w:val="30"/>
        </w:rPr>
      </w:pPr>
      <w:r>
        <w:rPr>
          <w:rFonts w:ascii="仿宋" w:eastAsia="仿宋" w:hint="eastAsia"/>
          <w:sz w:val="30"/>
          <w:szCs w:val="30"/>
        </w:rPr>
        <w:t>(6)负责全区国有企业、外商投资企业的财务管理，各类企业财源监控，农业保险业务管理。</w:t>
      </w:r>
    </w:p>
    <w:p>
      <w:pPr>
        <w:spacing w:line="500" w:lineRule="exact"/>
        <w:ind w:firstLineChars="200" w:firstLine="600"/>
        <w:rPr>
          <w:rFonts w:ascii="仿宋" w:eastAsia="仿宋" w:hint="eastAsia"/>
          <w:sz w:val="30"/>
          <w:szCs w:val="30"/>
        </w:rPr>
      </w:pPr>
      <w:r>
        <w:rPr>
          <w:rFonts w:ascii="仿宋" w:eastAsia="仿宋" w:hint="eastAsia"/>
          <w:sz w:val="30"/>
          <w:szCs w:val="30"/>
        </w:rPr>
        <w:t>(7)贯彻执行国家和省市有关会计的法律法规，制定相关制度并监督执行，管理和指导全区会计工作。</w:t>
      </w:r>
    </w:p>
    <w:p>
      <w:pPr>
        <w:spacing w:line="500" w:lineRule="exact"/>
        <w:ind w:firstLineChars="200" w:firstLine="600"/>
        <w:rPr>
          <w:rFonts w:ascii="仿宋" w:eastAsia="仿宋" w:hint="eastAsia"/>
          <w:sz w:val="30"/>
          <w:szCs w:val="30"/>
        </w:rPr>
      </w:pPr>
      <w:r>
        <w:rPr>
          <w:rFonts w:ascii="仿宋" w:eastAsia="仿宋" w:hint="eastAsia"/>
          <w:sz w:val="30"/>
          <w:szCs w:val="30"/>
        </w:rPr>
        <w:t>(8)拟订和执行财政监督的规章制度，监督检查财税方针政策、法律法规和规章制定的执行以及各类财政性资金的使用情况，规范财务行为。</w:t>
      </w:r>
    </w:p>
    <w:p>
      <w:pPr>
        <w:spacing w:line="500" w:lineRule="exact"/>
        <w:ind w:firstLineChars="200" w:firstLine="600"/>
        <w:rPr>
          <w:rFonts w:ascii="仿宋" w:eastAsia="仿宋" w:hint="eastAsia"/>
          <w:sz w:val="30"/>
          <w:szCs w:val="30"/>
        </w:rPr>
      </w:pPr>
      <w:r>
        <w:rPr>
          <w:rFonts w:ascii="仿宋" w:eastAsia="仿宋" w:hint="eastAsia"/>
          <w:sz w:val="30"/>
          <w:szCs w:val="30"/>
        </w:rPr>
        <w:t>(9)负责全区世行贷款、亚行贷款及农业综合开发项目资金的管理工作，管理区政府的债权、债务。</w:t>
      </w:r>
    </w:p>
    <w:p>
      <w:pPr>
        <w:spacing w:line="500" w:lineRule="exact"/>
        <w:ind w:firstLineChars="200" w:firstLine="600"/>
        <w:rPr>
          <w:rFonts w:ascii="仿宋" w:eastAsia="仿宋" w:hint="eastAsia"/>
          <w:sz w:val="30"/>
          <w:szCs w:val="30"/>
        </w:rPr>
      </w:pPr>
      <w:r>
        <w:rPr>
          <w:rFonts w:ascii="仿宋" w:eastAsia="仿宋" w:hint="eastAsia"/>
          <w:sz w:val="30"/>
          <w:szCs w:val="30"/>
        </w:rPr>
        <w:t>(10)负责全区国产日常管理工作，制定国有资产管理工作计划、规章制度，确保国有资产保值、增值。</w:t>
      </w:r>
    </w:p>
    <w:p>
      <w:pPr>
        <w:spacing w:line="500" w:lineRule="exact"/>
        <w:ind w:firstLineChars="200" w:firstLine="600"/>
        <w:rPr>
          <w:rFonts w:ascii="仿宋" w:eastAsia="仿宋" w:hint="eastAsia"/>
          <w:sz w:val="30"/>
          <w:szCs w:val="30"/>
        </w:rPr>
      </w:pPr>
      <w:r>
        <w:rPr>
          <w:rFonts w:ascii="仿宋" w:eastAsia="仿宋" w:hint="eastAsia"/>
          <w:sz w:val="30"/>
          <w:szCs w:val="30"/>
        </w:rPr>
        <w:t>(11)负责土地出让金、商品住宅维修资金、保障性建设住房资金的管理工作和村级公益事业建设项目一事一议财政奖补工作；负责财政支出项目绩效评价工作。</w:t>
      </w:r>
    </w:p>
    <w:p>
      <w:pPr>
        <w:spacing w:line="500" w:lineRule="exact"/>
        <w:ind w:firstLineChars="200" w:firstLine="600"/>
        <w:rPr>
          <w:rFonts w:ascii="仿宋" w:eastAsia="仿宋" w:hint="eastAsia"/>
          <w:sz w:val="30"/>
          <w:szCs w:val="30"/>
        </w:rPr>
      </w:pPr>
      <w:r>
        <w:rPr>
          <w:rFonts w:ascii="仿宋" w:eastAsia="仿宋" w:hint="eastAsia"/>
          <w:sz w:val="30"/>
          <w:szCs w:val="30"/>
        </w:rPr>
        <w:t>(12)负责财政系统人员教育培训和管理，负责财政信息和财政宣传调研工资。</w:t>
      </w:r>
    </w:p>
    <w:p>
      <w:pPr>
        <w:spacing w:line="500" w:lineRule="exact"/>
        <w:ind w:firstLineChars="200" w:firstLine="600"/>
        <w:rPr>
          <w:rFonts w:ascii="仿宋" w:eastAsia="仿宋" w:hint="eastAsia"/>
          <w:sz w:val="30"/>
          <w:szCs w:val="30"/>
        </w:rPr>
      </w:pPr>
      <w:r>
        <w:rPr>
          <w:rFonts w:ascii="仿宋" w:eastAsia="仿宋" w:hint="eastAsia"/>
          <w:sz w:val="30"/>
          <w:szCs w:val="30"/>
        </w:rPr>
        <w:t>(13)管理乡镇财政所。</w:t>
      </w:r>
    </w:p>
    <w:p>
      <w:pPr>
        <w:spacing w:line="500" w:lineRule="exact"/>
        <w:ind w:firstLineChars="200" w:firstLine="600"/>
        <w:rPr>
          <w:rFonts w:ascii="仿宋" w:eastAsia="仿宋" w:hint="eastAsia"/>
          <w:sz w:val="30"/>
          <w:szCs w:val="30"/>
        </w:rPr>
      </w:pPr>
      <w:r>
        <w:rPr>
          <w:rFonts w:ascii="仿宋" w:eastAsia="仿宋" w:hint="eastAsia"/>
          <w:sz w:val="30"/>
          <w:szCs w:val="30"/>
        </w:rPr>
        <w:t>(14)承办区政府交办的其他事项。</w:t>
      </w:r>
    </w:p>
    <w:p>
      <w:pPr>
        <w:spacing w:line="500" w:lineRule="exact"/>
        <w:ind w:firstLineChars="200" w:firstLine="600"/>
        <w:rPr>
          <w:rFonts w:ascii="仿宋" w:eastAsia="仿宋" w:hint="eastAsia"/>
          <w:sz w:val="30"/>
          <w:szCs w:val="30"/>
        </w:rPr>
      </w:pPr>
      <w:r>
        <w:rPr>
          <w:rFonts w:ascii="仿宋" w:eastAsia="仿宋" w:hint="eastAsia"/>
          <w:sz w:val="30"/>
          <w:szCs w:val="30"/>
        </w:rPr>
        <w:t>根据《丰南区财政投资评审管理办法》规定，唐山市丰南区财政局还有以下职责：</w:t>
      </w:r>
    </w:p>
    <w:p>
      <w:pPr>
        <w:spacing w:line="500" w:lineRule="exact"/>
        <w:ind w:firstLineChars="200" w:firstLine="600"/>
        <w:rPr>
          <w:rFonts w:ascii="仿宋" w:eastAsia="仿宋" w:hint="eastAsia"/>
          <w:sz w:val="30"/>
          <w:szCs w:val="30"/>
        </w:rPr>
      </w:pPr>
      <w:r>
        <w:rPr>
          <w:rFonts w:ascii="仿宋" w:eastAsia="仿宋" w:hint="eastAsia"/>
          <w:sz w:val="30"/>
          <w:szCs w:val="30"/>
        </w:rPr>
        <w:t>(1)根据授权对使用财政投资项目的概算、预算、工程价款结算进行评估与、专项核查、绩效评价；</w:t>
      </w:r>
    </w:p>
    <w:p>
      <w:pPr>
        <w:spacing w:line="500" w:lineRule="exact"/>
        <w:ind w:firstLineChars="200" w:firstLine="600"/>
        <w:rPr>
          <w:rFonts w:ascii="仿宋" w:eastAsia="仿宋" w:hint="eastAsia"/>
          <w:sz w:val="30"/>
          <w:szCs w:val="30"/>
        </w:rPr>
      </w:pPr>
      <w:r>
        <w:rPr>
          <w:rFonts w:ascii="仿宋" w:eastAsia="仿宋" w:hint="eastAsia"/>
          <w:sz w:val="30"/>
          <w:szCs w:val="30"/>
        </w:rPr>
        <w:t>(2)对已安排建设项目的前期费用、施工图预算、工程招标标底、重大设计变更及调整预算进行评价审查；</w:t>
      </w:r>
    </w:p>
    <w:p>
      <w:pPr>
        <w:spacing w:line="500" w:lineRule="exact"/>
        <w:ind w:firstLineChars="200" w:firstLine="600"/>
        <w:rPr>
          <w:rFonts w:ascii="仿宋" w:eastAsia="仿宋" w:hint="eastAsia"/>
          <w:sz w:val="30"/>
          <w:szCs w:val="30"/>
        </w:rPr>
      </w:pPr>
      <w:r>
        <w:rPr>
          <w:rFonts w:ascii="仿宋" w:eastAsia="仿宋" w:hint="eastAsia"/>
          <w:sz w:val="30"/>
          <w:szCs w:val="30"/>
        </w:rPr>
        <w:t>(3)建设单位没能力编制招标控制价的，由财政局委托社会中介咨询机构进行该项职能。</w:t>
      </w:r>
    </w:p>
    <w:p>
      <w:pPr>
        <w:snapToGrid w:val="0"/>
        <w:ind w:firstLineChars="200" w:firstLine="640"/>
        <w:rPr>
          <w:rFonts w:ascii="仿宋" w:eastAsia="仿宋" w:cs="Times New Roman" w:hint="eastAsia"/>
          <w:sz w:val="32"/>
          <w:szCs w:val="32"/>
        </w:rPr>
      </w:pPr>
      <w:r>
        <w:rPr>
          <w:rFonts w:ascii="仿宋" w:eastAsia="仿宋" w:cs="Times New Roman" w:hint="eastAsia"/>
          <w:sz w:val="32"/>
          <w:szCs w:val="32"/>
        </w:rPr>
        <w:t>2．人员情况。</w:t>
      </w:r>
    </w:p>
    <w:p>
      <w:pPr>
        <w:snapToGrid w:val="0"/>
        <w:ind w:firstLineChars="200" w:firstLine="640"/>
        <w:rPr>
          <w:rFonts w:ascii="仿宋" w:eastAsia="仿宋" w:cs="Times New Roman" w:hint="eastAsia"/>
          <w:sz w:val="32"/>
          <w:szCs w:val="32"/>
        </w:rPr>
      </w:pPr>
      <w:r>
        <w:rPr>
          <w:rFonts w:ascii="仿宋" w:eastAsia="仿宋" w:cs="Times New Roman" w:hint="eastAsia"/>
          <w:sz w:val="32"/>
          <w:szCs w:val="32"/>
          <w:lang w:val="en-US" w:eastAsia="zh-CN"/>
          <w:highlight w:val="auto"/>
        </w:rPr>
        <w:t>202</w:t>
      </w:r>
      <w:r>
        <w:rPr>
          <w:rFonts w:ascii="仿宋" w:eastAsia="仿宋" w:cs="Times New Roman"/>
          <w:sz w:val="32"/>
          <w:szCs w:val="32"/>
          <w:lang w:val="en-US" w:eastAsia="zh-CN"/>
          <w:highlight w:val="auto"/>
        </w:rPr>
        <w:t>2</w:t>
      </w:r>
      <w:r>
        <w:rPr>
          <w:rFonts w:ascii="仿宋" w:eastAsia="仿宋" w:cs="Times New Roman" w:hint="eastAsia"/>
          <w:sz w:val="32"/>
          <w:szCs w:val="32"/>
          <w:lang w:val="en-US" w:eastAsia="zh-CN"/>
          <w:highlight w:val="auto"/>
        </w:rPr>
        <w:t>年年末行政人员21人，参公人员</w:t>
      </w:r>
      <w:r>
        <w:rPr>
          <w:rFonts w:ascii="仿宋" w:eastAsia="仿宋" w:cs="Times New Roman"/>
          <w:sz w:val="32"/>
          <w:szCs w:val="32"/>
          <w:lang w:val="en-US" w:eastAsia="zh-CN"/>
          <w:highlight w:val="auto"/>
        </w:rPr>
        <w:t>68</w:t>
      </w:r>
      <w:r>
        <w:rPr>
          <w:rFonts w:ascii="仿宋" w:eastAsia="仿宋" w:cs="Times New Roman" w:hint="eastAsia"/>
          <w:sz w:val="32"/>
          <w:szCs w:val="32"/>
          <w:lang w:val="en-US" w:eastAsia="zh-CN"/>
          <w:highlight w:val="auto"/>
        </w:rPr>
        <w:t>人，全额事业</w:t>
      </w:r>
      <w:r>
        <w:rPr>
          <w:rFonts w:ascii="仿宋" w:eastAsia="仿宋" w:cs="Times New Roman"/>
          <w:sz w:val="32"/>
          <w:szCs w:val="32"/>
          <w:lang w:val="en-US" w:eastAsia="zh-CN"/>
          <w:highlight w:val="auto"/>
        </w:rPr>
        <w:t>82</w:t>
      </w:r>
      <w:r>
        <w:rPr>
          <w:rFonts w:ascii="仿宋" w:eastAsia="仿宋" w:cs="Times New Roman" w:hint="eastAsia"/>
          <w:sz w:val="32"/>
          <w:szCs w:val="32"/>
          <w:lang w:val="en-US" w:eastAsia="zh-CN"/>
          <w:highlight w:val="auto"/>
        </w:rPr>
        <w:t>人，自收自支人员3</w:t>
      </w:r>
      <w:r>
        <w:rPr>
          <w:rFonts w:ascii="仿宋" w:eastAsia="仿宋" w:cs="Times New Roman"/>
          <w:sz w:val="32"/>
          <w:szCs w:val="32"/>
          <w:lang w:val="en-US" w:eastAsia="zh-CN"/>
          <w:highlight w:val="auto"/>
        </w:rPr>
        <w:t>1</w:t>
      </w:r>
      <w:r>
        <w:rPr>
          <w:rFonts w:ascii="仿宋" w:eastAsia="仿宋" w:cs="Times New Roman" w:hint="eastAsia"/>
          <w:sz w:val="32"/>
          <w:szCs w:val="32"/>
          <w:lang w:val="en-US" w:eastAsia="zh-CN"/>
          <w:highlight w:val="auto"/>
        </w:rPr>
        <w:t>人，人事代理及聘任制</w:t>
      </w:r>
      <w:r>
        <w:rPr>
          <w:rFonts w:ascii="仿宋" w:eastAsia="仿宋" w:cs="Times New Roman"/>
          <w:sz w:val="32"/>
          <w:szCs w:val="32"/>
          <w:lang w:val="en-US" w:eastAsia="zh-CN"/>
          <w:highlight w:val="auto"/>
        </w:rPr>
        <w:t>19</w:t>
      </w:r>
      <w:r>
        <w:rPr>
          <w:rFonts w:ascii="仿宋" w:eastAsia="仿宋" w:cs="Times New Roman" w:hint="eastAsia"/>
          <w:sz w:val="32"/>
          <w:szCs w:val="32"/>
          <w:lang w:val="en-US" w:eastAsia="zh-CN"/>
          <w:highlight w:val="auto"/>
        </w:rPr>
        <w:t>人，实有人数共计22</w:t>
      </w:r>
      <w:r>
        <w:rPr>
          <w:rFonts w:ascii="仿宋" w:eastAsia="仿宋" w:cs="Times New Roman"/>
          <w:sz w:val="32"/>
          <w:szCs w:val="32"/>
          <w:lang w:val="en-US" w:eastAsia="zh-CN"/>
          <w:highlight w:val="auto"/>
        </w:rPr>
        <w:t>1</w:t>
      </w:r>
      <w:r>
        <w:rPr>
          <w:rFonts w:ascii="仿宋" w:eastAsia="仿宋" w:cs="Times New Roman" w:hint="eastAsia"/>
          <w:sz w:val="32"/>
          <w:szCs w:val="32"/>
          <w:lang w:val="en-US" w:eastAsia="zh-CN"/>
          <w:highlight w:val="auto"/>
        </w:rPr>
        <w:t>人。</w:t>
      </w:r>
    </w:p>
    <w:p>
      <w:pPr>
        <w:numPr>
          <w:ilvl w:val="0"/>
          <w:numId w:val="1"/>
        </w:numPr>
        <w:rPr>
          <w:rFonts w:ascii="仿宋" w:eastAsia="仿宋" w:cs="Times New Roman" w:hint="eastAsia"/>
          <w:sz w:val="32"/>
          <w:szCs w:val="32"/>
        </w:rPr>
      </w:pPr>
      <w:r>
        <w:rPr>
          <w:rFonts w:ascii="仿宋" w:eastAsia="仿宋" w:cs="Times New Roman" w:hint="eastAsia"/>
          <w:sz w:val="32"/>
          <w:szCs w:val="32"/>
        </w:rPr>
        <w:t>部门预算执行情况等</w:t>
      </w:r>
    </w:p>
    <w:p>
      <w:pPr>
        <w:ind w:firstLineChars="200" w:firstLine="640"/>
        <w:rPr>
          <w:rFonts w:ascii="仿宋" w:eastAsia="仿宋" w:cs="Times New Roman" w:hint="eastAsia"/>
          <w:sz w:val="32"/>
          <w:szCs w:val="32"/>
          <w:highlight w:val="auto"/>
        </w:rPr>
      </w:pPr>
      <w:r>
        <w:rPr>
          <w:rFonts w:ascii="仿宋" w:eastAsia="仿宋" w:cs="Times New Roman" w:hint="eastAsia"/>
          <w:sz w:val="32"/>
          <w:szCs w:val="32"/>
          <w:highlight w:val="auto"/>
        </w:rPr>
        <w:t>本部门202</w:t>
      </w:r>
      <w:r>
        <w:rPr>
          <w:rFonts w:ascii="仿宋" w:eastAsia="仿宋" w:cs="Times New Roman"/>
          <w:sz w:val="32"/>
          <w:szCs w:val="32"/>
          <w:highlight w:val="auto"/>
        </w:rPr>
        <w:t>2</w:t>
      </w:r>
      <w:r>
        <w:rPr>
          <w:rFonts w:ascii="仿宋" w:eastAsia="仿宋" w:cs="Times New Roman" w:hint="eastAsia"/>
          <w:sz w:val="32"/>
          <w:szCs w:val="32"/>
          <w:highlight w:val="auto"/>
        </w:rPr>
        <w:t>年度</w:t>
      </w:r>
      <w:r>
        <w:rPr>
          <w:rFonts w:ascii="仿宋" w:eastAsia="仿宋" w:cs="Times New Roman"/>
          <w:sz w:val="32"/>
          <w:szCs w:val="32"/>
          <w:highlight w:val="auto"/>
        </w:rPr>
        <w:t>年初</w:t>
      </w:r>
      <w:r>
        <w:rPr>
          <w:rFonts w:ascii="仿宋" w:eastAsia="仿宋" w:cs="Times New Roman" w:hint="eastAsia"/>
          <w:sz w:val="32"/>
          <w:szCs w:val="32"/>
          <w:highlight w:val="auto"/>
        </w:rPr>
        <w:t>申请预算资金</w:t>
      </w:r>
      <w:r>
        <w:rPr>
          <w:rFonts w:ascii="仿宋" w:eastAsia="仿宋" w:cs="Times New Roman"/>
          <w:sz w:val="32"/>
          <w:szCs w:val="32"/>
        </w:rPr>
        <w:t>5567.53</w:t>
      </w:r>
      <w:r>
        <w:rPr>
          <w:rFonts w:ascii="仿宋" w:eastAsia="仿宋" w:cs="Times New Roman" w:hint="eastAsia"/>
          <w:sz w:val="32"/>
          <w:szCs w:val="32"/>
          <w:highlight w:val="auto"/>
        </w:rPr>
        <w:t>万元，实际支出</w:t>
      </w:r>
      <w:r>
        <w:rPr>
          <w:rFonts w:ascii="仿宋" w:eastAsia="仿宋" w:cs="Times New Roman"/>
          <w:sz w:val="32"/>
          <w:szCs w:val="32"/>
        </w:rPr>
        <w:t>4890.20</w:t>
      </w:r>
      <w:r>
        <w:rPr>
          <w:rFonts w:ascii="仿宋" w:eastAsia="仿宋" w:cs="Times New Roman" w:hint="eastAsia"/>
          <w:sz w:val="32"/>
          <w:szCs w:val="32"/>
          <w:highlight w:val="auto"/>
        </w:rPr>
        <w:t>万元，预算执行率</w:t>
      </w:r>
      <w:r>
        <w:rPr>
          <w:rFonts w:ascii="仿宋" w:eastAsia="仿宋" w:cs="Times New Roman"/>
          <w:sz w:val="32"/>
          <w:szCs w:val="32"/>
          <w:lang w:val="en-US" w:eastAsia="zh-CN"/>
          <w:highlight w:val="auto"/>
        </w:rPr>
        <w:t>87.83</w:t>
      </w:r>
      <w:r>
        <w:rPr>
          <w:rFonts w:ascii="仿宋" w:eastAsia="仿宋" w:cs="Times New Roman" w:hint="eastAsia"/>
          <w:sz w:val="32"/>
          <w:szCs w:val="32"/>
          <w:highlight w:val="auto"/>
        </w:rPr>
        <w:t>%。其中：项目</w:t>
      </w:r>
      <w:r>
        <w:rPr>
          <w:rFonts w:ascii="仿宋" w:eastAsia="仿宋" w:cs="Times New Roman"/>
          <w:sz w:val="32"/>
          <w:szCs w:val="32"/>
          <w:lang w:val="en-US" w:eastAsia="zh-CN"/>
        </w:rPr>
        <w:t>14</w:t>
      </w:r>
      <w:r>
        <w:rPr>
          <w:rFonts w:ascii="仿宋" w:eastAsia="仿宋" w:cs="Times New Roman" w:hint="eastAsia"/>
          <w:sz w:val="32"/>
          <w:szCs w:val="32"/>
          <w:highlight w:val="auto"/>
        </w:rPr>
        <w:t>个，金额合计</w:t>
      </w:r>
      <w:r>
        <w:rPr>
          <w:rFonts w:ascii="仿宋" w:eastAsia="仿宋"/>
          <w:sz w:val="32"/>
          <w:szCs w:val="32"/>
        </w:rPr>
        <w:t>541.8</w:t>
      </w:r>
      <w:r>
        <w:rPr>
          <w:rFonts w:ascii="仿宋" w:eastAsia="仿宋" w:cs="Times New Roman" w:hint="eastAsia"/>
          <w:sz w:val="32"/>
          <w:szCs w:val="32"/>
          <w:highlight w:val="auto"/>
        </w:rPr>
        <w:t>万元，实际支出</w:t>
      </w:r>
      <w:r>
        <w:rPr>
          <w:rFonts w:ascii="仿宋" w:eastAsia="仿宋" w:cs="Times New Roman"/>
          <w:sz w:val="32"/>
          <w:szCs w:val="32"/>
          <w:highlight w:val="auto"/>
        </w:rPr>
        <w:t>389.1</w:t>
      </w:r>
      <w:r>
        <w:rPr>
          <w:rFonts w:ascii="仿宋" w:eastAsia="仿宋" w:cs="Times New Roman" w:hint="eastAsia"/>
          <w:sz w:val="32"/>
          <w:szCs w:val="32"/>
          <w:highlight w:val="auto"/>
        </w:rPr>
        <w:t>万元，执行率为</w:t>
      </w:r>
      <w:r>
        <w:rPr>
          <w:rFonts w:ascii="仿宋" w:eastAsia="仿宋"/>
          <w:sz w:val="32"/>
          <w:szCs w:val="32"/>
          <w:lang w:val="en-US" w:eastAsia="zh-CN"/>
        </w:rPr>
        <w:t>71.82</w:t>
      </w:r>
      <w:r>
        <w:rPr>
          <w:rFonts w:ascii="仿宋" w:eastAsia="仿宋" w:hint="eastAsia"/>
          <w:sz w:val="32"/>
          <w:szCs w:val="32"/>
          <w:highlight w:val="auto"/>
        </w:rPr>
        <w:t>%</w:t>
      </w:r>
      <w:r>
        <w:rPr>
          <w:rFonts w:ascii="仿宋" w:eastAsia="仿宋" w:cs="Times New Roman" w:hint="eastAsia"/>
          <w:sz w:val="32"/>
          <w:szCs w:val="32"/>
          <w:highlight w:val="auto"/>
        </w:rPr>
        <w:t>。</w:t>
      </w:r>
    </w:p>
    <w:p>
      <w:pPr>
        <w:ind w:firstLineChars="200" w:firstLine="640"/>
        <w:rPr>
          <w:rFonts w:ascii="仿宋" w:eastAsia="仿宋" w:cs="Times New Roman" w:hint="eastAsia"/>
          <w:b/>
          <w:sz w:val="32"/>
          <w:szCs w:val="32"/>
        </w:rPr>
      </w:pPr>
      <w:r>
        <w:rPr>
          <w:rFonts w:ascii="仿宋" w:eastAsia="仿宋" w:cs="Times New Roman" w:hint="eastAsia"/>
          <w:b/>
          <w:sz w:val="32"/>
          <w:szCs w:val="32"/>
        </w:rPr>
        <w:t>二、绩效评价组织情况</w:t>
      </w:r>
    </w:p>
    <w:p>
      <w:pPr>
        <w:pStyle w:val="17"/>
        <w:widowControl/>
        <w:ind w:firstLineChars="300" w:firstLine="960"/>
        <w:rPr>
          <w:rFonts w:ascii="仿宋" w:eastAsia="仿宋" w:cs="Times New Roman" w:hint="eastAsia"/>
          <w:kern w:val="2"/>
          <w:sz w:val="32"/>
          <w:szCs w:val="32"/>
          <w:lang w:val="en-US" w:eastAsia="zh-CN" w:bidi="ar-SA"/>
        </w:rPr>
      </w:pPr>
      <w:r>
        <w:rPr>
          <w:rFonts w:ascii="仿宋" w:eastAsia="仿宋" w:hint="eastAsia"/>
          <w:kern w:val="2"/>
          <w:sz w:val="32"/>
          <w:szCs w:val="32"/>
          <w:lang w:val="en-US" w:eastAsia="zh-CN" w:bidi="ar-SA"/>
        </w:rPr>
        <w:t>部门总体绩效目标：一、依法治税管费，全面落实中央、省、市、区制定的对企业的各项奖补和优惠政策，促进产业结构转型升级、优化营商环境，培植财源，确保高质量完成全年财政收入预算。二、克服通常观念，牢固树立“过紧日子”思想，加强预算管理，严格预算支出，确保财政收支平衡。三、推进全面实施预算绩效管理。四、着力推进财政管理改革。五、落实积极财政政策，深化财政投融资体制改革，做大做强财政“蛋糕”，助推全区经济转</w:t>
      </w:r>
      <w:r>
        <w:rPr>
          <w:rFonts w:ascii="仿宋" w:eastAsia="仿宋" w:cs="Times New Roman" w:hint="eastAsia"/>
          <w:kern w:val="2"/>
          <w:sz w:val="32"/>
          <w:szCs w:val="32"/>
          <w:lang w:val="en-US" w:eastAsia="zh-CN" w:bidi="ar-SA"/>
        </w:rPr>
        <w:t>型和产业升级。六、加强债务管理，防范和化解债务风险。七、贯彻实施乡村振兴战略，管好用好涉农资金。八、以规范化管理为目标，夯实基础工作。九、全面提升我区国有资产管理水平。十、加强干部队伍建设，创建文明高效廉洁财政机关。</w:t>
      </w:r>
    </w:p>
    <w:p>
      <w:pPr>
        <w:ind w:firstLineChars="200" w:firstLine="640"/>
        <w:rPr>
          <w:rFonts w:ascii="仿宋" w:eastAsia="仿宋" w:cs="Times New Roman" w:hint="eastAsia"/>
          <w:sz w:val="32"/>
          <w:szCs w:val="32"/>
        </w:rPr>
      </w:pPr>
      <w:r>
        <w:rPr>
          <w:rFonts w:ascii="仿宋" w:eastAsia="仿宋" w:cs="Times New Roman" w:hint="eastAsia"/>
          <w:kern w:val="2"/>
          <w:sz w:val="32"/>
          <w:szCs w:val="32"/>
          <w:lang w:val="en-US" w:eastAsia="zh-CN" w:bidi="ar-SA"/>
        </w:rPr>
        <w:t>绩效指标设定情况：反映</w:t>
      </w:r>
      <w:r>
        <w:rPr>
          <w:rFonts w:ascii="仿宋" w:eastAsia="仿宋" w:cs="Times New Roman" w:hint="eastAsia"/>
          <w:sz w:val="32"/>
          <w:szCs w:val="32"/>
        </w:rPr>
        <w:t>重点工作任务完成情况。重点工作完成率=（重点工作实际完成数量/重点工作数量）*100%；反映全部工作任务达到预期质量目标情况。全年工作任务达标率=(完成预期质量目标的工作任务数/全年部门工作任务数)*100%；反映全部工作任务完成的及时程度和效率情况。完成及时率=（按时完成的工作任务数/全部工作任务数）*100%；保障财政工作的正常运转；政策全方位落实情况，执行各项财政事业，确保全区各项工作较好开展；能够长期较好地开展财政工作，长期满足服务对象的需求；社会公众或服务对象对本部门主要职能工作开展情况的满意程度，一般采用通过调查问卷、访谈等方式。</w:t>
      </w:r>
    </w:p>
    <w:p>
      <w:pPr>
        <w:ind w:firstLineChars="200" w:firstLine="640"/>
        <w:rPr>
          <w:rFonts w:ascii="仿宋" w:eastAsia="仿宋" w:cs="Times New Roman" w:hint="eastAsia"/>
          <w:sz w:val="32"/>
          <w:szCs w:val="32"/>
        </w:rPr>
      </w:pPr>
      <w:r>
        <w:rPr>
          <w:rFonts w:ascii="仿宋" w:eastAsia="仿宋" w:cs="Times New Roman" w:hint="eastAsia"/>
          <w:sz w:val="32"/>
          <w:szCs w:val="32"/>
        </w:rPr>
        <w:t>本次绩效评价项目</w:t>
      </w:r>
      <w:r>
        <w:rPr>
          <w:rFonts w:ascii="仿宋" w:eastAsia="仿宋" w:cs="Times New Roman" w:hint="eastAsia"/>
          <w:sz w:val="32"/>
          <w:szCs w:val="32"/>
          <w:lang w:val="en-US" w:eastAsia="zh-CN"/>
        </w:rPr>
        <w:t>1</w:t>
      </w:r>
      <w:r>
        <w:rPr>
          <w:rFonts w:ascii="仿宋" w:eastAsia="仿宋" w:cs="Times New Roman"/>
          <w:sz w:val="32"/>
          <w:szCs w:val="32"/>
          <w:lang w:val="en-US" w:eastAsia="zh-CN"/>
        </w:rPr>
        <w:t>4</w:t>
      </w:r>
      <w:r>
        <w:rPr>
          <w:rFonts w:ascii="仿宋" w:eastAsia="仿宋" w:cs="Times New Roman" w:hint="eastAsia"/>
          <w:sz w:val="32"/>
          <w:szCs w:val="32"/>
        </w:rPr>
        <w:t>个，占部门项目总数的</w:t>
      </w:r>
      <w:r>
        <w:rPr>
          <w:rFonts w:ascii="仿宋" w:eastAsia="仿宋" w:cs="Times New Roman" w:hint="eastAsia"/>
          <w:sz w:val="32"/>
          <w:szCs w:val="32"/>
          <w:lang w:val="en-US" w:eastAsia="zh-CN"/>
        </w:rPr>
        <w:t>100</w:t>
      </w:r>
      <w:r>
        <w:rPr>
          <w:rFonts w:ascii="仿宋" w:eastAsia="仿宋" w:cs="Times New Roman" w:hint="eastAsia"/>
          <w:sz w:val="32"/>
          <w:szCs w:val="32"/>
        </w:rPr>
        <w:t>%，涉及金额</w:t>
      </w:r>
      <w:r>
        <w:rPr>
          <w:rFonts w:ascii="仿宋" w:eastAsia="仿宋" w:cs="Times New Roman"/>
          <w:sz w:val="32"/>
          <w:szCs w:val="32"/>
          <w:lang w:val="en-US" w:eastAsia="zh-CN"/>
        </w:rPr>
        <w:t>541.8</w:t>
      </w:r>
      <w:r>
        <w:rPr>
          <w:rFonts w:ascii="仿宋" w:eastAsia="仿宋" w:cs="Times New Roman" w:hint="eastAsia"/>
          <w:sz w:val="32"/>
          <w:szCs w:val="32"/>
        </w:rPr>
        <w:t>万元。采取成立本部门绩效自评工作组的形式，本着客观、公正、公开的原则开展自评工作，所有项目的绩效自评均设计了合理、明晰、可考核的、关键性产出指标和效果指标，自评结果真实可靠。</w:t>
      </w:r>
    </w:p>
    <w:p>
      <w:pPr>
        <w:ind w:firstLineChars="200" w:firstLine="640"/>
        <w:rPr>
          <w:rFonts w:ascii="仿宋" w:eastAsia="仿宋" w:cs="Times New Roman" w:hint="eastAsia"/>
          <w:b/>
          <w:bCs/>
          <w:sz w:val="32"/>
          <w:szCs w:val="32"/>
        </w:rPr>
      </w:pPr>
      <w:r>
        <w:rPr>
          <w:rFonts w:ascii="仿宋" w:eastAsia="仿宋" w:cs="Times New Roman" w:hint="eastAsia"/>
          <w:b/>
          <w:bCs/>
          <w:sz w:val="32"/>
          <w:szCs w:val="32"/>
        </w:rPr>
        <w:t>三、部门绩效管理开展的整体绩效实现情况</w:t>
      </w:r>
    </w:p>
    <w:p>
      <w:pPr>
        <w:snapToGrid w:val="0"/>
        <w:spacing w:line="580" w:lineRule="exact"/>
        <w:ind w:firstLineChars="200" w:firstLine="640"/>
        <w:rPr>
          <w:rFonts w:ascii="仿宋" w:eastAsia="仿宋" w:hint="eastAsia"/>
          <w:sz w:val="32"/>
          <w:szCs w:val="32"/>
        </w:rPr>
      </w:pPr>
      <w:r>
        <w:rPr>
          <w:rFonts w:ascii="仿宋" w:eastAsia="仿宋" w:hint="eastAsia"/>
          <w:color w:val="auto"/>
          <w:sz w:val="32"/>
          <w:szCs w:val="32"/>
          <w:lang w:val="en-US" w:eastAsia="zh-CN"/>
          <w:highlight w:val="auto"/>
        </w:rPr>
        <w:t>（一）部门开展预算绩效管理情况：</w:t>
      </w:r>
      <w:r>
        <w:rPr>
          <w:rFonts w:ascii="仿宋" w:eastAsia="仿宋"/>
          <w:color w:val="auto"/>
          <w:sz w:val="32"/>
          <w:szCs w:val="32"/>
          <w:lang w:val="en-US" w:eastAsia="zh-CN"/>
          <w:highlight w:val="auto"/>
        </w:rPr>
        <w:t>（1）</w:t>
      </w:r>
      <w:r>
        <w:rPr>
          <w:rFonts w:ascii="仿宋" w:eastAsia="仿宋" w:hint="eastAsia"/>
          <w:color w:val="auto"/>
          <w:sz w:val="32"/>
          <w:szCs w:val="32"/>
          <w:lang w:val="en-US" w:eastAsia="zh-CN"/>
          <w:highlight w:val="auto"/>
        </w:rPr>
        <w:t>开展半年绩效监控，了解项目的预算执行情况、目标完成情况、指标完成情况项目和存在的问题等；</w:t>
      </w:r>
      <w:r>
        <w:rPr>
          <w:rFonts w:ascii="仿宋" w:eastAsia="仿宋"/>
          <w:color w:val="auto"/>
          <w:sz w:val="32"/>
          <w:szCs w:val="32"/>
          <w:lang w:val="en-US" w:eastAsia="zh-CN"/>
          <w:highlight w:val="auto"/>
        </w:rPr>
        <w:t>（2）</w:t>
      </w:r>
      <w:r>
        <w:rPr>
          <w:rFonts w:ascii="仿宋" w:eastAsia="仿宋" w:hint="eastAsia"/>
          <w:color w:val="auto"/>
          <w:sz w:val="32"/>
          <w:szCs w:val="32"/>
          <w:lang w:val="en-US" w:eastAsia="zh-CN"/>
          <w:highlight w:val="auto"/>
        </w:rPr>
        <w:t>开展项目绩效自评工作，了解预算项目的执行情况和存在的问题等；</w:t>
      </w:r>
      <w:r>
        <w:rPr>
          <w:rFonts w:ascii="仿宋" w:eastAsia="仿宋"/>
          <w:color w:val="auto"/>
          <w:sz w:val="32"/>
          <w:szCs w:val="32"/>
          <w:lang w:val="en-US" w:eastAsia="zh-CN"/>
          <w:highlight w:val="auto"/>
        </w:rPr>
        <w:t>（3）</w:t>
      </w:r>
      <w:r>
        <w:rPr>
          <w:rFonts w:ascii="仿宋" w:eastAsia="仿宋" w:hint="eastAsia"/>
          <w:color w:val="auto"/>
          <w:sz w:val="32"/>
          <w:szCs w:val="32"/>
          <w:lang w:val="en-US" w:eastAsia="zh-CN"/>
          <w:highlight w:val="auto"/>
        </w:rPr>
        <w:t>加强绩效管理信息的公开，方便社会公众查阅和了解，进一步强化了预算监督。</w:t>
      </w:r>
    </w:p>
    <w:p>
      <w:pPr>
        <w:snapToGrid w:val="0"/>
        <w:spacing w:line="580" w:lineRule="exact"/>
        <w:ind w:firstLineChars="200" w:firstLine="640"/>
        <w:rPr>
          <w:rFonts w:ascii="仿宋" w:eastAsia="仿宋" w:hint="eastAsia"/>
          <w:color w:val="auto"/>
          <w:sz w:val="32"/>
          <w:szCs w:val="32"/>
          <w:lang w:val="en-US" w:eastAsia="zh-CN"/>
          <w:highlight w:val="auto"/>
        </w:rPr>
      </w:pPr>
      <w:r>
        <w:rPr>
          <w:rFonts w:ascii="仿宋" w:eastAsia="仿宋" w:hint="eastAsia"/>
          <w:b w:val="0"/>
          <w:bCs w:val="0"/>
          <w:sz w:val="32"/>
          <w:szCs w:val="32"/>
        </w:rPr>
        <w:t>（二）工作履行活动完成情况：对202</w:t>
      </w:r>
      <w:r>
        <w:rPr>
          <w:rFonts w:ascii="仿宋" w:eastAsia="仿宋"/>
          <w:b w:val="0"/>
          <w:bCs w:val="0"/>
          <w:sz w:val="32"/>
          <w:szCs w:val="32"/>
        </w:rPr>
        <w:t>2</w:t>
      </w:r>
      <w:r>
        <w:rPr>
          <w:rFonts w:ascii="仿宋" w:eastAsia="仿宋" w:hint="eastAsia"/>
          <w:b w:val="0"/>
          <w:bCs w:val="0"/>
          <w:sz w:val="32"/>
          <w:szCs w:val="32"/>
        </w:rPr>
        <w:t>年确定的部门一般公共预算支出全面开展了绩效自评，</w:t>
      </w:r>
      <w:r>
        <w:rPr>
          <w:rFonts w:ascii="仿宋" w:eastAsia="仿宋" w:hint="eastAsia"/>
          <w:color w:val="auto"/>
          <w:sz w:val="32"/>
          <w:szCs w:val="32"/>
          <w:lang w:val="en-US" w:eastAsia="zh-CN"/>
          <w:highlight w:val="auto"/>
        </w:rPr>
        <w:t>较好得完成了预算执行任务，综合得分98分，其中预算配置8分，预算执行13分，预算管理36分，预算绩效开展15分，职责履行8分，履职效益18分。</w:t>
      </w:r>
    </w:p>
    <w:p>
      <w:pPr>
        <w:snapToGrid w:val="0"/>
        <w:spacing w:line="580" w:lineRule="exact"/>
        <w:ind w:firstLineChars="200" w:firstLine="640"/>
        <w:rPr>
          <w:rFonts w:ascii="仿宋" w:eastAsia="仿宋" w:hint="eastAsia"/>
          <w:sz w:val="32"/>
          <w:szCs w:val="32"/>
        </w:rPr>
      </w:pPr>
      <w:r>
        <w:rPr>
          <w:rFonts w:ascii="仿宋" w:eastAsia="仿宋" w:hint="eastAsia"/>
          <w:sz w:val="32"/>
          <w:szCs w:val="32"/>
          <w:lang w:val="en-US" w:eastAsia="zh-CN"/>
        </w:rPr>
        <w:t>（三）实施履职活动产生的效果：（1）从经济性情况分析来看，预算资金覆盖各个需求方面，分配方法科学，考虑的因素必要合理，分配的结果合理，能基本保证人员经费支出和机构全年工作运转。（2）从效率性情况分析看，在各项工作费用支付中，尤其是五险一金等人员经费支出能及时按进度保质保量完成。专项资金，</w:t>
      </w:r>
      <w:r>
        <w:rPr>
          <w:rFonts w:ascii="仿宋" w:eastAsia="仿宋" w:hint="eastAsia"/>
          <w:b w:val="0"/>
          <w:bCs w:val="0"/>
          <w:sz w:val="32"/>
          <w:szCs w:val="32"/>
        </w:rPr>
        <w:t>共涉及</w:t>
      </w:r>
      <w:r>
        <w:rPr>
          <w:rFonts w:ascii="仿宋" w:eastAsia="仿宋" w:hint="eastAsia"/>
          <w:b w:val="0"/>
          <w:bCs w:val="0"/>
          <w:sz w:val="32"/>
          <w:szCs w:val="32"/>
          <w:highlight w:val="auto"/>
        </w:rPr>
        <w:t>项目</w:t>
      </w:r>
      <w:r>
        <w:rPr>
          <w:rFonts w:ascii="仿宋" w:eastAsia="仿宋" w:hint="eastAsia"/>
          <w:b w:val="0"/>
          <w:bCs w:val="0"/>
          <w:sz w:val="32"/>
          <w:szCs w:val="32"/>
          <w:lang w:val="en-US" w:eastAsia="zh-CN"/>
          <w:highlight w:val="auto"/>
        </w:rPr>
        <w:t>1</w:t>
      </w:r>
      <w:r>
        <w:rPr>
          <w:rFonts w:ascii="仿宋" w:eastAsia="仿宋"/>
          <w:b w:val="0"/>
          <w:bCs w:val="0"/>
          <w:sz w:val="32"/>
          <w:szCs w:val="32"/>
          <w:lang w:val="en-US" w:eastAsia="zh-CN"/>
          <w:highlight w:val="auto"/>
        </w:rPr>
        <w:t>4</w:t>
      </w:r>
      <w:r>
        <w:rPr>
          <w:rFonts w:ascii="仿宋" w:eastAsia="仿宋" w:hint="eastAsia"/>
          <w:b w:val="0"/>
          <w:bCs w:val="0"/>
          <w:sz w:val="32"/>
          <w:szCs w:val="32"/>
          <w:highlight w:val="auto"/>
        </w:rPr>
        <w:t>个</w:t>
      </w:r>
      <w:r>
        <w:rPr>
          <w:rFonts w:ascii="仿宋" w:eastAsia="仿宋" w:hint="eastAsia"/>
          <w:b w:val="0"/>
          <w:bCs w:val="0"/>
          <w:sz w:val="32"/>
          <w:szCs w:val="32"/>
          <w:lang w:eastAsia="zh-CN"/>
          <w:highlight w:val="auto"/>
        </w:rPr>
        <w:t>，</w:t>
      </w:r>
      <w:r>
        <w:rPr>
          <w:rFonts w:ascii="仿宋" w:eastAsia="仿宋" w:hint="eastAsia"/>
          <w:b w:val="0"/>
          <w:bCs w:val="0"/>
          <w:sz w:val="32"/>
          <w:szCs w:val="32"/>
          <w:highlight w:val="auto"/>
        </w:rPr>
        <w:t>其中：</w:t>
      </w:r>
      <w:r>
        <w:rPr>
          <w:rFonts w:ascii="仿宋" w:eastAsia="仿宋"/>
          <w:b w:val="0"/>
          <w:bCs w:val="0"/>
          <w:sz w:val="32"/>
          <w:szCs w:val="32"/>
          <w:lang w:val="en-US" w:eastAsia="zh-CN"/>
          <w:highlight w:val="auto"/>
        </w:rPr>
        <w:t>10</w:t>
      </w:r>
      <w:r>
        <w:rPr>
          <w:rFonts w:ascii="仿宋" w:eastAsia="仿宋" w:hint="eastAsia"/>
          <w:b w:val="0"/>
          <w:bCs w:val="0"/>
          <w:sz w:val="32"/>
          <w:szCs w:val="32"/>
          <w:highlight w:val="auto"/>
        </w:rPr>
        <w:t>个项目支出达到时间进度，</w:t>
      </w:r>
      <w:r>
        <w:rPr>
          <w:rFonts w:ascii="仿宋" w:eastAsia="仿宋"/>
          <w:b w:val="0"/>
          <w:bCs w:val="0"/>
          <w:sz w:val="32"/>
          <w:szCs w:val="32"/>
          <w:lang w:val="en-US" w:eastAsia="zh-CN"/>
          <w:highlight w:val="auto"/>
        </w:rPr>
        <w:t>4</w:t>
      </w:r>
      <w:r>
        <w:rPr>
          <w:rFonts w:ascii="仿宋" w:eastAsia="仿宋" w:hint="eastAsia"/>
          <w:b w:val="0"/>
          <w:bCs w:val="0"/>
          <w:sz w:val="32"/>
          <w:szCs w:val="32"/>
          <w:highlight w:val="auto"/>
        </w:rPr>
        <w:t>个项目未达到支出进度</w:t>
      </w:r>
      <w:r>
        <w:rPr>
          <w:rFonts w:ascii="仿宋" w:eastAsia="仿宋" w:hint="eastAsia"/>
          <w:b w:val="0"/>
          <w:bCs w:val="0"/>
          <w:sz w:val="32"/>
          <w:szCs w:val="32"/>
          <w:lang w:eastAsia="zh-CN"/>
          <w:highlight w:val="auto"/>
        </w:rPr>
        <w:t>。</w:t>
      </w:r>
      <w:r>
        <w:rPr>
          <w:rFonts w:ascii="仿宋" w:eastAsia="仿宋"/>
          <w:b w:val="0"/>
          <w:bCs w:val="0"/>
          <w:sz w:val="32"/>
          <w:szCs w:val="32"/>
          <w:lang w:eastAsia="zh-CN"/>
        </w:rPr>
        <w:t>主要是为节省运营成本缩减支出，有些项目2023</w:t>
      </w:r>
      <w:bookmarkStart w:id="0" w:name="_GoBack"/>
      <w:bookmarkEnd w:id="0"/>
      <w:r>
        <w:rPr>
          <w:rFonts w:ascii="仿宋" w:eastAsia="仿宋"/>
          <w:b w:val="0"/>
          <w:bCs w:val="0"/>
          <w:sz w:val="32"/>
          <w:szCs w:val="32"/>
          <w:lang w:eastAsia="zh-CN"/>
        </w:rPr>
        <w:t>年压减了预算</w:t>
      </w:r>
      <w:r>
        <w:rPr>
          <w:rFonts w:ascii="仿宋" w:eastAsia="仿宋" w:hint="eastAsia"/>
          <w:sz w:val="32"/>
          <w:szCs w:val="32"/>
          <w:lang w:val="en-US" w:eastAsia="zh-CN"/>
        </w:rPr>
        <w:t>。（3）从有效性情况分析，全面整合职能和资源，提升干部办事效率，优化服务质量；群众收入增加，幸福感提高。（4）从可持续性分析看，全面加强工作综合性，加大人力、资金投入。</w:t>
      </w:r>
    </w:p>
    <w:p>
      <w:pPr>
        <w:ind w:firstLineChars="200" w:firstLine="640"/>
        <w:rPr>
          <w:rFonts w:ascii="仿宋" w:eastAsia="仿宋" w:cs="Times New Roman" w:hint="eastAsia"/>
          <w:b/>
          <w:sz w:val="32"/>
          <w:szCs w:val="32"/>
        </w:rPr>
      </w:pPr>
      <w:r>
        <w:rPr>
          <w:rFonts w:ascii="仿宋" w:eastAsia="仿宋" w:cs="Times New Roman" w:hint="eastAsia"/>
          <w:b/>
          <w:sz w:val="32"/>
          <w:szCs w:val="32"/>
        </w:rPr>
        <w:t>四、存在的问题和建议</w:t>
      </w:r>
    </w:p>
    <w:p>
      <w:pPr>
        <w:ind w:firstLineChars="200" w:firstLine="640"/>
        <w:rPr>
          <w:rFonts w:ascii="仿宋" w:eastAsia="仿宋" w:cs="Times New Roman" w:hint="eastAsia"/>
          <w:sz w:val="32"/>
          <w:szCs w:val="32"/>
        </w:rPr>
      </w:pPr>
      <w:r>
        <w:rPr>
          <w:rFonts w:ascii="仿宋" w:eastAsia="仿宋" w:cs="Times New Roman" w:hint="eastAsia"/>
          <w:sz w:val="32"/>
          <w:szCs w:val="32"/>
        </w:rPr>
        <w:t>预算编制工作有待细化。预算编制不够明确和细化，预算编制的合理性需要提高，预算执行力度还要进一步加强。</w:t>
      </w:r>
    </w:p>
    <w:p>
      <w:pPr>
        <w:ind w:firstLineChars="200" w:firstLine="640"/>
        <w:rPr>
          <w:rFonts w:ascii="仿宋" w:eastAsia="仿宋" w:cs="Times New Roman" w:hint="eastAsia"/>
          <w:sz w:val="32"/>
          <w:szCs w:val="32"/>
        </w:rPr>
      </w:pPr>
      <w:r>
        <w:rPr>
          <w:rFonts w:ascii="仿宋" w:eastAsia="仿宋" w:cs="Times New Roman" w:hint="eastAsia"/>
          <w:sz w:val="32"/>
          <w:szCs w:val="32"/>
        </w:rPr>
        <w:t>细化预算编制工作，认真做好预算的编制。全面编制预算项目，强化项目管理。加强财务管理，严格财务审核，严格按照规定的费用项目和用途进行资金审核、支付、核算，杜绝超支现象的发生。加强培训，特别是针对《预算法》《行政事业单位会计制度》等培训，规范部门预算收支核算，切实提高部门预算收支管理水平。</w:t>
      </w:r>
    </w:p>
    <w:p>
      <w:pPr>
        <w:ind w:left="0" w:firstLineChars="2600" w:firstLine="5460"/>
        <w:rPr>
          <w:rFonts w:ascii="仿宋" w:eastAsia="仿宋" w:cs="Times New Roman"/>
          <w:sz w:val="32"/>
          <w:szCs w:val="32"/>
          <w:lang w:val="en-US" w:eastAsia="zh-CN"/>
        </w:rPr>
      </w:pPr>
      <w:r>
        <w:rPr>
          <w:rFonts w:ascii="仿宋" w:eastAsia="仿宋" w:cs="Times New Roman" w:hint="eastAsia"/>
          <w:lang w:val="en-US" w:eastAsia="zh-CN"/>
        </w:rPr>
        <w:t xml:space="preserve"> </w:t>
      </w:r>
      <w:r>
        <w:rPr>
          <w:rFonts w:ascii="仿宋" w:eastAsia="仿宋" w:cs="Times New Roman" w:hint="eastAsia"/>
          <w:sz w:val="32"/>
          <w:szCs w:val="32"/>
          <w:lang w:val="en-US" w:eastAsia="zh-CN"/>
        </w:rPr>
        <w:t xml:space="preserve"> </w:t>
      </w:r>
    </w:p>
    <w:p>
      <w:pPr>
        <w:ind w:left="0" w:firstLineChars="2600" w:firstLine="8320"/>
        <w:rPr>
          <w:rFonts w:ascii="仿宋" w:eastAsia="仿宋" w:cs="Times New Roman"/>
          <w:sz w:val="32"/>
          <w:szCs w:val="32"/>
          <w:lang w:val="en-US" w:eastAsia="zh-CN"/>
        </w:rPr>
      </w:pPr>
    </w:p>
    <w:p>
      <w:pPr>
        <w:ind w:firstLineChars="1800" w:firstLine="5760"/>
        <w:rPr>
          <w:rFonts w:ascii="仿宋" w:eastAsia="仿宋" w:cs="Times New Roman" w:hint="eastAsia"/>
          <w:sz w:val="32"/>
          <w:szCs w:val="32"/>
          <w:lang w:val="en-US" w:eastAsia="zh-CN"/>
        </w:rPr>
      </w:pPr>
      <w:r>
        <w:rPr>
          <w:rFonts w:ascii="仿宋" w:eastAsia="仿宋" w:cs="Times New Roman" w:hint="eastAsia"/>
          <w:sz w:val="32"/>
          <w:szCs w:val="32"/>
          <w:lang w:val="en-US" w:eastAsia="zh-CN"/>
        </w:rPr>
        <w:t>唐山市丰南区财政局</w:t>
      </w:r>
    </w:p>
    <w:p>
      <w:pPr>
        <w:ind w:firstLineChars="200" w:firstLine="640"/>
        <w:rPr>
          <w:rFonts w:ascii="仿宋" w:eastAsia="仿宋" w:cs="Times New Roman" w:hint="eastAsia"/>
          <w:sz w:val="32"/>
          <w:szCs w:val="32"/>
        </w:rPr>
      </w:pPr>
      <w:r>
        <w:rPr>
          <w:rFonts w:ascii="仿宋" w:eastAsia="仿宋" w:cs="Times New Roman" w:hint="eastAsia"/>
          <w:sz w:val="32"/>
          <w:szCs w:val="32"/>
          <w:lang w:val="en-US" w:eastAsia="zh-CN"/>
        </w:rPr>
        <w:t xml:space="preserve">                          </w:t>
      </w:r>
      <w:r>
        <w:rPr>
          <w:rFonts w:ascii="仿宋" w:eastAsia="仿宋" w:cs="Times New Roman"/>
          <w:sz w:val="32"/>
          <w:szCs w:val="32"/>
          <w:lang w:val="en-US" w:eastAsia="zh-CN"/>
        </w:rPr>
        <w:t xml:space="preserve">        </w:t>
      </w:r>
      <w:r>
        <w:rPr>
          <w:rFonts w:ascii="仿宋" w:eastAsia="仿宋" w:cs="Times New Roman" w:hint="eastAsia"/>
          <w:sz w:val="32"/>
          <w:szCs w:val="32"/>
          <w:lang w:val="en-US" w:eastAsia="zh-CN"/>
        </w:rPr>
        <w:t>202</w:t>
      </w:r>
      <w:r>
        <w:rPr>
          <w:rFonts w:ascii="仿宋" w:eastAsia="仿宋" w:cs="Times New Roman"/>
          <w:sz w:val="32"/>
          <w:szCs w:val="32"/>
          <w:lang w:val="en-US" w:eastAsia="zh-CN"/>
        </w:rPr>
        <w:t>3年3月18日</w:t>
      </w:r>
    </w:p>
    <w:p>
      <w:pPr>
        <w:widowControl/>
        <w:adjustRightInd w:val="0"/>
        <w:snapToGrid w:val="0"/>
        <w:spacing w:line="560" w:lineRule="exact"/>
        <w:ind w:firstLineChars="50" w:firstLine="160"/>
        <w:jc w:val="left"/>
        <w:rPr>
          <w:rFonts w:ascii="仿宋" w:eastAsia="仿宋" w:cs="宋体"/>
          <w:kern w:val="0"/>
          <w:sz w:val="32"/>
          <w:szCs w:val="32"/>
        </w:rPr>
      </w:pPr>
    </w:p>
    <w:p>
      <w:pPr>
        <w:widowControl/>
        <w:adjustRightInd w:val="0"/>
        <w:snapToGrid w:val="0"/>
        <w:spacing w:line="560" w:lineRule="exact"/>
        <w:ind w:firstLineChars="50" w:firstLine="160"/>
        <w:jc w:val="left"/>
        <w:rPr>
          <w:rFonts w:ascii="仿宋" w:eastAsia="仿宋" w:cs="宋体"/>
          <w:kern w:val="0"/>
          <w:sz w:val="32"/>
          <w:szCs w:val="32"/>
        </w:rPr>
      </w:pPr>
    </w:p>
    <w:p>
      <w:pPr>
        <w:widowControl/>
        <w:adjustRightInd w:val="0"/>
        <w:snapToGrid w:val="0"/>
        <w:spacing w:line="560" w:lineRule="exact"/>
        <w:ind w:firstLineChars="50" w:firstLine="160"/>
        <w:jc w:val="left"/>
        <w:rPr>
          <w:rFonts w:ascii="仿宋" w:eastAsia="仿宋" w:cs="宋体"/>
          <w:kern w:val="0"/>
          <w:sz w:val="32"/>
          <w:szCs w:val="32"/>
        </w:rPr>
      </w:pPr>
    </w:p>
    <w:p>
      <w:pPr>
        <w:widowControl/>
        <w:adjustRightInd w:val="0"/>
        <w:snapToGrid w:val="0"/>
        <w:spacing w:line="560" w:lineRule="exact"/>
        <w:ind w:firstLineChars="50" w:firstLine="160"/>
        <w:jc w:val="left"/>
        <w:rPr>
          <w:rFonts w:ascii="仿宋" w:eastAsia="仿宋" w:cs="宋体"/>
          <w:kern w:val="0"/>
          <w:sz w:val="32"/>
          <w:szCs w:val="32"/>
        </w:rPr>
      </w:pPr>
    </w:p>
    <w:p>
      <w:pPr>
        <w:widowControl/>
        <w:adjustRightInd w:val="0"/>
        <w:snapToGrid w:val="0"/>
        <w:spacing w:line="560" w:lineRule="exact"/>
        <w:ind w:firstLineChars="50" w:firstLine="160"/>
        <w:jc w:val="left"/>
        <w:rPr>
          <w:rFonts w:ascii="仿宋" w:eastAsia="仿宋" w:cs="宋体"/>
          <w:kern w:val="0"/>
          <w:sz w:val="32"/>
          <w:szCs w:val="32"/>
        </w:rPr>
      </w:pPr>
    </w:p>
    <w:p>
      <w:pPr>
        <w:widowControl/>
        <w:adjustRightInd w:val="0"/>
        <w:snapToGrid w:val="0"/>
        <w:spacing w:line="560" w:lineRule="exact"/>
        <w:ind w:firstLineChars="50" w:firstLine="160"/>
        <w:jc w:val="left"/>
        <w:rPr>
          <w:rFonts w:ascii="仿宋" w:eastAsia="仿宋" w:cs="宋体"/>
          <w:kern w:val="0"/>
          <w:sz w:val="32"/>
          <w:szCs w:val="32"/>
        </w:rPr>
      </w:pPr>
    </w:p>
    <w:p>
      <w:pPr>
        <w:widowControl/>
        <w:adjustRightInd w:val="0"/>
        <w:snapToGrid w:val="0"/>
        <w:spacing w:line="560" w:lineRule="exact"/>
        <w:ind w:firstLineChars="50" w:firstLine="160"/>
        <w:jc w:val="left"/>
        <w:rPr>
          <w:rFonts w:ascii="仿宋" w:eastAsia="仿宋" w:cs="宋体"/>
          <w:kern w:val="0"/>
          <w:sz w:val="32"/>
          <w:szCs w:val="32"/>
        </w:rPr>
      </w:pPr>
    </w:p>
    <w:p>
      <w:pPr>
        <w:widowControl/>
        <w:adjustRightInd w:val="0"/>
        <w:snapToGrid w:val="0"/>
        <w:spacing w:line="560" w:lineRule="exact"/>
        <w:ind w:firstLineChars="50" w:firstLine="160"/>
        <w:jc w:val="left"/>
        <w:rPr>
          <w:rFonts w:ascii="仿宋" w:eastAsia="仿宋" w:cs="宋体"/>
          <w:kern w:val="0"/>
          <w:sz w:val="32"/>
          <w:szCs w:val="32"/>
        </w:rPr>
      </w:pPr>
    </w:p>
    <w:p>
      <w:pPr>
        <w:widowControl/>
        <w:adjustRightInd w:val="0"/>
        <w:snapToGrid w:val="0"/>
        <w:spacing w:line="560" w:lineRule="exact"/>
        <w:ind w:firstLineChars="50" w:firstLine="160"/>
        <w:jc w:val="left"/>
        <w:rPr>
          <w:rFonts w:ascii="仿宋" w:eastAsia="仿宋" w:cs="宋体"/>
          <w:kern w:val="0"/>
          <w:sz w:val="32"/>
          <w:szCs w:val="32"/>
        </w:rPr>
      </w:pPr>
    </w:p>
    <w:p>
      <w:pPr>
        <w:widowControl/>
        <w:adjustRightInd w:val="0"/>
        <w:snapToGrid w:val="0"/>
        <w:spacing w:line="560" w:lineRule="exact"/>
        <w:ind w:firstLineChars="50" w:firstLine="160"/>
        <w:jc w:val="left"/>
        <w:rPr>
          <w:rFonts w:ascii="仿宋" w:eastAsia="仿宋" w:cs="宋体"/>
          <w:kern w:val="0"/>
          <w:sz w:val="32"/>
          <w:szCs w:val="32"/>
        </w:rPr>
      </w:pPr>
    </w:p>
    <w:p>
      <w:pPr>
        <w:widowControl/>
        <w:adjustRightInd w:val="0"/>
        <w:snapToGrid w:val="0"/>
        <w:spacing w:line="560" w:lineRule="exact"/>
        <w:ind w:firstLineChars="50" w:firstLine="160"/>
        <w:jc w:val="left"/>
        <w:rPr>
          <w:rFonts w:ascii="仿宋" w:eastAsia="仿宋" w:cs="宋体"/>
          <w:kern w:val="0"/>
          <w:sz w:val="32"/>
          <w:szCs w:val="32"/>
        </w:rPr>
      </w:pPr>
    </w:p>
    <w:p>
      <w:pPr>
        <w:widowControl/>
        <w:adjustRightInd w:val="0"/>
        <w:snapToGrid w:val="0"/>
        <w:spacing w:line="560" w:lineRule="exact"/>
        <w:ind w:firstLineChars="50" w:firstLine="160"/>
        <w:jc w:val="left"/>
        <w:rPr>
          <w:rFonts w:ascii="仿宋" w:eastAsia="仿宋" w:cs="宋体"/>
          <w:kern w:val="0"/>
          <w:sz w:val="32"/>
          <w:szCs w:val="32"/>
        </w:rPr>
      </w:pPr>
    </w:p>
    <w:p>
      <w:pPr>
        <w:widowControl/>
        <w:adjustRightInd w:val="0"/>
        <w:snapToGrid w:val="0"/>
        <w:spacing w:line="560" w:lineRule="exact"/>
        <w:ind w:firstLineChars="50" w:firstLine="160"/>
        <w:jc w:val="left"/>
        <w:rPr>
          <w:rFonts w:ascii="仿宋" w:eastAsia="仿宋" w:cs="宋体"/>
          <w:kern w:val="0"/>
          <w:sz w:val="32"/>
          <w:szCs w:val="32"/>
        </w:rPr>
      </w:pPr>
    </w:p>
    <w:p>
      <w:pPr>
        <w:widowControl/>
        <w:adjustRightInd w:val="0"/>
        <w:snapToGrid w:val="0"/>
        <w:spacing w:line="560" w:lineRule="exact"/>
        <w:ind w:firstLineChars="50" w:firstLine="160"/>
        <w:jc w:val="left"/>
        <w:rPr>
          <w:rFonts w:ascii="仿宋" w:eastAsia="仿宋" w:cs="宋体"/>
          <w:kern w:val="0"/>
          <w:sz w:val="32"/>
          <w:szCs w:val="32"/>
        </w:rPr>
      </w:pPr>
    </w:p>
    <w:p>
      <w:pPr>
        <w:widowControl/>
        <w:adjustRightInd w:val="0"/>
        <w:snapToGrid w:val="0"/>
        <w:spacing w:line="560" w:lineRule="exact"/>
        <w:ind w:firstLineChars="50" w:firstLine="160"/>
        <w:jc w:val="left"/>
        <w:rPr>
          <w:rFonts w:ascii="仿宋" w:eastAsia="仿宋" w:cs="宋体"/>
          <w:kern w:val="0"/>
          <w:sz w:val="32"/>
          <w:szCs w:val="32"/>
        </w:rPr>
      </w:pPr>
    </w:p>
    <w:p>
      <w:pPr>
        <w:widowControl/>
        <w:adjustRightInd w:val="0"/>
        <w:snapToGrid w:val="0"/>
        <w:spacing w:line="560" w:lineRule="exact"/>
        <w:ind w:left="0"/>
        <w:jc w:val="left"/>
        <w:rPr>
          <w:rFonts w:ascii="仿宋" w:eastAsia="仿宋" w:cs="宋体"/>
          <w:kern w:val="0"/>
          <w:sz w:val="32"/>
          <w:szCs w:val="32"/>
        </w:rPr>
      </w:pPr>
    </w:p>
    <w:p>
      <w:pPr>
        <w:widowControl/>
        <w:adjustRightInd w:val="0"/>
        <w:snapToGrid w:val="0"/>
        <w:spacing w:line="560" w:lineRule="exact"/>
        <w:ind w:firstLineChars="50" w:firstLine="160"/>
        <w:jc w:val="left"/>
        <w:rPr>
          <w:rFonts w:ascii="仿宋" w:eastAsia="仿宋" w:cs="宋体" w:hint="eastAsia"/>
          <w:kern w:val="0"/>
          <w:sz w:val="32"/>
          <w:szCs w:val="32"/>
        </w:rPr>
      </w:pPr>
      <w:r>
        <w:rPr>
          <w:rFonts w:ascii="仿宋" w:eastAsia="仿宋" w:cs="宋体" w:hint="eastAsia"/>
          <w:kern w:val="0"/>
          <w:sz w:val="32"/>
          <w:szCs w:val="32"/>
        </w:rPr>
        <w:t>附件2：</w:t>
      </w:r>
    </w:p>
    <w:tbl>
      <w:tblPr>
        <w:tblpPr w:leftFromText="180" w:rightFromText="180" w:vertAnchor="text" w:horzAnchor="margin" w:tblpXSpec="center" w:tblpY="901"/>
        <w:tblW w:w="9389"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621"/>
        <w:gridCol w:w="541"/>
        <w:gridCol w:w="729"/>
        <w:gridCol w:w="604"/>
        <w:gridCol w:w="1000"/>
        <w:gridCol w:w="667"/>
        <w:gridCol w:w="4146"/>
        <w:gridCol w:w="1081"/>
      </w:tblGrid>
      <w:tr>
        <w:trPr>
          <w:trHeight w:val="420"/>
        </w:trPr>
        <w:tc>
          <w:tcPr>
            <w:tcW w:w="9389" w:type="dxa"/>
            <w:gridSpan w:val="8"/>
            <w:tcBorders>
              <w:top w:val="nil"/>
              <w:left w:val="nil"/>
              <w:bottom w:val="single" w:sz="4" w:space="0" w:color="auto"/>
              <w:right w:val="nil"/>
            </w:tcBorders>
            <w:noWrap/>
            <w:vAlign w:val="center"/>
          </w:tcPr>
          <w:p>
            <w:pPr>
              <w:widowControl/>
              <w:jc w:val="center"/>
              <w:rPr>
                <w:rFonts w:ascii="方正小标宋_GBK" w:eastAsia="方正小标宋_GBK" w:cs="宋体"/>
                <w:kern w:val="0"/>
                <w:sz w:val="32"/>
                <w:szCs w:val="32"/>
              </w:rPr>
            </w:pPr>
            <w:r>
              <w:rPr>
                <w:rFonts w:ascii="方正小标宋_GBK" w:eastAsia="方正小标宋_GBK" w:cs="宋体" w:hint="eastAsia"/>
                <w:kern w:val="0"/>
                <w:sz w:val="32"/>
                <w:szCs w:val="32"/>
              </w:rPr>
              <w:t>部门整体支出绩效评价指标体系评分表</w:t>
            </w:r>
          </w:p>
        </w:tc>
      </w:tr>
      <w:tr>
        <w:trPr>
          <w:trHeight w:val="623"/>
        </w:trPr>
        <w:tc>
          <w:tcPr>
            <w:tcW w:w="621"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b/>
                <w:bCs/>
                <w:kern w:val="0"/>
                <w:sz w:val="20"/>
                <w:szCs w:val="20"/>
              </w:rPr>
            </w:pPr>
            <w:r>
              <w:rPr>
                <w:rFonts w:ascii="宋体" w:eastAsia="宋体" w:cs="宋体" w:hint="eastAsia"/>
                <w:b/>
                <w:bCs/>
                <w:kern w:val="0"/>
                <w:sz w:val="20"/>
                <w:szCs w:val="20"/>
              </w:rPr>
              <w:t>一级指标</w:t>
            </w:r>
          </w:p>
        </w:tc>
        <w:tc>
          <w:tcPr>
            <w:tcW w:w="541"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b/>
                <w:bCs/>
                <w:kern w:val="0"/>
                <w:sz w:val="20"/>
                <w:szCs w:val="20"/>
              </w:rPr>
            </w:pPr>
            <w:r>
              <w:rPr>
                <w:rFonts w:ascii="宋体" w:eastAsia="宋体" w:cs="宋体" w:hint="eastAsia"/>
                <w:b/>
                <w:bCs/>
                <w:kern w:val="0"/>
                <w:sz w:val="20"/>
                <w:szCs w:val="20"/>
              </w:rPr>
              <w:t>分值</w:t>
            </w:r>
          </w:p>
        </w:tc>
        <w:tc>
          <w:tcPr>
            <w:tcW w:w="729"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b/>
                <w:bCs/>
                <w:kern w:val="0"/>
                <w:sz w:val="20"/>
                <w:szCs w:val="20"/>
              </w:rPr>
            </w:pPr>
            <w:r>
              <w:rPr>
                <w:rFonts w:ascii="宋体" w:eastAsia="宋体" w:cs="宋体" w:hint="eastAsia"/>
                <w:b/>
                <w:bCs/>
                <w:kern w:val="0"/>
                <w:sz w:val="20"/>
                <w:szCs w:val="20"/>
              </w:rPr>
              <w:t>二级指标</w:t>
            </w:r>
          </w:p>
        </w:tc>
        <w:tc>
          <w:tcPr>
            <w:tcW w:w="604"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b/>
                <w:bCs/>
                <w:kern w:val="0"/>
                <w:sz w:val="20"/>
                <w:szCs w:val="20"/>
              </w:rPr>
            </w:pPr>
            <w:r>
              <w:rPr>
                <w:rFonts w:ascii="宋体" w:eastAsia="宋体" w:cs="宋体" w:hint="eastAsia"/>
                <w:b/>
                <w:bCs/>
                <w:kern w:val="0"/>
                <w:sz w:val="20"/>
                <w:szCs w:val="20"/>
              </w:rPr>
              <w:t>分值</w:t>
            </w:r>
          </w:p>
        </w:tc>
        <w:tc>
          <w:tcPr>
            <w:tcW w:w="1000" w:type="dxa"/>
            <w:tcBorders>
              <w:top w:val="nil"/>
              <w:left w:val="single" w:sz="4" w:space="0" w:color="auto"/>
              <w:bottom w:val="single" w:sz="4" w:space="0" w:color="000000"/>
              <w:right w:val="single" w:sz="4" w:space="0" w:color="auto"/>
            </w:tcBorders>
            <w:noWrap/>
            <w:vAlign w:val="center"/>
          </w:tcPr>
          <w:p>
            <w:pPr>
              <w:widowControl/>
              <w:jc w:val="center"/>
              <w:rPr>
                <w:rFonts w:ascii="宋体" w:eastAsia="宋体" w:cs="宋体"/>
                <w:b/>
                <w:bCs/>
                <w:kern w:val="0"/>
                <w:sz w:val="20"/>
                <w:szCs w:val="20"/>
              </w:rPr>
            </w:pPr>
            <w:r>
              <w:rPr>
                <w:rFonts w:ascii="宋体" w:eastAsia="宋体" w:cs="宋体" w:hint="eastAsia"/>
                <w:b/>
                <w:bCs/>
                <w:kern w:val="0"/>
                <w:sz w:val="20"/>
                <w:szCs w:val="20"/>
              </w:rPr>
              <w:t>三级指标</w:t>
            </w:r>
          </w:p>
        </w:tc>
        <w:tc>
          <w:tcPr>
            <w:tcW w:w="667"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b/>
                <w:bCs/>
                <w:kern w:val="0"/>
                <w:sz w:val="20"/>
                <w:szCs w:val="20"/>
              </w:rPr>
            </w:pPr>
            <w:r>
              <w:rPr>
                <w:rFonts w:ascii="宋体" w:eastAsia="宋体" w:cs="宋体" w:hint="eastAsia"/>
                <w:b/>
                <w:bCs/>
                <w:kern w:val="0"/>
                <w:sz w:val="20"/>
                <w:szCs w:val="20"/>
              </w:rPr>
              <w:t>分值</w:t>
            </w:r>
          </w:p>
        </w:tc>
        <w:tc>
          <w:tcPr>
            <w:tcW w:w="4146"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b/>
                <w:bCs/>
                <w:kern w:val="0"/>
                <w:sz w:val="20"/>
                <w:szCs w:val="20"/>
              </w:rPr>
            </w:pPr>
            <w:r>
              <w:rPr>
                <w:rFonts w:ascii="宋体" w:eastAsia="宋体" w:cs="宋体" w:hint="eastAsia"/>
                <w:b/>
                <w:bCs/>
                <w:kern w:val="0"/>
                <w:sz w:val="20"/>
                <w:szCs w:val="20"/>
              </w:rPr>
              <w:t>评价标准</w:t>
            </w:r>
          </w:p>
        </w:tc>
        <w:tc>
          <w:tcPr>
            <w:tcW w:w="1081" w:type="dxa"/>
            <w:tcBorders>
              <w:top w:val="nil"/>
              <w:left w:val="single" w:sz="4" w:space="0" w:color="auto"/>
              <w:bottom w:val="single" w:sz="4" w:space="0" w:color="auto"/>
              <w:right w:val="single" w:sz="4" w:space="0" w:color="auto"/>
            </w:tcBorders>
            <w:noWrap/>
            <w:vAlign w:val="center"/>
          </w:tcPr>
          <w:p>
            <w:pPr>
              <w:widowControl/>
              <w:jc w:val="center"/>
              <w:rPr>
                <w:rFonts w:ascii="Times New Roman" w:eastAsia="宋体" w:cs="Times New Roman" w:hAnsi="Times New Roman"/>
                <w:b/>
                <w:bCs/>
                <w:kern w:val="0"/>
                <w:sz w:val="20"/>
                <w:szCs w:val="20"/>
              </w:rPr>
            </w:pPr>
            <w:r>
              <w:rPr>
                <w:rFonts w:ascii="仿宋_GB2312" w:eastAsia="仿宋_GB2312" w:cs="Times New Roman" w:hint="eastAsia"/>
                <w:b/>
                <w:bCs/>
                <w:kern w:val="0"/>
                <w:sz w:val="20"/>
                <w:szCs w:val="20"/>
              </w:rPr>
              <w:t>得分</w:t>
            </w:r>
          </w:p>
        </w:tc>
      </w:tr>
      <w:tr>
        <w:trPr>
          <w:trHeight w:val="562"/>
        </w:trPr>
        <w:tc>
          <w:tcPr>
            <w:tcW w:w="621" w:type="dxa"/>
            <w:vMerge w:val="restart"/>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投入</w:t>
            </w:r>
          </w:p>
        </w:tc>
        <w:tc>
          <w:tcPr>
            <w:tcW w:w="541" w:type="dxa"/>
            <w:vMerge w:val="restart"/>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8</w:t>
            </w:r>
          </w:p>
        </w:tc>
        <w:tc>
          <w:tcPr>
            <w:tcW w:w="729" w:type="dxa"/>
            <w:vMerge w:val="restart"/>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预算配置</w:t>
            </w:r>
          </w:p>
        </w:tc>
        <w:tc>
          <w:tcPr>
            <w:tcW w:w="604" w:type="dxa"/>
            <w:vMerge w:val="restart"/>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8</w:t>
            </w: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在职人员控制率</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4</w:t>
            </w:r>
          </w:p>
        </w:tc>
        <w:tc>
          <w:tcPr>
            <w:tcW w:w="4146"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以100%为标准。在职人员控制率≦100%，计4分；每超过一个百分点扣0.5分，扣完为止。</w:t>
            </w:r>
          </w:p>
        </w:tc>
        <w:tc>
          <w:tcPr>
            <w:tcW w:w="1081"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rPr>
            </w:pPr>
            <w:r>
              <w:rPr>
                <w:rFonts w:ascii="Times New Roman" w:eastAsia="宋体" w:cs="Times New Roman" w:hAnsi="Times New Roman" w:hint="eastAsia"/>
                <w:kern w:val="0"/>
                <w:sz w:val="20"/>
                <w:szCs w:val="20"/>
                <w:lang w:val="en-US" w:eastAsia="zh-CN"/>
              </w:rPr>
              <w:t>4</w:t>
            </w:r>
            <w:r>
              <w:rPr>
                <w:rFonts w:ascii="Times New Roman" w:eastAsia="宋体" w:cs="Times New Roman" w:hAnsi="Times New Roman"/>
                <w:kern w:val="0"/>
                <w:sz w:val="20"/>
                <w:szCs w:val="20"/>
              </w:rPr>
              <w:t>　</w:t>
            </w:r>
          </w:p>
        </w:tc>
      </w:tr>
      <w:tr>
        <w:trPr>
          <w:trHeight w:val="1128"/>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nil"/>
              <w:left w:val="single" w:sz="4" w:space="0" w:color="auto"/>
              <w:bottom w:val="single" w:sz="4" w:space="0" w:color="auto"/>
              <w:right w:val="single" w:sz="4" w:space="0" w:color="auto"/>
            </w:tcBorders>
            <w:noWrap/>
            <w:vAlign w:val="center"/>
          </w:tcPr>
          <w:p/>
        </w:tc>
        <w:tc>
          <w:tcPr>
            <w:tcW w:w="520" w:type="dxa"/>
            <w:vMerge/>
            <w:tcBorders>
              <w:top w:val="nil"/>
              <w:left w:val="single" w:sz="4" w:space="0" w:color="auto"/>
              <w:bottom w:val="single" w:sz="4" w:space="0" w:color="auto"/>
              <w:right w:val="single" w:sz="4" w:space="0" w:color="auto"/>
            </w:tcBorders>
            <w:noWrap/>
            <w:vAlign w:val="center"/>
          </w:tcP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“三公经费”变动率</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4</w:t>
            </w:r>
          </w:p>
        </w:tc>
        <w:tc>
          <w:tcPr>
            <w:tcW w:w="4146"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变动率=（本年三公经费预算数-上年度三公经费预算数）/上年度三公经费预算数*100%；“三公经费”变动率≦0,计6分；“三公经费”＞0，每超过一个百分点扣0.6分，扣完为止。</w:t>
            </w:r>
          </w:p>
        </w:tc>
        <w:tc>
          <w:tcPr>
            <w:tcW w:w="1081"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rPr>
            </w:pPr>
            <w:r>
              <w:rPr>
                <w:rFonts w:ascii="Times New Roman" w:eastAsia="宋体" w:cs="Times New Roman" w:hAnsi="Times New Roman" w:hint="eastAsia"/>
                <w:kern w:val="0"/>
                <w:sz w:val="20"/>
                <w:szCs w:val="20"/>
                <w:lang w:val="en-US" w:eastAsia="zh-CN"/>
              </w:rPr>
              <w:t>4</w:t>
            </w:r>
            <w:r>
              <w:rPr>
                <w:rFonts w:ascii="Times New Roman" w:eastAsia="宋体" w:cs="Times New Roman" w:hAnsi="Times New Roman"/>
                <w:kern w:val="0"/>
                <w:sz w:val="20"/>
                <w:szCs w:val="20"/>
              </w:rPr>
              <w:t>　</w:t>
            </w:r>
          </w:p>
        </w:tc>
      </w:tr>
      <w:tr>
        <w:trPr>
          <w:trHeight w:val="847"/>
        </w:trPr>
        <w:tc>
          <w:tcPr>
            <w:tcW w:w="621" w:type="dxa"/>
            <w:vMerge w:val="restart"/>
            <w:tcBorders>
              <w:top w:val="nil"/>
              <w:left w:val="single" w:sz="4" w:space="0" w:color="auto"/>
              <w:bottom w:val="nil"/>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过程</w:t>
            </w:r>
          </w:p>
        </w:tc>
        <w:tc>
          <w:tcPr>
            <w:tcW w:w="541" w:type="dxa"/>
            <w:vMerge w:val="restart"/>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66</w:t>
            </w:r>
          </w:p>
        </w:tc>
        <w:tc>
          <w:tcPr>
            <w:tcW w:w="729" w:type="dxa"/>
            <w:vMerge w:val="restart"/>
            <w:tcBorders>
              <w:top w:val="nil"/>
              <w:left w:val="single" w:sz="4" w:space="0" w:color="auto"/>
              <w:bottom w:val="nil"/>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预算执行</w:t>
            </w:r>
          </w:p>
        </w:tc>
        <w:tc>
          <w:tcPr>
            <w:tcW w:w="604" w:type="dxa"/>
            <w:vMerge w:val="restart"/>
            <w:tcBorders>
              <w:top w:val="nil"/>
              <w:left w:val="single" w:sz="4" w:space="0" w:color="auto"/>
              <w:bottom w:val="nil"/>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14</w:t>
            </w: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预算完成率</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7</w:t>
            </w:r>
          </w:p>
        </w:tc>
        <w:tc>
          <w:tcPr>
            <w:tcW w:w="4146"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（上年结转+年初预算+本年追加预算-年末结余）/(上年结转+年初预算+本年追加预算)；100%计满分，每低于5%扣2分，扣完为止。</w:t>
            </w:r>
          </w:p>
        </w:tc>
        <w:tc>
          <w:tcPr>
            <w:tcW w:w="1081"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rPr>
            </w:pPr>
            <w:r>
              <w:rPr>
                <w:rFonts w:ascii="Times New Roman" w:eastAsia="宋体" w:cs="Times New Roman" w:hAnsi="Times New Roman"/>
                <w:kern w:val="0"/>
                <w:sz w:val="20"/>
                <w:szCs w:val="20"/>
                <w:lang w:val="en-US" w:eastAsia="zh-CN"/>
              </w:rPr>
              <w:t>7</w:t>
            </w:r>
          </w:p>
        </w:tc>
      </w:tr>
      <w:tr>
        <w:trPr>
          <w:trHeight w:val="843"/>
        </w:trPr>
        <w:tc>
          <w:tcPr>
            <w:tcW w:w="816" w:type="dxa"/>
            <w:vMerge/>
            <w:tcBorders>
              <w:top w:val="nil"/>
              <w:left w:val="single" w:sz="4" w:space="0" w:color="auto"/>
              <w:bottom w:val="nil"/>
              <w:right w:val="single" w:sz="4" w:space="0" w:color="auto"/>
            </w:tcBorders>
            <w:shd w:val="clear" w:color="auto" w:fill="auto"/>
            <w:noWrap/>
            <w:vAlign w:val="center"/>
          </w:tcPr>
          <w:p/>
        </w:tc>
        <w:tc>
          <w:tcPr>
            <w:tcW w:w="600" w:type="dxa"/>
            <w:vMerge/>
            <w:tcBorders>
              <w:top w:val="nil"/>
              <w:left w:val="single" w:sz="4" w:space="0" w:color="auto"/>
              <w:bottom w:val="single" w:sz="4" w:space="0" w:color="auto"/>
              <w:right w:val="single" w:sz="4" w:space="0" w:color="auto"/>
            </w:tcBorders>
            <w:shd w:val="clear" w:color="auto" w:fill="auto"/>
            <w:noWrap/>
            <w:vAlign w:val="center"/>
          </w:tcPr>
          <w:p/>
        </w:tc>
        <w:tc>
          <w:tcPr>
            <w:tcW w:w="816" w:type="dxa"/>
            <w:vMerge/>
            <w:tcBorders>
              <w:top w:val="nil"/>
              <w:left w:val="single" w:sz="4" w:space="0" w:color="auto"/>
              <w:bottom w:val="nil"/>
              <w:right w:val="single" w:sz="4" w:space="0" w:color="auto"/>
            </w:tcBorders>
            <w:shd w:val="clear" w:color="auto" w:fill="auto"/>
            <w:noWrap/>
            <w:vAlign w:val="center"/>
          </w:tcPr>
          <w:p/>
        </w:tc>
        <w:tc>
          <w:tcPr>
            <w:tcW w:w="520" w:type="dxa"/>
            <w:vMerge/>
            <w:tcBorders>
              <w:top w:val="nil"/>
              <w:left w:val="single" w:sz="4" w:space="0" w:color="auto"/>
              <w:bottom w:val="nil"/>
              <w:right w:val="single" w:sz="4" w:space="0" w:color="auto"/>
            </w:tcBorders>
            <w:shd w:val="clear" w:color="auto" w:fill="auto"/>
            <w:noWrap/>
            <w:vAlign w:val="center"/>
          </w:tcPr>
          <w:p/>
        </w:tc>
        <w:tc>
          <w:tcPr>
            <w:tcW w:w="1000"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预算控制率</w:t>
            </w:r>
          </w:p>
        </w:tc>
        <w:tc>
          <w:tcPr>
            <w:tcW w:w="667"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7</w:t>
            </w:r>
          </w:p>
        </w:tc>
        <w:tc>
          <w:tcPr>
            <w:tcW w:w="4146" w:type="dxa"/>
            <w:tcBorders>
              <w:top w:val="nil"/>
              <w:left w:val="nil"/>
              <w:bottom w:val="single" w:sz="4" w:space="0" w:color="auto"/>
              <w:right w:val="single" w:sz="4" w:space="0" w:color="auto"/>
            </w:tcBorders>
            <w:shd w:val="clear" w:color="000000" w:fill="FFFFFF"/>
            <w:noWrap/>
            <w:vAlign w:val="center"/>
          </w:tcPr>
          <w:p>
            <w:pPr>
              <w:widowControl/>
              <w:jc w:val="left"/>
              <w:rPr>
                <w:rFonts w:ascii="宋体" w:eastAsia="宋体" w:cs="宋体"/>
                <w:kern w:val="0"/>
                <w:sz w:val="20"/>
                <w:szCs w:val="20"/>
              </w:rPr>
            </w:pPr>
            <w:r>
              <w:rPr>
                <w:rFonts w:ascii="宋体" w:eastAsia="宋体" w:cs="宋体" w:hint="eastAsia"/>
                <w:kern w:val="0"/>
                <w:sz w:val="20"/>
                <w:szCs w:val="20"/>
              </w:rPr>
              <w:t>预算控制率（本年追加预算/年初预算数）=0，计7分；0-10%（含），计6分；10-20%（含），计5分；20-30%（含），计3分；大于30%不得分。</w:t>
            </w:r>
          </w:p>
        </w:tc>
        <w:tc>
          <w:tcPr>
            <w:tcW w:w="1081"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rPr>
            </w:pPr>
            <w:r>
              <w:rPr>
                <w:rFonts w:ascii="Times New Roman" w:eastAsia="宋体" w:cs="Times New Roman" w:hAnsi="Times New Roman" w:hint="eastAsia"/>
                <w:kern w:val="0"/>
                <w:sz w:val="20"/>
                <w:szCs w:val="20"/>
                <w:lang w:val="en-US" w:eastAsia="zh-CN"/>
              </w:rPr>
              <w:t>6</w:t>
            </w:r>
            <w:r>
              <w:rPr>
                <w:rFonts w:ascii="Times New Roman" w:eastAsia="宋体" w:cs="Times New Roman" w:hAnsi="Times New Roman"/>
                <w:kern w:val="0"/>
                <w:sz w:val="20"/>
                <w:szCs w:val="20"/>
              </w:rPr>
              <w:t>　</w:t>
            </w:r>
          </w:p>
        </w:tc>
      </w:tr>
      <w:tr>
        <w:trPr>
          <w:trHeight w:val="946"/>
        </w:trPr>
        <w:tc>
          <w:tcPr>
            <w:tcW w:w="816" w:type="dxa"/>
            <w:vMerge/>
            <w:tcBorders>
              <w:top w:val="nil"/>
              <w:left w:val="single" w:sz="4" w:space="0" w:color="auto"/>
              <w:bottom w:val="nil"/>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729" w:type="dxa"/>
            <w:vMerge w:val="restart"/>
            <w:tcBorders>
              <w:top w:val="single" w:sz="4" w:space="0" w:color="auto"/>
              <w:left w:val="single" w:sz="4" w:space="0" w:color="auto"/>
              <w:bottom w:val="nil"/>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预算管理</w:t>
            </w:r>
          </w:p>
        </w:tc>
        <w:tc>
          <w:tcPr>
            <w:tcW w:w="604" w:type="dxa"/>
            <w:vMerge w:val="restart"/>
            <w:tcBorders>
              <w:top w:val="single" w:sz="4" w:space="0" w:color="auto"/>
              <w:left w:val="single" w:sz="4" w:space="0" w:color="auto"/>
              <w:bottom w:val="nil"/>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28</w:t>
            </w: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公用经费控制率</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6</w:t>
            </w:r>
          </w:p>
        </w:tc>
        <w:tc>
          <w:tcPr>
            <w:tcW w:w="4146"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公用经费控制率=实际支出公用经费/预算安排公用经费*100%；100%以下（含）计满分，每超出1%扣1分，扣完为止。</w:t>
            </w:r>
          </w:p>
        </w:tc>
        <w:tc>
          <w:tcPr>
            <w:tcW w:w="1081"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rPr>
            </w:pPr>
            <w:r>
              <w:rPr>
                <w:rFonts w:ascii="Times New Roman" w:eastAsia="宋体" w:cs="Times New Roman" w:hAnsi="Times New Roman"/>
                <w:kern w:val="0"/>
                <w:sz w:val="20"/>
                <w:szCs w:val="20"/>
                <w:lang w:val="en-US" w:eastAsia="zh-CN"/>
              </w:rPr>
              <w:t>6</w:t>
            </w:r>
            <w:r>
              <w:rPr>
                <w:rFonts w:ascii="Times New Roman" w:eastAsia="宋体" w:cs="Times New Roman" w:hAnsi="Times New Roman"/>
                <w:kern w:val="0"/>
                <w:sz w:val="20"/>
                <w:szCs w:val="20"/>
              </w:rPr>
              <w:t>　</w:t>
            </w:r>
          </w:p>
        </w:tc>
      </w:tr>
      <w:tr>
        <w:trPr>
          <w:trHeight w:val="1256"/>
        </w:trPr>
        <w:tc>
          <w:tcPr>
            <w:tcW w:w="816" w:type="dxa"/>
            <w:vMerge/>
            <w:tcBorders>
              <w:top w:val="nil"/>
              <w:left w:val="single" w:sz="4" w:space="0" w:color="auto"/>
              <w:bottom w:val="nil"/>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nil"/>
              <w:left w:val="single" w:sz="4" w:space="0" w:color="auto"/>
              <w:bottom w:val="nil"/>
              <w:right w:val="single" w:sz="4" w:space="0" w:color="auto"/>
            </w:tcBorders>
            <w:noWrap/>
            <w:vAlign w:val="center"/>
          </w:tcPr>
          <w:p/>
        </w:tc>
        <w:tc>
          <w:tcPr>
            <w:tcW w:w="520" w:type="dxa"/>
            <w:vMerge/>
            <w:tcBorders>
              <w:top w:val="nil"/>
              <w:left w:val="single" w:sz="4" w:space="0" w:color="auto"/>
              <w:bottom w:val="nil"/>
              <w:right w:val="single" w:sz="4" w:space="0" w:color="auto"/>
            </w:tcBorders>
            <w:noWrap/>
            <w:vAlign w:val="center"/>
          </w:tcP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“三公经费”控制率</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6</w:t>
            </w:r>
          </w:p>
        </w:tc>
        <w:tc>
          <w:tcPr>
            <w:tcW w:w="4146"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总体控制较好，较本年预算和上年决算支出数有较大幅度下降，三公经费控制率=三公经费实际支出数/三公经费预算安排数*100%；100%以下（含）计满分，每超出1%扣1分，扣完为止。</w:t>
            </w:r>
          </w:p>
        </w:tc>
        <w:tc>
          <w:tcPr>
            <w:tcW w:w="1081"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hint="eastAsia"/>
                <w:kern w:val="0"/>
                <w:sz w:val="20"/>
                <w:szCs w:val="20"/>
                <w:lang w:val="en-US" w:eastAsia="zh-CN"/>
              </w:rPr>
            </w:pPr>
            <w:r>
              <w:rPr>
                <w:rFonts w:ascii="Times New Roman" w:eastAsia="宋体" w:cs="Times New Roman" w:hAnsi="Times New Roman" w:hint="eastAsia"/>
                <w:kern w:val="0"/>
                <w:sz w:val="20"/>
                <w:szCs w:val="20"/>
                <w:lang w:val="en-US" w:eastAsia="zh-CN"/>
              </w:rPr>
              <w:t>6</w:t>
            </w:r>
          </w:p>
          <w:p>
            <w:pPr>
              <w:widowControl/>
              <w:jc w:val="center"/>
              <w:rPr>
                <w:rFonts w:ascii="Times New Roman" w:eastAsia="宋体" w:cs="Times New Roman" w:hAnsi="Times New Roman"/>
                <w:kern w:val="0"/>
                <w:sz w:val="20"/>
                <w:szCs w:val="20"/>
              </w:rPr>
            </w:pPr>
            <w:r>
              <w:rPr>
                <w:rFonts w:ascii="Times New Roman" w:eastAsia="宋体" w:cs="Times New Roman" w:hAnsi="Times New Roman"/>
                <w:kern w:val="0"/>
                <w:sz w:val="20"/>
                <w:szCs w:val="20"/>
              </w:rPr>
              <w:t>　</w:t>
            </w:r>
          </w:p>
        </w:tc>
      </w:tr>
      <w:tr>
        <w:trPr>
          <w:trHeight w:val="991"/>
        </w:trPr>
        <w:tc>
          <w:tcPr>
            <w:tcW w:w="816" w:type="dxa"/>
            <w:vMerge/>
            <w:tcBorders>
              <w:top w:val="nil"/>
              <w:left w:val="single" w:sz="4" w:space="0" w:color="auto"/>
              <w:bottom w:val="nil"/>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nil"/>
              <w:left w:val="single" w:sz="4" w:space="0" w:color="auto"/>
              <w:bottom w:val="nil"/>
              <w:right w:val="single" w:sz="4" w:space="0" w:color="auto"/>
            </w:tcBorders>
            <w:noWrap/>
            <w:vAlign w:val="center"/>
          </w:tcPr>
          <w:p/>
        </w:tc>
        <w:tc>
          <w:tcPr>
            <w:tcW w:w="520" w:type="dxa"/>
            <w:vMerge/>
            <w:tcBorders>
              <w:top w:val="nil"/>
              <w:left w:val="single" w:sz="4" w:space="0" w:color="auto"/>
              <w:bottom w:val="nil"/>
              <w:right w:val="single" w:sz="4" w:space="0" w:color="auto"/>
            </w:tcBorders>
            <w:noWrap/>
            <w:vAlign w:val="center"/>
          </w:tcP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政府采购执行率</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5</w:t>
            </w:r>
          </w:p>
        </w:tc>
        <w:tc>
          <w:tcPr>
            <w:tcW w:w="4146"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政府采购执行率=实际政府采购金额/政府采购预算数*100%；100%计满分，每超过（降低）5%扣2分。扣完为止。</w:t>
            </w:r>
          </w:p>
        </w:tc>
        <w:tc>
          <w:tcPr>
            <w:tcW w:w="1081"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rPr>
            </w:pPr>
            <w:r>
              <w:rPr>
                <w:rFonts w:ascii="Times New Roman" w:eastAsia="宋体" w:cs="Times New Roman" w:hAnsi="Times New Roman" w:hint="eastAsia"/>
                <w:kern w:val="0"/>
                <w:sz w:val="20"/>
                <w:szCs w:val="20"/>
                <w:lang w:val="en-US" w:eastAsia="zh-CN"/>
              </w:rPr>
              <w:t>5</w:t>
            </w:r>
            <w:r>
              <w:rPr>
                <w:rFonts w:ascii="Times New Roman" w:eastAsia="宋体" w:cs="Times New Roman" w:hAnsi="Times New Roman"/>
                <w:kern w:val="0"/>
                <w:sz w:val="20"/>
                <w:szCs w:val="20"/>
              </w:rPr>
              <w:t>　</w:t>
            </w:r>
          </w:p>
        </w:tc>
      </w:tr>
      <w:tr>
        <w:trPr>
          <w:trHeight w:val="1278"/>
        </w:trPr>
        <w:tc>
          <w:tcPr>
            <w:tcW w:w="816" w:type="dxa"/>
            <w:vMerge/>
            <w:tcBorders>
              <w:top w:val="nil"/>
              <w:left w:val="single" w:sz="4" w:space="0" w:color="auto"/>
              <w:bottom w:val="nil"/>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nil"/>
              <w:left w:val="single" w:sz="4" w:space="0" w:color="auto"/>
              <w:bottom w:val="nil"/>
              <w:right w:val="single" w:sz="4" w:space="0" w:color="auto"/>
            </w:tcBorders>
            <w:noWrap/>
            <w:vAlign w:val="center"/>
          </w:tcPr>
          <w:p/>
        </w:tc>
        <w:tc>
          <w:tcPr>
            <w:tcW w:w="520" w:type="dxa"/>
            <w:vMerge/>
            <w:tcBorders>
              <w:top w:val="nil"/>
              <w:left w:val="single" w:sz="4" w:space="0" w:color="auto"/>
              <w:bottom w:val="nil"/>
              <w:right w:val="single" w:sz="4" w:space="0" w:color="auto"/>
            </w:tcBorders>
            <w:noWrap/>
            <w:vAlign w:val="center"/>
          </w:tcP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资金使用合规性</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5</w:t>
            </w:r>
          </w:p>
        </w:tc>
        <w:tc>
          <w:tcPr>
            <w:tcW w:w="4146"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以上情况每出现一例不符合要求的扣1分，扣完为止。</w:t>
            </w:r>
          </w:p>
        </w:tc>
        <w:tc>
          <w:tcPr>
            <w:tcW w:w="1081"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hint="eastAsia"/>
                <w:kern w:val="0"/>
                <w:sz w:val="20"/>
                <w:szCs w:val="20"/>
                <w:lang w:val="en-US" w:eastAsia="zh-CN"/>
              </w:rPr>
            </w:pPr>
            <w:r>
              <w:rPr>
                <w:rFonts w:ascii="Times New Roman" w:eastAsia="宋体" w:cs="Times New Roman" w:hAnsi="Times New Roman" w:hint="eastAsia"/>
                <w:kern w:val="0"/>
                <w:sz w:val="20"/>
                <w:szCs w:val="20"/>
                <w:lang w:val="en-US" w:eastAsia="zh-CN"/>
              </w:rPr>
              <w:t>5</w:t>
            </w:r>
          </w:p>
        </w:tc>
      </w:tr>
      <w:tr>
        <w:trPr>
          <w:trHeight w:val="1278"/>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nil"/>
              <w:left w:val="single" w:sz="4" w:space="0" w:color="auto"/>
              <w:bottom w:val="single" w:sz="4" w:space="0" w:color="000000"/>
              <w:right w:val="single" w:sz="4" w:space="0" w:color="auto"/>
            </w:tcBorders>
            <w:noWrap/>
            <w:vAlign w:val="center"/>
          </w:tcPr>
          <w:p/>
        </w:tc>
        <w:tc>
          <w:tcPr>
            <w:tcW w:w="520" w:type="dxa"/>
            <w:vMerge/>
            <w:tcBorders>
              <w:top w:val="nil"/>
              <w:left w:val="single" w:sz="4" w:space="0" w:color="auto"/>
              <w:bottom w:val="single" w:sz="4" w:space="0" w:color="000000"/>
              <w:right w:val="single" w:sz="4" w:space="0" w:color="auto"/>
            </w:tcBorders>
            <w:noWrap/>
            <w:vAlign w:val="center"/>
          </w:tcP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预决算信息公开性</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6</w:t>
            </w:r>
          </w:p>
        </w:tc>
        <w:tc>
          <w:tcPr>
            <w:tcW w:w="4146"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 xml:space="preserve">①按规定内容公开预决算信息，1.5分；②按规定时限公开预决算信息，1.5分；③基础数据信息和会计信息资料真实，1分；④基础数据信息和会计信息资料完整，1分；⑤基础数据信息和汇集信息资料准确，1分。  </w:t>
            </w:r>
          </w:p>
        </w:tc>
        <w:tc>
          <w:tcPr>
            <w:tcW w:w="1081"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hint="eastAsia"/>
                <w:kern w:val="0"/>
                <w:sz w:val="20"/>
                <w:szCs w:val="20"/>
                <w:lang w:val="en-US" w:eastAsia="zh-CN"/>
              </w:rPr>
            </w:pPr>
            <w:r>
              <w:rPr>
                <w:rFonts w:ascii="Times New Roman" w:eastAsia="宋体" w:cs="Times New Roman" w:hAnsi="Times New Roman" w:hint="eastAsia"/>
                <w:kern w:val="0"/>
                <w:sz w:val="20"/>
                <w:szCs w:val="20"/>
                <w:lang w:val="en-US" w:eastAsia="zh-CN"/>
              </w:rPr>
              <w:t>6</w:t>
            </w:r>
          </w:p>
        </w:tc>
      </w:tr>
      <w:tr>
        <w:trPr>
          <w:trHeight w:val="1278"/>
        </w:trPr>
        <w:tc>
          <w:tcPr>
            <w:tcW w:w="621" w:type="dxa"/>
            <w:vMerge w:val="restart"/>
            <w:tcBorders>
              <w:top w:val="single" w:sz="4" w:space="0" w:color="auto"/>
              <w:left w:val="single" w:sz="4" w:space="0" w:color="auto"/>
              <w:bottom w:val="nil"/>
              <w:right w:val="single" w:sz="4" w:space="0" w:color="auto"/>
            </w:tcBorders>
            <w:noWrap/>
            <w:vAlign w:val="center"/>
          </w:tcPr>
          <w:p>
            <w:pPr>
              <w:jc w:val="center"/>
              <w:rPr>
                <w:rFonts w:ascii="宋体" w:eastAsia="宋体" w:cs="宋体"/>
                <w:kern w:val="0"/>
                <w:sz w:val="20"/>
                <w:szCs w:val="20"/>
              </w:rPr>
            </w:pPr>
            <w:r>
              <w:rPr>
                <w:rFonts w:ascii="宋体" w:eastAsia="宋体" w:cs="宋体" w:hint="eastAsia"/>
                <w:kern w:val="0"/>
                <w:sz w:val="20"/>
                <w:szCs w:val="20"/>
              </w:rPr>
              <w:t>过程</w:t>
            </w:r>
          </w:p>
        </w:tc>
        <w:tc>
          <w:tcPr>
            <w:tcW w:w="541" w:type="dxa"/>
            <w:vMerge w:val="restart"/>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kern w:val="0"/>
                <w:sz w:val="20"/>
                <w:szCs w:val="20"/>
              </w:rPr>
            </w:pPr>
          </w:p>
        </w:tc>
        <w:tc>
          <w:tcPr>
            <w:tcW w:w="729" w:type="dxa"/>
            <w:tcBorders>
              <w:top w:val="nil"/>
              <w:left w:val="single" w:sz="4" w:space="0" w:color="auto"/>
              <w:bottom w:val="single" w:sz="4" w:space="0" w:color="000000"/>
              <w:right w:val="single" w:sz="4" w:space="0" w:color="auto"/>
            </w:tcBorders>
            <w:noWrap/>
            <w:vAlign w:val="center"/>
          </w:tcPr>
          <w:p>
            <w:pPr>
              <w:widowControl/>
              <w:jc w:val="center"/>
              <w:rPr>
                <w:rFonts w:ascii="宋体" w:eastAsia="宋体" w:cs="宋体" w:hint="eastAsia"/>
                <w:kern w:val="0"/>
                <w:sz w:val="20"/>
                <w:szCs w:val="20"/>
              </w:rPr>
            </w:pPr>
            <w:r>
              <w:rPr>
                <w:rFonts w:ascii="宋体" w:eastAsia="宋体" w:cs="宋体" w:hint="eastAsia"/>
                <w:kern w:val="0"/>
                <w:sz w:val="20"/>
                <w:szCs w:val="20"/>
              </w:rPr>
              <w:t>预算管理</w:t>
            </w:r>
          </w:p>
        </w:tc>
        <w:tc>
          <w:tcPr>
            <w:tcW w:w="604" w:type="dxa"/>
            <w:tcBorders>
              <w:top w:val="nil"/>
              <w:left w:val="single" w:sz="4" w:space="0" w:color="auto"/>
              <w:bottom w:val="single" w:sz="4" w:space="0" w:color="000000"/>
              <w:right w:val="single" w:sz="4" w:space="0" w:color="auto"/>
            </w:tcBorders>
            <w:noWrap/>
            <w:vAlign w:val="center"/>
          </w:tcPr>
          <w:p>
            <w:pPr>
              <w:widowControl/>
              <w:jc w:val="center"/>
              <w:rPr>
                <w:rFonts w:ascii="宋体" w:eastAsia="宋体" w:cs="宋体" w:hint="eastAsia"/>
                <w:kern w:val="0"/>
                <w:sz w:val="20"/>
                <w:szCs w:val="20"/>
              </w:rPr>
            </w:pPr>
            <w:r>
              <w:rPr>
                <w:rFonts w:ascii="宋体" w:eastAsia="宋体" w:cs="宋体" w:hint="eastAsia"/>
                <w:kern w:val="0"/>
                <w:sz w:val="20"/>
                <w:szCs w:val="20"/>
              </w:rPr>
              <w:t>8</w:t>
            </w: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管理制度健全性</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8</w:t>
            </w:r>
          </w:p>
        </w:tc>
        <w:tc>
          <w:tcPr>
            <w:tcW w:w="4146"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①内部财务管理制度、内部控制制度、会计核算制度等管理制度，2分；②有本部门厉行节约制度,2分；③相关管理制度合法、合规、完整，2分；④相关管理制度得到有效执行，有考核制度2分。</w:t>
            </w:r>
          </w:p>
        </w:tc>
        <w:tc>
          <w:tcPr>
            <w:tcW w:w="1081"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hint="eastAsia"/>
                <w:kern w:val="0"/>
                <w:sz w:val="20"/>
                <w:szCs w:val="20"/>
                <w:lang w:val="en-US" w:eastAsia="zh-CN"/>
              </w:rPr>
            </w:pPr>
            <w:r>
              <w:rPr>
                <w:rFonts w:ascii="Times New Roman" w:eastAsia="宋体" w:cs="Times New Roman" w:hAnsi="Times New Roman" w:hint="eastAsia"/>
                <w:kern w:val="0"/>
                <w:sz w:val="20"/>
                <w:szCs w:val="20"/>
                <w:lang w:val="en-US" w:eastAsia="zh-CN"/>
              </w:rPr>
              <w:t>8</w:t>
            </w:r>
          </w:p>
        </w:tc>
      </w:tr>
      <w:tr>
        <w:trPr>
          <w:trHeight w:val="1278"/>
        </w:trPr>
        <w:tc>
          <w:tcPr>
            <w:tcW w:w="816" w:type="dxa"/>
            <w:vMerge/>
            <w:tcBorders>
              <w:top w:val="nil"/>
              <w:left w:val="single" w:sz="4" w:space="0" w:color="auto"/>
              <w:bottom w:val="nil"/>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729" w:type="dxa"/>
            <w:vMerge w:val="restart"/>
            <w:tcBorders>
              <w:top w:val="nil"/>
              <w:left w:val="single" w:sz="4" w:space="0" w:color="auto"/>
              <w:bottom w:val="single" w:sz="4" w:space="0" w:color="000000"/>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预算绩效开展</w:t>
            </w:r>
          </w:p>
        </w:tc>
        <w:tc>
          <w:tcPr>
            <w:tcW w:w="604" w:type="dxa"/>
            <w:vMerge w:val="restart"/>
            <w:tcBorders>
              <w:top w:val="nil"/>
              <w:left w:val="single" w:sz="4" w:space="0" w:color="auto"/>
              <w:bottom w:val="single" w:sz="4" w:space="0" w:color="000000"/>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16</w:t>
            </w:r>
          </w:p>
        </w:tc>
        <w:tc>
          <w:tcPr>
            <w:tcW w:w="1000"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绩效目标设定情况</w:t>
            </w:r>
          </w:p>
        </w:tc>
        <w:tc>
          <w:tcPr>
            <w:tcW w:w="667"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8</w:t>
            </w:r>
          </w:p>
        </w:tc>
        <w:tc>
          <w:tcPr>
            <w:tcW w:w="4146"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绩效目标符合规定格式要求，计2分；内容完整，充分体现“干什么”、“干到什么程度（预期效果）计3分；目标量化、具体，计3分。</w:t>
            </w:r>
          </w:p>
        </w:tc>
        <w:tc>
          <w:tcPr>
            <w:tcW w:w="1081"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rPr>
            </w:pPr>
            <w:r>
              <w:rPr>
                <w:rFonts w:ascii="Times New Roman" w:eastAsia="宋体" w:cs="Times New Roman" w:hAnsi="Times New Roman" w:hint="eastAsia"/>
                <w:kern w:val="0"/>
                <w:sz w:val="20"/>
                <w:szCs w:val="20"/>
                <w:lang w:val="en-US" w:eastAsia="zh-CN"/>
              </w:rPr>
              <w:t>7</w:t>
            </w:r>
            <w:r>
              <w:rPr>
                <w:rFonts w:ascii="Times New Roman" w:eastAsia="宋体" w:cs="Times New Roman" w:hAnsi="Times New Roman"/>
                <w:kern w:val="0"/>
                <w:sz w:val="20"/>
                <w:szCs w:val="20"/>
              </w:rPr>
              <w:t>　</w:t>
            </w:r>
          </w:p>
        </w:tc>
      </w:tr>
      <w:tr>
        <w:trPr>
          <w:trHeight w:val="1350"/>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nil"/>
              <w:left w:val="single" w:sz="4" w:space="0" w:color="auto"/>
              <w:bottom w:val="single" w:sz="4" w:space="0" w:color="000000"/>
              <w:right w:val="single" w:sz="4" w:space="0" w:color="auto"/>
            </w:tcBorders>
            <w:noWrap/>
            <w:vAlign w:val="center"/>
          </w:tcPr>
          <w:p/>
        </w:tc>
        <w:tc>
          <w:tcPr>
            <w:tcW w:w="520" w:type="dxa"/>
            <w:vMerge/>
            <w:tcBorders>
              <w:top w:val="nil"/>
              <w:left w:val="single" w:sz="4" w:space="0" w:color="auto"/>
              <w:bottom w:val="single" w:sz="4" w:space="0" w:color="000000"/>
              <w:right w:val="single" w:sz="4" w:space="0" w:color="auto"/>
            </w:tcBorders>
            <w:noWrap/>
            <w:vAlign w:val="center"/>
          </w:tcP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项目绩效自评覆盖率</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8</w:t>
            </w:r>
          </w:p>
        </w:tc>
        <w:tc>
          <w:tcPr>
            <w:tcW w:w="4146"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覆盖率=项目支出绩效自评金额/全年项目支出金额*100%；100%计满分，每降低1%扣1分，扣完为止。</w:t>
            </w:r>
          </w:p>
        </w:tc>
        <w:tc>
          <w:tcPr>
            <w:tcW w:w="1081"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hint="eastAsia"/>
                <w:kern w:val="0"/>
                <w:sz w:val="20"/>
                <w:szCs w:val="20"/>
                <w:lang w:val="en-US" w:eastAsia="zh-CN"/>
              </w:rPr>
            </w:pPr>
            <w:r>
              <w:rPr>
                <w:rFonts w:ascii="Times New Roman" w:eastAsia="宋体" w:cs="Times New Roman" w:hAnsi="Times New Roman"/>
                <w:kern w:val="0"/>
                <w:sz w:val="20"/>
                <w:szCs w:val="20"/>
              </w:rPr>
              <w:t>　</w:t>
            </w:r>
            <w:r>
              <w:rPr>
                <w:rFonts w:ascii="Times New Roman" w:eastAsia="宋体" w:cs="Times New Roman" w:hAnsi="Times New Roman" w:hint="eastAsia"/>
                <w:kern w:val="0"/>
                <w:sz w:val="20"/>
                <w:szCs w:val="20"/>
                <w:lang w:val="en-US" w:eastAsia="zh-CN"/>
              </w:rPr>
              <w:t>8</w:t>
            </w:r>
          </w:p>
        </w:tc>
      </w:tr>
      <w:tr>
        <w:trPr>
          <w:trHeight w:val="1335"/>
        </w:trPr>
        <w:tc>
          <w:tcPr>
            <w:tcW w:w="621" w:type="dxa"/>
            <w:vMerge w:val="restart"/>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产出及效率</w:t>
            </w:r>
          </w:p>
        </w:tc>
        <w:tc>
          <w:tcPr>
            <w:tcW w:w="541" w:type="dxa"/>
            <w:vMerge w:val="restart"/>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26</w:t>
            </w:r>
          </w:p>
        </w:tc>
        <w:tc>
          <w:tcPr>
            <w:tcW w:w="729"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职责履行</w:t>
            </w:r>
          </w:p>
        </w:tc>
        <w:tc>
          <w:tcPr>
            <w:tcW w:w="604"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8</w:t>
            </w: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重点工作办结率</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8</w:t>
            </w:r>
          </w:p>
        </w:tc>
        <w:tc>
          <w:tcPr>
            <w:tcW w:w="4146"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部门年度重点工作实际完成数与交办或下达数的比率，用以反映部门对重点工作的办理落实程度。重点工作办结率＝（重点工作实际完成数/交办或下达数）×100%  重点工作是指党委、政府、人大、相关部门交办或下达的工作任务。</w:t>
            </w:r>
          </w:p>
        </w:tc>
        <w:tc>
          <w:tcPr>
            <w:tcW w:w="1081"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rPr>
            </w:pPr>
            <w:r>
              <w:rPr>
                <w:rFonts w:ascii="Times New Roman" w:eastAsia="宋体" w:cs="Times New Roman" w:hAnsi="Times New Roman" w:hint="eastAsia"/>
                <w:kern w:val="0"/>
                <w:sz w:val="20"/>
                <w:szCs w:val="20"/>
                <w:lang w:val="en-US" w:eastAsia="zh-CN"/>
              </w:rPr>
              <w:t>8</w:t>
            </w:r>
            <w:r>
              <w:rPr>
                <w:rFonts w:ascii="Times New Roman" w:eastAsia="宋体" w:cs="Times New Roman" w:hAnsi="Times New Roman"/>
                <w:kern w:val="0"/>
                <w:sz w:val="20"/>
                <w:szCs w:val="20"/>
              </w:rPr>
              <w:t>　</w:t>
            </w:r>
          </w:p>
        </w:tc>
      </w:tr>
      <w:tr>
        <w:trPr>
          <w:trHeight w:val="420"/>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729" w:type="dxa"/>
            <w:vMerge w:val="restart"/>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履职 效益</w:t>
            </w:r>
          </w:p>
        </w:tc>
        <w:tc>
          <w:tcPr>
            <w:tcW w:w="604" w:type="dxa"/>
            <w:vMerge w:val="restart"/>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6</w:t>
            </w: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18"/>
                <w:szCs w:val="18"/>
              </w:rPr>
            </w:pPr>
            <w:r>
              <w:rPr>
                <w:rFonts w:ascii="宋体" w:eastAsia="宋体" w:cs="宋体" w:hint="eastAsia"/>
                <w:kern w:val="0"/>
                <w:sz w:val="18"/>
                <w:szCs w:val="18"/>
              </w:rPr>
              <w:t>经济效益</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3</w:t>
            </w:r>
          </w:p>
        </w:tc>
        <w:tc>
          <w:tcPr>
            <w:tcW w:w="4146" w:type="dxa"/>
            <w:vMerge w:val="restart"/>
            <w:tcBorders>
              <w:top w:val="nil"/>
              <w:left w:val="nil"/>
              <w:bottom w:val="nil"/>
              <w:right w:val="nil"/>
            </w:tcBorders>
            <w:noWrap/>
            <w:vAlign w:val="center"/>
          </w:tcPr>
          <w:p>
            <w:pPr>
              <w:widowControl/>
              <w:jc w:val="center"/>
              <w:rPr>
                <w:rFonts w:ascii="宋体" w:eastAsia="宋体" w:cs="宋体"/>
                <w:color w:val="000000"/>
                <w:kern w:val="0"/>
                <w:sz w:val="20"/>
                <w:szCs w:val="20"/>
              </w:rPr>
            </w:pPr>
            <w:r>
              <w:rPr>
                <w:rFonts w:ascii="宋体" w:eastAsia="宋体" w:cs="宋体" w:hint="eastAsia"/>
                <w:color w:val="000000"/>
                <w:kern w:val="0"/>
                <w:sz w:val="20"/>
                <w:szCs w:val="20"/>
              </w:rPr>
              <w:t>对照绩效目标评价社会效益（按优6分、良4分、中2分、差0分进行评分）</w:t>
            </w:r>
          </w:p>
        </w:tc>
        <w:tc>
          <w:tcPr>
            <w:tcW w:w="1081" w:type="dxa"/>
            <w:tcBorders>
              <w:top w:val="nil"/>
              <w:left w:val="single" w:sz="4" w:space="0" w:color="auto"/>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rPr>
            </w:pPr>
            <w:r>
              <w:rPr>
                <w:rFonts w:ascii="Times New Roman" w:eastAsia="宋体" w:cs="Times New Roman" w:hAnsi="Times New Roman" w:hint="eastAsia"/>
                <w:kern w:val="0"/>
                <w:sz w:val="20"/>
                <w:szCs w:val="20"/>
                <w:lang w:val="en-US" w:eastAsia="zh-CN"/>
              </w:rPr>
              <w:t>3</w:t>
            </w:r>
            <w:r>
              <w:rPr>
                <w:rFonts w:ascii="Times New Roman" w:eastAsia="宋体" w:cs="Times New Roman" w:hAnsi="Times New Roman"/>
                <w:kern w:val="0"/>
                <w:sz w:val="20"/>
                <w:szCs w:val="20"/>
              </w:rPr>
              <w:t>　</w:t>
            </w:r>
          </w:p>
        </w:tc>
      </w:tr>
      <w:tr>
        <w:trPr>
          <w:trHeight w:val="420"/>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nil"/>
              <w:left w:val="single" w:sz="4" w:space="0" w:color="auto"/>
              <w:bottom w:val="single" w:sz="4" w:space="0" w:color="auto"/>
              <w:right w:val="single" w:sz="4" w:space="0" w:color="auto"/>
            </w:tcBorders>
            <w:noWrap/>
            <w:vAlign w:val="center"/>
          </w:tcPr>
          <w:p/>
        </w:tc>
        <w:tc>
          <w:tcPr>
            <w:tcW w:w="520" w:type="dxa"/>
            <w:vMerge/>
            <w:tcBorders>
              <w:top w:val="nil"/>
              <w:left w:val="single" w:sz="4" w:space="0" w:color="auto"/>
              <w:bottom w:val="single" w:sz="4" w:space="0" w:color="auto"/>
              <w:right w:val="single" w:sz="4" w:space="0" w:color="auto"/>
            </w:tcBorders>
            <w:noWrap/>
            <w:vAlign w:val="center"/>
          </w:tcP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18"/>
                <w:szCs w:val="18"/>
              </w:rPr>
            </w:pPr>
            <w:r>
              <w:rPr>
                <w:rFonts w:ascii="宋体" w:eastAsia="宋体" w:cs="宋体" w:hint="eastAsia"/>
                <w:kern w:val="0"/>
                <w:sz w:val="18"/>
                <w:szCs w:val="18"/>
              </w:rPr>
              <w:t>社会效益</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3</w:t>
            </w:r>
          </w:p>
        </w:tc>
        <w:tc>
          <w:tcPr>
            <w:tcW w:w="4530" w:type="dxa"/>
            <w:vMerge/>
            <w:tcBorders>
              <w:top w:val="nil"/>
              <w:left w:val="nil"/>
              <w:bottom w:val="nil"/>
              <w:right w:val="nil"/>
            </w:tcBorders>
            <w:noWrap/>
            <w:vAlign w:val="center"/>
          </w:tcPr>
          <w:p/>
        </w:tc>
        <w:tc>
          <w:tcPr>
            <w:tcW w:w="1081" w:type="dxa"/>
            <w:tcBorders>
              <w:top w:val="nil"/>
              <w:left w:val="single" w:sz="4" w:space="0" w:color="auto"/>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rPr>
            </w:pPr>
            <w:r>
              <w:rPr>
                <w:rFonts w:ascii="Times New Roman" w:eastAsia="宋体" w:cs="Times New Roman" w:hAnsi="Times New Roman" w:hint="eastAsia"/>
                <w:kern w:val="0"/>
                <w:sz w:val="20"/>
                <w:szCs w:val="20"/>
                <w:lang w:val="en-US" w:eastAsia="zh-CN"/>
              </w:rPr>
              <w:t>3</w:t>
            </w:r>
            <w:r>
              <w:rPr>
                <w:rFonts w:ascii="Times New Roman" w:eastAsia="宋体" w:cs="Times New Roman" w:hAnsi="Times New Roman"/>
                <w:kern w:val="0"/>
                <w:sz w:val="20"/>
                <w:szCs w:val="20"/>
              </w:rPr>
              <w:t>　</w:t>
            </w:r>
          </w:p>
        </w:tc>
      </w:tr>
      <w:tr>
        <w:trPr>
          <w:trHeight w:val="705"/>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nil"/>
              <w:left w:val="single" w:sz="4" w:space="0" w:color="auto"/>
              <w:bottom w:val="single" w:sz="4" w:space="0" w:color="auto"/>
              <w:right w:val="single" w:sz="4" w:space="0" w:color="auto"/>
            </w:tcBorders>
            <w:noWrap/>
            <w:vAlign w:val="center"/>
          </w:tcPr>
          <w:p/>
        </w:tc>
        <w:tc>
          <w:tcPr>
            <w:tcW w:w="604" w:type="dxa"/>
            <w:vMerge w:val="restart"/>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12</w:t>
            </w: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机关工作整体满意度</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6</w:t>
            </w:r>
          </w:p>
        </w:tc>
        <w:tc>
          <w:tcPr>
            <w:tcW w:w="4146" w:type="dxa"/>
            <w:tcBorders>
              <w:top w:val="single" w:sz="4" w:space="0" w:color="auto"/>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根据区委年度考核结果计分，优秀得6分，良好得4分，合格得2分，不合格0分。</w:t>
            </w:r>
          </w:p>
        </w:tc>
        <w:tc>
          <w:tcPr>
            <w:tcW w:w="1081"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hint="eastAsia"/>
                <w:kern w:val="0"/>
                <w:sz w:val="20"/>
                <w:szCs w:val="20"/>
                <w:lang w:val="en-US" w:eastAsia="zh-CN"/>
              </w:rPr>
            </w:pPr>
            <w:r>
              <w:rPr>
                <w:rFonts w:ascii="Times New Roman" w:eastAsia="宋体" w:cs="Times New Roman" w:hAnsi="Times New Roman" w:hint="eastAsia"/>
                <w:kern w:val="0"/>
                <w:sz w:val="20"/>
                <w:szCs w:val="20"/>
                <w:lang w:val="en-US" w:eastAsia="zh-CN"/>
              </w:rPr>
              <w:t>6</w:t>
            </w:r>
          </w:p>
        </w:tc>
      </w:tr>
      <w:tr>
        <w:trPr>
          <w:trHeight w:val="765"/>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nil"/>
              <w:left w:val="single" w:sz="4" w:space="0" w:color="auto"/>
              <w:bottom w:val="single" w:sz="4" w:space="0" w:color="auto"/>
              <w:right w:val="single" w:sz="4" w:space="0" w:color="auto"/>
            </w:tcBorders>
            <w:noWrap/>
            <w:vAlign w:val="center"/>
          </w:tcPr>
          <w:p/>
        </w:tc>
        <w:tc>
          <w:tcPr>
            <w:tcW w:w="520" w:type="dxa"/>
            <w:vMerge/>
            <w:tcBorders>
              <w:top w:val="nil"/>
              <w:left w:val="single" w:sz="4" w:space="0" w:color="auto"/>
              <w:bottom w:val="single" w:sz="4" w:space="0" w:color="auto"/>
              <w:right w:val="single" w:sz="4" w:space="0" w:color="auto"/>
            </w:tcBorders>
            <w:noWrap/>
            <w:vAlign w:val="center"/>
          </w:tcP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社会公众服务对象满意度</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szCs w:val="20"/>
              </w:rPr>
            </w:pPr>
            <w:r>
              <w:rPr>
                <w:rFonts w:ascii="宋体" w:eastAsia="宋体" w:cs="宋体" w:hint="eastAsia"/>
                <w:kern w:val="0"/>
                <w:sz w:val="20"/>
                <w:szCs w:val="20"/>
              </w:rPr>
              <w:t>6</w:t>
            </w:r>
          </w:p>
        </w:tc>
        <w:tc>
          <w:tcPr>
            <w:tcW w:w="4146" w:type="dxa"/>
            <w:tcBorders>
              <w:top w:val="nil"/>
              <w:left w:val="nil"/>
              <w:bottom w:val="single" w:sz="4" w:space="0" w:color="auto"/>
              <w:right w:val="single" w:sz="4" w:space="0" w:color="auto"/>
            </w:tcBorders>
            <w:noWrap/>
            <w:vAlign w:val="center"/>
          </w:tcPr>
          <w:p>
            <w:pPr>
              <w:widowControl/>
              <w:jc w:val="left"/>
              <w:rPr>
                <w:rFonts w:ascii="宋体" w:eastAsia="宋体" w:cs="宋体"/>
                <w:kern w:val="0"/>
                <w:sz w:val="20"/>
                <w:szCs w:val="20"/>
              </w:rPr>
            </w:pPr>
            <w:r>
              <w:rPr>
                <w:rFonts w:ascii="宋体" w:eastAsia="宋体" w:cs="宋体" w:hint="eastAsia"/>
                <w:kern w:val="0"/>
                <w:sz w:val="20"/>
                <w:szCs w:val="20"/>
              </w:rPr>
              <w:t>90%（含）以上计6分；80%（含）-90%，计5分；70%（含）-80%，计3分；低于70%计2分。</w:t>
            </w:r>
          </w:p>
        </w:tc>
        <w:tc>
          <w:tcPr>
            <w:tcW w:w="1081"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kern w:val="0"/>
                <w:sz w:val="20"/>
                <w:szCs w:val="20"/>
              </w:rPr>
            </w:pPr>
            <w:r>
              <w:rPr>
                <w:rFonts w:ascii="Times New Roman" w:eastAsia="宋体" w:cs="Times New Roman" w:hAnsi="Times New Roman" w:hint="eastAsia"/>
                <w:kern w:val="0"/>
                <w:sz w:val="20"/>
                <w:szCs w:val="20"/>
                <w:lang w:val="en-US" w:eastAsia="zh-CN"/>
              </w:rPr>
              <w:t>6</w:t>
            </w:r>
            <w:r>
              <w:rPr>
                <w:rFonts w:ascii="Times New Roman" w:eastAsia="宋体" w:cs="Times New Roman" w:hAnsi="Times New Roman"/>
                <w:kern w:val="0"/>
                <w:sz w:val="20"/>
                <w:szCs w:val="20"/>
              </w:rPr>
              <w:t>　</w:t>
            </w:r>
          </w:p>
        </w:tc>
      </w:tr>
      <w:tr>
        <w:trPr>
          <w:trHeight w:val="477"/>
        </w:trPr>
        <w:tc>
          <w:tcPr>
            <w:tcW w:w="621"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b/>
                <w:bCs/>
                <w:kern w:val="0"/>
                <w:sz w:val="20"/>
                <w:szCs w:val="20"/>
              </w:rPr>
            </w:pPr>
            <w:r>
              <w:rPr>
                <w:rFonts w:ascii="宋体" w:eastAsia="宋体" w:cs="宋体" w:hint="eastAsia"/>
                <w:b/>
                <w:bCs/>
                <w:kern w:val="0"/>
                <w:sz w:val="20"/>
                <w:szCs w:val="20"/>
              </w:rPr>
              <w:t>合  计</w:t>
            </w:r>
          </w:p>
        </w:tc>
        <w:tc>
          <w:tcPr>
            <w:tcW w:w="541" w:type="dxa"/>
            <w:tcBorders>
              <w:top w:val="nil"/>
              <w:left w:val="nil"/>
              <w:bottom w:val="single" w:sz="4" w:space="0" w:color="auto"/>
              <w:right w:val="single" w:sz="4" w:space="0" w:color="auto"/>
            </w:tcBorders>
            <w:noWrap/>
            <w:vAlign w:val="center"/>
          </w:tcPr>
          <w:p>
            <w:pPr>
              <w:widowControl/>
              <w:jc w:val="center"/>
              <w:rPr>
                <w:rFonts w:ascii="宋体" w:eastAsia="宋体" w:cs="宋体"/>
                <w:b/>
                <w:bCs/>
                <w:kern w:val="0"/>
                <w:sz w:val="20"/>
                <w:szCs w:val="20"/>
              </w:rPr>
            </w:pPr>
            <w:r>
              <w:rPr>
                <w:rFonts w:ascii="宋体" w:eastAsia="宋体" w:cs="宋体" w:hint="eastAsia"/>
                <w:b/>
                <w:bCs/>
                <w:kern w:val="0"/>
                <w:sz w:val="20"/>
                <w:szCs w:val="20"/>
              </w:rPr>
              <w:t>100</w:t>
            </w:r>
          </w:p>
        </w:tc>
        <w:tc>
          <w:tcPr>
            <w:tcW w:w="729" w:type="dxa"/>
            <w:tcBorders>
              <w:top w:val="nil"/>
              <w:left w:val="nil"/>
              <w:bottom w:val="single" w:sz="4" w:space="0" w:color="auto"/>
              <w:right w:val="single" w:sz="4" w:space="0" w:color="auto"/>
            </w:tcBorders>
            <w:noWrap/>
            <w:vAlign w:val="center"/>
          </w:tcPr>
          <w:p>
            <w:pPr>
              <w:widowControl/>
              <w:jc w:val="center"/>
              <w:rPr>
                <w:rFonts w:ascii="宋体" w:eastAsia="宋体" w:cs="宋体"/>
                <w:b/>
                <w:bCs/>
                <w:kern w:val="0"/>
                <w:sz w:val="20"/>
                <w:szCs w:val="20"/>
              </w:rPr>
            </w:pPr>
            <w:r>
              <w:rPr>
                <w:rFonts w:ascii="宋体" w:eastAsia="宋体" w:cs="宋体" w:hint="eastAsia"/>
                <w:b/>
                <w:bCs/>
                <w:kern w:val="0"/>
                <w:sz w:val="20"/>
                <w:szCs w:val="20"/>
              </w:rPr>
              <w:t>　</w:t>
            </w:r>
          </w:p>
        </w:tc>
        <w:tc>
          <w:tcPr>
            <w:tcW w:w="604" w:type="dxa"/>
            <w:tcBorders>
              <w:top w:val="nil"/>
              <w:left w:val="nil"/>
              <w:bottom w:val="single" w:sz="4" w:space="0" w:color="auto"/>
              <w:right w:val="single" w:sz="4" w:space="0" w:color="auto"/>
            </w:tcBorders>
            <w:noWrap/>
            <w:vAlign w:val="center"/>
          </w:tcPr>
          <w:p>
            <w:pPr>
              <w:widowControl/>
              <w:jc w:val="center"/>
              <w:rPr>
                <w:rFonts w:ascii="宋体" w:eastAsia="宋体" w:cs="宋体"/>
                <w:b/>
                <w:bCs/>
                <w:kern w:val="0"/>
                <w:sz w:val="20"/>
                <w:szCs w:val="20"/>
              </w:rPr>
            </w:pPr>
            <w:r>
              <w:rPr>
                <w:rFonts w:ascii="宋体" w:eastAsia="宋体" w:cs="宋体" w:hint="eastAsia"/>
                <w:b/>
                <w:bCs/>
                <w:kern w:val="0"/>
                <w:sz w:val="20"/>
                <w:szCs w:val="20"/>
              </w:rPr>
              <w:t>100</w:t>
            </w:r>
          </w:p>
        </w:tc>
        <w:tc>
          <w:tcPr>
            <w:tcW w:w="1000" w:type="dxa"/>
            <w:tcBorders>
              <w:top w:val="nil"/>
              <w:left w:val="nil"/>
              <w:bottom w:val="single" w:sz="4" w:space="0" w:color="auto"/>
              <w:right w:val="single" w:sz="4" w:space="0" w:color="auto"/>
            </w:tcBorders>
            <w:noWrap/>
            <w:vAlign w:val="center"/>
          </w:tcPr>
          <w:p>
            <w:pPr>
              <w:widowControl/>
              <w:jc w:val="center"/>
              <w:rPr>
                <w:rFonts w:ascii="宋体" w:eastAsia="宋体" w:cs="宋体"/>
                <w:b/>
                <w:bCs/>
                <w:kern w:val="0"/>
                <w:sz w:val="20"/>
                <w:szCs w:val="20"/>
              </w:rPr>
            </w:pPr>
            <w:r>
              <w:rPr>
                <w:rFonts w:ascii="宋体" w:eastAsia="宋体" w:cs="宋体" w:hint="eastAsia"/>
                <w:b/>
                <w:bCs/>
                <w:kern w:val="0"/>
                <w:sz w:val="20"/>
                <w:szCs w:val="20"/>
              </w:rPr>
              <w:t>　</w:t>
            </w:r>
          </w:p>
        </w:tc>
        <w:tc>
          <w:tcPr>
            <w:tcW w:w="667" w:type="dxa"/>
            <w:tcBorders>
              <w:top w:val="nil"/>
              <w:left w:val="nil"/>
              <w:bottom w:val="single" w:sz="4" w:space="0" w:color="auto"/>
              <w:right w:val="single" w:sz="4" w:space="0" w:color="auto"/>
            </w:tcBorders>
            <w:noWrap/>
            <w:vAlign w:val="center"/>
          </w:tcPr>
          <w:p>
            <w:pPr>
              <w:widowControl/>
              <w:jc w:val="center"/>
              <w:rPr>
                <w:rFonts w:ascii="宋体" w:eastAsia="宋体" w:cs="宋体"/>
                <w:b/>
                <w:bCs/>
                <w:kern w:val="0"/>
                <w:sz w:val="20"/>
                <w:szCs w:val="20"/>
              </w:rPr>
            </w:pPr>
            <w:r>
              <w:rPr>
                <w:rFonts w:ascii="宋体" w:eastAsia="宋体" w:cs="宋体" w:hint="eastAsia"/>
                <w:b/>
                <w:bCs/>
                <w:kern w:val="0"/>
                <w:sz w:val="20"/>
                <w:szCs w:val="20"/>
              </w:rPr>
              <w:t>100</w:t>
            </w:r>
          </w:p>
        </w:tc>
        <w:tc>
          <w:tcPr>
            <w:tcW w:w="4146" w:type="dxa"/>
            <w:tcBorders>
              <w:top w:val="nil"/>
              <w:left w:val="nil"/>
              <w:bottom w:val="single" w:sz="4" w:space="0" w:color="auto"/>
              <w:right w:val="single" w:sz="4" w:space="0" w:color="auto"/>
            </w:tcBorders>
            <w:noWrap/>
            <w:vAlign w:val="center"/>
          </w:tcPr>
          <w:p>
            <w:pPr>
              <w:widowControl/>
              <w:jc w:val="center"/>
              <w:rPr>
                <w:rFonts w:ascii="宋体" w:eastAsia="宋体" w:cs="宋体"/>
                <w:b/>
                <w:bCs/>
                <w:kern w:val="0"/>
                <w:sz w:val="20"/>
                <w:szCs w:val="20"/>
              </w:rPr>
            </w:pPr>
            <w:r>
              <w:rPr>
                <w:rFonts w:ascii="宋体" w:eastAsia="宋体" w:cs="宋体" w:hint="eastAsia"/>
                <w:b/>
                <w:bCs/>
                <w:kern w:val="0"/>
                <w:sz w:val="20"/>
                <w:szCs w:val="20"/>
              </w:rPr>
              <w:t>　</w:t>
            </w:r>
          </w:p>
        </w:tc>
        <w:tc>
          <w:tcPr>
            <w:tcW w:w="1081" w:type="dxa"/>
            <w:tcBorders>
              <w:top w:val="nil"/>
              <w:left w:val="nil"/>
              <w:bottom w:val="single" w:sz="4" w:space="0" w:color="auto"/>
              <w:right w:val="single" w:sz="4" w:space="0" w:color="auto"/>
            </w:tcBorders>
            <w:noWrap/>
            <w:vAlign w:val="center"/>
          </w:tcPr>
          <w:p>
            <w:pPr>
              <w:widowControl/>
              <w:jc w:val="center"/>
              <w:rPr>
                <w:rFonts w:ascii="Times New Roman" w:eastAsia="宋体" w:cs="Times New Roman" w:hAnsi="Times New Roman" w:hint="eastAsia"/>
                <w:b/>
                <w:bCs/>
                <w:kern w:val="0"/>
                <w:sz w:val="20"/>
                <w:szCs w:val="20"/>
                <w:lang w:val="en-US" w:eastAsia="zh-CN"/>
              </w:rPr>
            </w:pPr>
            <w:r>
              <w:rPr>
                <w:rFonts w:ascii="Times New Roman" w:eastAsia="宋体" w:cs="Times New Roman" w:hAnsi="Times New Roman"/>
                <w:b/>
                <w:bCs/>
                <w:kern w:val="0"/>
                <w:sz w:val="20"/>
                <w:szCs w:val="20"/>
              </w:rPr>
              <w:t>　</w:t>
            </w:r>
            <w:r>
              <w:rPr>
                <w:rFonts w:ascii="Times New Roman" w:eastAsia="宋体" w:cs="Times New Roman" w:hAnsi="Times New Roman"/>
                <w:b/>
                <w:bCs/>
                <w:kern w:val="0"/>
                <w:sz w:val="20"/>
                <w:szCs w:val="20"/>
                <w:lang w:val="en-US" w:eastAsia="zh-CN"/>
              </w:rPr>
              <w:t>98</w:t>
            </w:r>
          </w:p>
        </w:tc>
      </w:tr>
      <w:tr>
        <w:trPr>
          <w:trHeight w:val="390"/>
        </w:trPr>
        <w:tc>
          <w:tcPr>
            <w:tcW w:w="8308" w:type="dxa"/>
            <w:gridSpan w:val="7"/>
            <w:tcBorders>
              <w:top w:val="nil"/>
              <w:left w:val="nil"/>
              <w:bottom w:val="nil"/>
              <w:right w:val="nil"/>
            </w:tcBorders>
            <w:noWrap/>
            <w:vAlign w:val="bottom"/>
          </w:tcPr>
          <w:p>
            <w:pPr>
              <w:widowControl/>
              <w:jc w:val="left"/>
              <w:rPr>
                <w:rFonts w:ascii="宋体" w:eastAsia="宋体" w:cs="宋体"/>
                <w:b/>
                <w:bCs/>
                <w:kern w:val="0"/>
                <w:sz w:val="20"/>
                <w:szCs w:val="20"/>
              </w:rPr>
            </w:pPr>
            <w:r>
              <w:rPr>
                <w:rFonts w:ascii="宋体" w:eastAsia="宋体" w:cs="宋体" w:hint="eastAsia"/>
                <w:b/>
                <w:bCs/>
                <w:kern w:val="0"/>
                <w:sz w:val="20"/>
                <w:szCs w:val="20"/>
              </w:rPr>
              <w:t>绩效评价等级：优（100-90）；良（89-80）；中（79-70）；差（70分以下）</w:t>
            </w:r>
          </w:p>
        </w:tc>
        <w:tc>
          <w:tcPr>
            <w:tcW w:w="1081" w:type="dxa"/>
            <w:tcBorders>
              <w:top w:val="nil"/>
              <w:left w:val="nil"/>
              <w:bottom w:val="nil"/>
              <w:right w:val="nil"/>
            </w:tcBorders>
            <w:noWrap/>
            <w:vAlign w:val="center"/>
          </w:tcPr>
          <w:p>
            <w:pPr>
              <w:widowControl/>
              <w:jc w:val="center"/>
              <w:rPr>
                <w:rFonts w:ascii="Times New Roman" w:eastAsia="宋体" w:cs="Times New Roman" w:hAnsi="Times New Roman"/>
                <w:b/>
                <w:bCs/>
                <w:kern w:val="0"/>
                <w:sz w:val="20"/>
                <w:szCs w:val="20"/>
              </w:rPr>
            </w:pPr>
          </w:p>
        </w:tc>
      </w:tr>
    </w:tbl>
    <w:p>
      <w:pPr>
        <w:rPr>
          <w:rFonts w:ascii="Times New Roman" w:cs="Times New Roman" w:hAnsi="Times New Roman"/>
        </w:rPr>
      </w:pPr>
    </w:p>
    <w:sectPr>
      <w:pgSz w:w="11906" w:h="16838"/>
      <w:pgMar w:top="2098" w:right="1588" w:bottom="1588"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modern"/>
    <w:pitch w:val="variable"/>
    <w:sig w:usb0="800002BF" w:usb1="38CF7CFA" w:usb2="00000016" w:usb3="00000000" w:csb0="00040001" w:csb1="00000000"/>
  </w:font>
  <w:font w:name="Wingdings 2">
    <w:panose1 w:val="05020102010507070707"/>
    <w:charset w:val="00"/>
    <w:family w:val="auto"/>
    <w:pitch w:val="variable"/>
    <w:sig w:usb0="00000000" w:usb1="00000000" w:usb2="00000000" w:usb3="00000000" w:csb0="80000000" w:csb1="00000000"/>
  </w:font>
  <w:font w:name="黑体">
    <w:panose1 w:val="02010609060101010101"/>
    <w:charset w:val="86"/>
    <w:family w:val="auto"/>
    <w:pitch w:val="variable"/>
    <w:sig w:usb0="800002BF" w:usb1="38CF7CFA" w:usb2="00000016" w:usb3="00000000" w:csb0="00040001" w:csb1="00000000"/>
  </w:font>
  <w:font w:name="方正小标宋_GBK">
    <w:panose1 w:val="03000509000000000000"/>
    <w:charset w:val="86"/>
    <w:family w:val="auto"/>
    <w:pitch w:val="variable"/>
    <w:sig w:usb0="00000001" w:usb1="080E0000" w:usb2="00000000" w:usb3="00000000" w:csb0="00040000" w:csb1="00000000"/>
  </w:font>
  <w:font w:name="仿宋_GB2312">
    <w:altName w:val="仿宋"/>
    <w:panose1 w:val="02010609030101010101"/>
    <w:charset w:val="86"/>
    <w:family w:val="auto"/>
    <w:pitch w:val="variable"/>
    <w:sig w:usb0="00000000" w:usb1="00000000" w:usb2="00000000" w:usb3="00000000" w:csb0="00040000" w:csb1="00000000"/>
  </w:font>
  <w:font w:name="Arial">
    <w:panose1 w:val="020B0604020202020204"/>
    <w:charset w:val="01"/>
    <w:family w:val="swiss"/>
    <w:pitch w:val="variable"/>
    <w:sig w:usb0="E0002AFF" w:usb1="C0007843" w:usb2="00000009" w:usb3="00000000" w:csb0="400001FF" w:csb1="FFFF0000"/>
  </w:font>
  <w:font w:name="Calibri">
    <w:panose1 w:val="020F0502020204030204"/>
    <w:charset w:val="00"/>
    <w:family w:val="swiss"/>
    <w:pitch w:val="variable"/>
    <w:sig w:usb0="E00002FF" w:usb1="4000ACFF" w:usb2="00000001" w:usb3="00000000" w:csb0="2000019F"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2A4F756F"/>
    <w:multiLevelType w:val="hybridMultilevel"/>
    <w:tmpl w:val="00000000"/>
    <w:lvl w:ilvl="0">
      <w:start w:val="1"/>
      <w:numFmt w:val="chineseCountingThousand"/>
      <w:lvlRestart w:val="0"/>
      <w:lvlText w:val="(%1)"/>
      <w:lvlJc w:val="left"/>
      <w:pPr>
        <w:ind w:left="1173" w:hanging="533"/>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F31A833"/>
    <w:multiLevelType w:val="hybridMultilevel"/>
    <w:tmpl w:val="00000000"/>
    <w:lvl w:ilvl="0">
      <w:start w:val="1"/>
      <w:numFmt w:val="decimal"/>
      <w:lvlRestart w:val="0"/>
      <w:lvlText w:val="%1．"/>
      <w:lvlJc w:val="left"/>
      <w:pPr>
        <w:ind w:left="1120" w:hanging="48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Balloon Text"/>
    <w:basedOn w:val="0"/>
    <w:rPr>
      <w:sz w:val="18"/>
      <w:szCs w:val="18"/>
    </w:rPr>
  </w:style>
  <w:style w:type="paragraph" w:customStyle="1" w:styleId="16">
    <w:name w:val="Standard"/>
    <w:pPr>
      <w:autoSpaceDE w:val="0"/>
      <w:autoSpaceDN w:val="0"/>
      <w:adjustRightInd w:val="0"/>
    </w:pPr>
    <w:rPr>
      <w:rFonts w:ascii="Times New Roman" w:eastAsia="Times New Roman" w:cs="Times New Roman" w:hAnsi="Times New Roman"/>
      <w:sz w:val="20"/>
      <w:szCs w:val="20"/>
      <w:lang w:val="en-US" w:eastAsia="zh-CN" w:bidi="ar-SA"/>
    </w:rPr>
  </w:style>
  <w:style w:type="paragraph" w:customStyle="1" w:styleId="17">
    <w:name w:val="[Normal]"/>
    <w:pPr>
      <w:widowControl w:val="0"/>
      <w:autoSpaceDE w:val="0"/>
      <w:autoSpaceDN w:val="0"/>
      <w:adjustRightInd w:val="0"/>
    </w:pPr>
    <w:rPr>
      <w:rFonts w:ascii="宋体" w:eastAsia="宋体" w:cs="Times New Roman" w:hAnsi="Times New Roman"/>
      <w:sz w:val="24"/>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5381403D-8D5A-478D-ADE8-7A01386D1A3F}">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465</TotalTime>
  <Application>Yozo_Office27021597764231179</Application>
  <Pages>9</Pages>
  <Words>0</Words>
  <Characters>3445</Characters>
  <Lines>0</Lines>
  <Paragraphs>84</Paragraphs>
  <CharactersWithSpaces>4594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panbo</dc:creator>
  <cp:lastModifiedBy>LENOVO</cp:lastModifiedBy>
  <cp:revision>5</cp:revision>
  <cp:lastPrinted>2021-11-15T01:27:19Z</cp:lastPrinted>
  <dcterms:created xsi:type="dcterms:W3CDTF">2020-08-27T08:17:00Z</dcterms:created>
  <dcterms:modified xsi:type="dcterms:W3CDTF">2023-03-31T00:54:50Z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2052-10.8.2.7027</vt:lpwstr>
  </property>
</Properties>
</file>