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一、唐山市丰南区商务和投资促进局本级收支预算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一、唐山市丰南区商务和投资促进局本级收支预算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1400.81</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938.18</w:t>
            </w: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274.73</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55.01</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r>
              <w:t>1208.97</w:t>
            </w: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52.89</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1400.81</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2529.78</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r>
              <w:t>1128.97</w:t>
            </w: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2529.78</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2529.78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2529.78</w:t>
            </w:r>
          </w:p>
        </w:tc>
        <w:tc>
          <w:tcPr>
            <w:tcW w:w="1134" w:type="dxa"/>
            <w:tcBorders>
              <w:left w:val="single" w:sz="6" w:space="0" w:color="auto"/>
              <w:right w:val="single" w:sz="6" w:space="0" w:color="auto"/>
            </w:tcBorders>
            <w:vAlign w:val="center"/>
          </w:tcPr>
          <w:p>
            <w:pPr>
              <w:pStyle w:val="23"/>
            </w:pPr>
            <w:r>
              <w:t>1400.81</w:t>
            </w:r>
          </w:p>
        </w:tc>
        <w:tc>
          <w:tcPr>
            <w:tcW w:w="1134" w:type="dxa"/>
            <w:tcBorders>
              <w:left w:val="single" w:sz="6" w:space="0" w:color="auto"/>
              <w:right w:val="single" w:sz="6" w:space="0" w:color="auto"/>
            </w:tcBorders>
            <w:vAlign w:val="center"/>
          </w:tcPr>
          <w:p>
            <w:pPr>
              <w:pStyle w:val="23"/>
            </w:pPr>
            <w:r>
              <w:t>1400.81</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r>
              <w:t>1128.97</w:t>
            </w: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1559" w:type="dxa"/>
            <w:tcBorders>
              <w:left w:val="single" w:sz="6" w:space="0" w:color="auto"/>
              <w:right w:val="single" w:sz="6" w:space="0" w:color="auto"/>
            </w:tcBorders>
            <w:vAlign w:val="center"/>
          </w:tcPr>
          <w:p>
            <w:pPr>
              <w:pStyle w:val="20"/>
            </w:pPr>
            <w:r>
              <w:t>一般公共服务支出</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20113</w:t>
            </w:r>
          </w:p>
        </w:tc>
        <w:tc>
          <w:tcPr>
            <w:tcW w:w="1559" w:type="dxa"/>
            <w:tcBorders>
              <w:left w:val="single" w:sz="6" w:space="0" w:color="auto"/>
              <w:right w:val="single" w:sz="6" w:space="0" w:color="auto"/>
            </w:tcBorders>
            <w:vAlign w:val="center"/>
          </w:tcPr>
          <w:p>
            <w:pPr>
              <w:pStyle w:val="20"/>
            </w:pPr>
            <w:r>
              <w:t>商贸事务</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2011301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486.18</w:t>
            </w:r>
          </w:p>
        </w:tc>
        <w:tc>
          <w:tcPr>
            <w:tcW w:w="1134" w:type="dxa"/>
            <w:tcBorders>
              <w:left w:val="single" w:sz="6" w:space="0" w:color="auto"/>
              <w:right w:val="single" w:sz="6" w:space="0" w:color="auto"/>
            </w:tcBorders>
            <w:vAlign w:val="center"/>
          </w:tcPr>
          <w:p>
            <w:pPr>
              <w:pStyle w:val="19"/>
            </w:pPr>
            <w:r>
              <w:t>486.18</w:t>
            </w:r>
          </w:p>
        </w:tc>
        <w:tc>
          <w:tcPr>
            <w:tcW w:w="1134" w:type="dxa"/>
            <w:tcBorders>
              <w:left w:val="single" w:sz="6" w:space="0" w:color="auto"/>
              <w:right w:val="single" w:sz="6" w:space="0" w:color="auto"/>
            </w:tcBorders>
            <w:vAlign w:val="center"/>
          </w:tcPr>
          <w:p>
            <w:pPr>
              <w:pStyle w:val="19"/>
            </w:pPr>
            <w:r>
              <w:t>486.18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2011308</w:t>
            </w:r>
          </w:p>
        </w:tc>
        <w:tc>
          <w:tcPr>
            <w:tcW w:w="1559" w:type="dxa"/>
            <w:tcBorders>
              <w:left w:val="single" w:sz="6" w:space="0" w:color="auto"/>
              <w:right w:val="single" w:sz="6" w:space="0" w:color="auto"/>
            </w:tcBorders>
            <w:vAlign w:val="center"/>
          </w:tcPr>
          <w:p>
            <w:pPr>
              <w:pStyle w:val="20"/>
            </w:pPr>
            <w:r>
              <w:t>招商引资</w:t>
            </w:r>
          </w:p>
        </w:tc>
        <w:tc>
          <w:tcPr>
            <w:tcW w:w="1134" w:type="dxa"/>
            <w:tcBorders>
              <w:left w:val="single" w:sz="6" w:space="0" w:color="auto"/>
              <w:right w:val="single" w:sz="6" w:space="0" w:color="auto"/>
            </w:tcBorders>
            <w:vAlign w:val="center"/>
          </w:tcPr>
          <w:p>
            <w:pPr>
              <w:pStyle w:val="19"/>
            </w:pPr>
            <w:r>
              <w:t>203.00</w:t>
            </w:r>
          </w:p>
        </w:tc>
        <w:tc>
          <w:tcPr>
            <w:tcW w:w="1134" w:type="dxa"/>
            <w:tcBorders>
              <w:left w:val="single" w:sz="6" w:space="0" w:color="auto"/>
              <w:right w:val="single" w:sz="6" w:space="0" w:color="auto"/>
            </w:tcBorders>
            <w:vAlign w:val="center"/>
          </w:tcPr>
          <w:p>
            <w:pPr>
              <w:pStyle w:val="19"/>
            </w:pPr>
            <w:r>
              <w:t>203.00</w:t>
            </w:r>
          </w:p>
        </w:tc>
        <w:tc>
          <w:tcPr>
            <w:tcW w:w="1134" w:type="dxa"/>
            <w:tcBorders>
              <w:left w:val="single" w:sz="6" w:space="0" w:color="auto"/>
              <w:right w:val="single" w:sz="6" w:space="0" w:color="auto"/>
            </w:tcBorders>
            <w:vAlign w:val="center"/>
          </w:tcPr>
          <w:p>
            <w:pPr>
              <w:pStyle w:val="19"/>
            </w:pPr>
            <w:r>
              <w:t>203.00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2011399</w:t>
            </w:r>
          </w:p>
        </w:tc>
        <w:tc>
          <w:tcPr>
            <w:tcW w:w="1559" w:type="dxa"/>
            <w:tcBorders>
              <w:left w:val="single" w:sz="6" w:space="0" w:color="auto"/>
              <w:right w:val="single" w:sz="6" w:space="0" w:color="auto"/>
            </w:tcBorders>
            <w:vAlign w:val="center"/>
          </w:tcPr>
          <w:p>
            <w:pPr>
              <w:pStyle w:val="20"/>
            </w:pPr>
            <w:r>
              <w:t>其他商贸事务支出</w:t>
            </w:r>
          </w:p>
        </w:tc>
        <w:tc>
          <w:tcPr>
            <w:tcW w:w="1134" w:type="dxa"/>
            <w:tcBorders>
              <w:left w:val="single" w:sz="6" w:space="0" w:color="auto"/>
              <w:right w:val="single" w:sz="6" w:space="0" w:color="auto"/>
            </w:tcBorders>
            <w:vAlign w:val="center"/>
          </w:tcPr>
          <w:p>
            <w:pPr>
              <w:pStyle w:val="19"/>
            </w:pPr>
            <w:r>
              <w:t>249.00</w:t>
            </w:r>
          </w:p>
        </w:tc>
        <w:tc>
          <w:tcPr>
            <w:tcW w:w="1134" w:type="dxa"/>
            <w:tcBorders>
              <w:left w:val="single" w:sz="6" w:space="0" w:color="auto"/>
              <w:right w:val="single" w:sz="6" w:space="0" w:color="auto"/>
            </w:tcBorders>
            <w:vAlign w:val="center"/>
          </w:tcPr>
          <w:p>
            <w:pPr>
              <w:pStyle w:val="19"/>
            </w:pPr>
            <w:r>
              <w:t>249.00</w:t>
            </w:r>
          </w:p>
        </w:tc>
        <w:tc>
          <w:tcPr>
            <w:tcW w:w="1134" w:type="dxa"/>
            <w:tcBorders>
              <w:left w:val="single" w:sz="6" w:space="0" w:color="auto"/>
              <w:right w:val="single" w:sz="6" w:space="0" w:color="auto"/>
            </w:tcBorders>
            <w:vAlign w:val="center"/>
          </w:tcPr>
          <w:p>
            <w:pPr>
              <w:pStyle w:val="19"/>
            </w:pPr>
            <w:r>
              <w:t>249.00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274.73</w:t>
            </w:r>
          </w:p>
        </w:tc>
        <w:tc>
          <w:tcPr>
            <w:tcW w:w="1134" w:type="dxa"/>
            <w:tcBorders>
              <w:left w:val="single" w:sz="6" w:space="0" w:color="auto"/>
              <w:right w:val="single" w:sz="6" w:space="0" w:color="auto"/>
            </w:tcBorders>
            <w:vAlign w:val="center"/>
          </w:tcPr>
          <w:p>
            <w:pPr>
              <w:pStyle w:val="19"/>
            </w:pPr>
            <w:r>
              <w:t>274.73</w:t>
            </w:r>
          </w:p>
        </w:tc>
        <w:tc>
          <w:tcPr>
            <w:tcW w:w="1134" w:type="dxa"/>
            <w:tcBorders>
              <w:left w:val="single" w:sz="6" w:space="0" w:color="auto"/>
              <w:right w:val="single" w:sz="6" w:space="0" w:color="auto"/>
            </w:tcBorders>
            <w:vAlign w:val="center"/>
          </w:tcPr>
          <w:p>
            <w:pPr>
              <w:pStyle w:val="19"/>
            </w:pPr>
            <w:r>
              <w:t>274.73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219.73</w:t>
            </w:r>
          </w:p>
        </w:tc>
        <w:tc>
          <w:tcPr>
            <w:tcW w:w="1134" w:type="dxa"/>
            <w:tcBorders>
              <w:left w:val="single" w:sz="6" w:space="0" w:color="auto"/>
              <w:right w:val="single" w:sz="6" w:space="0" w:color="auto"/>
            </w:tcBorders>
            <w:vAlign w:val="center"/>
          </w:tcPr>
          <w:p>
            <w:pPr>
              <w:pStyle w:val="19"/>
            </w:pPr>
            <w:r>
              <w:t>219.73</w:t>
            </w:r>
          </w:p>
        </w:tc>
        <w:tc>
          <w:tcPr>
            <w:tcW w:w="1134" w:type="dxa"/>
            <w:tcBorders>
              <w:left w:val="single" w:sz="6" w:space="0" w:color="auto"/>
              <w:right w:val="single" w:sz="6" w:space="0" w:color="auto"/>
            </w:tcBorders>
            <w:vAlign w:val="center"/>
          </w:tcPr>
          <w:p>
            <w:pPr>
              <w:pStyle w:val="19"/>
            </w:pPr>
            <w:r>
              <w:t>219.73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155.37</w:t>
            </w:r>
          </w:p>
        </w:tc>
        <w:tc>
          <w:tcPr>
            <w:tcW w:w="1134" w:type="dxa"/>
            <w:tcBorders>
              <w:left w:val="single" w:sz="6" w:space="0" w:color="auto"/>
              <w:right w:val="single" w:sz="6" w:space="0" w:color="auto"/>
            </w:tcBorders>
            <w:vAlign w:val="center"/>
          </w:tcPr>
          <w:p>
            <w:pPr>
              <w:pStyle w:val="19"/>
            </w:pPr>
            <w:r>
              <w:t>155.37</w:t>
            </w:r>
          </w:p>
        </w:tc>
        <w:tc>
          <w:tcPr>
            <w:tcW w:w="1134" w:type="dxa"/>
            <w:tcBorders>
              <w:left w:val="single" w:sz="6" w:space="0" w:color="auto"/>
              <w:right w:val="single" w:sz="6" w:space="0" w:color="auto"/>
            </w:tcBorders>
            <w:vAlign w:val="center"/>
          </w:tcPr>
          <w:p>
            <w:pPr>
              <w:pStyle w:val="19"/>
            </w:pPr>
            <w:r>
              <w:t>155.37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64.36</w:t>
            </w:r>
          </w:p>
        </w:tc>
        <w:tc>
          <w:tcPr>
            <w:tcW w:w="1134" w:type="dxa"/>
            <w:tcBorders>
              <w:left w:val="single" w:sz="6" w:space="0" w:color="auto"/>
              <w:right w:val="single" w:sz="6" w:space="0" w:color="auto"/>
            </w:tcBorders>
            <w:vAlign w:val="center"/>
          </w:tcPr>
          <w:p>
            <w:pPr>
              <w:pStyle w:val="19"/>
            </w:pPr>
            <w:r>
              <w:t>64.36</w:t>
            </w:r>
          </w:p>
        </w:tc>
        <w:tc>
          <w:tcPr>
            <w:tcW w:w="1134" w:type="dxa"/>
            <w:tcBorders>
              <w:left w:val="single" w:sz="6" w:space="0" w:color="auto"/>
              <w:right w:val="single" w:sz="6" w:space="0" w:color="auto"/>
            </w:tcBorders>
            <w:vAlign w:val="center"/>
          </w:tcPr>
          <w:p>
            <w:pPr>
              <w:pStyle w:val="19"/>
            </w:pPr>
            <w:r>
              <w:t>64.36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20809</w:t>
            </w:r>
          </w:p>
        </w:tc>
        <w:tc>
          <w:tcPr>
            <w:tcW w:w="1559" w:type="dxa"/>
            <w:tcBorders>
              <w:left w:val="single" w:sz="6" w:space="0" w:color="auto"/>
              <w:right w:val="single" w:sz="6" w:space="0" w:color="auto"/>
            </w:tcBorders>
            <w:vAlign w:val="center"/>
          </w:tcPr>
          <w:p>
            <w:pPr>
              <w:pStyle w:val="20"/>
            </w:pPr>
            <w:r>
              <w:t>退役安置</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2080999</w:t>
            </w:r>
          </w:p>
        </w:tc>
        <w:tc>
          <w:tcPr>
            <w:tcW w:w="1559" w:type="dxa"/>
            <w:tcBorders>
              <w:left w:val="single" w:sz="6" w:space="0" w:color="auto"/>
              <w:right w:val="single" w:sz="6" w:space="0" w:color="auto"/>
            </w:tcBorders>
            <w:vAlign w:val="center"/>
          </w:tcPr>
          <w:p>
            <w:pPr>
              <w:pStyle w:val="20"/>
            </w:pPr>
            <w:r>
              <w:t>其他退役安置支出</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26.52</w:t>
            </w:r>
          </w:p>
        </w:tc>
        <w:tc>
          <w:tcPr>
            <w:tcW w:w="1134" w:type="dxa"/>
            <w:tcBorders>
              <w:left w:val="single" w:sz="6" w:space="0" w:color="auto"/>
              <w:right w:val="single" w:sz="6" w:space="0" w:color="auto"/>
            </w:tcBorders>
            <w:vAlign w:val="center"/>
          </w:tcPr>
          <w:p>
            <w:pPr>
              <w:pStyle w:val="19"/>
            </w:pPr>
            <w:r>
              <w:t>26.52</w:t>
            </w:r>
          </w:p>
        </w:tc>
        <w:tc>
          <w:tcPr>
            <w:tcW w:w="1134" w:type="dxa"/>
            <w:tcBorders>
              <w:left w:val="single" w:sz="6" w:space="0" w:color="auto"/>
              <w:right w:val="single" w:sz="6" w:space="0" w:color="auto"/>
            </w:tcBorders>
            <w:vAlign w:val="center"/>
          </w:tcPr>
          <w:p>
            <w:pPr>
              <w:pStyle w:val="19"/>
            </w:pPr>
            <w:r>
              <w:t>26.52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28.49</w:t>
            </w:r>
          </w:p>
        </w:tc>
        <w:tc>
          <w:tcPr>
            <w:tcW w:w="1134" w:type="dxa"/>
            <w:tcBorders>
              <w:left w:val="single" w:sz="6" w:space="0" w:color="auto"/>
              <w:right w:val="single" w:sz="6" w:space="0" w:color="auto"/>
            </w:tcBorders>
            <w:vAlign w:val="center"/>
          </w:tcPr>
          <w:p>
            <w:pPr>
              <w:pStyle w:val="19"/>
            </w:pPr>
            <w:r>
              <w:t>28.49</w:t>
            </w:r>
          </w:p>
        </w:tc>
        <w:tc>
          <w:tcPr>
            <w:tcW w:w="1134" w:type="dxa"/>
            <w:tcBorders>
              <w:left w:val="single" w:sz="6" w:space="0" w:color="auto"/>
              <w:right w:val="single" w:sz="6" w:space="0" w:color="auto"/>
            </w:tcBorders>
            <w:vAlign w:val="center"/>
          </w:tcPr>
          <w:p>
            <w:pPr>
              <w:pStyle w:val="19"/>
            </w:pPr>
            <w:r>
              <w:t>28.49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216</w:t>
            </w:r>
          </w:p>
        </w:tc>
        <w:tc>
          <w:tcPr>
            <w:tcW w:w="1559" w:type="dxa"/>
            <w:tcBorders>
              <w:left w:val="single" w:sz="6" w:space="0" w:color="auto"/>
              <w:right w:val="single" w:sz="6" w:space="0" w:color="auto"/>
            </w:tcBorders>
            <w:vAlign w:val="center"/>
          </w:tcPr>
          <w:p>
            <w:pPr>
              <w:pStyle w:val="20"/>
            </w:pPr>
            <w:r>
              <w:t>商业服务业等支出</w:t>
            </w:r>
          </w:p>
        </w:tc>
        <w:tc>
          <w:tcPr>
            <w:tcW w:w="1134" w:type="dxa"/>
            <w:tcBorders>
              <w:left w:val="single" w:sz="6" w:space="0" w:color="auto"/>
              <w:right w:val="single" w:sz="6" w:space="0" w:color="auto"/>
            </w:tcBorders>
            <w:vAlign w:val="center"/>
          </w:tcPr>
          <w:p>
            <w:pPr>
              <w:pStyle w:val="19"/>
            </w:pPr>
            <w:r>
              <w:t>1208.97</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1128.97</w:t>
            </w: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21602</w:t>
            </w:r>
          </w:p>
        </w:tc>
        <w:tc>
          <w:tcPr>
            <w:tcW w:w="1559" w:type="dxa"/>
            <w:tcBorders>
              <w:left w:val="single" w:sz="6" w:space="0" w:color="auto"/>
              <w:right w:val="single" w:sz="6" w:space="0" w:color="auto"/>
            </w:tcBorders>
            <w:vAlign w:val="center"/>
          </w:tcPr>
          <w:p>
            <w:pPr>
              <w:pStyle w:val="20"/>
            </w:pPr>
            <w:r>
              <w:t>商业流通事务</w:t>
            </w:r>
          </w:p>
        </w:tc>
        <w:tc>
          <w:tcPr>
            <w:tcW w:w="1134" w:type="dxa"/>
            <w:tcBorders>
              <w:left w:val="single" w:sz="6" w:space="0" w:color="auto"/>
              <w:right w:val="single" w:sz="6" w:space="0" w:color="auto"/>
            </w:tcBorders>
            <w:vAlign w:val="center"/>
          </w:tcPr>
          <w:p>
            <w:pPr>
              <w:pStyle w:val="19"/>
            </w:pPr>
            <w:r>
              <w:t>112.20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112.20</w:t>
            </w: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2160217</w:t>
            </w:r>
          </w:p>
        </w:tc>
        <w:tc>
          <w:tcPr>
            <w:tcW w:w="1559" w:type="dxa"/>
            <w:tcBorders>
              <w:left w:val="single" w:sz="6" w:space="0" w:color="auto"/>
              <w:right w:val="single" w:sz="6" w:space="0" w:color="auto"/>
            </w:tcBorders>
            <w:vAlign w:val="center"/>
          </w:tcPr>
          <w:p>
            <w:pPr>
              <w:pStyle w:val="20"/>
            </w:pPr>
            <w:r>
              <w:t>市场监测及信息管理</w:t>
            </w:r>
          </w:p>
        </w:tc>
        <w:tc>
          <w:tcPr>
            <w:tcW w:w="1134" w:type="dxa"/>
            <w:tcBorders>
              <w:left w:val="single" w:sz="6" w:space="0" w:color="auto"/>
              <w:right w:val="single" w:sz="6" w:space="0" w:color="auto"/>
            </w:tcBorders>
            <w:vAlign w:val="center"/>
          </w:tcPr>
          <w:p>
            <w:pPr>
              <w:pStyle w:val="19"/>
            </w:pPr>
            <w:r>
              <w:t>0.20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0.20</w:t>
            </w: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2160299</w:t>
            </w:r>
          </w:p>
        </w:tc>
        <w:tc>
          <w:tcPr>
            <w:tcW w:w="1559" w:type="dxa"/>
            <w:tcBorders>
              <w:left w:val="single" w:sz="6" w:space="0" w:color="auto"/>
              <w:right w:val="single" w:sz="6" w:space="0" w:color="auto"/>
            </w:tcBorders>
            <w:vAlign w:val="center"/>
          </w:tcPr>
          <w:p>
            <w:pPr>
              <w:pStyle w:val="20"/>
            </w:pPr>
            <w:r>
              <w:t>其他商业流通事务支出</w:t>
            </w:r>
          </w:p>
        </w:tc>
        <w:tc>
          <w:tcPr>
            <w:tcW w:w="1134" w:type="dxa"/>
            <w:tcBorders>
              <w:left w:val="single" w:sz="6" w:space="0" w:color="auto"/>
              <w:right w:val="single" w:sz="6" w:space="0" w:color="auto"/>
            </w:tcBorders>
            <w:vAlign w:val="center"/>
          </w:tcPr>
          <w:p>
            <w:pPr>
              <w:pStyle w:val="19"/>
            </w:pPr>
            <w:r>
              <w:t>112.00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112.00</w:t>
            </w: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21606</w:t>
            </w:r>
          </w:p>
        </w:tc>
        <w:tc>
          <w:tcPr>
            <w:tcW w:w="1559" w:type="dxa"/>
            <w:tcBorders>
              <w:left w:val="single" w:sz="6" w:space="0" w:color="auto"/>
              <w:right w:val="single" w:sz="6" w:space="0" w:color="auto"/>
            </w:tcBorders>
            <w:vAlign w:val="center"/>
          </w:tcPr>
          <w:p>
            <w:pPr>
              <w:pStyle w:val="20"/>
            </w:pPr>
            <w:r>
              <w:t>涉外发展服务支出</w:t>
            </w:r>
          </w:p>
        </w:tc>
        <w:tc>
          <w:tcPr>
            <w:tcW w:w="1134" w:type="dxa"/>
            <w:tcBorders>
              <w:left w:val="single" w:sz="6" w:space="0" w:color="auto"/>
              <w:right w:val="single" w:sz="6" w:space="0" w:color="auto"/>
            </w:tcBorders>
            <w:vAlign w:val="center"/>
          </w:tcPr>
          <w:p>
            <w:pPr>
              <w:pStyle w:val="19"/>
            </w:pPr>
            <w:r>
              <w:t>1096.77</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1016.77</w:t>
            </w:r>
          </w:p>
        </w:tc>
      </w:tr>
      <w:tr>
        <w:trPr>
          <w:trHeight w:val="369"/>
        </w:trPr>
        <w:tc>
          <w:tcPr>
            <w:tcW w:w="680" w:type="dxa"/>
            <w:vAlign w:val="center"/>
          </w:tcPr>
          <w:p>
            <w:pPr>
              <w:pStyle w:val="21"/>
            </w:pPr>
            <w:r>
              <w:t>22</w:t>
            </w:r>
          </w:p>
        </w:tc>
        <w:tc>
          <w:tcPr>
            <w:tcW w:w="992" w:type="dxa"/>
            <w:tcBorders>
              <w:left w:val="single" w:sz="6" w:space="0" w:color="auto"/>
              <w:right w:val="single" w:sz="6" w:space="0" w:color="auto"/>
            </w:tcBorders>
            <w:vAlign w:val="center"/>
          </w:tcPr>
          <w:p>
            <w:pPr>
              <w:pStyle w:val="20"/>
            </w:pPr>
            <w:r>
              <w:t>2160699</w:t>
            </w:r>
          </w:p>
        </w:tc>
        <w:tc>
          <w:tcPr>
            <w:tcW w:w="1559" w:type="dxa"/>
            <w:tcBorders>
              <w:left w:val="single" w:sz="6" w:space="0" w:color="auto"/>
              <w:right w:val="single" w:sz="6" w:space="0" w:color="auto"/>
            </w:tcBorders>
            <w:vAlign w:val="center"/>
          </w:tcPr>
          <w:p>
            <w:pPr>
              <w:pStyle w:val="20"/>
            </w:pPr>
            <w:r>
              <w:t>其他涉外发展服务支出</w:t>
            </w:r>
          </w:p>
        </w:tc>
        <w:tc>
          <w:tcPr>
            <w:tcW w:w="1134" w:type="dxa"/>
            <w:tcBorders>
              <w:left w:val="single" w:sz="6" w:space="0" w:color="auto"/>
              <w:right w:val="single" w:sz="6" w:space="0" w:color="auto"/>
            </w:tcBorders>
            <w:vAlign w:val="center"/>
          </w:tcPr>
          <w:p>
            <w:pPr>
              <w:pStyle w:val="19"/>
            </w:pPr>
            <w:r>
              <w:t>1096.77</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1016.77</w:t>
            </w:r>
          </w:p>
        </w:tc>
      </w:tr>
      <w:tr>
        <w:trPr>
          <w:trHeight w:val="369"/>
        </w:trPr>
        <w:tc>
          <w:tcPr>
            <w:tcW w:w="680" w:type="dxa"/>
            <w:vAlign w:val="center"/>
          </w:tcPr>
          <w:p>
            <w:pPr>
              <w:pStyle w:val="21"/>
            </w:pPr>
            <w:r>
              <w:t>23</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2529.78</w:t>
            </w:r>
          </w:p>
        </w:tc>
        <w:tc>
          <w:tcPr>
            <w:tcW w:w="1361" w:type="dxa"/>
            <w:tcBorders>
              <w:left w:val="single" w:sz="6" w:space="0" w:color="auto"/>
              <w:right w:val="single" w:sz="6" w:space="0" w:color="auto"/>
            </w:tcBorders>
            <w:vAlign w:val="center"/>
          </w:tcPr>
          <w:p>
            <w:pPr>
              <w:pStyle w:val="23"/>
            </w:pPr>
            <w:r>
              <w:t>813.81</w:t>
            </w:r>
          </w:p>
        </w:tc>
        <w:tc>
          <w:tcPr>
            <w:tcW w:w="1361" w:type="dxa"/>
            <w:tcBorders>
              <w:left w:val="single" w:sz="6" w:space="0" w:color="auto"/>
              <w:right w:val="single" w:sz="6" w:space="0" w:color="auto"/>
            </w:tcBorders>
            <w:vAlign w:val="center"/>
          </w:tcPr>
          <w:p>
            <w:pPr>
              <w:pStyle w:val="23"/>
            </w:pPr>
            <w:r>
              <w:t>1715.97</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1361" w:type="dxa"/>
            <w:tcBorders>
              <w:left w:val="single" w:sz="6" w:space="0" w:color="auto"/>
              <w:right w:val="single" w:sz="6" w:space="0" w:color="auto"/>
            </w:tcBorders>
            <w:vAlign w:val="center"/>
          </w:tcPr>
          <w:p>
            <w:pPr>
              <w:pStyle w:val="19"/>
            </w:pPr>
            <w:r>
              <w:t>938.18</w:t>
            </w:r>
          </w:p>
        </w:tc>
        <w:tc>
          <w:tcPr>
            <w:tcW w:w="1361" w:type="dxa"/>
            <w:tcBorders>
              <w:left w:val="single" w:sz="6" w:space="0" w:color="auto"/>
              <w:right w:val="single" w:sz="6" w:space="0" w:color="auto"/>
            </w:tcBorders>
            <w:vAlign w:val="center"/>
          </w:tcPr>
          <w:p>
            <w:pPr>
              <w:pStyle w:val="19"/>
            </w:pPr>
            <w:r>
              <w:t>486.18</w:t>
            </w:r>
          </w:p>
        </w:tc>
        <w:tc>
          <w:tcPr>
            <w:tcW w:w="1361" w:type="dxa"/>
            <w:tcBorders>
              <w:left w:val="single" w:sz="6" w:space="0" w:color="auto"/>
              <w:right w:val="single" w:sz="6" w:space="0" w:color="auto"/>
            </w:tcBorders>
            <w:vAlign w:val="center"/>
          </w:tcPr>
          <w:p>
            <w:pPr>
              <w:pStyle w:val="19"/>
            </w:pPr>
            <w:r>
              <w:t>452.00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20113</w:t>
            </w:r>
          </w:p>
        </w:tc>
        <w:tc>
          <w:tcPr>
            <w:tcW w:w="4535" w:type="dxa"/>
            <w:tcBorders>
              <w:left w:val="single" w:sz="6" w:space="0" w:color="auto"/>
              <w:right w:val="single" w:sz="6" w:space="0" w:color="auto"/>
            </w:tcBorders>
            <w:vAlign w:val="center"/>
          </w:tcPr>
          <w:p>
            <w:pPr>
              <w:pStyle w:val="20"/>
            </w:pPr>
            <w:r>
              <w:t>商贸事务</w:t>
            </w:r>
          </w:p>
        </w:tc>
        <w:tc>
          <w:tcPr>
            <w:tcW w:w="1361" w:type="dxa"/>
            <w:tcBorders>
              <w:left w:val="single" w:sz="6" w:space="0" w:color="auto"/>
              <w:right w:val="single" w:sz="6" w:space="0" w:color="auto"/>
            </w:tcBorders>
            <w:vAlign w:val="center"/>
          </w:tcPr>
          <w:p>
            <w:pPr>
              <w:pStyle w:val="19"/>
            </w:pPr>
            <w:r>
              <w:t>938.18</w:t>
            </w:r>
          </w:p>
        </w:tc>
        <w:tc>
          <w:tcPr>
            <w:tcW w:w="1361" w:type="dxa"/>
            <w:tcBorders>
              <w:left w:val="single" w:sz="6" w:space="0" w:color="auto"/>
              <w:right w:val="single" w:sz="6" w:space="0" w:color="auto"/>
            </w:tcBorders>
            <w:vAlign w:val="center"/>
          </w:tcPr>
          <w:p>
            <w:pPr>
              <w:pStyle w:val="19"/>
            </w:pPr>
            <w:r>
              <w:t>486.18</w:t>
            </w:r>
          </w:p>
        </w:tc>
        <w:tc>
          <w:tcPr>
            <w:tcW w:w="1361" w:type="dxa"/>
            <w:tcBorders>
              <w:left w:val="single" w:sz="6" w:space="0" w:color="auto"/>
              <w:right w:val="single" w:sz="6" w:space="0" w:color="auto"/>
            </w:tcBorders>
            <w:vAlign w:val="center"/>
          </w:tcPr>
          <w:p>
            <w:pPr>
              <w:pStyle w:val="19"/>
            </w:pPr>
            <w:r>
              <w:t>452.00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2011301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486.18</w:t>
            </w:r>
          </w:p>
        </w:tc>
        <w:tc>
          <w:tcPr>
            <w:tcW w:w="1361" w:type="dxa"/>
            <w:tcBorders>
              <w:left w:val="single" w:sz="6" w:space="0" w:color="auto"/>
              <w:right w:val="single" w:sz="6" w:space="0" w:color="auto"/>
            </w:tcBorders>
            <w:vAlign w:val="center"/>
          </w:tcPr>
          <w:p>
            <w:pPr>
              <w:pStyle w:val="19"/>
            </w:pPr>
            <w:r>
              <w:t>486.18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2011308</w:t>
            </w:r>
          </w:p>
        </w:tc>
        <w:tc>
          <w:tcPr>
            <w:tcW w:w="4535" w:type="dxa"/>
            <w:tcBorders>
              <w:left w:val="single" w:sz="6" w:space="0" w:color="auto"/>
              <w:right w:val="single" w:sz="6" w:space="0" w:color="auto"/>
            </w:tcBorders>
            <w:vAlign w:val="center"/>
          </w:tcPr>
          <w:p>
            <w:pPr>
              <w:pStyle w:val="20"/>
            </w:pPr>
            <w:r>
              <w:t>招商引资</w:t>
            </w:r>
          </w:p>
        </w:tc>
        <w:tc>
          <w:tcPr>
            <w:tcW w:w="1361" w:type="dxa"/>
            <w:tcBorders>
              <w:left w:val="single" w:sz="6" w:space="0" w:color="auto"/>
              <w:right w:val="single" w:sz="6" w:space="0" w:color="auto"/>
            </w:tcBorders>
            <w:vAlign w:val="center"/>
          </w:tcPr>
          <w:p>
            <w:pPr>
              <w:pStyle w:val="19"/>
            </w:pPr>
            <w:r>
              <w:t>203.00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203.00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2011399</w:t>
            </w:r>
          </w:p>
        </w:tc>
        <w:tc>
          <w:tcPr>
            <w:tcW w:w="4535" w:type="dxa"/>
            <w:tcBorders>
              <w:left w:val="single" w:sz="6" w:space="0" w:color="auto"/>
              <w:right w:val="single" w:sz="6" w:space="0" w:color="auto"/>
            </w:tcBorders>
            <w:vAlign w:val="center"/>
          </w:tcPr>
          <w:p>
            <w:pPr>
              <w:pStyle w:val="20"/>
            </w:pPr>
            <w:r>
              <w:t>其他商贸事务支出</w:t>
            </w:r>
          </w:p>
        </w:tc>
        <w:tc>
          <w:tcPr>
            <w:tcW w:w="1361" w:type="dxa"/>
            <w:tcBorders>
              <w:left w:val="single" w:sz="6" w:space="0" w:color="auto"/>
              <w:right w:val="single" w:sz="6" w:space="0" w:color="auto"/>
            </w:tcBorders>
            <w:vAlign w:val="center"/>
          </w:tcPr>
          <w:p>
            <w:pPr>
              <w:pStyle w:val="19"/>
            </w:pPr>
            <w:r>
              <w:t>249.00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249.00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274.73</w:t>
            </w:r>
          </w:p>
        </w:tc>
        <w:tc>
          <w:tcPr>
            <w:tcW w:w="1361" w:type="dxa"/>
            <w:tcBorders>
              <w:left w:val="single" w:sz="6" w:space="0" w:color="auto"/>
              <w:right w:val="single" w:sz="6" w:space="0" w:color="auto"/>
            </w:tcBorders>
            <w:vAlign w:val="center"/>
          </w:tcPr>
          <w:p>
            <w:pPr>
              <w:pStyle w:val="19"/>
            </w:pPr>
            <w:r>
              <w:t>219.73</w:t>
            </w: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219.73</w:t>
            </w:r>
          </w:p>
        </w:tc>
        <w:tc>
          <w:tcPr>
            <w:tcW w:w="1361" w:type="dxa"/>
            <w:tcBorders>
              <w:left w:val="single" w:sz="6" w:space="0" w:color="auto"/>
              <w:right w:val="single" w:sz="6" w:space="0" w:color="auto"/>
            </w:tcBorders>
            <w:vAlign w:val="center"/>
          </w:tcPr>
          <w:p>
            <w:pPr>
              <w:pStyle w:val="19"/>
            </w:pPr>
            <w:r>
              <w:t>219.73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155.37</w:t>
            </w:r>
          </w:p>
        </w:tc>
        <w:tc>
          <w:tcPr>
            <w:tcW w:w="1361" w:type="dxa"/>
            <w:tcBorders>
              <w:left w:val="single" w:sz="6" w:space="0" w:color="auto"/>
              <w:right w:val="single" w:sz="6" w:space="0" w:color="auto"/>
            </w:tcBorders>
            <w:vAlign w:val="center"/>
          </w:tcPr>
          <w:p>
            <w:pPr>
              <w:pStyle w:val="19"/>
            </w:pPr>
            <w:r>
              <w:t>155.37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64.36</w:t>
            </w:r>
          </w:p>
        </w:tc>
        <w:tc>
          <w:tcPr>
            <w:tcW w:w="1361" w:type="dxa"/>
            <w:tcBorders>
              <w:left w:val="single" w:sz="6" w:space="0" w:color="auto"/>
              <w:right w:val="single" w:sz="6" w:space="0" w:color="auto"/>
            </w:tcBorders>
            <w:vAlign w:val="center"/>
          </w:tcPr>
          <w:p>
            <w:pPr>
              <w:pStyle w:val="19"/>
            </w:pPr>
            <w:r>
              <w:t>64.36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55.01</w:t>
            </w:r>
          </w:p>
        </w:tc>
        <w:tc>
          <w:tcPr>
            <w:tcW w:w="1361" w:type="dxa"/>
            <w:tcBorders>
              <w:left w:val="single" w:sz="6" w:space="0" w:color="auto"/>
              <w:right w:val="single" w:sz="6" w:space="0" w:color="auto"/>
            </w:tcBorders>
            <w:vAlign w:val="center"/>
          </w:tcPr>
          <w:p>
            <w:pPr>
              <w:pStyle w:val="19"/>
            </w:pPr>
            <w:r>
              <w:t>55.01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55.01</w:t>
            </w:r>
          </w:p>
        </w:tc>
        <w:tc>
          <w:tcPr>
            <w:tcW w:w="1361" w:type="dxa"/>
            <w:tcBorders>
              <w:left w:val="single" w:sz="6" w:space="0" w:color="auto"/>
              <w:right w:val="single" w:sz="6" w:space="0" w:color="auto"/>
            </w:tcBorders>
            <w:vAlign w:val="center"/>
          </w:tcPr>
          <w:p>
            <w:pPr>
              <w:pStyle w:val="19"/>
            </w:pPr>
            <w:r>
              <w:t>55.01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26.52</w:t>
            </w:r>
          </w:p>
        </w:tc>
        <w:tc>
          <w:tcPr>
            <w:tcW w:w="1361" w:type="dxa"/>
            <w:tcBorders>
              <w:left w:val="single" w:sz="6" w:space="0" w:color="auto"/>
              <w:right w:val="single" w:sz="6" w:space="0" w:color="auto"/>
            </w:tcBorders>
            <w:vAlign w:val="center"/>
          </w:tcPr>
          <w:p>
            <w:pPr>
              <w:pStyle w:val="19"/>
            </w:pPr>
            <w:r>
              <w:t>26.52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28.49</w:t>
            </w:r>
          </w:p>
        </w:tc>
        <w:tc>
          <w:tcPr>
            <w:tcW w:w="1361" w:type="dxa"/>
            <w:tcBorders>
              <w:left w:val="single" w:sz="6" w:space="0" w:color="auto"/>
              <w:right w:val="single" w:sz="6" w:space="0" w:color="auto"/>
            </w:tcBorders>
            <w:vAlign w:val="center"/>
          </w:tcPr>
          <w:p>
            <w:pPr>
              <w:pStyle w:val="19"/>
            </w:pPr>
            <w:r>
              <w:t>28.49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216</w:t>
            </w:r>
          </w:p>
        </w:tc>
        <w:tc>
          <w:tcPr>
            <w:tcW w:w="4535" w:type="dxa"/>
            <w:tcBorders>
              <w:left w:val="single" w:sz="6" w:space="0" w:color="auto"/>
              <w:right w:val="single" w:sz="6" w:space="0" w:color="auto"/>
            </w:tcBorders>
            <w:vAlign w:val="center"/>
          </w:tcPr>
          <w:p>
            <w:pPr>
              <w:pStyle w:val="20"/>
            </w:pPr>
            <w:r>
              <w:t>商业服务业等支出</w:t>
            </w:r>
          </w:p>
        </w:tc>
        <w:tc>
          <w:tcPr>
            <w:tcW w:w="1361" w:type="dxa"/>
            <w:tcBorders>
              <w:left w:val="single" w:sz="6" w:space="0" w:color="auto"/>
              <w:right w:val="single" w:sz="6" w:space="0" w:color="auto"/>
            </w:tcBorders>
            <w:vAlign w:val="center"/>
          </w:tcPr>
          <w:p>
            <w:pPr>
              <w:pStyle w:val="19"/>
            </w:pPr>
            <w:r>
              <w:t>1208.97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1208.97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21602</w:t>
            </w:r>
          </w:p>
        </w:tc>
        <w:tc>
          <w:tcPr>
            <w:tcW w:w="4535" w:type="dxa"/>
            <w:tcBorders>
              <w:left w:val="single" w:sz="6" w:space="0" w:color="auto"/>
              <w:right w:val="single" w:sz="6" w:space="0" w:color="auto"/>
            </w:tcBorders>
            <w:vAlign w:val="center"/>
          </w:tcPr>
          <w:p>
            <w:pPr>
              <w:pStyle w:val="20"/>
            </w:pPr>
            <w:r>
              <w:t>商业流通事务</w:t>
            </w:r>
          </w:p>
        </w:tc>
        <w:tc>
          <w:tcPr>
            <w:tcW w:w="1361" w:type="dxa"/>
            <w:tcBorders>
              <w:left w:val="single" w:sz="6" w:space="0" w:color="auto"/>
              <w:right w:val="single" w:sz="6" w:space="0" w:color="auto"/>
            </w:tcBorders>
            <w:vAlign w:val="center"/>
          </w:tcPr>
          <w:p>
            <w:pPr>
              <w:pStyle w:val="19"/>
            </w:pPr>
            <w:r>
              <w:t>112.20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112.20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2160217</w:t>
            </w:r>
          </w:p>
        </w:tc>
        <w:tc>
          <w:tcPr>
            <w:tcW w:w="4535" w:type="dxa"/>
            <w:tcBorders>
              <w:left w:val="single" w:sz="6" w:space="0" w:color="auto"/>
              <w:right w:val="single" w:sz="6" w:space="0" w:color="auto"/>
            </w:tcBorders>
            <w:vAlign w:val="center"/>
          </w:tcPr>
          <w:p>
            <w:pPr>
              <w:pStyle w:val="20"/>
            </w:pPr>
            <w:r>
              <w:t>市场监测及信息管理</w:t>
            </w:r>
          </w:p>
        </w:tc>
        <w:tc>
          <w:tcPr>
            <w:tcW w:w="1361" w:type="dxa"/>
            <w:tcBorders>
              <w:left w:val="single" w:sz="6" w:space="0" w:color="auto"/>
              <w:right w:val="single" w:sz="6" w:space="0" w:color="auto"/>
            </w:tcBorders>
            <w:vAlign w:val="center"/>
          </w:tcPr>
          <w:p>
            <w:pPr>
              <w:pStyle w:val="19"/>
            </w:pPr>
            <w:r>
              <w:t>0.20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0.20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2160299</w:t>
            </w:r>
          </w:p>
        </w:tc>
        <w:tc>
          <w:tcPr>
            <w:tcW w:w="4535" w:type="dxa"/>
            <w:tcBorders>
              <w:left w:val="single" w:sz="6" w:space="0" w:color="auto"/>
              <w:right w:val="single" w:sz="6" w:space="0" w:color="auto"/>
            </w:tcBorders>
            <w:vAlign w:val="center"/>
          </w:tcPr>
          <w:p>
            <w:pPr>
              <w:pStyle w:val="20"/>
            </w:pPr>
            <w:r>
              <w:t>其他商业流通事务支出</w:t>
            </w:r>
          </w:p>
        </w:tc>
        <w:tc>
          <w:tcPr>
            <w:tcW w:w="1361" w:type="dxa"/>
            <w:tcBorders>
              <w:left w:val="single" w:sz="6" w:space="0" w:color="auto"/>
              <w:right w:val="single" w:sz="6" w:space="0" w:color="auto"/>
            </w:tcBorders>
            <w:vAlign w:val="center"/>
          </w:tcPr>
          <w:p>
            <w:pPr>
              <w:pStyle w:val="19"/>
            </w:pPr>
            <w:r>
              <w:t>112.00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112.00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21606</w:t>
            </w:r>
          </w:p>
        </w:tc>
        <w:tc>
          <w:tcPr>
            <w:tcW w:w="4535" w:type="dxa"/>
            <w:tcBorders>
              <w:left w:val="single" w:sz="6" w:space="0" w:color="auto"/>
              <w:right w:val="single" w:sz="6" w:space="0" w:color="auto"/>
            </w:tcBorders>
            <w:vAlign w:val="center"/>
          </w:tcPr>
          <w:p>
            <w:pPr>
              <w:pStyle w:val="20"/>
            </w:pPr>
            <w:r>
              <w:t>涉外发展服务支出</w:t>
            </w:r>
          </w:p>
        </w:tc>
        <w:tc>
          <w:tcPr>
            <w:tcW w:w="1361" w:type="dxa"/>
            <w:tcBorders>
              <w:left w:val="single" w:sz="6" w:space="0" w:color="auto"/>
              <w:right w:val="single" w:sz="6" w:space="0" w:color="auto"/>
            </w:tcBorders>
            <w:vAlign w:val="center"/>
          </w:tcPr>
          <w:p>
            <w:pPr>
              <w:pStyle w:val="19"/>
            </w:pPr>
            <w:r>
              <w:t>1096.77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1096.77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auto"/>
              <w:right w:val="single" w:sz="6" w:space="0" w:color="auto"/>
            </w:tcBorders>
            <w:vAlign w:val="center"/>
          </w:tcPr>
          <w:p>
            <w:pPr>
              <w:pStyle w:val="20"/>
            </w:pPr>
            <w:r>
              <w:t>2160699</w:t>
            </w:r>
          </w:p>
        </w:tc>
        <w:tc>
          <w:tcPr>
            <w:tcW w:w="4535" w:type="dxa"/>
            <w:tcBorders>
              <w:left w:val="single" w:sz="6" w:space="0" w:color="auto"/>
              <w:right w:val="single" w:sz="6" w:space="0" w:color="auto"/>
            </w:tcBorders>
            <w:vAlign w:val="center"/>
          </w:tcPr>
          <w:p>
            <w:pPr>
              <w:pStyle w:val="20"/>
            </w:pPr>
            <w:r>
              <w:t>其他涉外发展服务支出</w:t>
            </w:r>
          </w:p>
        </w:tc>
        <w:tc>
          <w:tcPr>
            <w:tcW w:w="1361" w:type="dxa"/>
            <w:tcBorders>
              <w:left w:val="single" w:sz="6" w:space="0" w:color="auto"/>
              <w:right w:val="single" w:sz="6" w:space="0" w:color="auto"/>
            </w:tcBorders>
            <w:vAlign w:val="center"/>
          </w:tcPr>
          <w:p>
            <w:pPr>
              <w:pStyle w:val="19"/>
            </w:pPr>
            <w:r>
              <w:t>1096.77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1096.77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1400.81</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r>
              <w:t>938.18</w:t>
            </w:r>
          </w:p>
        </w:tc>
        <w:tc>
          <w:tcPr>
            <w:tcW w:w="1474" w:type="dxa"/>
            <w:tcBorders>
              <w:left w:val="single" w:sz="6" w:space="0" w:color="auto"/>
              <w:right w:val="single" w:sz="6" w:space="0" w:color="auto"/>
            </w:tcBorders>
            <w:vAlign w:val="center"/>
          </w:tcPr>
          <w:p>
            <w:pPr>
              <w:pStyle w:val="19"/>
            </w:pPr>
            <w:r>
              <w:t>938.18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274.73</w:t>
            </w:r>
          </w:p>
        </w:tc>
        <w:tc>
          <w:tcPr>
            <w:tcW w:w="1474" w:type="dxa"/>
            <w:tcBorders>
              <w:left w:val="single" w:sz="6" w:space="0" w:color="auto"/>
              <w:right w:val="single" w:sz="6" w:space="0" w:color="auto"/>
            </w:tcBorders>
            <w:vAlign w:val="center"/>
          </w:tcPr>
          <w:p>
            <w:pPr>
              <w:pStyle w:val="19"/>
            </w:pPr>
            <w:r>
              <w:t>274.73</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55.01</w:t>
            </w:r>
          </w:p>
        </w:tc>
        <w:tc>
          <w:tcPr>
            <w:tcW w:w="1474" w:type="dxa"/>
            <w:tcBorders>
              <w:left w:val="single" w:sz="6" w:space="0" w:color="auto"/>
              <w:right w:val="single" w:sz="6" w:space="0" w:color="auto"/>
            </w:tcBorders>
            <w:vAlign w:val="center"/>
          </w:tcPr>
          <w:p>
            <w:pPr>
              <w:pStyle w:val="19"/>
            </w:pPr>
            <w:r>
              <w:t>55.01</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r>
              <w:t>1208.97</w:t>
            </w:r>
          </w:p>
        </w:tc>
        <w:tc>
          <w:tcPr>
            <w:tcW w:w="1474" w:type="dxa"/>
            <w:tcBorders>
              <w:left w:val="single" w:sz="6" w:space="0" w:color="auto"/>
              <w:right w:val="single" w:sz="6" w:space="0" w:color="auto"/>
            </w:tcBorders>
            <w:vAlign w:val="center"/>
          </w:tcPr>
          <w:p>
            <w:pPr>
              <w:pStyle w:val="19"/>
            </w:pPr>
            <w:r>
              <w:t>1208.97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52.89</w:t>
            </w:r>
          </w:p>
        </w:tc>
        <w:tc>
          <w:tcPr>
            <w:tcW w:w="1474" w:type="dxa"/>
            <w:tcBorders>
              <w:left w:val="single" w:sz="6" w:space="0" w:color="auto"/>
              <w:right w:val="single" w:sz="6" w:space="0" w:color="auto"/>
            </w:tcBorders>
            <w:vAlign w:val="center"/>
          </w:tcPr>
          <w:p>
            <w:pPr>
              <w:pStyle w:val="19"/>
            </w:pPr>
            <w:r>
              <w:t>52.89</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1400.81</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2529.78</w:t>
            </w:r>
          </w:p>
        </w:tc>
        <w:tc>
          <w:tcPr>
            <w:tcW w:w="1474" w:type="dxa"/>
            <w:tcBorders>
              <w:left w:val="single" w:sz="6" w:space="0" w:color="auto"/>
              <w:right w:val="single" w:sz="6" w:space="0" w:color="auto"/>
            </w:tcBorders>
            <w:vAlign w:val="center"/>
          </w:tcPr>
          <w:p>
            <w:pPr>
              <w:pStyle w:val="23"/>
            </w:pPr>
            <w:r>
              <w:t>2529.78</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r>
              <w:t>1128.97</w:t>
            </w: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1128.97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2529.78</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2529.78</w:t>
            </w:r>
          </w:p>
        </w:tc>
        <w:tc>
          <w:tcPr>
            <w:tcW w:w="1474" w:type="dxa"/>
            <w:tcBorders>
              <w:left w:val="single" w:sz="6" w:space="0" w:color="auto"/>
              <w:right w:val="single" w:sz="6" w:space="0" w:color="auto"/>
            </w:tcBorders>
            <w:vAlign w:val="center"/>
          </w:tcPr>
          <w:p>
            <w:pPr>
              <w:pStyle w:val="23"/>
            </w:pPr>
            <w:r>
              <w:t>2529.78</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2529.78</w:t>
            </w:r>
          </w:p>
        </w:tc>
        <w:tc>
          <w:tcPr>
            <w:tcW w:w="2551" w:type="dxa"/>
            <w:tcBorders>
              <w:left w:val="single" w:sz="6" w:space="0" w:color="auto"/>
              <w:right w:val="single" w:sz="6" w:space="0" w:color="auto"/>
            </w:tcBorders>
            <w:vAlign w:val="center"/>
          </w:tcPr>
          <w:p>
            <w:pPr>
              <w:pStyle w:val="23"/>
            </w:pPr>
            <w:r>
              <w:t>813.81</w:t>
            </w:r>
          </w:p>
        </w:tc>
        <w:tc>
          <w:tcPr>
            <w:tcW w:w="2551" w:type="dxa"/>
            <w:vAlign w:val="center"/>
          </w:tcPr>
          <w:p>
            <w:pPr>
              <w:pStyle w:val="23"/>
            </w:pPr>
            <w:r>
              <w:t>1715.97</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2551" w:type="dxa"/>
            <w:tcBorders>
              <w:left w:val="single" w:sz="6" w:space="0" w:color="auto"/>
              <w:right w:val="single" w:sz="6" w:space="0" w:color="auto"/>
            </w:tcBorders>
            <w:vAlign w:val="center"/>
          </w:tcPr>
          <w:p>
            <w:pPr>
              <w:pStyle w:val="19"/>
            </w:pPr>
            <w:r>
              <w:t>938.18</w:t>
            </w:r>
          </w:p>
        </w:tc>
        <w:tc>
          <w:tcPr>
            <w:tcW w:w="2551" w:type="dxa"/>
            <w:tcBorders>
              <w:left w:val="single" w:sz="6" w:space="0" w:color="auto"/>
              <w:right w:val="single" w:sz="6" w:space="0" w:color="auto"/>
            </w:tcBorders>
            <w:vAlign w:val="center"/>
          </w:tcPr>
          <w:p>
            <w:pPr>
              <w:pStyle w:val="19"/>
            </w:pPr>
            <w:r>
              <w:t>486.18</w:t>
            </w:r>
          </w:p>
        </w:tc>
        <w:tc>
          <w:tcPr>
            <w:tcW w:w="2551" w:type="dxa"/>
            <w:vAlign w:val="center"/>
          </w:tcPr>
          <w:p>
            <w:pPr>
              <w:pStyle w:val="19"/>
            </w:pPr>
            <w:r>
              <w:t>452.00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20113</w:t>
            </w:r>
          </w:p>
        </w:tc>
        <w:tc>
          <w:tcPr>
            <w:tcW w:w="4535" w:type="dxa"/>
            <w:tcBorders>
              <w:left w:val="single" w:sz="6" w:space="0" w:color="auto"/>
              <w:right w:val="single" w:sz="6" w:space="0" w:color="auto"/>
            </w:tcBorders>
            <w:vAlign w:val="center"/>
          </w:tcPr>
          <w:p>
            <w:pPr>
              <w:pStyle w:val="20"/>
            </w:pPr>
            <w:r>
              <w:t>商贸事务</w:t>
            </w:r>
          </w:p>
        </w:tc>
        <w:tc>
          <w:tcPr>
            <w:tcW w:w="2551" w:type="dxa"/>
            <w:tcBorders>
              <w:left w:val="single" w:sz="6" w:space="0" w:color="auto"/>
              <w:right w:val="single" w:sz="6" w:space="0" w:color="auto"/>
            </w:tcBorders>
            <w:vAlign w:val="center"/>
          </w:tcPr>
          <w:p>
            <w:pPr>
              <w:pStyle w:val="19"/>
            </w:pPr>
            <w:r>
              <w:t>938.18</w:t>
            </w:r>
          </w:p>
        </w:tc>
        <w:tc>
          <w:tcPr>
            <w:tcW w:w="2551" w:type="dxa"/>
            <w:tcBorders>
              <w:left w:val="single" w:sz="6" w:space="0" w:color="auto"/>
              <w:right w:val="single" w:sz="6" w:space="0" w:color="auto"/>
            </w:tcBorders>
            <w:vAlign w:val="center"/>
          </w:tcPr>
          <w:p>
            <w:pPr>
              <w:pStyle w:val="19"/>
            </w:pPr>
            <w:r>
              <w:t>486.18</w:t>
            </w:r>
          </w:p>
        </w:tc>
        <w:tc>
          <w:tcPr>
            <w:tcW w:w="2551" w:type="dxa"/>
            <w:vAlign w:val="center"/>
          </w:tcPr>
          <w:p>
            <w:pPr>
              <w:pStyle w:val="19"/>
            </w:pPr>
            <w:r>
              <w:t>452.00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2011301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486.18</w:t>
            </w:r>
          </w:p>
        </w:tc>
        <w:tc>
          <w:tcPr>
            <w:tcW w:w="2551" w:type="dxa"/>
            <w:tcBorders>
              <w:left w:val="single" w:sz="6" w:space="0" w:color="auto"/>
              <w:right w:val="single" w:sz="6" w:space="0" w:color="auto"/>
            </w:tcBorders>
            <w:vAlign w:val="center"/>
          </w:tcPr>
          <w:p>
            <w:pPr>
              <w:pStyle w:val="19"/>
            </w:pPr>
            <w:r>
              <w:t>486.18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2011308</w:t>
            </w:r>
          </w:p>
        </w:tc>
        <w:tc>
          <w:tcPr>
            <w:tcW w:w="4535" w:type="dxa"/>
            <w:tcBorders>
              <w:left w:val="single" w:sz="6" w:space="0" w:color="auto"/>
              <w:right w:val="single" w:sz="6" w:space="0" w:color="auto"/>
            </w:tcBorders>
            <w:vAlign w:val="center"/>
          </w:tcPr>
          <w:p>
            <w:pPr>
              <w:pStyle w:val="20"/>
            </w:pPr>
            <w:r>
              <w:t>招商引资</w:t>
            </w:r>
          </w:p>
        </w:tc>
        <w:tc>
          <w:tcPr>
            <w:tcW w:w="2551" w:type="dxa"/>
            <w:tcBorders>
              <w:left w:val="single" w:sz="6" w:space="0" w:color="auto"/>
              <w:right w:val="single" w:sz="6" w:space="0" w:color="auto"/>
            </w:tcBorders>
            <w:vAlign w:val="center"/>
          </w:tcPr>
          <w:p>
            <w:pPr>
              <w:pStyle w:val="19"/>
            </w:pPr>
            <w:r>
              <w:t>203.00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203.00</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2011399</w:t>
            </w:r>
          </w:p>
        </w:tc>
        <w:tc>
          <w:tcPr>
            <w:tcW w:w="4535" w:type="dxa"/>
            <w:tcBorders>
              <w:left w:val="single" w:sz="6" w:space="0" w:color="auto"/>
              <w:right w:val="single" w:sz="6" w:space="0" w:color="auto"/>
            </w:tcBorders>
            <w:vAlign w:val="center"/>
          </w:tcPr>
          <w:p>
            <w:pPr>
              <w:pStyle w:val="20"/>
            </w:pPr>
            <w:r>
              <w:t>其他商贸事务支出</w:t>
            </w:r>
          </w:p>
        </w:tc>
        <w:tc>
          <w:tcPr>
            <w:tcW w:w="2551" w:type="dxa"/>
            <w:tcBorders>
              <w:left w:val="single" w:sz="6" w:space="0" w:color="auto"/>
              <w:right w:val="single" w:sz="6" w:space="0" w:color="auto"/>
            </w:tcBorders>
            <w:vAlign w:val="center"/>
          </w:tcPr>
          <w:p>
            <w:pPr>
              <w:pStyle w:val="19"/>
            </w:pPr>
            <w:r>
              <w:t>249.00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249.00</w:t>
            </w: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274.73</w:t>
            </w:r>
          </w:p>
        </w:tc>
        <w:tc>
          <w:tcPr>
            <w:tcW w:w="2551" w:type="dxa"/>
            <w:tcBorders>
              <w:left w:val="single" w:sz="6" w:space="0" w:color="auto"/>
              <w:right w:val="single" w:sz="6" w:space="0" w:color="auto"/>
            </w:tcBorders>
            <w:vAlign w:val="center"/>
          </w:tcPr>
          <w:p>
            <w:pPr>
              <w:pStyle w:val="19"/>
            </w:pPr>
            <w:r>
              <w:t>219.73</w:t>
            </w:r>
          </w:p>
        </w:tc>
        <w:tc>
          <w:tcPr>
            <w:tcW w:w="2551" w:type="dxa"/>
            <w:vAlign w:val="center"/>
          </w:tcPr>
          <w:p>
            <w:pPr>
              <w:pStyle w:val="19"/>
            </w:pPr>
            <w:r>
              <w:t>55.00</w:t>
            </w: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219.73</w:t>
            </w:r>
          </w:p>
        </w:tc>
        <w:tc>
          <w:tcPr>
            <w:tcW w:w="2551" w:type="dxa"/>
            <w:tcBorders>
              <w:left w:val="single" w:sz="6" w:space="0" w:color="auto"/>
              <w:right w:val="single" w:sz="6" w:space="0" w:color="auto"/>
            </w:tcBorders>
            <w:vAlign w:val="center"/>
          </w:tcPr>
          <w:p>
            <w:pPr>
              <w:pStyle w:val="19"/>
            </w:pPr>
            <w:r>
              <w:t>219.73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155.37</w:t>
            </w:r>
          </w:p>
        </w:tc>
        <w:tc>
          <w:tcPr>
            <w:tcW w:w="2551" w:type="dxa"/>
            <w:tcBorders>
              <w:left w:val="single" w:sz="6" w:space="0" w:color="auto"/>
              <w:right w:val="single" w:sz="6" w:space="0" w:color="auto"/>
            </w:tcBorders>
            <w:vAlign w:val="center"/>
          </w:tcPr>
          <w:p>
            <w:pPr>
              <w:pStyle w:val="19"/>
            </w:pPr>
            <w:r>
              <w:t>155.37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64.36</w:t>
            </w:r>
          </w:p>
        </w:tc>
        <w:tc>
          <w:tcPr>
            <w:tcW w:w="2551" w:type="dxa"/>
            <w:tcBorders>
              <w:left w:val="single" w:sz="6" w:space="0" w:color="auto"/>
              <w:right w:val="single" w:sz="6" w:space="0" w:color="auto"/>
            </w:tcBorders>
            <w:vAlign w:val="center"/>
          </w:tcPr>
          <w:p>
            <w:pPr>
              <w:pStyle w:val="19"/>
            </w:pPr>
            <w:r>
              <w:t>64.36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2551" w:type="dxa"/>
            <w:tcBorders>
              <w:left w:val="single" w:sz="6" w:space="0" w:color="auto"/>
              <w:right w:val="single" w:sz="6" w:space="0" w:color="auto"/>
            </w:tcBorders>
            <w:vAlign w:val="center"/>
          </w:tcPr>
          <w:p>
            <w:pPr>
              <w:pStyle w:val="19"/>
            </w:pPr>
            <w:r>
              <w:t>55.00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2551" w:type="dxa"/>
            <w:tcBorders>
              <w:left w:val="single" w:sz="6" w:space="0" w:color="auto"/>
              <w:right w:val="single" w:sz="6" w:space="0" w:color="auto"/>
            </w:tcBorders>
            <w:vAlign w:val="center"/>
          </w:tcPr>
          <w:p>
            <w:pPr>
              <w:pStyle w:val="19"/>
            </w:pPr>
            <w:r>
              <w:t>55.00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55.01</w:t>
            </w:r>
          </w:p>
        </w:tc>
        <w:tc>
          <w:tcPr>
            <w:tcW w:w="2551" w:type="dxa"/>
            <w:tcBorders>
              <w:left w:val="single" w:sz="6" w:space="0" w:color="auto"/>
              <w:right w:val="single" w:sz="6" w:space="0" w:color="auto"/>
            </w:tcBorders>
            <w:vAlign w:val="center"/>
          </w:tcPr>
          <w:p>
            <w:pPr>
              <w:pStyle w:val="19"/>
            </w:pPr>
            <w:r>
              <w:t>55.01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55.01</w:t>
            </w:r>
          </w:p>
        </w:tc>
        <w:tc>
          <w:tcPr>
            <w:tcW w:w="2551" w:type="dxa"/>
            <w:tcBorders>
              <w:left w:val="single" w:sz="6" w:space="0" w:color="auto"/>
              <w:right w:val="single" w:sz="6" w:space="0" w:color="auto"/>
            </w:tcBorders>
            <w:vAlign w:val="center"/>
          </w:tcPr>
          <w:p>
            <w:pPr>
              <w:pStyle w:val="19"/>
            </w:pPr>
            <w:r>
              <w:t>55.01</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26.52</w:t>
            </w:r>
          </w:p>
        </w:tc>
        <w:tc>
          <w:tcPr>
            <w:tcW w:w="2551" w:type="dxa"/>
            <w:tcBorders>
              <w:left w:val="single" w:sz="6" w:space="0" w:color="auto"/>
              <w:right w:val="single" w:sz="6" w:space="0" w:color="auto"/>
            </w:tcBorders>
            <w:vAlign w:val="center"/>
          </w:tcPr>
          <w:p>
            <w:pPr>
              <w:pStyle w:val="19"/>
            </w:pPr>
            <w:r>
              <w:t>26.52</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28.49</w:t>
            </w:r>
          </w:p>
        </w:tc>
        <w:tc>
          <w:tcPr>
            <w:tcW w:w="2551" w:type="dxa"/>
            <w:tcBorders>
              <w:left w:val="single" w:sz="6" w:space="0" w:color="auto"/>
              <w:right w:val="single" w:sz="6" w:space="0" w:color="auto"/>
            </w:tcBorders>
            <w:vAlign w:val="center"/>
          </w:tcPr>
          <w:p>
            <w:pPr>
              <w:pStyle w:val="19"/>
            </w:pPr>
            <w:r>
              <w:t>28.49</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216</w:t>
            </w:r>
          </w:p>
        </w:tc>
        <w:tc>
          <w:tcPr>
            <w:tcW w:w="4535" w:type="dxa"/>
            <w:tcBorders>
              <w:left w:val="single" w:sz="6" w:space="0" w:color="auto"/>
              <w:right w:val="single" w:sz="6" w:space="0" w:color="auto"/>
            </w:tcBorders>
            <w:vAlign w:val="center"/>
          </w:tcPr>
          <w:p>
            <w:pPr>
              <w:pStyle w:val="20"/>
            </w:pPr>
            <w:r>
              <w:t>商业服务业等支出</w:t>
            </w:r>
          </w:p>
        </w:tc>
        <w:tc>
          <w:tcPr>
            <w:tcW w:w="2551" w:type="dxa"/>
            <w:tcBorders>
              <w:left w:val="single" w:sz="6" w:space="0" w:color="auto"/>
              <w:right w:val="single" w:sz="6" w:space="0" w:color="auto"/>
            </w:tcBorders>
            <w:vAlign w:val="center"/>
          </w:tcPr>
          <w:p>
            <w:pPr>
              <w:pStyle w:val="19"/>
            </w:pPr>
            <w:r>
              <w:t>1208.97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1208.97</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21602</w:t>
            </w:r>
          </w:p>
        </w:tc>
        <w:tc>
          <w:tcPr>
            <w:tcW w:w="4535" w:type="dxa"/>
            <w:tcBorders>
              <w:left w:val="single" w:sz="6" w:space="0" w:color="auto"/>
              <w:right w:val="single" w:sz="6" w:space="0" w:color="auto"/>
            </w:tcBorders>
            <w:vAlign w:val="center"/>
          </w:tcPr>
          <w:p>
            <w:pPr>
              <w:pStyle w:val="20"/>
            </w:pPr>
            <w:r>
              <w:t>商业流通事务</w:t>
            </w:r>
          </w:p>
        </w:tc>
        <w:tc>
          <w:tcPr>
            <w:tcW w:w="2551" w:type="dxa"/>
            <w:tcBorders>
              <w:left w:val="single" w:sz="6" w:space="0" w:color="auto"/>
              <w:right w:val="single" w:sz="6" w:space="0" w:color="auto"/>
            </w:tcBorders>
            <w:vAlign w:val="center"/>
          </w:tcPr>
          <w:p>
            <w:pPr>
              <w:pStyle w:val="19"/>
            </w:pPr>
            <w:r>
              <w:t>112.20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112.20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2160217</w:t>
            </w:r>
          </w:p>
        </w:tc>
        <w:tc>
          <w:tcPr>
            <w:tcW w:w="4535" w:type="dxa"/>
            <w:tcBorders>
              <w:left w:val="single" w:sz="6" w:space="0" w:color="auto"/>
              <w:right w:val="single" w:sz="6" w:space="0" w:color="auto"/>
            </w:tcBorders>
            <w:vAlign w:val="center"/>
          </w:tcPr>
          <w:p>
            <w:pPr>
              <w:pStyle w:val="20"/>
            </w:pPr>
            <w:r>
              <w:t>市场监测及信息管理</w:t>
            </w:r>
          </w:p>
        </w:tc>
        <w:tc>
          <w:tcPr>
            <w:tcW w:w="2551" w:type="dxa"/>
            <w:tcBorders>
              <w:left w:val="single" w:sz="6" w:space="0" w:color="auto"/>
              <w:right w:val="single" w:sz="6" w:space="0" w:color="auto"/>
            </w:tcBorders>
            <w:vAlign w:val="center"/>
          </w:tcPr>
          <w:p>
            <w:pPr>
              <w:pStyle w:val="19"/>
            </w:pPr>
            <w:r>
              <w:t>0.20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2160299</w:t>
            </w:r>
          </w:p>
        </w:tc>
        <w:tc>
          <w:tcPr>
            <w:tcW w:w="4535" w:type="dxa"/>
            <w:tcBorders>
              <w:left w:val="single" w:sz="6" w:space="0" w:color="auto"/>
              <w:right w:val="single" w:sz="6" w:space="0" w:color="auto"/>
            </w:tcBorders>
            <w:vAlign w:val="center"/>
          </w:tcPr>
          <w:p>
            <w:pPr>
              <w:pStyle w:val="20"/>
            </w:pPr>
            <w:r>
              <w:t>其他商业流通事务支出</w:t>
            </w:r>
          </w:p>
        </w:tc>
        <w:tc>
          <w:tcPr>
            <w:tcW w:w="2551" w:type="dxa"/>
            <w:tcBorders>
              <w:left w:val="single" w:sz="6" w:space="0" w:color="auto"/>
              <w:right w:val="single" w:sz="6" w:space="0" w:color="auto"/>
            </w:tcBorders>
            <w:vAlign w:val="center"/>
          </w:tcPr>
          <w:p>
            <w:pPr>
              <w:pStyle w:val="19"/>
            </w:pPr>
            <w:r>
              <w:t>112.00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112.00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21606</w:t>
            </w:r>
          </w:p>
        </w:tc>
        <w:tc>
          <w:tcPr>
            <w:tcW w:w="4535" w:type="dxa"/>
            <w:tcBorders>
              <w:left w:val="single" w:sz="6" w:space="0" w:color="auto"/>
              <w:right w:val="single" w:sz="6" w:space="0" w:color="auto"/>
            </w:tcBorders>
            <w:vAlign w:val="center"/>
          </w:tcPr>
          <w:p>
            <w:pPr>
              <w:pStyle w:val="20"/>
            </w:pPr>
            <w:r>
              <w:t>涉外发展服务支出</w:t>
            </w:r>
          </w:p>
        </w:tc>
        <w:tc>
          <w:tcPr>
            <w:tcW w:w="2551" w:type="dxa"/>
            <w:tcBorders>
              <w:left w:val="single" w:sz="6" w:space="0" w:color="auto"/>
              <w:right w:val="single" w:sz="6" w:space="0" w:color="auto"/>
            </w:tcBorders>
            <w:vAlign w:val="center"/>
          </w:tcPr>
          <w:p>
            <w:pPr>
              <w:pStyle w:val="19"/>
            </w:pPr>
            <w:r>
              <w:t>1096.77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1096.77</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2160699</w:t>
            </w:r>
          </w:p>
        </w:tc>
        <w:tc>
          <w:tcPr>
            <w:tcW w:w="4535" w:type="dxa"/>
            <w:tcBorders>
              <w:left w:val="single" w:sz="6" w:space="0" w:color="auto"/>
              <w:right w:val="single" w:sz="6" w:space="0" w:color="auto"/>
            </w:tcBorders>
            <w:vAlign w:val="center"/>
          </w:tcPr>
          <w:p>
            <w:pPr>
              <w:pStyle w:val="20"/>
            </w:pPr>
            <w:r>
              <w:t>其他涉外发展服务支出</w:t>
            </w:r>
          </w:p>
        </w:tc>
        <w:tc>
          <w:tcPr>
            <w:tcW w:w="2551" w:type="dxa"/>
            <w:tcBorders>
              <w:left w:val="single" w:sz="6" w:space="0" w:color="auto"/>
              <w:right w:val="single" w:sz="6" w:space="0" w:color="auto"/>
            </w:tcBorders>
            <w:vAlign w:val="center"/>
          </w:tcPr>
          <w:p>
            <w:pPr>
              <w:pStyle w:val="19"/>
            </w:pPr>
            <w:r>
              <w:t>1096.77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1096.77</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52.89</w:t>
            </w:r>
          </w:p>
        </w:tc>
        <w:tc>
          <w:tcPr>
            <w:tcW w:w="2551" w:type="dxa"/>
            <w:tcBorders>
              <w:left w:val="single" w:sz="6" w:space="0" w:color="auto"/>
              <w:right w:val="single" w:sz="6" w:space="0" w:color="auto"/>
            </w:tcBorders>
            <w:vAlign w:val="center"/>
          </w:tcPr>
          <w:p>
            <w:pPr>
              <w:pStyle w:val="19"/>
            </w:pPr>
            <w:r>
              <w:t>52.89</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52.89</w:t>
            </w:r>
          </w:p>
        </w:tc>
        <w:tc>
          <w:tcPr>
            <w:tcW w:w="2551" w:type="dxa"/>
            <w:tcBorders>
              <w:left w:val="single" w:sz="6" w:space="0" w:color="auto"/>
              <w:right w:val="single" w:sz="6" w:space="0" w:color="auto"/>
            </w:tcBorders>
            <w:vAlign w:val="center"/>
          </w:tcPr>
          <w:p>
            <w:pPr>
              <w:pStyle w:val="19"/>
            </w:pPr>
            <w:r>
              <w:t>52.89</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52.89</w:t>
            </w:r>
          </w:p>
        </w:tc>
        <w:tc>
          <w:tcPr>
            <w:tcW w:w="2551" w:type="dxa"/>
            <w:tcBorders>
              <w:left w:val="single" w:sz="6" w:space="0" w:color="auto"/>
              <w:right w:val="single" w:sz="6" w:space="0" w:color="auto"/>
            </w:tcBorders>
            <w:vAlign w:val="center"/>
          </w:tcPr>
          <w:p>
            <w:pPr>
              <w:pStyle w:val="19"/>
            </w:pPr>
            <w:r>
              <w:t>52.89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813.81</w:t>
            </w:r>
          </w:p>
        </w:tc>
        <w:tc>
          <w:tcPr>
            <w:tcW w:w="2551" w:type="dxa"/>
            <w:tcBorders>
              <w:left w:val="single" w:sz="6" w:space="0" w:color="auto"/>
              <w:right w:val="single" w:sz="6" w:space="0" w:color="auto"/>
            </w:tcBorders>
            <w:vAlign w:val="center"/>
          </w:tcPr>
          <w:p>
            <w:pPr>
              <w:pStyle w:val="23"/>
            </w:pPr>
            <w:r>
              <w:t>761.31</w:t>
            </w:r>
          </w:p>
        </w:tc>
        <w:tc>
          <w:tcPr>
            <w:tcW w:w="2551" w:type="dxa"/>
            <w:vAlign w:val="center"/>
          </w:tcPr>
          <w:p>
            <w:pPr>
              <w:pStyle w:val="23"/>
            </w:pPr>
            <w:r>
              <w:t>52.50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604.81</w:t>
            </w:r>
          </w:p>
        </w:tc>
        <w:tc>
          <w:tcPr>
            <w:tcW w:w="2551" w:type="dxa"/>
            <w:tcBorders>
              <w:left w:val="single" w:sz="6" w:space="0" w:color="auto"/>
              <w:right w:val="single" w:sz="6" w:space="0" w:color="auto"/>
            </w:tcBorders>
            <w:vAlign w:val="center"/>
          </w:tcPr>
          <w:p>
            <w:pPr>
              <w:pStyle w:val="19"/>
            </w:pPr>
            <w:r>
              <w:t>604.81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132.83</w:t>
            </w:r>
          </w:p>
        </w:tc>
        <w:tc>
          <w:tcPr>
            <w:tcW w:w="2551" w:type="dxa"/>
            <w:tcBorders>
              <w:left w:val="single" w:sz="6" w:space="0" w:color="auto"/>
              <w:right w:val="single" w:sz="6" w:space="0" w:color="auto"/>
            </w:tcBorders>
            <w:vAlign w:val="center"/>
          </w:tcPr>
          <w:p>
            <w:pPr>
              <w:pStyle w:val="19"/>
            </w:pPr>
            <w:r>
              <w:t>132.83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78.09</w:t>
            </w:r>
          </w:p>
        </w:tc>
        <w:tc>
          <w:tcPr>
            <w:tcW w:w="2551" w:type="dxa"/>
            <w:tcBorders>
              <w:left w:val="single" w:sz="6" w:space="0" w:color="auto"/>
              <w:right w:val="single" w:sz="6" w:space="0" w:color="auto"/>
            </w:tcBorders>
            <w:vAlign w:val="center"/>
          </w:tcPr>
          <w:p>
            <w:pPr>
              <w:pStyle w:val="19"/>
            </w:pPr>
            <w:r>
              <w:t>78.09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31.87</w:t>
            </w:r>
          </w:p>
        </w:tc>
        <w:tc>
          <w:tcPr>
            <w:tcW w:w="2551" w:type="dxa"/>
            <w:tcBorders>
              <w:left w:val="single" w:sz="6" w:space="0" w:color="auto"/>
              <w:right w:val="single" w:sz="6" w:space="0" w:color="auto"/>
            </w:tcBorders>
            <w:vAlign w:val="center"/>
          </w:tcPr>
          <w:p>
            <w:pPr>
              <w:pStyle w:val="19"/>
            </w:pPr>
            <w:r>
              <w:t>31.87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89.01</w:t>
            </w:r>
          </w:p>
        </w:tc>
        <w:tc>
          <w:tcPr>
            <w:tcW w:w="2551" w:type="dxa"/>
            <w:tcBorders>
              <w:left w:val="single" w:sz="6" w:space="0" w:color="auto"/>
              <w:right w:val="single" w:sz="6" w:space="0" w:color="auto"/>
            </w:tcBorders>
            <w:vAlign w:val="center"/>
          </w:tcPr>
          <w:p>
            <w:pPr>
              <w:pStyle w:val="19"/>
            </w:pPr>
            <w:r>
              <w:t>89.01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49.93</w:t>
            </w:r>
          </w:p>
        </w:tc>
        <w:tc>
          <w:tcPr>
            <w:tcW w:w="2551" w:type="dxa"/>
            <w:tcBorders>
              <w:left w:val="single" w:sz="6" w:space="0" w:color="auto"/>
              <w:right w:val="single" w:sz="6" w:space="0" w:color="auto"/>
            </w:tcBorders>
            <w:vAlign w:val="center"/>
          </w:tcPr>
          <w:p>
            <w:pPr>
              <w:pStyle w:val="19"/>
            </w:pPr>
            <w:r>
              <w:t>49.93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20.54</w:t>
            </w:r>
          </w:p>
        </w:tc>
        <w:tc>
          <w:tcPr>
            <w:tcW w:w="2551" w:type="dxa"/>
            <w:tcBorders>
              <w:left w:val="single" w:sz="6" w:space="0" w:color="auto"/>
              <w:right w:val="single" w:sz="6" w:space="0" w:color="auto"/>
            </w:tcBorders>
            <w:vAlign w:val="center"/>
          </w:tcPr>
          <w:p>
            <w:pPr>
              <w:pStyle w:val="19"/>
            </w:pPr>
            <w:r>
              <w:t>20.54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21.88</w:t>
            </w:r>
          </w:p>
        </w:tc>
        <w:tc>
          <w:tcPr>
            <w:tcW w:w="2551" w:type="dxa"/>
            <w:tcBorders>
              <w:left w:val="single" w:sz="6" w:space="0" w:color="auto"/>
              <w:right w:val="single" w:sz="6" w:space="0" w:color="auto"/>
            </w:tcBorders>
            <w:vAlign w:val="center"/>
          </w:tcPr>
          <w:p>
            <w:pPr>
              <w:pStyle w:val="19"/>
            </w:pPr>
            <w:r>
              <w:t>21.88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2.31</w:t>
            </w:r>
          </w:p>
        </w:tc>
        <w:tc>
          <w:tcPr>
            <w:tcW w:w="2551" w:type="dxa"/>
            <w:tcBorders>
              <w:left w:val="single" w:sz="6" w:space="0" w:color="auto"/>
              <w:right w:val="single" w:sz="6" w:space="0" w:color="auto"/>
            </w:tcBorders>
            <w:vAlign w:val="center"/>
          </w:tcPr>
          <w:p>
            <w:pPr>
              <w:pStyle w:val="19"/>
            </w:pPr>
            <w:r>
              <w:t>2.31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41.07</w:t>
            </w:r>
          </w:p>
        </w:tc>
        <w:tc>
          <w:tcPr>
            <w:tcW w:w="2551" w:type="dxa"/>
            <w:tcBorders>
              <w:left w:val="single" w:sz="6" w:space="0" w:color="auto"/>
              <w:right w:val="single" w:sz="6" w:space="0" w:color="auto"/>
            </w:tcBorders>
            <w:vAlign w:val="center"/>
          </w:tcPr>
          <w:p>
            <w:pPr>
              <w:pStyle w:val="19"/>
            </w:pPr>
            <w:r>
              <w:t>41.07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137.28</w:t>
            </w:r>
          </w:p>
        </w:tc>
        <w:tc>
          <w:tcPr>
            <w:tcW w:w="2551" w:type="dxa"/>
            <w:tcBorders>
              <w:left w:val="single" w:sz="6" w:space="0" w:color="auto"/>
              <w:right w:val="single" w:sz="6" w:space="0" w:color="auto"/>
            </w:tcBorders>
            <w:vAlign w:val="center"/>
          </w:tcPr>
          <w:p>
            <w:pPr>
              <w:pStyle w:val="19"/>
            </w:pPr>
            <w:r>
              <w:t>137.28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52.50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52.50</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6.20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6.20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30202</w:t>
            </w:r>
          </w:p>
        </w:tc>
        <w:tc>
          <w:tcPr>
            <w:tcW w:w="4535" w:type="dxa"/>
            <w:tcBorders>
              <w:left w:val="single" w:sz="6" w:space="0" w:color="auto"/>
              <w:right w:val="single" w:sz="6" w:space="0" w:color="auto"/>
            </w:tcBorders>
            <w:vAlign w:val="center"/>
          </w:tcPr>
          <w:p>
            <w:pPr>
              <w:pStyle w:val="20"/>
            </w:pPr>
            <w:r>
              <w:t>印刷费</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8.00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30211</w:t>
            </w:r>
          </w:p>
        </w:tc>
        <w:tc>
          <w:tcPr>
            <w:tcW w:w="4535" w:type="dxa"/>
            <w:tcBorders>
              <w:left w:val="single" w:sz="6" w:space="0" w:color="auto"/>
              <w:right w:val="single" w:sz="6" w:space="0" w:color="auto"/>
            </w:tcBorders>
            <w:vAlign w:val="center"/>
          </w:tcPr>
          <w:p>
            <w:pPr>
              <w:pStyle w:val="20"/>
            </w:pPr>
            <w:r>
              <w:t>差旅费</w:t>
            </w:r>
          </w:p>
        </w:tc>
        <w:tc>
          <w:tcPr>
            <w:tcW w:w="2551" w:type="dxa"/>
            <w:tcBorders>
              <w:left w:val="single" w:sz="6" w:space="0" w:color="auto"/>
              <w:right w:val="single" w:sz="6" w:space="0" w:color="auto"/>
            </w:tcBorders>
            <w:vAlign w:val="center"/>
          </w:tcPr>
          <w:p>
            <w:pPr>
              <w:pStyle w:val="19"/>
            </w:pPr>
            <w:r>
              <w:t>1.50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9.50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9.50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4.60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4.60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10.20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10.20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5.50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156.50</w:t>
            </w:r>
          </w:p>
        </w:tc>
        <w:tc>
          <w:tcPr>
            <w:tcW w:w="2551" w:type="dxa"/>
            <w:tcBorders>
              <w:left w:val="single" w:sz="6" w:space="0" w:color="auto"/>
              <w:right w:val="single" w:sz="6" w:space="0" w:color="auto"/>
            </w:tcBorders>
            <w:vAlign w:val="center"/>
          </w:tcPr>
          <w:p>
            <w:pPr>
              <w:pStyle w:val="19"/>
            </w:pPr>
            <w:r>
              <w:t>156.50</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155.37</w:t>
            </w:r>
          </w:p>
        </w:tc>
        <w:tc>
          <w:tcPr>
            <w:tcW w:w="2551" w:type="dxa"/>
            <w:tcBorders>
              <w:left w:val="single" w:sz="6" w:space="0" w:color="auto"/>
              <w:right w:val="single" w:sz="6" w:space="0" w:color="auto"/>
            </w:tcBorders>
            <w:vAlign w:val="center"/>
          </w:tcPr>
          <w:p>
            <w:pPr>
              <w:pStyle w:val="19"/>
            </w:pPr>
            <w:r>
              <w:t>155.37</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1.13</w:t>
            </w:r>
          </w:p>
        </w:tc>
        <w:tc>
          <w:tcPr>
            <w:tcW w:w="2551" w:type="dxa"/>
            <w:tcBorders>
              <w:left w:val="single" w:sz="6" w:space="0" w:color="auto"/>
              <w:right w:val="single" w:sz="6" w:space="0" w:color="auto"/>
            </w:tcBorders>
            <w:vAlign w:val="center"/>
          </w:tcPr>
          <w:p>
            <w:pPr>
              <w:pStyle w:val="19"/>
            </w:pPr>
            <w:r>
              <w:t>1.13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55.00</w:t>
            </w:r>
          </w:p>
        </w:tc>
        <w:tc>
          <w:tcPr>
            <w:tcW w:w="2381" w:type="dxa"/>
            <w:tcBorders>
              <w:left w:val="single" w:sz="6" w:space="0" w:color="auto"/>
              <w:right w:val="single" w:sz="6" w:space="0" w:color="auto"/>
            </w:tcBorders>
            <w:vAlign w:val="center"/>
          </w:tcPr>
          <w:p>
            <w:pPr>
              <w:pStyle w:val="23"/>
            </w:pPr>
            <w:r>
              <w:t>55.00</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r>
              <w:t>10.00</w:t>
            </w:r>
          </w:p>
        </w:tc>
        <w:tc>
          <w:tcPr>
            <w:tcW w:w="2381" w:type="dxa"/>
            <w:tcBorders>
              <w:left w:val="single" w:sz="6" w:space="0" w:color="auto"/>
              <w:right w:val="single" w:sz="6" w:space="0" w:color="auto"/>
            </w:tcBorders>
            <w:vAlign w:val="center"/>
          </w:tcPr>
          <w:p>
            <w:pPr>
              <w:pStyle w:val="19"/>
            </w:pPr>
            <w:r>
              <w:t>10.00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40.00</w:t>
            </w:r>
          </w:p>
        </w:tc>
        <w:tc>
          <w:tcPr>
            <w:tcW w:w="2381" w:type="dxa"/>
            <w:tcBorders>
              <w:left w:val="single" w:sz="6" w:space="0" w:color="auto"/>
              <w:right w:val="single" w:sz="6" w:space="0" w:color="auto"/>
            </w:tcBorders>
            <w:vAlign w:val="center"/>
          </w:tcPr>
          <w:p>
            <w:pPr>
              <w:pStyle w:val="19"/>
            </w:pPr>
            <w:r>
              <w:t>40.00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唐山市丰南区商务和投资促进局本级2025年单位预算信息公开情况说明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按照《中华人民共和国预算法》、《地方预决算公开操作规程》和《关于进一步推进预算公开工作的实施意见》规定，现将唐山市丰南区商务和投资促进局本级2025年单位预算公开如下：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pStyle w:val="25"/>
      </w:pPr>
      <w:r>
        <w:t>（二）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25"/>
      </w:pPr>
      <w:r>
        <w:t>（三）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25"/>
      </w:pPr>
      <w:r>
        <w:t>（四）牵头推进商务领域信用体系建设，规范商贸企业交易行为。牵头推动重要产品追溯体系建设。按有关规定对特殊流通行业进行监督管理。</w:t>
      </w:r>
    </w:p>
    <w:p>
      <w:pPr>
        <w:pStyle w:val="25"/>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25"/>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25"/>
      </w:pPr>
      <w:r>
        <w:t>（七）贯彻执行国家和省市区对外技术贸易、进出口管制以及鼓励技术和成套设备进出口的贸易政策；拟定和推进全区科技兴贸战略；依法监督技术引进、设备进口、国家和省市区限制出口技术的工作。</w:t>
      </w:r>
    </w:p>
    <w:p>
      <w:pPr>
        <w:pStyle w:val="25"/>
      </w:pPr>
      <w:r>
        <w:t>（八）会同有关部门贯彻执行国家和省市区促进服务出口和服务外包发展的规划、政策，牵头拟订全区服务贸易发展规划并组织实施。</w:t>
      </w:r>
    </w:p>
    <w:p>
      <w:pPr>
        <w:pStyle w:val="25"/>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25"/>
      </w:pPr>
      <w:r>
        <w:t>（十）负责全区对外经济合作工作。执行对外经济合作政策，依法管理和监督对外投资、对外承包工程、对外劳务合作等；指导外派劳务和境外就业人员的权益保护工作；指导全区对外投资和经济合作促进工作。</w:t>
      </w:r>
    </w:p>
    <w:p>
      <w:pPr>
        <w:pStyle w:val="25"/>
      </w:pPr>
      <w:r>
        <w:t>（十一）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5"/>
      </w:pPr>
      <w:r>
        <w:t>（十二）负责全区商务系统涉及世贸组织相关事务的研究、指导和服务工作，配合商务部和商务厅、市商务局解决世贸组织框架下涉及全区的贸易争端，负责推进全区进出口贸易的标准化建设。</w:t>
      </w:r>
    </w:p>
    <w:p>
      <w:pPr>
        <w:pStyle w:val="25"/>
      </w:pPr>
      <w:r>
        <w:t>（十三）贯彻执行国家和省市区制定的对自由贸易区国家和省市和地区的经贸规划、政策，并组织实施；管理联合国及其他国际组织或外国政府对全区经济技术合作方面的无偿援助及赠款等发展合作业务。</w:t>
      </w:r>
    </w:p>
    <w:p>
      <w:pPr>
        <w:pStyle w:val="25"/>
      </w:pPr>
      <w:r>
        <w:t>（十四）指导、管理境内外对外经济技术展览会和赴境外非商业性办展活动。</w:t>
      </w:r>
    </w:p>
    <w:p>
      <w:pPr>
        <w:pStyle w:val="25"/>
      </w:pPr>
      <w:r>
        <w:t>（十五）监测分析全区商务运行情况，承担全区商务系统对外宣传和信息发布工作。</w:t>
      </w:r>
    </w:p>
    <w:p>
      <w:pPr>
        <w:pStyle w:val="25"/>
      </w:pPr>
      <w:r>
        <w:t>（十六）负责监督管理所属企业国有资产；负责企业职工安置管理与服务。</w:t>
      </w:r>
    </w:p>
    <w:p>
      <w:pPr>
        <w:pStyle w:val="25"/>
      </w:pPr>
      <w:r>
        <w:t>（十七）承办区政府交办的其他事项。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唐山市丰南区商务和投资促进局本级</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2529.78万元，其中：一般公共预算收入1400.81万元，基金预算收入0.00万元，国有资本经营预算收入0.00万元，财政专户核拨收入0.00万元，单位资金收入0.00万元，上年结转结余1128.97万元。</w:t>
      </w:r>
    </w:p>
    <w:p>
      <w:pPr>
        <w:pStyle w:val="26"/>
      </w:pPr>
      <w:r>
        <w:t>2、支出说明</w:t>
      </w:r>
    </w:p>
    <w:p>
      <w:pPr>
        <w:pStyle w:val="26"/>
      </w:pPr>
      <w:r>
        <w:t>收支预算总表支出栏、基本支出表、项目支出表按经济分类和支出功能分类科目编制，反映唐山市丰南区商务和投资促进局本级年度单位预算中支出预算的总体情况。2025年支出预算2529.78万元，其中基本支出813.81万元，包括人员经费761.31万元和日常公用经费52.50万元；项目支出1715.97万元，主要为招商经费等。</w:t>
      </w:r>
    </w:p>
    <w:p>
      <w:pPr>
        <w:pStyle w:val="26"/>
      </w:pPr>
      <w:r>
        <w:t>3、比上年增减情况</w:t>
      </w:r>
    </w:p>
    <w:p>
      <w:pPr>
        <w:pStyle w:val="26"/>
      </w:pPr>
      <w:r>
        <w:t>2025年预算收支安排2529.78万元，较2024年预算增加132.28万元，其中：基本支出减少8.90万元，主要为人员经费减少，公用经费减少。项目支出增加141.18万元，主要为2024年中央外经贸发展资金（对外投资合作项目）（唐财建【2024】79号）等。</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2025年，我单位机关运行经费共计安排52.50万元，主要用于日常维修、办公用房水电费、办公用房取暖费、办公用房物业管理费等日常运行支出。</w:t>
      </w:r>
      <w:bookmarkStart w:id="1" w:name="_GoBack"/>
      <w:bookmarkEnd w:id="1"/>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55.00万元，其中因公出国（境）费10.00万元；公务用车购置及运维费5.00万元（其中：公务用车购置费为0.00万元，公务用车运维费5.00万元)；公务接待费40.00万元。与2024年相比减少15.00万元，增减变化的主要原因是公务接待费减少。</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1、2022年第二批省商贸流通发展专项资金（唐财建【2023】113号）绩效目标表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13020724P00BDB210010P</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2022年第二批省商贸流通发展专项资金（唐财建【2023】113号）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112.00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112.00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2022年第二批省商贸流通发展专项资金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与文件一致</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≤112万元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2、2024年市场统计监测资金（唐财建【2024】65号）</w:t>
        <w:tab/>
      </w:r>
    </w:p>
    <w:p>
      <w:pPr>
        <w:shd w:val="clear" w:color="auto" w:fill="auto"/>
        <w:spacing w:before="0" w:after="0"/>
        <w:ind w:firstLine="560"/>
        <w:jc w:val="left"/>
        <w:outlineLvl w:val="9"/>
      </w:pPr>
      <w:r>
        <w:rPr>
          <w:rFonts w:ascii="方正仿宋_GBK" w:eastAsia="方正仿宋_GBK" w:cs="方正仿宋_GBK" w:hAnsi="方正仿宋_GBK"/>
          <w:b/>
          <w:color w:val="000000"/>
          <w:sz w:val="28"/>
        </w:rPr>
        <w:t>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13020724P004NR010014K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2024年市场统计监测资金（唐财建【2024】65号）</w:t>
              <w:tab/>
            </w:r>
          </w:p>
          <w:p>
            <w:pPr>
              <w:pStyle w:val="20"/>
            </w:pP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0.20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0.20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2024年市场统计监测资金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1.及时拨付补贴，调动企业数据填报的积极性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151家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≤30.2万元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3、2024年市级出口信用保险专项资金（唐财建【2024】140号）绩效目标表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13020724P00BDB210008Q</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2024年市级出口信用保险专项资金（唐财建【2024】140号）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78.77</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78.77</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市级出口信用保险</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10家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≤78.77万元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4、2024年中央外经贸发展专项资金（外贸基地公共服务平台建设）（唐财建【2024】146号）绩效目标表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13020724P00001210007U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2024年中央外经贸发展专项资金（外贸基地公共服务平台建设）（唐财建【2024】146号）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96.42</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96.42</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中央外经贸发展专项资金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1家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≤96.42万元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5、2024年中央外经贸发展专项资金（外贸企业开拓国际市场）（唐财建【2024】126号）绩效目标表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13020724P000012100068</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2024年中央外经贸发展专项资金（外贸企业开拓国际市场）（唐财建【2024】126号）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中央外经贸发展资金（外贸企业开拓国际市场）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4家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≤20万元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6、2024年中央外经贸发展资金（对外投资合作项目）（唐财建【2024】79号）绩效目标表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13020724P004NR0100157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2024年中央外经贸发展资金（对外投资合作项目）（唐财建【2024】79号）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671.58</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671.58</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2024年中央外经贸发展资金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2家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≤671.58万元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7、2024年中央外经贸发展资金（推动服务贸易创新发展项目）（唐财建【2024】106号）绩效目标表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13020724P00BDB2100075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2024年中央外经贸发展资金（推动服务贸易创新发展项目）（唐财建【2024】106号）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2024年中央外经贸发展资金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1家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≤150万元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8、机关运转经费（物业管理费）绩效目标表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13020725P00D2PR100069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机关运转经费（物业管理费）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主要用于支付保洁和物业管理维修费</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物业保洁面积</w:t>
            </w:r>
          </w:p>
        </w:tc>
        <w:tc>
          <w:tcPr>
            <w:tcW w:w="5386" w:type="dxa"/>
            <w:tcBorders>
              <w:left w:val="single" w:sz="6" w:space="0" w:color="auto"/>
              <w:right w:val="single" w:sz="6" w:space="0" w:color="auto"/>
            </w:tcBorders>
            <w:vAlign w:val="center"/>
          </w:tcPr>
          <w:p>
            <w:pPr>
              <w:pStyle w:val="20"/>
            </w:pPr>
            <w:r>
              <w:t>反映物业保洁面积情况</w:t>
            </w:r>
          </w:p>
        </w:tc>
        <w:tc>
          <w:tcPr>
            <w:tcW w:w="2268" w:type="dxa"/>
            <w:tcBorders>
              <w:left w:val="single" w:sz="6" w:space="0" w:color="auto"/>
              <w:right w:val="single" w:sz="6" w:space="0" w:color="auto"/>
            </w:tcBorders>
            <w:vAlign w:val="center"/>
          </w:tcPr>
          <w:p>
            <w:pPr>
              <w:pStyle w:val="20"/>
            </w:pPr>
            <w:r>
              <w:t>达到合同要求</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经费及时保障</w:t>
            </w:r>
          </w:p>
        </w:tc>
        <w:tc>
          <w:tcPr>
            <w:tcW w:w="5386" w:type="dxa"/>
            <w:tcBorders>
              <w:left w:val="single" w:sz="6" w:space="0" w:color="auto"/>
              <w:right w:val="single" w:sz="6" w:space="0" w:color="auto"/>
            </w:tcBorders>
            <w:vAlign w:val="center"/>
          </w:tcPr>
          <w:p>
            <w:pPr>
              <w:pStyle w:val="20"/>
            </w:pPr>
            <w:r>
              <w:t>经费规定时间内支付到位情况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物业管理总成本</w:t>
            </w:r>
          </w:p>
        </w:tc>
        <w:tc>
          <w:tcPr>
            <w:tcW w:w="5386" w:type="dxa"/>
            <w:tcBorders>
              <w:left w:val="single" w:sz="6" w:space="0" w:color="auto"/>
              <w:right w:val="single" w:sz="6" w:space="0" w:color="auto"/>
            </w:tcBorders>
            <w:vAlign w:val="center"/>
          </w:tcPr>
          <w:p>
            <w:pPr>
              <w:pStyle w:val="20"/>
            </w:pPr>
            <w:r>
              <w:t>反映物业管理总成本情况</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保障机关正常运转</w:t>
            </w:r>
          </w:p>
        </w:tc>
        <w:tc>
          <w:tcPr>
            <w:tcW w:w="5386" w:type="dxa"/>
            <w:tcBorders>
              <w:left w:val="single" w:sz="6" w:space="0" w:color="auto"/>
              <w:right w:val="single" w:sz="6" w:space="0" w:color="auto"/>
            </w:tcBorders>
            <w:vAlign w:val="center"/>
          </w:tcPr>
          <w:p>
            <w:pPr>
              <w:pStyle w:val="20"/>
            </w:pPr>
            <w:r>
              <w:t>反映保障机关正常运转情况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反映服务对象满意程度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9、劳务派遣人员经费（劳务费）绩效目标表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13020725P000022102074</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用于支付劳务派遣的工资、保险等费用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1.及时发放劳务派遣人员工资。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17人</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文件规定</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10、劳务外包经费绩效目标表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13020725P0086X610009M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劳务外包经费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16.00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16.00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劳务外包服务费用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1.缓解单位人员不足情况，保障机关正常运转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劳务外包人数</w:t>
            </w:r>
          </w:p>
        </w:tc>
        <w:tc>
          <w:tcPr>
            <w:tcW w:w="5386" w:type="dxa"/>
            <w:tcBorders>
              <w:left w:val="single" w:sz="6" w:space="0" w:color="auto"/>
              <w:right w:val="single" w:sz="6" w:space="0" w:color="auto"/>
            </w:tcBorders>
            <w:vAlign w:val="center"/>
          </w:tcPr>
          <w:p>
            <w:pPr>
              <w:pStyle w:val="20"/>
            </w:pPr>
            <w:r>
              <w:t>反映外派我单位人数情况</w:t>
            </w:r>
          </w:p>
        </w:tc>
        <w:tc>
          <w:tcPr>
            <w:tcW w:w="2268" w:type="dxa"/>
            <w:tcBorders>
              <w:left w:val="single" w:sz="6" w:space="0" w:color="auto"/>
              <w:right w:val="single" w:sz="6" w:space="0" w:color="auto"/>
            </w:tcBorders>
            <w:vAlign w:val="center"/>
          </w:tcPr>
          <w:p>
            <w:pPr>
              <w:pStyle w:val="20"/>
            </w:pPr>
            <w:r>
              <w:t>3人</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验收合格率</w:t>
            </w:r>
          </w:p>
        </w:tc>
        <w:tc>
          <w:tcPr>
            <w:tcW w:w="5386" w:type="dxa"/>
            <w:tcBorders>
              <w:left w:val="single" w:sz="6" w:space="0" w:color="auto"/>
              <w:right w:val="single" w:sz="6" w:space="0" w:color="auto"/>
            </w:tcBorders>
            <w:vAlign w:val="center"/>
          </w:tcPr>
          <w:p>
            <w:pPr>
              <w:pStyle w:val="20"/>
            </w:pPr>
            <w:r>
              <w:t>达到合同约定的所有服务内容</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工作按时完成率</w:t>
            </w:r>
          </w:p>
        </w:tc>
        <w:tc>
          <w:tcPr>
            <w:tcW w:w="5386" w:type="dxa"/>
            <w:tcBorders>
              <w:left w:val="single" w:sz="6" w:space="0" w:color="auto"/>
              <w:right w:val="single" w:sz="6" w:space="0" w:color="auto"/>
            </w:tcBorders>
            <w:vAlign w:val="center"/>
          </w:tcPr>
          <w:p>
            <w:pPr>
              <w:pStyle w:val="20"/>
            </w:pPr>
            <w:r>
              <w:t>反映整体工作及时情况</w:t>
            </w:r>
          </w:p>
        </w:tc>
        <w:tc>
          <w:tcPr>
            <w:tcW w:w="2268" w:type="dxa"/>
            <w:tcBorders>
              <w:left w:val="single" w:sz="6" w:space="0" w:color="auto"/>
              <w:right w:val="single" w:sz="6" w:space="0" w:color="auto"/>
            </w:tcBorders>
            <w:vAlign w:val="center"/>
          </w:tcPr>
          <w:p>
            <w:pPr>
              <w:pStyle w:val="20"/>
            </w:pPr>
            <w:r>
              <w:t>按时完成</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费用总量</w:t>
            </w:r>
          </w:p>
        </w:tc>
        <w:tc>
          <w:tcPr>
            <w:tcW w:w="5386" w:type="dxa"/>
            <w:tcBorders>
              <w:left w:val="single" w:sz="6" w:space="0" w:color="auto"/>
              <w:right w:val="single" w:sz="6" w:space="0" w:color="auto"/>
            </w:tcBorders>
            <w:vAlign w:val="center"/>
          </w:tcPr>
          <w:p>
            <w:pPr>
              <w:pStyle w:val="20"/>
            </w:pPr>
            <w:r>
              <w:t>反映总体费用情况</w:t>
            </w:r>
          </w:p>
        </w:tc>
        <w:tc>
          <w:tcPr>
            <w:tcW w:w="2268" w:type="dxa"/>
            <w:tcBorders>
              <w:left w:val="single" w:sz="6" w:space="0" w:color="auto"/>
              <w:right w:val="single" w:sz="6" w:space="0" w:color="auto"/>
            </w:tcBorders>
            <w:vAlign w:val="center"/>
          </w:tcPr>
          <w:p>
            <w:pPr>
              <w:pStyle w:val="20"/>
            </w:pPr>
            <w:r>
              <w:t>≤16万元</w:t>
            </w:r>
          </w:p>
        </w:tc>
        <w:tc>
          <w:tcPr>
            <w:tcW w:w="1276" w:type="dxa"/>
            <w:vAlign w:val="center"/>
          </w:tcPr>
          <w:p>
            <w:pPr>
              <w:pStyle w:val="20"/>
            </w:pPr>
            <w:r>
              <w:t>政策文件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保障机关正常运转</w:t>
            </w:r>
          </w:p>
        </w:tc>
        <w:tc>
          <w:tcPr>
            <w:tcW w:w="5386" w:type="dxa"/>
            <w:tcBorders>
              <w:left w:val="single" w:sz="6" w:space="0" w:color="auto"/>
              <w:right w:val="single" w:sz="6" w:space="0" w:color="auto"/>
            </w:tcBorders>
            <w:vAlign w:val="center"/>
          </w:tcPr>
          <w:p>
            <w:pPr>
              <w:pStyle w:val="20"/>
            </w:pPr>
            <w:r>
              <w:t>反映保障机关正常运转情况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11、商业总公司企业改制遗留问题资金绩效目标表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13020725P0086X6100101</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商业总公司企业改制遗留问题资金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改制人员工资75万，保险及住房公积金45万，取暖费5万，奖励性绩效12万，福利费1.5万元，老干部慰问2万，体检费3.5万，军转干慰问1万元，遗属补助3万，报刊费0.5万，独生子女父母退休一次性奖励1.5万。</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1.及时发放企业改制人员工资。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发放人数</w:t>
            </w:r>
          </w:p>
        </w:tc>
        <w:tc>
          <w:tcPr>
            <w:tcW w:w="5386" w:type="dxa"/>
            <w:tcBorders>
              <w:left w:val="single" w:sz="6" w:space="0" w:color="auto"/>
              <w:right w:val="single" w:sz="6" w:space="0" w:color="auto"/>
            </w:tcBorders>
            <w:vAlign w:val="center"/>
          </w:tcPr>
          <w:p>
            <w:pPr>
              <w:pStyle w:val="20"/>
            </w:pPr>
            <w:r>
              <w:t>反映发放工资人数情况</w:t>
            </w:r>
          </w:p>
        </w:tc>
        <w:tc>
          <w:tcPr>
            <w:tcW w:w="2268" w:type="dxa"/>
            <w:tcBorders>
              <w:left w:val="single" w:sz="6" w:space="0" w:color="auto"/>
              <w:right w:val="single" w:sz="6" w:space="0" w:color="auto"/>
            </w:tcBorders>
            <w:vAlign w:val="center"/>
          </w:tcPr>
          <w:p>
            <w:pPr>
              <w:pStyle w:val="20"/>
            </w:pPr>
            <w:r>
              <w:t>7人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发放工资（补助）总金额</w:t>
            </w:r>
          </w:p>
        </w:tc>
        <w:tc>
          <w:tcPr>
            <w:tcW w:w="5386" w:type="dxa"/>
            <w:tcBorders>
              <w:left w:val="single" w:sz="6" w:space="0" w:color="auto"/>
              <w:right w:val="single" w:sz="6" w:space="0" w:color="auto"/>
            </w:tcBorders>
            <w:vAlign w:val="center"/>
          </w:tcPr>
          <w:p>
            <w:pPr>
              <w:pStyle w:val="20"/>
            </w:pPr>
            <w:r>
              <w:t>反映支付人员工资（补助）总金额情况</w:t>
            </w:r>
          </w:p>
        </w:tc>
        <w:tc>
          <w:tcPr>
            <w:tcW w:w="2268" w:type="dxa"/>
            <w:tcBorders>
              <w:left w:val="single" w:sz="6" w:space="0" w:color="auto"/>
              <w:right w:val="single" w:sz="6" w:space="0" w:color="auto"/>
            </w:tcBorders>
            <w:vAlign w:val="center"/>
          </w:tcPr>
          <w:p>
            <w:pPr>
              <w:pStyle w:val="20"/>
            </w:pPr>
            <w:r>
              <w:t>≤150万元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12、提前下达2025年吸引外商投资奖励资金（唐财建【2024】143号）绩效目标表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13020725P00BDB210009T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提前下达2025年吸引外商投资奖励资金（唐财建【2024】143号）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吸引外商投资奖励资金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享受补贴的企业项目数量</w:t>
            </w:r>
          </w:p>
        </w:tc>
        <w:tc>
          <w:tcPr>
            <w:tcW w:w="5386" w:type="dxa"/>
            <w:tcBorders>
              <w:left w:val="single" w:sz="6" w:space="0" w:color="auto"/>
              <w:right w:val="single" w:sz="6" w:space="0" w:color="auto"/>
            </w:tcBorders>
            <w:vAlign w:val="center"/>
          </w:tcPr>
          <w:p>
            <w:pPr>
              <w:pStyle w:val="20"/>
            </w:pPr>
            <w:r>
              <w:t>反映符合补贴政策的企业项目数量</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≤80万元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13、退役军人公益性岗位安置费用绩效目标表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13020725P0086X610011L</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退役军人公益岗全年工资29万元、保险26万元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1.及时发放公益岗人员工资。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享受公益性岗位补贴人数</w:t>
            </w:r>
          </w:p>
        </w:tc>
        <w:tc>
          <w:tcPr>
            <w:tcW w:w="5386" w:type="dxa"/>
            <w:tcBorders>
              <w:left w:val="single" w:sz="6" w:space="0" w:color="auto"/>
              <w:right w:val="single" w:sz="6" w:space="0" w:color="auto"/>
            </w:tcBorders>
            <w:vAlign w:val="center"/>
          </w:tcPr>
          <w:p>
            <w:pPr>
              <w:pStyle w:val="20"/>
            </w:pPr>
            <w:r>
              <w:t>反映签订公益性岗位合同人数情况</w:t>
            </w:r>
          </w:p>
        </w:tc>
        <w:tc>
          <w:tcPr>
            <w:tcW w:w="2268" w:type="dxa"/>
            <w:tcBorders>
              <w:left w:val="single" w:sz="6" w:space="0" w:color="auto"/>
              <w:right w:val="single" w:sz="6" w:space="0" w:color="auto"/>
            </w:tcBorders>
            <w:vAlign w:val="center"/>
          </w:tcPr>
          <w:p>
            <w:pPr>
              <w:pStyle w:val="20"/>
            </w:pPr>
            <w:r>
              <w:t>19人</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≥1210元/月</w:t>
            </w:r>
          </w:p>
        </w:tc>
        <w:tc>
          <w:tcPr>
            <w:tcW w:w="1276" w:type="dxa"/>
            <w:vAlign w:val="center"/>
          </w:tcPr>
          <w:p>
            <w:pPr>
              <w:pStyle w:val="20"/>
            </w:pPr>
            <w:r>
              <w:t>文件规定</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p>
            <w:pPr>
              <w:pStyle w:val="20"/>
            </w:pP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14、招商经费绩效目标表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13020725P000018100055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招商经费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邀请知名企业参加的洽谈会开展的客商洽谈会以及参加各个省、直辖市承办的招商洽谈会议20万元；北京招商处人员伙食补助、往返车票、办公用房的租赁费以及赴外省招商所发生的差旅费等45万元；接待客商食宿40万元；参加上级组织的业务培训及自行组织的招商人员业务培训等2万元；购买办公用品15万元；租车、市内交通费用5万元；招商手册、彩页的印刷30万元；定制宣传展牌展板、宣传光盘、宣传画册、条幅等宣传材料及招商中心租花摆放等23万元；固定电话、邮寄资料及建立网络平台、网络平台续费2万元；购买电脑等固定资产5万元；固定资产修理及维护，网络信息系统运行与维护3万元；参加省商务厅、市商务局组织的出国访问活动10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招商签约数量</w:t>
            </w:r>
          </w:p>
        </w:tc>
        <w:tc>
          <w:tcPr>
            <w:tcW w:w="5386" w:type="dxa"/>
            <w:tcBorders>
              <w:left w:val="single" w:sz="6" w:space="0" w:color="auto"/>
              <w:right w:val="single" w:sz="6" w:space="0" w:color="auto"/>
            </w:tcBorders>
            <w:vAlign w:val="center"/>
          </w:tcPr>
          <w:p>
            <w:pPr>
              <w:pStyle w:val="20"/>
            </w:pPr>
            <w:r>
              <w:t>招商计划组织实施</w:t>
            </w:r>
          </w:p>
        </w:tc>
        <w:tc>
          <w:tcPr>
            <w:tcW w:w="2268" w:type="dxa"/>
            <w:tcBorders>
              <w:left w:val="single" w:sz="6" w:space="0" w:color="auto"/>
              <w:right w:val="single" w:sz="6" w:space="0" w:color="auto"/>
            </w:tcBorders>
            <w:vAlign w:val="center"/>
          </w:tcPr>
          <w:p>
            <w:pPr>
              <w:pStyle w:val="20"/>
            </w:pPr>
            <w:r>
              <w:t>≥9个</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招商项目落地个数</w:t>
            </w:r>
          </w:p>
        </w:tc>
        <w:tc>
          <w:tcPr>
            <w:tcW w:w="5386" w:type="dxa"/>
            <w:tcBorders>
              <w:left w:val="single" w:sz="6" w:space="0" w:color="auto"/>
              <w:right w:val="single" w:sz="6" w:space="0" w:color="auto"/>
            </w:tcBorders>
            <w:vAlign w:val="center"/>
          </w:tcPr>
          <w:p>
            <w:pPr>
              <w:pStyle w:val="20"/>
            </w:pPr>
            <w:r>
              <w:t>招商项目个数</w:t>
            </w:r>
          </w:p>
        </w:tc>
        <w:tc>
          <w:tcPr>
            <w:tcW w:w="2268" w:type="dxa"/>
            <w:tcBorders>
              <w:left w:val="single" w:sz="6" w:space="0" w:color="auto"/>
              <w:right w:val="single" w:sz="6" w:space="0" w:color="auto"/>
            </w:tcBorders>
            <w:vAlign w:val="center"/>
          </w:tcPr>
          <w:p>
            <w:pPr>
              <w:pStyle w:val="20"/>
            </w:pPr>
            <w:r>
              <w:t>≥9个</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项目完成时限</w:t>
            </w:r>
          </w:p>
        </w:tc>
        <w:tc>
          <w:tcPr>
            <w:tcW w:w="5386" w:type="dxa"/>
            <w:tcBorders>
              <w:left w:val="single" w:sz="6" w:space="0" w:color="auto"/>
              <w:right w:val="single" w:sz="6" w:space="0" w:color="auto"/>
            </w:tcBorders>
            <w:vAlign w:val="center"/>
          </w:tcPr>
          <w:p>
            <w:pPr>
              <w:pStyle w:val="20"/>
            </w:pPr>
            <w:r>
              <w:t>招商项目完成时限</w:t>
            </w:r>
          </w:p>
        </w:tc>
        <w:tc>
          <w:tcPr>
            <w:tcW w:w="2268" w:type="dxa"/>
            <w:tcBorders>
              <w:left w:val="single" w:sz="6" w:space="0" w:color="auto"/>
              <w:right w:val="single" w:sz="6" w:space="0" w:color="auto"/>
            </w:tcBorders>
            <w:vAlign w:val="center"/>
          </w:tcPr>
          <w:p>
            <w:pPr>
              <w:pStyle w:val="20"/>
            </w:pPr>
            <w:r>
              <w:t>年底前</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招商经费控制情况</w:t>
            </w:r>
          </w:p>
        </w:tc>
        <w:tc>
          <w:tcPr>
            <w:tcW w:w="5386" w:type="dxa"/>
            <w:tcBorders>
              <w:left w:val="single" w:sz="6" w:space="0" w:color="auto"/>
              <w:right w:val="single" w:sz="6" w:space="0" w:color="auto"/>
            </w:tcBorders>
            <w:vAlign w:val="center"/>
          </w:tcPr>
          <w:p>
            <w:pPr>
              <w:pStyle w:val="20"/>
            </w:pPr>
            <w:r>
              <w:t>招商经费低于上年</w:t>
            </w:r>
          </w:p>
        </w:tc>
        <w:tc>
          <w:tcPr>
            <w:tcW w:w="2268" w:type="dxa"/>
            <w:tcBorders>
              <w:left w:val="single" w:sz="6" w:space="0" w:color="auto"/>
              <w:right w:val="single" w:sz="6" w:space="0" w:color="auto"/>
            </w:tcBorders>
            <w:vAlign w:val="center"/>
          </w:tcPr>
          <w:p>
            <w:pPr>
              <w:pStyle w:val="20"/>
            </w:pPr>
            <w:r>
              <w:t>有效控制</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反映服务对象满意程度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唐山市丰南区商务和投资促进局本级上年末固定资产金额为146.71万元（详见下表）。本年度拟购置固定资产总额为5.00万元，已按要求列入政府采购预算，详见政府采购预算表。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146.71</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35.36</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556</w:t>
            </w:r>
          </w:p>
        </w:tc>
        <w:tc>
          <w:tcPr>
            <w:tcW w:w="2835" w:type="dxa"/>
            <w:vAlign w:val="center"/>
          </w:tcPr>
          <w:p>
            <w:pPr>
              <w:pStyle w:val="19"/>
            </w:pPr>
            <w:r>
              <w:t>111.35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36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150">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C38A710B-A86E-4472-A9F8-08DB6A1D540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37</Pages>
  <Words>0</Words>
  <Characters>13863</Characters>
  <Lines>0</Lines>
  <Paragraphs>164</Paragraphs>
  <CharactersWithSpaces>18484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2025-01-21T13:31:35Z</dcterms:created>
  <dcterms:modified xsi:type="dcterms:W3CDTF">2025-02-06T08:43:51Z</dcterms:modified>
</cp:coreProperties>
</file>