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5510.48</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r>
              <w:t>7.08</w:t>
            </w: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152.22</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90.51</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r>
              <w:t>6186.11</w:t>
            </w: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86.32</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5510.48</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6522.24</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r>
              <w:t>1011.76</w:t>
            </w: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6522.24</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6522.24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6522.24</w:t>
            </w:r>
          </w:p>
        </w:tc>
        <w:tc>
          <w:tcPr>
            <w:tcW w:w="1134" w:type="dxa"/>
            <w:tcBorders>
              <w:left w:val="single" w:sz="6" w:space="0" w:color="auto"/>
              <w:right w:val="single" w:sz="6" w:space="0" w:color="auto"/>
            </w:tcBorders>
            <w:vAlign w:val="center"/>
          </w:tcPr>
          <w:p>
            <w:pPr>
              <w:pStyle w:val="23"/>
            </w:pPr>
            <w:r>
              <w:t>5510.48</w:t>
            </w:r>
          </w:p>
        </w:tc>
        <w:tc>
          <w:tcPr>
            <w:tcW w:w="1134" w:type="dxa"/>
            <w:tcBorders>
              <w:left w:val="single" w:sz="6" w:space="0" w:color="auto"/>
              <w:right w:val="single" w:sz="6" w:space="0" w:color="auto"/>
            </w:tcBorders>
            <w:vAlign w:val="center"/>
          </w:tcPr>
          <w:p>
            <w:pPr>
              <w:pStyle w:val="23"/>
            </w:pPr>
            <w:r>
              <w:t>5510.48</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r>
              <w:t>1011.76</w:t>
            </w: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204</w:t>
            </w:r>
          </w:p>
        </w:tc>
        <w:tc>
          <w:tcPr>
            <w:tcW w:w="1559" w:type="dxa"/>
            <w:tcBorders>
              <w:left w:val="single" w:sz="6" w:space="0" w:color="auto"/>
              <w:right w:val="single" w:sz="6" w:space="0" w:color="auto"/>
            </w:tcBorders>
            <w:vAlign w:val="center"/>
          </w:tcPr>
          <w:p>
            <w:pPr>
              <w:pStyle w:val="20"/>
            </w:pPr>
            <w:r>
              <w:t>公共安全支出</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20402</w:t>
            </w:r>
          </w:p>
        </w:tc>
        <w:tc>
          <w:tcPr>
            <w:tcW w:w="1559" w:type="dxa"/>
            <w:tcBorders>
              <w:left w:val="single" w:sz="6" w:space="0" w:color="auto"/>
              <w:right w:val="single" w:sz="6" w:space="0" w:color="auto"/>
            </w:tcBorders>
            <w:vAlign w:val="center"/>
          </w:tcPr>
          <w:p>
            <w:pPr>
              <w:pStyle w:val="20"/>
            </w:pPr>
            <w:r>
              <w:t>公安</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2040201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r>
              <w:t>7.08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152.22</w:t>
            </w:r>
          </w:p>
        </w:tc>
        <w:tc>
          <w:tcPr>
            <w:tcW w:w="1134" w:type="dxa"/>
            <w:tcBorders>
              <w:left w:val="single" w:sz="6" w:space="0" w:color="auto"/>
              <w:right w:val="single" w:sz="6" w:space="0" w:color="auto"/>
            </w:tcBorders>
            <w:vAlign w:val="center"/>
          </w:tcPr>
          <w:p>
            <w:pPr>
              <w:pStyle w:val="19"/>
            </w:pPr>
            <w:r>
              <w:t>152.22</w:t>
            </w:r>
          </w:p>
        </w:tc>
        <w:tc>
          <w:tcPr>
            <w:tcW w:w="1134" w:type="dxa"/>
            <w:tcBorders>
              <w:left w:val="single" w:sz="6" w:space="0" w:color="auto"/>
              <w:right w:val="single" w:sz="6" w:space="0" w:color="auto"/>
            </w:tcBorders>
            <w:vAlign w:val="center"/>
          </w:tcPr>
          <w:p>
            <w:pPr>
              <w:pStyle w:val="19"/>
            </w:pPr>
            <w:r>
              <w:t>152.22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152.22</w:t>
            </w:r>
          </w:p>
        </w:tc>
        <w:tc>
          <w:tcPr>
            <w:tcW w:w="1134" w:type="dxa"/>
            <w:tcBorders>
              <w:left w:val="single" w:sz="6" w:space="0" w:color="auto"/>
              <w:right w:val="single" w:sz="6" w:space="0" w:color="auto"/>
            </w:tcBorders>
            <w:vAlign w:val="center"/>
          </w:tcPr>
          <w:p>
            <w:pPr>
              <w:pStyle w:val="19"/>
            </w:pPr>
            <w:r>
              <w:t>152.22</w:t>
            </w:r>
          </w:p>
        </w:tc>
        <w:tc>
          <w:tcPr>
            <w:tcW w:w="1134" w:type="dxa"/>
            <w:tcBorders>
              <w:left w:val="single" w:sz="6" w:space="0" w:color="auto"/>
              <w:right w:val="single" w:sz="6" w:space="0" w:color="auto"/>
            </w:tcBorders>
            <w:vAlign w:val="center"/>
          </w:tcPr>
          <w:p>
            <w:pPr>
              <w:pStyle w:val="19"/>
            </w:pPr>
            <w:r>
              <w:t>152.22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46.20</w:t>
            </w:r>
          </w:p>
        </w:tc>
        <w:tc>
          <w:tcPr>
            <w:tcW w:w="1134" w:type="dxa"/>
            <w:tcBorders>
              <w:left w:val="single" w:sz="6" w:space="0" w:color="auto"/>
              <w:right w:val="single" w:sz="6" w:space="0" w:color="auto"/>
            </w:tcBorders>
            <w:vAlign w:val="center"/>
          </w:tcPr>
          <w:p>
            <w:pPr>
              <w:pStyle w:val="19"/>
            </w:pPr>
            <w:r>
              <w:t>46.20</w:t>
            </w:r>
          </w:p>
        </w:tc>
        <w:tc>
          <w:tcPr>
            <w:tcW w:w="1134" w:type="dxa"/>
            <w:tcBorders>
              <w:left w:val="single" w:sz="6" w:space="0" w:color="auto"/>
              <w:right w:val="single" w:sz="6" w:space="0" w:color="auto"/>
            </w:tcBorders>
            <w:vAlign w:val="center"/>
          </w:tcPr>
          <w:p>
            <w:pPr>
              <w:pStyle w:val="19"/>
            </w:pPr>
            <w:r>
              <w:t>46.20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106.02</w:t>
            </w:r>
          </w:p>
        </w:tc>
        <w:tc>
          <w:tcPr>
            <w:tcW w:w="1134" w:type="dxa"/>
            <w:tcBorders>
              <w:left w:val="single" w:sz="6" w:space="0" w:color="auto"/>
              <w:right w:val="single" w:sz="6" w:space="0" w:color="auto"/>
            </w:tcBorders>
            <w:vAlign w:val="center"/>
          </w:tcPr>
          <w:p>
            <w:pPr>
              <w:pStyle w:val="19"/>
            </w:pPr>
            <w:r>
              <w:t>106.02</w:t>
            </w:r>
          </w:p>
        </w:tc>
        <w:tc>
          <w:tcPr>
            <w:tcW w:w="1134" w:type="dxa"/>
            <w:tcBorders>
              <w:left w:val="single" w:sz="6" w:space="0" w:color="auto"/>
              <w:right w:val="single" w:sz="6" w:space="0" w:color="auto"/>
            </w:tcBorders>
            <w:vAlign w:val="center"/>
          </w:tcPr>
          <w:p>
            <w:pPr>
              <w:pStyle w:val="19"/>
            </w:pPr>
            <w:r>
              <w:t>106.02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90.51</w:t>
            </w:r>
          </w:p>
        </w:tc>
        <w:tc>
          <w:tcPr>
            <w:tcW w:w="1134" w:type="dxa"/>
            <w:tcBorders>
              <w:left w:val="single" w:sz="6" w:space="0" w:color="auto"/>
              <w:right w:val="single" w:sz="6" w:space="0" w:color="auto"/>
            </w:tcBorders>
            <w:vAlign w:val="center"/>
          </w:tcPr>
          <w:p>
            <w:pPr>
              <w:pStyle w:val="19"/>
            </w:pPr>
            <w:r>
              <w:t>90.51</w:t>
            </w:r>
          </w:p>
        </w:tc>
        <w:tc>
          <w:tcPr>
            <w:tcW w:w="1134" w:type="dxa"/>
            <w:tcBorders>
              <w:left w:val="single" w:sz="6" w:space="0" w:color="auto"/>
              <w:right w:val="single" w:sz="6" w:space="0" w:color="auto"/>
            </w:tcBorders>
            <w:vAlign w:val="center"/>
          </w:tcPr>
          <w:p>
            <w:pPr>
              <w:pStyle w:val="19"/>
            </w:pPr>
            <w:r>
              <w:t>90.51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90.51</w:t>
            </w:r>
          </w:p>
        </w:tc>
        <w:tc>
          <w:tcPr>
            <w:tcW w:w="1134" w:type="dxa"/>
            <w:tcBorders>
              <w:left w:val="single" w:sz="6" w:space="0" w:color="auto"/>
              <w:right w:val="single" w:sz="6" w:space="0" w:color="auto"/>
            </w:tcBorders>
            <w:vAlign w:val="center"/>
          </w:tcPr>
          <w:p>
            <w:pPr>
              <w:pStyle w:val="19"/>
            </w:pPr>
            <w:r>
              <w:t>90.51</w:t>
            </w:r>
          </w:p>
        </w:tc>
        <w:tc>
          <w:tcPr>
            <w:tcW w:w="1134" w:type="dxa"/>
            <w:tcBorders>
              <w:left w:val="single" w:sz="6" w:space="0" w:color="auto"/>
              <w:right w:val="single" w:sz="6" w:space="0" w:color="auto"/>
            </w:tcBorders>
            <w:vAlign w:val="center"/>
          </w:tcPr>
          <w:p>
            <w:pPr>
              <w:pStyle w:val="19"/>
            </w:pPr>
            <w:r>
              <w:t>90.51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43.03</w:t>
            </w:r>
          </w:p>
        </w:tc>
        <w:tc>
          <w:tcPr>
            <w:tcW w:w="1134" w:type="dxa"/>
            <w:tcBorders>
              <w:left w:val="single" w:sz="6" w:space="0" w:color="auto"/>
              <w:right w:val="single" w:sz="6" w:space="0" w:color="auto"/>
            </w:tcBorders>
            <w:vAlign w:val="center"/>
          </w:tcPr>
          <w:p>
            <w:pPr>
              <w:pStyle w:val="19"/>
            </w:pPr>
            <w:r>
              <w:t>43.03</w:t>
            </w:r>
          </w:p>
        </w:tc>
        <w:tc>
          <w:tcPr>
            <w:tcW w:w="1134" w:type="dxa"/>
            <w:tcBorders>
              <w:left w:val="single" w:sz="6" w:space="0" w:color="auto"/>
              <w:right w:val="single" w:sz="6" w:space="0" w:color="auto"/>
            </w:tcBorders>
            <w:vAlign w:val="center"/>
          </w:tcPr>
          <w:p>
            <w:pPr>
              <w:pStyle w:val="19"/>
            </w:pPr>
            <w:r>
              <w:t>43.03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47.48</w:t>
            </w:r>
          </w:p>
        </w:tc>
        <w:tc>
          <w:tcPr>
            <w:tcW w:w="1134" w:type="dxa"/>
            <w:tcBorders>
              <w:left w:val="single" w:sz="6" w:space="0" w:color="auto"/>
              <w:right w:val="single" w:sz="6" w:space="0" w:color="auto"/>
            </w:tcBorders>
            <w:vAlign w:val="center"/>
          </w:tcPr>
          <w:p>
            <w:pPr>
              <w:pStyle w:val="19"/>
            </w:pPr>
            <w:r>
              <w:t>47.48</w:t>
            </w:r>
          </w:p>
        </w:tc>
        <w:tc>
          <w:tcPr>
            <w:tcW w:w="1134" w:type="dxa"/>
            <w:tcBorders>
              <w:left w:val="single" w:sz="6" w:space="0" w:color="auto"/>
              <w:right w:val="single" w:sz="6" w:space="0" w:color="auto"/>
            </w:tcBorders>
            <w:vAlign w:val="center"/>
          </w:tcPr>
          <w:p>
            <w:pPr>
              <w:pStyle w:val="19"/>
            </w:pPr>
            <w:r>
              <w:t>47.48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212</w:t>
            </w:r>
          </w:p>
        </w:tc>
        <w:tc>
          <w:tcPr>
            <w:tcW w:w="1559" w:type="dxa"/>
            <w:tcBorders>
              <w:left w:val="single" w:sz="6" w:space="0" w:color="auto"/>
              <w:right w:val="single" w:sz="6" w:space="0" w:color="auto"/>
            </w:tcBorders>
            <w:vAlign w:val="center"/>
          </w:tcPr>
          <w:p>
            <w:pPr>
              <w:pStyle w:val="20"/>
            </w:pPr>
            <w:r>
              <w:t>城乡社区支出</w:t>
            </w:r>
          </w:p>
        </w:tc>
        <w:tc>
          <w:tcPr>
            <w:tcW w:w="1134" w:type="dxa"/>
            <w:tcBorders>
              <w:left w:val="single" w:sz="6" w:space="0" w:color="auto"/>
              <w:right w:val="single" w:sz="6" w:space="0" w:color="auto"/>
            </w:tcBorders>
            <w:vAlign w:val="center"/>
          </w:tcPr>
          <w:p>
            <w:pPr>
              <w:pStyle w:val="19"/>
            </w:pPr>
            <w:r>
              <w:t>6186.11</w:t>
            </w:r>
          </w:p>
        </w:tc>
        <w:tc>
          <w:tcPr>
            <w:tcW w:w="1134" w:type="dxa"/>
            <w:tcBorders>
              <w:left w:val="single" w:sz="6" w:space="0" w:color="auto"/>
              <w:right w:val="single" w:sz="6" w:space="0" w:color="auto"/>
            </w:tcBorders>
            <w:vAlign w:val="center"/>
          </w:tcPr>
          <w:p>
            <w:pPr>
              <w:pStyle w:val="19"/>
            </w:pPr>
            <w:r>
              <w:t>5174.35</w:t>
            </w:r>
          </w:p>
        </w:tc>
        <w:tc>
          <w:tcPr>
            <w:tcW w:w="1134" w:type="dxa"/>
            <w:tcBorders>
              <w:left w:val="single" w:sz="6" w:space="0" w:color="auto"/>
              <w:right w:val="single" w:sz="6" w:space="0" w:color="auto"/>
            </w:tcBorders>
            <w:vAlign w:val="center"/>
          </w:tcPr>
          <w:p>
            <w:pPr>
              <w:pStyle w:val="19"/>
            </w:pPr>
            <w:r>
              <w:t>5174.35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1011.76</w:t>
            </w: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21201</w:t>
            </w:r>
          </w:p>
        </w:tc>
        <w:tc>
          <w:tcPr>
            <w:tcW w:w="1559" w:type="dxa"/>
            <w:tcBorders>
              <w:left w:val="single" w:sz="6" w:space="0" w:color="auto"/>
              <w:right w:val="single" w:sz="6" w:space="0" w:color="auto"/>
            </w:tcBorders>
            <w:vAlign w:val="center"/>
          </w:tcPr>
          <w:p>
            <w:pPr>
              <w:pStyle w:val="20"/>
            </w:pPr>
            <w:r>
              <w:t>城乡社区管理事务</w:t>
            </w:r>
          </w:p>
        </w:tc>
        <w:tc>
          <w:tcPr>
            <w:tcW w:w="1134" w:type="dxa"/>
            <w:tcBorders>
              <w:left w:val="single" w:sz="6" w:space="0" w:color="auto"/>
              <w:right w:val="single" w:sz="6" w:space="0" w:color="auto"/>
            </w:tcBorders>
            <w:vAlign w:val="center"/>
          </w:tcPr>
          <w:p>
            <w:pPr>
              <w:pStyle w:val="19"/>
            </w:pPr>
            <w:r>
              <w:t>5174.35</w:t>
            </w:r>
          </w:p>
        </w:tc>
        <w:tc>
          <w:tcPr>
            <w:tcW w:w="1134" w:type="dxa"/>
            <w:tcBorders>
              <w:left w:val="single" w:sz="6" w:space="0" w:color="auto"/>
              <w:right w:val="single" w:sz="6" w:space="0" w:color="auto"/>
            </w:tcBorders>
            <w:vAlign w:val="center"/>
          </w:tcPr>
          <w:p>
            <w:pPr>
              <w:pStyle w:val="19"/>
            </w:pPr>
            <w:r>
              <w:t>5174.35</w:t>
            </w:r>
          </w:p>
        </w:tc>
        <w:tc>
          <w:tcPr>
            <w:tcW w:w="1134" w:type="dxa"/>
            <w:tcBorders>
              <w:left w:val="single" w:sz="6" w:space="0" w:color="auto"/>
              <w:right w:val="single" w:sz="6" w:space="0" w:color="auto"/>
            </w:tcBorders>
            <w:vAlign w:val="center"/>
          </w:tcPr>
          <w:p>
            <w:pPr>
              <w:pStyle w:val="19"/>
            </w:pPr>
            <w:r>
              <w:t>5174.35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2120101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940.58</w:t>
            </w:r>
          </w:p>
        </w:tc>
        <w:tc>
          <w:tcPr>
            <w:tcW w:w="1134" w:type="dxa"/>
            <w:tcBorders>
              <w:left w:val="single" w:sz="6" w:space="0" w:color="auto"/>
              <w:right w:val="single" w:sz="6" w:space="0" w:color="auto"/>
            </w:tcBorders>
            <w:vAlign w:val="center"/>
          </w:tcPr>
          <w:p>
            <w:pPr>
              <w:pStyle w:val="19"/>
            </w:pPr>
            <w:r>
              <w:t>940.58</w:t>
            </w:r>
          </w:p>
        </w:tc>
        <w:tc>
          <w:tcPr>
            <w:tcW w:w="1134" w:type="dxa"/>
            <w:tcBorders>
              <w:left w:val="single" w:sz="6" w:space="0" w:color="auto"/>
              <w:right w:val="single" w:sz="6" w:space="0" w:color="auto"/>
            </w:tcBorders>
            <w:vAlign w:val="center"/>
          </w:tcPr>
          <w:p>
            <w:pPr>
              <w:pStyle w:val="19"/>
            </w:pPr>
            <w:r>
              <w:t>940.58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2120199</w:t>
            </w:r>
          </w:p>
        </w:tc>
        <w:tc>
          <w:tcPr>
            <w:tcW w:w="1559" w:type="dxa"/>
            <w:tcBorders>
              <w:left w:val="single" w:sz="6" w:space="0" w:color="auto"/>
              <w:right w:val="single" w:sz="6" w:space="0" w:color="auto"/>
            </w:tcBorders>
            <w:vAlign w:val="center"/>
          </w:tcPr>
          <w:p>
            <w:pPr>
              <w:pStyle w:val="20"/>
            </w:pPr>
            <w:r>
              <w:t>其他城乡社区管理事务支出</w:t>
            </w:r>
          </w:p>
        </w:tc>
        <w:tc>
          <w:tcPr>
            <w:tcW w:w="1134" w:type="dxa"/>
            <w:tcBorders>
              <w:left w:val="single" w:sz="6" w:space="0" w:color="auto"/>
              <w:right w:val="single" w:sz="6" w:space="0" w:color="auto"/>
            </w:tcBorders>
            <w:vAlign w:val="center"/>
          </w:tcPr>
          <w:p>
            <w:pPr>
              <w:pStyle w:val="19"/>
            </w:pPr>
            <w:r>
              <w:t>4233.77</w:t>
            </w:r>
          </w:p>
        </w:tc>
        <w:tc>
          <w:tcPr>
            <w:tcW w:w="1134" w:type="dxa"/>
            <w:tcBorders>
              <w:left w:val="single" w:sz="6" w:space="0" w:color="auto"/>
              <w:right w:val="single" w:sz="6" w:space="0" w:color="auto"/>
            </w:tcBorders>
            <w:vAlign w:val="center"/>
          </w:tcPr>
          <w:p>
            <w:pPr>
              <w:pStyle w:val="19"/>
            </w:pPr>
            <w:r>
              <w:t>4233.77</w:t>
            </w:r>
          </w:p>
        </w:tc>
        <w:tc>
          <w:tcPr>
            <w:tcW w:w="1134" w:type="dxa"/>
            <w:tcBorders>
              <w:left w:val="single" w:sz="6" w:space="0" w:color="auto"/>
              <w:right w:val="single" w:sz="6" w:space="0" w:color="auto"/>
            </w:tcBorders>
            <w:vAlign w:val="center"/>
          </w:tcPr>
          <w:p>
            <w:pPr>
              <w:pStyle w:val="19"/>
            </w:pPr>
            <w:r>
              <w:t>4233.77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21203</w:t>
            </w:r>
          </w:p>
        </w:tc>
        <w:tc>
          <w:tcPr>
            <w:tcW w:w="1559" w:type="dxa"/>
            <w:tcBorders>
              <w:left w:val="single" w:sz="6" w:space="0" w:color="auto"/>
              <w:right w:val="single" w:sz="6" w:space="0" w:color="auto"/>
            </w:tcBorders>
            <w:vAlign w:val="center"/>
          </w:tcPr>
          <w:p>
            <w:pPr>
              <w:pStyle w:val="20"/>
            </w:pPr>
            <w:r>
              <w:t>城乡社区公共设施</w:t>
            </w:r>
          </w:p>
        </w:tc>
        <w:tc>
          <w:tcPr>
            <w:tcW w:w="1134" w:type="dxa"/>
            <w:tcBorders>
              <w:left w:val="single" w:sz="6" w:space="0" w:color="auto"/>
              <w:right w:val="single" w:sz="6" w:space="0" w:color="auto"/>
            </w:tcBorders>
            <w:vAlign w:val="center"/>
          </w:tcPr>
          <w:p>
            <w:pPr>
              <w:pStyle w:val="19"/>
            </w:pPr>
            <w:r>
              <w:t>1011.76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1011.76</w:t>
            </w: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2120399</w:t>
            </w:r>
          </w:p>
        </w:tc>
        <w:tc>
          <w:tcPr>
            <w:tcW w:w="1559" w:type="dxa"/>
            <w:tcBorders>
              <w:left w:val="single" w:sz="6" w:space="0" w:color="auto"/>
              <w:right w:val="single" w:sz="6" w:space="0" w:color="auto"/>
            </w:tcBorders>
            <w:vAlign w:val="center"/>
          </w:tcPr>
          <w:p>
            <w:pPr>
              <w:pStyle w:val="20"/>
            </w:pPr>
            <w:r>
              <w:t>其他城乡社区公共设施支出</w:t>
            </w:r>
          </w:p>
        </w:tc>
        <w:tc>
          <w:tcPr>
            <w:tcW w:w="1134" w:type="dxa"/>
            <w:tcBorders>
              <w:left w:val="single" w:sz="6" w:space="0" w:color="auto"/>
              <w:right w:val="single" w:sz="6" w:space="0" w:color="auto"/>
            </w:tcBorders>
            <w:vAlign w:val="center"/>
          </w:tcPr>
          <w:p>
            <w:pPr>
              <w:pStyle w:val="19"/>
            </w:pPr>
            <w:r>
              <w:t>1011.76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1011.76</w:t>
            </w: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r>
              <w:t>86.32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6522.24</w:t>
            </w:r>
          </w:p>
        </w:tc>
        <w:tc>
          <w:tcPr>
            <w:tcW w:w="1361" w:type="dxa"/>
            <w:tcBorders>
              <w:left w:val="single" w:sz="6" w:space="0" w:color="auto"/>
              <w:right w:val="single" w:sz="6" w:space="0" w:color="auto"/>
            </w:tcBorders>
            <w:vAlign w:val="center"/>
          </w:tcPr>
          <w:p>
            <w:pPr>
              <w:pStyle w:val="23"/>
            </w:pPr>
            <w:r>
              <w:t>1276.71</w:t>
            </w:r>
          </w:p>
        </w:tc>
        <w:tc>
          <w:tcPr>
            <w:tcW w:w="1361" w:type="dxa"/>
            <w:tcBorders>
              <w:left w:val="single" w:sz="6" w:space="0" w:color="auto"/>
              <w:right w:val="single" w:sz="6" w:space="0" w:color="auto"/>
            </w:tcBorders>
            <w:vAlign w:val="center"/>
          </w:tcPr>
          <w:p>
            <w:pPr>
              <w:pStyle w:val="23"/>
            </w:pPr>
            <w:r>
              <w:t>5245.53</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204</w:t>
            </w:r>
          </w:p>
        </w:tc>
        <w:tc>
          <w:tcPr>
            <w:tcW w:w="4535" w:type="dxa"/>
            <w:tcBorders>
              <w:left w:val="single" w:sz="6" w:space="0" w:color="auto"/>
              <w:right w:val="single" w:sz="6" w:space="0" w:color="auto"/>
            </w:tcBorders>
            <w:vAlign w:val="center"/>
          </w:tcPr>
          <w:p>
            <w:pPr>
              <w:pStyle w:val="20"/>
            </w:pPr>
            <w:r>
              <w:t>公共安全支出</w:t>
            </w:r>
          </w:p>
        </w:tc>
        <w:tc>
          <w:tcPr>
            <w:tcW w:w="1361" w:type="dxa"/>
            <w:tcBorders>
              <w:left w:val="single" w:sz="6" w:space="0" w:color="auto"/>
              <w:right w:val="single" w:sz="6" w:space="0" w:color="auto"/>
            </w:tcBorders>
            <w:vAlign w:val="center"/>
          </w:tcPr>
          <w:p>
            <w:pPr>
              <w:pStyle w:val="19"/>
            </w:pPr>
            <w:r>
              <w:t>7.08</w:t>
            </w:r>
          </w:p>
        </w:tc>
        <w:tc>
          <w:tcPr>
            <w:tcW w:w="1361" w:type="dxa"/>
            <w:tcBorders>
              <w:left w:val="single" w:sz="6" w:space="0" w:color="auto"/>
              <w:right w:val="single" w:sz="6" w:space="0" w:color="auto"/>
            </w:tcBorders>
            <w:vAlign w:val="center"/>
          </w:tcPr>
          <w:p>
            <w:pPr>
              <w:pStyle w:val="19"/>
            </w:pPr>
            <w:r>
              <w:t>7.08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20402</w:t>
            </w:r>
          </w:p>
        </w:tc>
        <w:tc>
          <w:tcPr>
            <w:tcW w:w="4535" w:type="dxa"/>
            <w:tcBorders>
              <w:left w:val="single" w:sz="6" w:space="0" w:color="auto"/>
              <w:right w:val="single" w:sz="6" w:space="0" w:color="auto"/>
            </w:tcBorders>
            <w:vAlign w:val="center"/>
          </w:tcPr>
          <w:p>
            <w:pPr>
              <w:pStyle w:val="20"/>
            </w:pPr>
            <w:r>
              <w:t>公安</w:t>
            </w:r>
          </w:p>
        </w:tc>
        <w:tc>
          <w:tcPr>
            <w:tcW w:w="1361" w:type="dxa"/>
            <w:tcBorders>
              <w:left w:val="single" w:sz="6" w:space="0" w:color="auto"/>
              <w:right w:val="single" w:sz="6" w:space="0" w:color="auto"/>
            </w:tcBorders>
            <w:vAlign w:val="center"/>
          </w:tcPr>
          <w:p>
            <w:pPr>
              <w:pStyle w:val="19"/>
            </w:pPr>
            <w:r>
              <w:t>7.08</w:t>
            </w:r>
          </w:p>
        </w:tc>
        <w:tc>
          <w:tcPr>
            <w:tcW w:w="1361" w:type="dxa"/>
            <w:tcBorders>
              <w:left w:val="single" w:sz="6" w:space="0" w:color="auto"/>
              <w:right w:val="single" w:sz="6" w:space="0" w:color="auto"/>
            </w:tcBorders>
            <w:vAlign w:val="center"/>
          </w:tcPr>
          <w:p>
            <w:pPr>
              <w:pStyle w:val="19"/>
            </w:pPr>
            <w:r>
              <w:t>7.08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2040201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7.08</w:t>
            </w:r>
          </w:p>
        </w:tc>
        <w:tc>
          <w:tcPr>
            <w:tcW w:w="1361" w:type="dxa"/>
            <w:tcBorders>
              <w:left w:val="single" w:sz="6" w:space="0" w:color="auto"/>
              <w:right w:val="single" w:sz="6" w:space="0" w:color="auto"/>
            </w:tcBorders>
            <w:vAlign w:val="center"/>
          </w:tcPr>
          <w:p>
            <w:pPr>
              <w:pStyle w:val="19"/>
            </w:pPr>
            <w:r>
              <w:t>7.08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152.22</w:t>
            </w:r>
          </w:p>
        </w:tc>
        <w:tc>
          <w:tcPr>
            <w:tcW w:w="1361" w:type="dxa"/>
            <w:tcBorders>
              <w:left w:val="single" w:sz="6" w:space="0" w:color="auto"/>
              <w:right w:val="single" w:sz="6" w:space="0" w:color="auto"/>
            </w:tcBorders>
            <w:vAlign w:val="center"/>
          </w:tcPr>
          <w:p>
            <w:pPr>
              <w:pStyle w:val="19"/>
            </w:pPr>
            <w:r>
              <w:t>152.22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152.22</w:t>
            </w:r>
          </w:p>
        </w:tc>
        <w:tc>
          <w:tcPr>
            <w:tcW w:w="1361" w:type="dxa"/>
            <w:tcBorders>
              <w:left w:val="single" w:sz="6" w:space="0" w:color="auto"/>
              <w:right w:val="single" w:sz="6" w:space="0" w:color="auto"/>
            </w:tcBorders>
            <w:vAlign w:val="center"/>
          </w:tcPr>
          <w:p>
            <w:pPr>
              <w:pStyle w:val="19"/>
            </w:pPr>
            <w:r>
              <w:t>152.22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46.20</w:t>
            </w:r>
          </w:p>
        </w:tc>
        <w:tc>
          <w:tcPr>
            <w:tcW w:w="1361" w:type="dxa"/>
            <w:tcBorders>
              <w:left w:val="single" w:sz="6" w:space="0" w:color="auto"/>
              <w:right w:val="single" w:sz="6" w:space="0" w:color="auto"/>
            </w:tcBorders>
            <w:vAlign w:val="center"/>
          </w:tcPr>
          <w:p>
            <w:pPr>
              <w:pStyle w:val="19"/>
            </w:pPr>
            <w:r>
              <w:t>46.20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106.02</w:t>
            </w:r>
          </w:p>
        </w:tc>
        <w:tc>
          <w:tcPr>
            <w:tcW w:w="1361" w:type="dxa"/>
            <w:tcBorders>
              <w:left w:val="single" w:sz="6" w:space="0" w:color="auto"/>
              <w:right w:val="single" w:sz="6" w:space="0" w:color="auto"/>
            </w:tcBorders>
            <w:vAlign w:val="center"/>
          </w:tcPr>
          <w:p>
            <w:pPr>
              <w:pStyle w:val="19"/>
            </w:pPr>
            <w:r>
              <w:t>106.02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90.51</w:t>
            </w:r>
          </w:p>
        </w:tc>
        <w:tc>
          <w:tcPr>
            <w:tcW w:w="1361" w:type="dxa"/>
            <w:tcBorders>
              <w:left w:val="single" w:sz="6" w:space="0" w:color="auto"/>
              <w:right w:val="single" w:sz="6" w:space="0" w:color="auto"/>
            </w:tcBorders>
            <w:vAlign w:val="center"/>
          </w:tcPr>
          <w:p>
            <w:pPr>
              <w:pStyle w:val="19"/>
            </w:pPr>
            <w:r>
              <w:t>90.51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90.51</w:t>
            </w:r>
          </w:p>
        </w:tc>
        <w:tc>
          <w:tcPr>
            <w:tcW w:w="1361" w:type="dxa"/>
            <w:tcBorders>
              <w:left w:val="single" w:sz="6" w:space="0" w:color="auto"/>
              <w:right w:val="single" w:sz="6" w:space="0" w:color="auto"/>
            </w:tcBorders>
            <w:vAlign w:val="center"/>
          </w:tcPr>
          <w:p>
            <w:pPr>
              <w:pStyle w:val="19"/>
            </w:pPr>
            <w:r>
              <w:t>90.51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43.03</w:t>
            </w:r>
          </w:p>
        </w:tc>
        <w:tc>
          <w:tcPr>
            <w:tcW w:w="1361" w:type="dxa"/>
            <w:tcBorders>
              <w:left w:val="single" w:sz="6" w:space="0" w:color="auto"/>
              <w:right w:val="single" w:sz="6" w:space="0" w:color="auto"/>
            </w:tcBorders>
            <w:vAlign w:val="center"/>
          </w:tcPr>
          <w:p>
            <w:pPr>
              <w:pStyle w:val="19"/>
            </w:pPr>
            <w:r>
              <w:t>43.03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47.48</w:t>
            </w:r>
          </w:p>
        </w:tc>
        <w:tc>
          <w:tcPr>
            <w:tcW w:w="1361" w:type="dxa"/>
            <w:tcBorders>
              <w:left w:val="single" w:sz="6" w:space="0" w:color="auto"/>
              <w:right w:val="single" w:sz="6" w:space="0" w:color="auto"/>
            </w:tcBorders>
            <w:vAlign w:val="center"/>
          </w:tcPr>
          <w:p>
            <w:pPr>
              <w:pStyle w:val="19"/>
            </w:pPr>
            <w:r>
              <w:t>47.48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1361" w:type="dxa"/>
            <w:tcBorders>
              <w:left w:val="single" w:sz="6" w:space="0" w:color="auto"/>
              <w:right w:val="single" w:sz="6" w:space="0" w:color="auto"/>
            </w:tcBorders>
            <w:vAlign w:val="center"/>
          </w:tcPr>
          <w:p>
            <w:pPr>
              <w:pStyle w:val="19"/>
            </w:pPr>
            <w:r>
              <w:t>6186.11</w:t>
            </w:r>
          </w:p>
        </w:tc>
        <w:tc>
          <w:tcPr>
            <w:tcW w:w="1361" w:type="dxa"/>
            <w:tcBorders>
              <w:left w:val="single" w:sz="6" w:space="0" w:color="auto"/>
              <w:right w:val="single" w:sz="6" w:space="0" w:color="auto"/>
            </w:tcBorders>
            <w:vAlign w:val="center"/>
          </w:tcPr>
          <w:p>
            <w:pPr>
              <w:pStyle w:val="19"/>
            </w:pPr>
            <w:r>
              <w:t>940.58</w:t>
            </w:r>
          </w:p>
        </w:tc>
        <w:tc>
          <w:tcPr>
            <w:tcW w:w="1361" w:type="dxa"/>
            <w:tcBorders>
              <w:left w:val="single" w:sz="6" w:space="0" w:color="auto"/>
              <w:right w:val="single" w:sz="6" w:space="0" w:color="auto"/>
            </w:tcBorders>
            <w:vAlign w:val="center"/>
          </w:tcPr>
          <w:p>
            <w:pPr>
              <w:pStyle w:val="19"/>
            </w:pPr>
            <w:r>
              <w:t>5245.53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21201</w:t>
            </w:r>
          </w:p>
        </w:tc>
        <w:tc>
          <w:tcPr>
            <w:tcW w:w="4535" w:type="dxa"/>
            <w:tcBorders>
              <w:left w:val="single" w:sz="6" w:space="0" w:color="auto"/>
              <w:right w:val="single" w:sz="6" w:space="0" w:color="auto"/>
            </w:tcBorders>
            <w:vAlign w:val="center"/>
          </w:tcPr>
          <w:p>
            <w:pPr>
              <w:pStyle w:val="20"/>
            </w:pPr>
            <w:r>
              <w:t>城乡社区管理事务</w:t>
            </w:r>
          </w:p>
        </w:tc>
        <w:tc>
          <w:tcPr>
            <w:tcW w:w="1361" w:type="dxa"/>
            <w:tcBorders>
              <w:left w:val="single" w:sz="6" w:space="0" w:color="auto"/>
              <w:right w:val="single" w:sz="6" w:space="0" w:color="auto"/>
            </w:tcBorders>
            <w:vAlign w:val="center"/>
          </w:tcPr>
          <w:p>
            <w:pPr>
              <w:pStyle w:val="19"/>
            </w:pPr>
            <w:r>
              <w:t>5174.35</w:t>
            </w:r>
          </w:p>
        </w:tc>
        <w:tc>
          <w:tcPr>
            <w:tcW w:w="1361" w:type="dxa"/>
            <w:tcBorders>
              <w:left w:val="single" w:sz="6" w:space="0" w:color="auto"/>
              <w:right w:val="single" w:sz="6" w:space="0" w:color="auto"/>
            </w:tcBorders>
            <w:vAlign w:val="center"/>
          </w:tcPr>
          <w:p>
            <w:pPr>
              <w:pStyle w:val="19"/>
            </w:pPr>
            <w:r>
              <w:t>940.58</w:t>
            </w:r>
          </w:p>
        </w:tc>
        <w:tc>
          <w:tcPr>
            <w:tcW w:w="1361" w:type="dxa"/>
            <w:tcBorders>
              <w:left w:val="single" w:sz="6" w:space="0" w:color="auto"/>
              <w:right w:val="single" w:sz="6" w:space="0" w:color="auto"/>
            </w:tcBorders>
            <w:vAlign w:val="center"/>
          </w:tcPr>
          <w:p>
            <w:pPr>
              <w:pStyle w:val="19"/>
            </w:pPr>
            <w:r>
              <w:t>4233.77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2120101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940.58</w:t>
            </w:r>
          </w:p>
        </w:tc>
        <w:tc>
          <w:tcPr>
            <w:tcW w:w="1361" w:type="dxa"/>
            <w:tcBorders>
              <w:left w:val="single" w:sz="6" w:space="0" w:color="auto"/>
              <w:right w:val="single" w:sz="6" w:space="0" w:color="auto"/>
            </w:tcBorders>
            <w:vAlign w:val="center"/>
          </w:tcPr>
          <w:p>
            <w:pPr>
              <w:pStyle w:val="19"/>
            </w:pPr>
            <w:r>
              <w:t>940.58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2120199</w:t>
            </w:r>
          </w:p>
        </w:tc>
        <w:tc>
          <w:tcPr>
            <w:tcW w:w="4535" w:type="dxa"/>
            <w:tcBorders>
              <w:left w:val="single" w:sz="6" w:space="0" w:color="auto"/>
              <w:right w:val="single" w:sz="6" w:space="0" w:color="auto"/>
            </w:tcBorders>
            <w:vAlign w:val="center"/>
          </w:tcPr>
          <w:p>
            <w:pPr>
              <w:pStyle w:val="20"/>
            </w:pPr>
            <w:r>
              <w:t>其他城乡社区管理事务支出</w:t>
            </w:r>
          </w:p>
        </w:tc>
        <w:tc>
          <w:tcPr>
            <w:tcW w:w="1361" w:type="dxa"/>
            <w:tcBorders>
              <w:left w:val="single" w:sz="6" w:space="0" w:color="auto"/>
              <w:right w:val="single" w:sz="6" w:space="0" w:color="auto"/>
            </w:tcBorders>
            <w:vAlign w:val="center"/>
          </w:tcPr>
          <w:p>
            <w:pPr>
              <w:pStyle w:val="19"/>
            </w:pPr>
            <w:r>
              <w:t>4233.77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4233.77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21203</w:t>
            </w:r>
          </w:p>
        </w:tc>
        <w:tc>
          <w:tcPr>
            <w:tcW w:w="4535" w:type="dxa"/>
            <w:tcBorders>
              <w:left w:val="single" w:sz="6" w:space="0" w:color="auto"/>
              <w:right w:val="single" w:sz="6" w:space="0" w:color="auto"/>
            </w:tcBorders>
            <w:vAlign w:val="center"/>
          </w:tcPr>
          <w:p>
            <w:pPr>
              <w:pStyle w:val="20"/>
            </w:pPr>
            <w:r>
              <w:t>城乡社区公共设施</w:t>
            </w:r>
          </w:p>
        </w:tc>
        <w:tc>
          <w:tcPr>
            <w:tcW w:w="1361" w:type="dxa"/>
            <w:tcBorders>
              <w:left w:val="single" w:sz="6" w:space="0" w:color="auto"/>
              <w:right w:val="single" w:sz="6" w:space="0" w:color="auto"/>
            </w:tcBorders>
            <w:vAlign w:val="center"/>
          </w:tcPr>
          <w:p>
            <w:pPr>
              <w:pStyle w:val="19"/>
            </w:pPr>
            <w:r>
              <w:t>1011.76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1011.76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2120399</w:t>
            </w:r>
          </w:p>
        </w:tc>
        <w:tc>
          <w:tcPr>
            <w:tcW w:w="4535" w:type="dxa"/>
            <w:tcBorders>
              <w:left w:val="single" w:sz="6" w:space="0" w:color="auto"/>
              <w:right w:val="single" w:sz="6" w:space="0" w:color="auto"/>
            </w:tcBorders>
            <w:vAlign w:val="center"/>
          </w:tcPr>
          <w:p>
            <w:pPr>
              <w:pStyle w:val="20"/>
            </w:pPr>
            <w:r>
              <w:t>其他城乡社区公共设施支出</w:t>
            </w:r>
          </w:p>
        </w:tc>
        <w:tc>
          <w:tcPr>
            <w:tcW w:w="1361" w:type="dxa"/>
            <w:tcBorders>
              <w:left w:val="single" w:sz="6" w:space="0" w:color="auto"/>
              <w:right w:val="single" w:sz="6" w:space="0" w:color="auto"/>
            </w:tcBorders>
            <w:vAlign w:val="center"/>
          </w:tcPr>
          <w:p>
            <w:pPr>
              <w:pStyle w:val="19"/>
            </w:pPr>
            <w:r>
              <w:t>1011.76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1011.76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86.32</w:t>
            </w:r>
          </w:p>
        </w:tc>
        <w:tc>
          <w:tcPr>
            <w:tcW w:w="1361" w:type="dxa"/>
            <w:tcBorders>
              <w:left w:val="single" w:sz="6" w:space="0" w:color="auto"/>
              <w:right w:val="single" w:sz="6" w:space="0" w:color="auto"/>
            </w:tcBorders>
            <w:vAlign w:val="center"/>
          </w:tcPr>
          <w:p>
            <w:pPr>
              <w:pStyle w:val="19"/>
            </w:pPr>
            <w:r>
              <w:t>86.32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86.32</w:t>
            </w:r>
          </w:p>
        </w:tc>
        <w:tc>
          <w:tcPr>
            <w:tcW w:w="1361" w:type="dxa"/>
            <w:tcBorders>
              <w:left w:val="single" w:sz="6" w:space="0" w:color="auto"/>
              <w:right w:val="single" w:sz="6" w:space="0" w:color="auto"/>
            </w:tcBorders>
            <w:vAlign w:val="center"/>
          </w:tcPr>
          <w:p>
            <w:pPr>
              <w:pStyle w:val="19"/>
            </w:pPr>
            <w:r>
              <w:t>86.32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86.32</w:t>
            </w:r>
          </w:p>
        </w:tc>
        <w:tc>
          <w:tcPr>
            <w:tcW w:w="1361" w:type="dxa"/>
            <w:tcBorders>
              <w:left w:val="single" w:sz="6" w:space="0" w:color="auto"/>
              <w:right w:val="single" w:sz="6" w:space="0" w:color="auto"/>
            </w:tcBorders>
            <w:vAlign w:val="center"/>
          </w:tcPr>
          <w:p>
            <w:pPr>
              <w:pStyle w:val="19"/>
            </w:pPr>
            <w:r>
              <w:t>86.32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5510.48</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r>
              <w:t>7.08</w:t>
            </w:r>
          </w:p>
        </w:tc>
        <w:tc>
          <w:tcPr>
            <w:tcW w:w="1474" w:type="dxa"/>
            <w:tcBorders>
              <w:left w:val="single" w:sz="6" w:space="0" w:color="auto"/>
              <w:right w:val="single" w:sz="6" w:space="0" w:color="auto"/>
            </w:tcBorders>
            <w:vAlign w:val="center"/>
          </w:tcPr>
          <w:p>
            <w:pPr>
              <w:pStyle w:val="19"/>
            </w:pPr>
            <w:r>
              <w:t>7.08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152.22</w:t>
            </w:r>
          </w:p>
        </w:tc>
        <w:tc>
          <w:tcPr>
            <w:tcW w:w="1474" w:type="dxa"/>
            <w:tcBorders>
              <w:left w:val="single" w:sz="6" w:space="0" w:color="auto"/>
              <w:right w:val="single" w:sz="6" w:space="0" w:color="auto"/>
            </w:tcBorders>
            <w:vAlign w:val="center"/>
          </w:tcPr>
          <w:p>
            <w:pPr>
              <w:pStyle w:val="19"/>
            </w:pPr>
            <w:r>
              <w:t>152.22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90.51</w:t>
            </w:r>
          </w:p>
        </w:tc>
        <w:tc>
          <w:tcPr>
            <w:tcW w:w="1474" w:type="dxa"/>
            <w:tcBorders>
              <w:left w:val="single" w:sz="6" w:space="0" w:color="auto"/>
              <w:right w:val="single" w:sz="6" w:space="0" w:color="auto"/>
            </w:tcBorders>
            <w:vAlign w:val="center"/>
          </w:tcPr>
          <w:p>
            <w:pPr>
              <w:pStyle w:val="19"/>
            </w:pPr>
            <w:r>
              <w:t>90.51</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r>
              <w:t>6186.11</w:t>
            </w:r>
          </w:p>
        </w:tc>
        <w:tc>
          <w:tcPr>
            <w:tcW w:w="1474" w:type="dxa"/>
            <w:tcBorders>
              <w:left w:val="single" w:sz="6" w:space="0" w:color="auto"/>
              <w:right w:val="single" w:sz="6" w:space="0" w:color="auto"/>
            </w:tcBorders>
            <w:vAlign w:val="center"/>
          </w:tcPr>
          <w:p>
            <w:pPr>
              <w:pStyle w:val="19"/>
            </w:pPr>
            <w:r>
              <w:t>6186.11</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86.32</w:t>
            </w:r>
          </w:p>
        </w:tc>
        <w:tc>
          <w:tcPr>
            <w:tcW w:w="1474" w:type="dxa"/>
            <w:tcBorders>
              <w:left w:val="single" w:sz="6" w:space="0" w:color="auto"/>
              <w:right w:val="single" w:sz="6" w:space="0" w:color="auto"/>
            </w:tcBorders>
            <w:vAlign w:val="center"/>
          </w:tcPr>
          <w:p>
            <w:pPr>
              <w:pStyle w:val="19"/>
            </w:pPr>
            <w:r>
              <w:t>86.32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5510.48</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6522.24</w:t>
            </w:r>
          </w:p>
        </w:tc>
        <w:tc>
          <w:tcPr>
            <w:tcW w:w="1474" w:type="dxa"/>
            <w:tcBorders>
              <w:left w:val="single" w:sz="6" w:space="0" w:color="auto"/>
              <w:right w:val="single" w:sz="6" w:space="0" w:color="auto"/>
            </w:tcBorders>
            <w:vAlign w:val="center"/>
          </w:tcPr>
          <w:p>
            <w:pPr>
              <w:pStyle w:val="23"/>
            </w:pPr>
            <w:r>
              <w:t>6522.24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r>
              <w:t>1011.76</w:t>
            </w: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1011.76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6522.24</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6522.24</w:t>
            </w:r>
          </w:p>
        </w:tc>
        <w:tc>
          <w:tcPr>
            <w:tcW w:w="1474" w:type="dxa"/>
            <w:tcBorders>
              <w:left w:val="single" w:sz="6" w:space="0" w:color="auto"/>
              <w:right w:val="single" w:sz="6" w:space="0" w:color="auto"/>
            </w:tcBorders>
            <w:vAlign w:val="center"/>
          </w:tcPr>
          <w:p>
            <w:pPr>
              <w:pStyle w:val="23"/>
            </w:pPr>
            <w:r>
              <w:t>6522.24</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6522.24</w:t>
            </w:r>
          </w:p>
        </w:tc>
        <w:tc>
          <w:tcPr>
            <w:tcW w:w="2551" w:type="dxa"/>
            <w:tcBorders>
              <w:left w:val="single" w:sz="6" w:space="0" w:color="auto"/>
              <w:right w:val="single" w:sz="6" w:space="0" w:color="auto"/>
            </w:tcBorders>
            <w:vAlign w:val="center"/>
          </w:tcPr>
          <w:p>
            <w:pPr>
              <w:pStyle w:val="23"/>
            </w:pPr>
            <w:r>
              <w:t>1276.71</w:t>
            </w:r>
          </w:p>
        </w:tc>
        <w:tc>
          <w:tcPr>
            <w:tcW w:w="2551" w:type="dxa"/>
            <w:vAlign w:val="center"/>
          </w:tcPr>
          <w:p>
            <w:pPr>
              <w:pStyle w:val="23"/>
            </w:pPr>
            <w:r>
              <w:t>5245.53</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204</w:t>
            </w:r>
          </w:p>
        </w:tc>
        <w:tc>
          <w:tcPr>
            <w:tcW w:w="4535" w:type="dxa"/>
            <w:tcBorders>
              <w:left w:val="single" w:sz="6" w:space="0" w:color="auto"/>
              <w:right w:val="single" w:sz="6" w:space="0" w:color="auto"/>
            </w:tcBorders>
            <w:vAlign w:val="center"/>
          </w:tcPr>
          <w:p>
            <w:pPr>
              <w:pStyle w:val="20"/>
            </w:pPr>
            <w:r>
              <w:t>公共安全支出</w:t>
            </w:r>
          </w:p>
        </w:tc>
        <w:tc>
          <w:tcPr>
            <w:tcW w:w="2551" w:type="dxa"/>
            <w:tcBorders>
              <w:left w:val="single" w:sz="6" w:space="0" w:color="auto"/>
              <w:right w:val="single" w:sz="6" w:space="0" w:color="auto"/>
            </w:tcBorders>
            <w:vAlign w:val="center"/>
          </w:tcPr>
          <w:p>
            <w:pPr>
              <w:pStyle w:val="19"/>
            </w:pPr>
            <w:r>
              <w:t>7.08</w:t>
            </w:r>
          </w:p>
        </w:tc>
        <w:tc>
          <w:tcPr>
            <w:tcW w:w="2551" w:type="dxa"/>
            <w:tcBorders>
              <w:left w:val="single" w:sz="6" w:space="0" w:color="auto"/>
              <w:right w:val="single" w:sz="6" w:space="0" w:color="auto"/>
            </w:tcBorders>
            <w:vAlign w:val="center"/>
          </w:tcPr>
          <w:p>
            <w:pPr>
              <w:pStyle w:val="19"/>
            </w:pPr>
            <w:r>
              <w:t>7.08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20402</w:t>
            </w:r>
          </w:p>
        </w:tc>
        <w:tc>
          <w:tcPr>
            <w:tcW w:w="4535" w:type="dxa"/>
            <w:tcBorders>
              <w:left w:val="single" w:sz="6" w:space="0" w:color="auto"/>
              <w:right w:val="single" w:sz="6" w:space="0" w:color="auto"/>
            </w:tcBorders>
            <w:vAlign w:val="center"/>
          </w:tcPr>
          <w:p>
            <w:pPr>
              <w:pStyle w:val="20"/>
            </w:pPr>
            <w:r>
              <w:t>公安</w:t>
            </w:r>
          </w:p>
        </w:tc>
        <w:tc>
          <w:tcPr>
            <w:tcW w:w="2551" w:type="dxa"/>
            <w:tcBorders>
              <w:left w:val="single" w:sz="6" w:space="0" w:color="auto"/>
              <w:right w:val="single" w:sz="6" w:space="0" w:color="auto"/>
            </w:tcBorders>
            <w:vAlign w:val="center"/>
          </w:tcPr>
          <w:p>
            <w:pPr>
              <w:pStyle w:val="19"/>
            </w:pPr>
            <w:r>
              <w:t>7.08</w:t>
            </w:r>
          </w:p>
        </w:tc>
        <w:tc>
          <w:tcPr>
            <w:tcW w:w="2551" w:type="dxa"/>
            <w:tcBorders>
              <w:left w:val="single" w:sz="6" w:space="0" w:color="auto"/>
              <w:right w:val="single" w:sz="6" w:space="0" w:color="auto"/>
            </w:tcBorders>
            <w:vAlign w:val="center"/>
          </w:tcPr>
          <w:p>
            <w:pPr>
              <w:pStyle w:val="19"/>
            </w:pPr>
            <w:r>
              <w:t>7.08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2040201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7.08</w:t>
            </w:r>
          </w:p>
        </w:tc>
        <w:tc>
          <w:tcPr>
            <w:tcW w:w="2551" w:type="dxa"/>
            <w:tcBorders>
              <w:left w:val="single" w:sz="6" w:space="0" w:color="auto"/>
              <w:right w:val="single" w:sz="6" w:space="0" w:color="auto"/>
            </w:tcBorders>
            <w:vAlign w:val="center"/>
          </w:tcPr>
          <w:p>
            <w:pPr>
              <w:pStyle w:val="19"/>
            </w:pPr>
            <w:r>
              <w:t>7.08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152.22</w:t>
            </w:r>
          </w:p>
        </w:tc>
        <w:tc>
          <w:tcPr>
            <w:tcW w:w="2551" w:type="dxa"/>
            <w:tcBorders>
              <w:left w:val="single" w:sz="6" w:space="0" w:color="auto"/>
              <w:right w:val="single" w:sz="6" w:space="0" w:color="auto"/>
            </w:tcBorders>
            <w:vAlign w:val="center"/>
          </w:tcPr>
          <w:p>
            <w:pPr>
              <w:pStyle w:val="19"/>
            </w:pPr>
            <w:r>
              <w:t>152.22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152.22</w:t>
            </w:r>
          </w:p>
        </w:tc>
        <w:tc>
          <w:tcPr>
            <w:tcW w:w="2551" w:type="dxa"/>
            <w:tcBorders>
              <w:left w:val="single" w:sz="6" w:space="0" w:color="auto"/>
              <w:right w:val="single" w:sz="6" w:space="0" w:color="auto"/>
            </w:tcBorders>
            <w:vAlign w:val="center"/>
          </w:tcPr>
          <w:p>
            <w:pPr>
              <w:pStyle w:val="19"/>
            </w:pPr>
            <w:r>
              <w:t>152.22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46.20</w:t>
            </w:r>
          </w:p>
        </w:tc>
        <w:tc>
          <w:tcPr>
            <w:tcW w:w="2551" w:type="dxa"/>
            <w:tcBorders>
              <w:left w:val="single" w:sz="6" w:space="0" w:color="auto"/>
              <w:right w:val="single" w:sz="6" w:space="0" w:color="auto"/>
            </w:tcBorders>
            <w:vAlign w:val="center"/>
          </w:tcPr>
          <w:p>
            <w:pPr>
              <w:pStyle w:val="19"/>
            </w:pPr>
            <w:r>
              <w:t>46.20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106.02</w:t>
            </w:r>
          </w:p>
        </w:tc>
        <w:tc>
          <w:tcPr>
            <w:tcW w:w="2551" w:type="dxa"/>
            <w:tcBorders>
              <w:left w:val="single" w:sz="6" w:space="0" w:color="auto"/>
              <w:right w:val="single" w:sz="6" w:space="0" w:color="auto"/>
            </w:tcBorders>
            <w:vAlign w:val="center"/>
          </w:tcPr>
          <w:p>
            <w:pPr>
              <w:pStyle w:val="19"/>
            </w:pPr>
            <w:r>
              <w:t>106.02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90.51</w:t>
            </w:r>
          </w:p>
        </w:tc>
        <w:tc>
          <w:tcPr>
            <w:tcW w:w="2551" w:type="dxa"/>
            <w:tcBorders>
              <w:left w:val="single" w:sz="6" w:space="0" w:color="auto"/>
              <w:right w:val="single" w:sz="6" w:space="0" w:color="auto"/>
            </w:tcBorders>
            <w:vAlign w:val="center"/>
          </w:tcPr>
          <w:p>
            <w:pPr>
              <w:pStyle w:val="19"/>
            </w:pPr>
            <w:r>
              <w:t>90.51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90.51</w:t>
            </w:r>
          </w:p>
        </w:tc>
        <w:tc>
          <w:tcPr>
            <w:tcW w:w="2551" w:type="dxa"/>
            <w:tcBorders>
              <w:left w:val="single" w:sz="6" w:space="0" w:color="auto"/>
              <w:right w:val="single" w:sz="6" w:space="0" w:color="auto"/>
            </w:tcBorders>
            <w:vAlign w:val="center"/>
          </w:tcPr>
          <w:p>
            <w:pPr>
              <w:pStyle w:val="19"/>
            </w:pPr>
            <w:r>
              <w:t>90.51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43.03</w:t>
            </w:r>
          </w:p>
        </w:tc>
        <w:tc>
          <w:tcPr>
            <w:tcW w:w="2551" w:type="dxa"/>
            <w:tcBorders>
              <w:left w:val="single" w:sz="6" w:space="0" w:color="auto"/>
              <w:right w:val="single" w:sz="6" w:space="0" w:color="auto"/>
            </w:tcBorders>
            <w:vAlign w:val="center"/>
          </w:tcPr>
          <w:p>
            <w:pPr>
              <w:pStyle w:val="19"/>
            </w:pPr>
            <w:r>
              <w:t>43.03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47.48</w:t>
            </w:r>
          </w:p>
        </w:tc>
        <w:tc>
          <w:tcPr>
            <w:tcW w:w="2551" w:type="dxa"/>
            <w:tcBorders>
              <w:left w:val="single" w:sz="6" w:space="0" w:color="auto"/>
              <w:right w:val="single" w:sz="6" w:space="0" w:color="auto"/>
            </w:tcBorders>
            <w:vAlign w:val="center"/>
          </w:tcPr>
          <w:p>
            <w:pPr>
              <w:pStyle w:val="19"/>
            </w:pPr>
            <w:r>
              <w:t>47.48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2551" w:type="dxa"/>
            <w:tcBorders>
              <w:left w:val="single" w:sz="6" w:space="0" w:color="auto"/>
              <w:right w:val="single" w:sz="6" w:space="0" w:color="auto"/>
            </w:tcBorders>
            <w:vAlign w:val="center"/>
          </w:tcPr>
          <w:p>
            <w:pPr>
              <w:pStyle w:val="19"/>
            </w:pPr>
            <w:r>
              <w:t>6186.11</w:t>
            </w:r>
          </w:p>
        </w:tc>
        <w:tc>
          <w:tcPr>
            <w:tcW w:w="2551" w:type="dxa"/>
            <w:tcBorders>
              <w:left w:val="single" w:sz="6" w:space="0" w:color="auto"/>
              <w:right w:val="single" w:sz="6" w:space="0" w:color="auto"/>
            </w:tcBorders>
            <w:vAlign w:val="center"/>
          </w:tcPr>
          <w:p>
            <w:pPr>
              <w:pStyle w:val="19"/>
            </w:pPr>
            <w:r>
              <w:t>940.58</w:t>
            </w:r>
          </w:p>
        </w:tc>
        <w:tc>
          <w:tcPr>
            <w:tcW w:w="2551" w:type="dxa"/>
            <w:vAlign w:val="center"/>
          </w:tcPr>
          <w:p>
            <w:pPr>
              <w:pStyle w:val="19"/>
            </w:pPr>
            <w:r>
              <w:t>5245.53</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21201</w:t>
            </w:r>
          </w:p>
        </w:tc>
        <w:tc>
          <w:tcPr>
            <w:tcW w:w="4535" w:type="dxa"/>
            <w:tcBorders>
              <w:left w:val="single" w:sz="6" w:space="0" w:color="auto"/>
              <w:right w:val="single" w:sz="6" w:space="0" w:color="auto"/>
            </w:tcBorders>
            <w:vAlign w:val="center"/>
          </w:tcPr>
          <w:p>
            <w:pPr>
              <w:pStyle w:val="20"/>
            </w:pPr>
            <w:r>
              <w:t>城乡社区管理事务</w:t>
            </w:r>
          </w:p>
        </w:tc>
        <w:tc>
          <w:tcPr>
            <w:tcW w:w="2551" w:type="dxa"/>
            <w:tcBorders>
              <w:left w:val="single" w:sz="6" w:space="0" w:color="auto"/>
              <w:right w:val="single" w:sz="6" w:space="0" w:color="auto"/>
            </w:tcBorders>
            <w:vAlign w:val="center"/>
          </w:tcPr>
          <w:p>
            <w:pPr>
              <w:pStyle w:val="19"/>
            </w:pPr>
            <w:r>
              <w:t>5174.35</w:t>
            </w:r>
          </w:p>
        </w:tc>
        <w:tc>
          <w:tcPr>
            <w:tcW w:w="2551" w:type="dxa"/>
            <w:tcBorders>
              <w:left w:val="single" w:sz="6" w:space="0" w:color="auto"/>
              <w:right w:val="single" w:sz="6" w:space="0" w:color="auto"/>
            </w:tcBorders>
            <w:vAlign w:val="center"/>
          </w:tcPr>
          <w:p>
            <w:pPr>
              <w:pStyle w:val="19"/>
            </w:pPr>
            <w:r>
              <w:t>940.58</w:t>
            </w:r>
          </w:p>
        </w:tc>
        <w:tc>
          <w:tcPr>
            <w:tcW w:w="2551" w:type="dxa"/>
            <w:vAlign w:val="center"/>
          </w:tcPr>
          <w:p>
            <w:pPr>
              <w:pStyle w:val="19"/>
            </w:pPr>
            <w:r>
              <w:t>4233.77</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2120101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940.58</w:t>
            </w:r>
          </w:p>
        </w:tc>
        <w:tc>
          <w:tcPr>
            <w:tcW w:w="2551" w:type="dxa"/>
            <w:tcBorders>
              <w:left w:val="single" w:sz="6" w:space="0" w:color="auto"/>
              <w:right w:val="single" w:sz="6" w:space="0" w:color="auto"/>
            </w:tcBorders>
            <w:vAlign w:val="center"/>
          </w:tcPr>
          <w:p>
            <w:pPr>
              <w:pStyle w:val="19"/>
            </w:pPr>
            <w:r>
              <w:t>940.58</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2120199</w:t>
            </w:r>
          </w:p>
        </w:tc>
        <w:tc>
          <w:tcPr>
            <w:tcW w:w="4535" w:type="dxa"/>
            <w:tcBorders>
              <w:left w:val="single" w:sz="6" w:space="0" w:color="auto"/>
              <w:right w:val="single" w:sz="6" w:space="0" w:color="auto"/>
            </w:tcBorders>
            <w:vAlign w:val="center"/>
          </w:tcPr>
          <w:p>
            <w:pPr>
              <w:pStyle w:val="20"/>
            </w:pPr>
            <w:r>
              <w:t>其他城乡社区管理事务支出</w:t>
            </w:r>
          </w:p>
        </w:tc>
        <w:tc>
          <w:tcPr>
            <w:tcW w:w="2551" w:type="dxa"/>
            <w:tcBorders>
              <w:left w:val="single" w:sz="6" w:space="0" w:color="auto"/>
              <w:right w:val="single" w:sz="6" w:space="0" w:color="auto"/>
            </w:tcBorders>
            <w:vAlign w:val="center"/>
          </w:tcPr>
          <w:p>
            <w:pPr>
              <w:pStyle w:val="19"/>
            </w:pPr>
            <w:r>
              <w:t>4233.77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4233.77</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21203</w:t>
            </w:r>
          </w:p>
        </w:tc>
        <w:tc>
          <w:tcPr>
            <w:tcW w:w="4535" w:type="dxa"/>
            <w:tcBorders>
              <w:left w:val="single" w:sz="6" w:space="0" w:color="auto"/>
              <w:right w:val="single" w:sz="6" w:space="0" w:color="auto"/>
            </w:tcBorders>
            <w:vAlign w:val="center"/>
          </w:tcPr>
          <w:p>
            <w:pPr>
              <w:pStyle w:val="20"/>
            </w:pPr>
            <w:r>
              <w:t>城乡社区公共设施</w:t>
            </w:r>
          </w:p>
        </w:tc>
        <w:tc>
          <w:tcPr>
            <w:tcW w:w="2551" w:type="dxa"/>
            <w:tcBorders>
              <w:left w:val="single" w:sz="6" w:space="0" w:color="auto"/>
              <w:right w:val="single" w:sz="6" w:space="0" w:color="auto"/>
            </w:tcBorders>
            <w:vAlign w:val="center"/>
          </w:tcPr>
          <w:p>
            <w:pPr>
              <w:pStyle w:val="19"/>
            </w:pPr>
            <w:r>
              <w:t>1011.76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1011.76</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2120399</w:t>
            </w:r>
          </w:p>
        </w:tc>
        <w:tc>
          <w:tcPr>
            <w:tcW w:w="4535" w:type="dxa"/>
            <w:tcBorders>
              <w:left w:val="single" w:sz="6" w:space="0" w:color="auto"/>
              <w:right w:val="single" w:sz="6" w:space="0" w:color="auto"/>
            </w:tcBorders>
            <w:vAlign w:val="center"/>
          </w:tcPr>
          <w:p>
            <w:pPr>
              <w:pStyle w:val="20"/>
            </w:pPr>
            <w:r>
              <w:t>其他城乡社区公共设施支出</w:t>
            </w:r>
          </w:p>
        </w:tc>
        <w:tc>
          <w:tcPr>
            <w:tcW w:w="2551" w:type="dxa"/>
            <w:tcBorders>
              <w:left w:val="single" w:sz="6" w:space="0" w:color="auto"/>
              <w:right w:val="single" w:sz="6" w:space="0" w:color="auto"/>
            </w:tcBorders>
            <w:vAlign w:val="center"/>
          </w:tcPr>
          <w:p>
            <w:pPr>
              <w:pStyle w:val="19"/>
            </w:pPr>
            <w:r>
              <w:t>1011.76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1011.76</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86.32</w:t>
            </w:r>
          </w:p>
        </w:tc>
        <w:tc>
          <w:tcPr>
            <w:tcW w:w="2551" w:type="dxa"/>
            <w:tcBorders>
              <w:left w:val="single" w:sz="6" w:space="0" w:color="auto"/>
              <w:right w:val="single" w:sz="6" w:space="0" w:color="auto"/>
            </w:tcBorders>
            <w:vAlign w:val="center"/>
          </w:tcPr>
          <w:p>
            <w:pPr>
              <w:pStyle w:val="19"/>
            </w:pPr>
            <w:r>
              <w:t>86.32</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86.32</w:t>
            </w:r>
          </w:p>
        </w:tc>
        <w:tc>
          <w:tcPr>
            <w:tcW w:w="2551" w:type="dxa"/>
            <w:tcBorders>
              <w:left w:val="single" w:sz="6" w:space="0" w:color="auto"/>
              <w:right w:val="single" w:sz="6" w:space="0" w:color="auto"/>
            </w:tcBorders>
            <w:vAlign w:val="center"/>
          </w:tcPr>
          <w:p>
            <w:pPr>
              <w:pStyle w:val="19"/>
            </w:pPr>
            <w:r>
              <w:t>86.32</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86.32</w:t>
            </w:r>
          </w:p>
        </w:tc>
        <w:tc>
          <w:tcPr>
            <w:tcW w:w="2551" w:type="dxa"/>
            <w:tcBorders>
              <w:left w:val="single" w:sz="6" w:space="0" w:color="auto"/>
              <w:right w:val="single" w:sz="6" w:space="0" w:color="auto"/>
            </w:tcBorders>
            <w:vAlign w:val="center"/>
          </w:tcPr>
          <w:p>
            <w:pPr>
              <w:pStyle w:val="19"/>
            </w:pPr>
            <w:r>
              <w:t>86.32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1276.71</w:t>
            </w:r>
          </w:p>
        </w:tc>
        <w:tc>
          <w:tcPr>
            <w:tcW w:w="2551" w:type="dxa"/>
            <w:tcBorders>
              <w:left w:val="single" w:sz="6" w:space="0" w:color="auto"/>
              <w:right w:val="single" w:sz="6" w:space="0" w:color="auto"/>
            </w:tcBorders>
            <w:vAlign w:val="center"/>
          </w:tcPr>
          <w:p>
            <w:pPr>
              <w:pStyle w:val="23"/>
            </w:pPr>
            <w:r>
              <w:t>1068.75</w:t>
            </w:r>
          </w:p>
        </w:tc>
        <w:tc>
          <w:tcPr>
            <w:tcW w:w="2551" w:type="dxa"/>
            <w:vAlign w:val="center"/>
          </w:tcPr>
          <w:p>
            <w:pPr>
              <w:pStyle w:val="23"/>
            </w:pPr>
            <w:r>
              <w:t>207.96</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1022.55</w:t>
            </w:r>
          </w:p>
        </w:tc>
        <w:tc>
          <w:tcPr>
            <w:tcW w:w="2551" w:type="dxa"/>
            <w:tcBorders>
              <w:left w:val="single" w:sz="6" w:space="0" w:color="auto"/>
              <w:right w:val="single" w:sz="6" w:space="0" w:color="auto"/>
            </w:tcBorders>
            <w:vAlign w:val="center"/>
          </w:tcPr>
          <w:p>
            <w:pPr>
              <w:pStyle w:val="19"/>
            </w:pPr>
            <w:r>
              <w:t>1022.55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211.99</w:t>
            </w:r>
          </w:p>
        </w:tc>
        <w:tc>
          <w:tcPr>
            <w:tcW w:w="2551" w:type="dxa"/>
            <w:tcBorders>
              <w:left w:val="single" w:sz="6" w:space="0" w:color="auto"/>
              <w:right w:val="single" w:sz="6" w:space="0" w:color="auto"/>
            </w:tcBorders>
            <w:vAlign w:val="center"/>
          </w:tcPr>
          <w:p>
            <w:pPr>
              <w:pStyle w:val="19"/>
            </w:pPr>
            <w:r>
              <w:t>211.99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118.07</w:t>
            </w:r>
          </w:p>
        </w:tc>
        <w:tc>
          <w:tcPr>
            <w:tcW w:w="2551" w:type="dxa"/>
            <w:tcBorders>
              <w:left w:val="single" w:sz="6" w:space="0" w:color="auto"/>
              <w:right w:val="single" w:sz="6" w:space="0" w:color="auto"/>
            </w:tcBorders>
            <w:vAlign w:val="center"/>
          </w:tcPr>
          <w:p>
            <w:pPr>
              <w:pStyle w:val="19"/>
            </w:pPr>
            <w:r>
              <w:t>118.07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47.08</w:t>
            </w:r>
          </w:p>
        </w:tc>
        <w:tc>
          <w:tcPr>
            <w:tcW w:w="2551" w:type="dxa"/>
            <w:tcBorders>
              <w:left w:val="single" w:sz="6" w:space="0" w:color="auto"/>
              <w:right w:val="single" w:sz="6" w:space="0" w:color="auto"/>
            </w:tcBorders>
            <w:vAlign w:val="center"/>
          </w:tcPr>
          <w:p>
            <w:pPr>
              <w:pStyle w:val="19"/>
            </w:pPr>
            <w:r>
              <w:t>47.08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151.23</w:t>
            </w:r>
          </w:p>
        </w:tc>
        <w:tc>
          <w:tcPr>
            <w:tcW w:w="2551" w:type="dxa"/>
            <w:tcBorders>
              <w:left w:val="single" w:sz="6" w:space="0" w:color="auto"/>
              <w:right w:val="single" w:sz="6" w:space="0" w:color="auto"/>
            </w:tcBorders>
            <w:vAlign w:val="center"/>
          </w:tcPr>
          <w:p>
            <w:pPr>
              <w:pStyle w:val="19"/>
            </w:pPr>
            <w:r>
              <w:t>151.23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77.75</w:t>
            </w:r>
          </w:p>
        </w:tc>
        <w:tc>
          <w:tcPr>
            <w:tcW w:w="2551" w:type="dxa"/>
            <w:tcBorders>
              <w:left w:val="single" w:sz="6" w:space="0" w:color="auto"/>
              <w:right w:val="single" w:sz="6" w:space="0" w:color="auto"/>
            </w:tcBorders>
            <w:vAlign w:val="center"/>
          </w:tcPr>
          <w:p>
            <w:pPr>
              <w:pStyle w:val="19"/>
            </w:pPr>
            <w:r>
              <w:t>77.75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30.67</w:t>
            </w:r>
          </w:p>
        </w:tc>
        <w:tc>
          <w:tcPr>
            <w:tcW w:w="2551" w:type="dxa"/>
            <w:tcBorders>
              <w:left w:val="single" w:sz="6" w:space="0" w:color="auto"/>
              <w:right w:val="single" w:sz="6" w:space="0" w:color="auto"/>
            </w:tcBorders>
            <w:vAlign w:val="center"/>
          </w:tcPr>
          <w:p>
            <w:pPr>
              <w:pStyle w:val="19"/>
            </w:pPr>
            <w:r>
              <w:t>30.67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33.84</w:t>
            </w:r>
          </w:p>
        </w:tc>
        <w:tc>
          <w:tcPr>
            <w:tcW w:w="2551" w:type="dxa"/>
            <w:tcBorders>
              <w:left w:val="single" w:sz="6" w:space="0" w:color="auto"/>
              <w:right w:val="single" w:sz="6" w:space="0" w:color="auto"/>
            </w:tcBorders>
            <w:vAlign w:val="center"/>
          </w:tcPr>
          <w:p>
            <w:pPr>
              <w:pStyle w:val="19"/>
            </w:pPr>
            <w:r>
              <w:t>33.84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3.87</w:t>
            </w:r>
          </w:p>
        </w:tc>
        <w:tc>
          <w:tcPr>
            <w:tcW w:w="2551" w:type="dxa"/>
            <w:tcBorders>
              <w:left w:val="single" w:sz="6" w:space="0" w:color="auto"/>
              <w:right w:val="single" w:sz="6" w:space="0" w:color="auto"/>
            </w:tcBorders>
            <w:vAlign w:val="center"/>
          </w:tcPr>
          <w:p>
            <w:pPr>
              <w:pStyle w:val="19"/>
            </w:pPr>
            <w:r>
              <w:t>3.87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63.65</w:t>
            </w:r>
          </w:p>
        </w:tc>
        <w:tc>
          <w:tcPr>
            <w:tcW w:w="2551" w:type="dxa"/>
            <w:tcBorders>
              <w:left w:val="single" w:sz="6" w:space="0" w:color="auto"/>
              <w:right w:val="single" w:sz="6" w:space="0" w:color="auto"/>
            </w:tcBorders>
            <w:vAlign w:val="center"/>
          </w:tcPr>
          <w:p>
            <w:pPr>
              <w:pStyle w:val="19"/>
            </w:pPr>
            <w:r>
              <w:t>63.65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284.40</w:t>
            </w:r>
          </w:p>
        </w:tc>
        <w:tc>
          <w:tcPr>
            <w:tcW w:w="2551" w:type="dxa"/>
            <w:tcBorders>
              <w:left w:val="single" w:sz="6" w:space="0" w:color="auto"/>
              <w:right w:val="single" w:sz="6" w:space="0" w:color="auto"/>
            </w:tcBorders>
            <w:vAlign w:val="center"/>
          </w:tcPr>
          <w:p>
            <w:pPr>
              <w:pStyle w:val="19"/>
            </w:pPr>
            <w:r>
              <w:t>284.40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207.96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207.96</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6.98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6.98</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30202</w:t>
            </w:r>
          </w:p>
        </w:tc>
        <w:tc>
          <w:tcPr>
            <w:tcW w:w="4535" w:type="dxa"/>
            <w:tcBorders>
              <w:left w:val="single" w:sz="6" w:space="0" w:color="auto"/>
              <w:right w:val="single" w:sz="6" w:space="0" w:color="auto"/>
            </w:tcBorders>
            <w:vAlign w:val="center"/>
          </w:tcPr>
          <w:p>
            <w:pPr>
              <w:pStyle w:val="20"/>
            </w:pPr>
            <w:r>
              <w:t>印刷费</w:t>
            </w:r>
          </w:p>
        </w:tc>
        <w:tc>
          <w:tcPr>
            <w:tcW w:w="2551" w:type="dxa"/>
            <w:tcBorders>
              <w:left w:val="single" w:sz="6" w:space="0" w:color="auto"/>
              <w:right w:val="single" w:sz="6" w:space="0" w:color="auto"/>
            </w:tcBorders>
            <w:vAlign w:val="center"/>
          </w:tcPr>
          <w:p>
            <w:pPr>
              <w:pStyle w:val="19"/>
            </w:pPr>
            <w:r>
              <w:t>3.60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30205</w:t>
            </w:r>
          </w:p>
        </w:tc>
        <w:tc>
          <w:tcPr>
            <w:tcW w:w="4535" w:type="dxa"/>
            <w:tcBorders>
              <w:left w:val="single" w:sz="6" w:space="0" w:color="auto"/>
              <w:right w:val="single" w:sz="6" w:space="0" w:color="auto"/>
            </w:tcBorders>
            <w:vAlign w:val="center"/>
          </w:tcPr>
          <w:p>
            <w:pPr>
              <w:pStyle w:val="20"/>
            </w:pPr>
            <w:r>
              <w:t>水费</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30206</w:t>
            </w:r>
          </w:p>
        </w:tc>
        <w:tc>
          <w:tcPr>
            <w:tcW w:w="4535" w:type="dxa"/>
            <w:tcBorders>
              <w:left w:val="single" w:sz="6" w:space="0" w:color="auto"/>
              <w:right w:val="single" w:sz="6" w:space="0" w:color="auto"/>
            </w:tcBorders>
            <w:vAlign w:val="center"/>
          </w:tcPr>
          <w:p>
            <w:pPr>
              <w:pStyle w:val="20"/>
            </w:pPr>
            <w:r>
              <w:t>电费</w:t>
            </w:r>
          </w:p>
        </w:tc>
        <w:tc>
          <w:tcPr>
            <w:tcW w:w="2551" w:type="dxa"/>
            <w:tcBorders>
              <w:left w:val="single" w:sz="6" w:space="0" w:color="auto"/>
              <w:right w:val="single" w:sz="6" w:space="0" w:color="auto"/>
            </w:tcBorders>
            <w:vAlign w:val="center"/>
          </w:tcPr>
          <w:p>
            <w:pPr>
              <w:pStyle w:val="19"/>
            </w:pPr>
            <w:r>
              <w:t>81.00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81.00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19.60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19.60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35.80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2.80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30218</w:t>
            </w:r>
          </w:p>
        </w:tc>
        <w:tc>
          <w:tcPr>
            <w:tcW w:w="4535" w:type="dxa"/>
            <w:tcBorders>
              <w:left w:val="single" w:sz="6" w:space="0" w:color="auto"/>
              <w:right w:val="single" w:sz="6" w:space="0" w:color="auto"/>
            </w:tcBorders>
            <w:vAlign w:val="center"/>
          </w:tcPr>
          <w:p>
            <w:pPr>
              <w:pStyle w:val="20"/>
            </w:pPr>
            <w:r>
              <w:t>专用材料费</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14.69</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14.69</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7.21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7.21</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21.66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21.66</w:t>
            </w: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1.62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1.62</w:t>
            </w: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46.20</w:t>
            </w:r>
          </w:p>
        </w:tc>
        <w:tc>
          <w:tcPr>
            <w:tcW w:w="2551" w:type="dxa"/>
            <w:tcBorders>
              <w:left w:val="single" w:sz="6" w:space="0" w:color="auto"/>
              <w:right w:val="single" w:sz="6" w:space="0" w:color="auto"/>
            </w:tcBorders>
            <w:vAlign w:val="center"/>
          </w:tcPr>
          <w:p>
            <w:pPr>
              <w:pStyle w:val="19"/>
            </w:pPr>
            <w:r>
              <w:t>46.20</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46.20</w:t>
            </w:r>
          </w:p>
        </w:tc>
        <w:tc>
          <w:tcPr>
            <w:tcW w:w="2551" w:type="dxa"/>
            <w:tcBorders>
              <w:left w:val="single" w:sz="6" w:space="0" w:color="auto"/>
              <w:right w:val="single" w:sz="6" w:space="0" w:color="auto"/>
            </w:tcBorders>
            <w:vAlign w:val="center"/>
          </w:tcPr>
          <w:p>
            <w:pPr>
              <w:pStyle w:val="19"/>
            </w:pPr>
            <w:r>
              <w:t>46.20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17.55</w:t>
            </w:r>
          </w:p>
        </w:tc>
        <w:tc>
          <w:tcPr>
            <w:tcW w:w="2381" w:type="dxa"/>
            <w:tcBorders>
              <w:left w:val="single" w:sz="6" w:space="0" w:color="auto"/>
              <w:right w:val="single" w:sz="6" w:space="0" w:color="auto"/>
            </w:tcBorders>
            <w:vAlign w:val="center"/>
          </w:tcPr>
          <w:p>
            <w:pPr>
              <w:pStyle w:val="23"/>
            </w:pPr>
            <w:r>
              <w:t>17.55</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12.55</w:t>
            </w:r>
          </w:p>
        </w:tc>
        <w:tc>
          <w:tcPr>
            <w:tcW w:w="2381" w:type="dxa"/>
            <w:tcBorders>
              <w:left w:val="single" w:sz="6" w:space="0" w:color="auto"/>
              <w:right w:val="single" w:sz="6" w:space="0" w:color="auto"/>
            </w:tcBorders>
            <w:vAlign w:val="center"/>
          </w:tcPr>
          <w:p>
            <w:pPr>
              <w:pStyle w:val="19"/>
            </w:pPr>
            <w:r>
              <w:t>12.55</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河北丰南经济开发区管理委员会2025年部门预算信息公开情况说明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河北丰南经济开发区管理委员会2025年部门预算信息公开情况说明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按照《中华人民共和国预算法》、《地方预决算公开操作规程》和《关于进一步推进预算公开工作的实施意见》规定，现将河北丰南经济开发区管理委员会2025年部门预算公开如下：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负责编制辖区的总体规划和经济、社会发展规划，经批准后组织实施；负责编制辖区区域性城市发展规划、国土利用规划，经批准后组织实施；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完成丰南区人民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河北丰南经济开发区管理委员会本级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副处（县）级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按照预算管理有关规定，目前部门预算的编制实行综合预算管理，即全部收入和支出都反映在预算中。河北丰南经济开发区管理委员会机关及所属事业单位的收支包含在部门预算中。</w:t>
      </w:r>
    </w:p>
    <w:p>
      <w:pPr>
        <w:pStyle w:val="26"/>
      </w:pPr>
      <w:r>
        <w:t>1、收入说明</w:t>
      </w:r>
    </w:p>
    <w:p>
      <w:pPr>
        <w:pStyle w:val="26"/>
      </w:pPr>
      <w:r>
        <w:t>反映本部门当年全部收入。2025年预算收入6522.24万元，其中：一般公共预算收入5510.48万元，基金预算收入0.00万元，国有资本经营预算收入0.00万元，财政专户核拨收入0.00万元，单位资金收入0.00万元，上年结转结余1011.76万元。</w:t>
      </w:r>
    </w:p>
    <w:p>
      <w:pPr>
        <w:pStyle w:val="26"/>
      </w:pPr>
      <w:r>
        <w:t>2、支出说明</w:t>
      </w:r>
    </w:p>
    <w:p>
      <w:pPr>
        <w:pStyle w:val="26"/>
      </w:pPr>
      <w:r>
        <w:t>收支预算总表支出栏、基本支出表、项目支出表按经济分类和支出功能分类科目编制，反映河北丰南经济开发区管理委员会年度部门预算中支出预算的总体情况。2025年支出预算6522.24万元，其中基本支出1276.71万元，包括人员经费1068.75万元和日常公用经费207.96万元；项目支出5245.53万元，主要为开发区道路清扫绿化养护项目等其他项目。</w:t>
      </w:r>
    </w:p>
    <w:p>
      <w:pPr>
        <w:pStyle w:val="26"/>
      </w:pPr>
      <w:r>
        <w:t>3、比上年增减情况</w:t>
      </w:r>
    </w:p>
    <w:p>
      <w:pPr>
        <w:pStyle w:val="26"/>
      </w:pPr>
      <w:r>
        <w:t>2025年预算收支安排6522.24万元，较2024年预算减少5815.99万元，其中：基本支出减少48.09万元，主要为人员经费减少，公用经费减少。项目支出减少5767.90万元，主要为丰南经济开发区西扩区基础设施工程等四个专项债券项目减少。</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2025年，我部门机关运行经费共计安排207.96万元，主要用于日常维修、办公用房水电费、办公用房取暖费、办公用房物业管理费等日常运行支出。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17.55万元，其中因公出国（境）费0.00万元；公务用车购置及运维费5.00万元（其中：公务用车购置费为0.00万元，公务用车运维费5.00万元)；公务接待费12.55万元。与2024年相比减少9.75万元，增减变化的主要原因是公务接待费减少。</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2025年，以习近平新时代中国特色社会主义思想为指引，坚持以经济发展为统领，以项目招商为抓手，以提升园区承载力为重点，以安全发展和绿色发展为主题，以党的建设为保障，坚定走加快转型、绿色发展、跨越提升之路，努力创建全省一流的工业园区，为一域争光、为全区添彩。将工作人员按特长重新合理分工，充实岗位，定岗定责，加强培训交流调度，使人员整体素质迅速提高；积极推进综合治税，力促财政任务较好完成加大力度组织财政收入；强化服务宗旨，推进项目建设和企业发展，积极为企业落实优惠政策，通过现场核实、协议研究、报告申请、跑办拨付等过程，为符合条件的企业争取财政补助资金。</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（一）日常综合协调工作</w:t>
      </w:r>
    </w:p>
    <w:p>
      <w:pPr>
        <w:pStyle w:val="30"/>
      </w:pPr>
      <w:r>
        <w:t>绩效目标：负责开发区党工委及管委会日常事务的综合协调、党组织建设、人事管理等工作。</w:t>
      </w:r>
    </w:p>
    <w:p>
      <w:pPr>
        <w:pStyle w:val="30"/>
      </w:pPr>
      <w:r>
        <w:t>绩效指标：提高信息采编、上报的数量和质量。确保会议活动取得实效。文书档案管理规范。不断提高执政能力和领导水平。提高干部整体素质，人员的选拔任用坚持政策严谨规范有序。（二）招商引资管理</w:t>
      </w:r>
    </w:p>
    <w:p>
      <w:pPr>
        <w:pStyle w:val="30"/>
      </w:pPr>
      <w:r>
        <w:t>绩效目标：负责编制辖区招商计划，并组织实施；负责区内企业审批及工商注册前的各项审批工作。</w:t>
      </w:r>
    </w:p>
    <w:p>
      <w:pPr>
        <w:pStyle w:val="30"/>
      </w:pPr>
      <w:r>
        <w:t>绩效指标：通过开展“主体招商活动”，瞄准重点区域、重点客商和商务机构，推动和引领园区做好招商工作。突出引进战略投资者，力争在重点产业引进一批战略支撑项目、龙头企业和协力配套企业。</w:t>
      </w:r>
    </w:p>
    <w:p>
      <w:pPr>
        <w:pStyle w:val="30"/>
      </w:pPr>
      <w:r>
        <w:t xml:space="preserve">（三）园区规划建设管理 </w:t>
      </w:r>
    </w:p>
    <w:p>
      <w:pPr>
        <w:pStyle w:val="30"/>
      </w:pPr>
      <w:r>
        <w:t>绩效目标：指导做好园区市政的建设， 负责开发区规划区内建设项目的规划、建设工作； 帮助入区企业办理建设工程规划许可证、建设工程施工许可证。</w:t>
      </w:r>
    </w:p>
    <w:p>
      <w:pPr>
        <w:pStyle w:val="30"/>
      </w:pPr>
      <w:r>
        <w:t>绩效指标：加强园区建设，改善人居环境，实现城乡统筹发展；做好规划，监督各项目按规划建设，提高园区形象，为入园区项目建设搞好服务。</w:t>
      </w:r>
    </w:p>
    <w:p>
      <w:pPr>
        <w:pStyle w:val="30"/>
      </w:pPr>
      <w:r>
        <w:t>（四）安全生产管理</w:t>
      </w:r>
    </w:p>
    <w:p>
      <w:pPr>
        <w:pStyle w:val="30"/>
      </w:pPr>
      <w:r>
        <w:t>绩效目标：对辖区内企业进行安全生产监督管理；区域内重点行业安全生产监管；组织指挥和协调开发区安全生产应急救援。</w:t>
      </w:r>
    </w:p>
    <w:p>
      <w:pPr>
        <w:pStyle w:val="30"/>
      </w:pPr>
      <w:r>
        <w:t>绩效指标：通过督导检查、日常监管、应急救援演练、安全生产培训等一系列具体措施，持续不断的抓好安全生产工作，排除各类隐患，预防和减少事故的发生，确保开发区安全生产持续稳定。</w:t>
      </w:r>
    </w:p>
    <w:p>
      <w:pPr>
        <w:pStyle w:val="30"/>
      </w:pPr>
      <w:r>
        <w:t>（五）环境保护管理</w:t>
      </w:r>
    </w:p>
    <w:p>
      <w:pPr>
        <w:pStyle w:val="30"/>
      </w:pPr>
      <w:r>
        <w:t>绩效目标：促进结构调整和加快转变经济发展方式；负责环境保护系统综合业务管理。</w:t>
      </w:r>
    </w:p>
    <w:p>
      <w:pPr>
        <w:pStyle w:val="30"/>
      </w:pPr>
      <w:r>
        <w:t>绩效指标：加强区域环境整体质量改进，确保不发生环境安全事故；推动城市环境空气质量改善；加强水体污染防治；调动企业通过清洁生产做到“节能、降耗、减污、增效”。</w:t>
      </w:r>
    </w:p>
    <w:p>
      <w:pPr>
        <w:pStyle w:val="30"/>
      </w:pPr>
      <w:r>
        <w:t>（六）统计工作</w:t>
      </w:r>
    </w:p>
    <w:p>
      <w:pPr>
        <w:pStyle w:val="30"/>
      </w:pPr>
      <w:r>
        <w:t>绩效目标：开发区综合数据统计、区域经济普查；加强开发区统计工作标准化建设。</w:t>
      </w:r>
    </w:p>
    <w:p>
      <w:pPr>
        <w:pStyle w:val="30"/>
      </w:pPr>
      <w:r>
        <w:t>绩效指标：完成开发区数据及各企业年度数据必要分析，对相关经济决策提供重要依据；按照上级要求完成普查工作，确保普查的顺利完成；组织开展专项统计调查工作，了解基层情况和动态提供统计信息和咨询建议。</w:t>
      </w:r>
    </w:p>
    <w:p>
      <w:pPr>
        <w:pStyle w:val="30"/>
      </w:pPr>
      <w:r>
        <w:t>（七）国土资源执法与监察</w:t>
      </w:r>
    </w:p>
    <w:p>
      <w:pPr>
        <w:pStyle w:val="30"/>
      </w:pPr>
      <w:r>
        <w:t>绩效目标：强化县级国土资源执法监察工作,提高国土资源执法能力。</w:t>
      </w:r>
    </w:p>
    <w:p>
      <w:pPr>
        <w:pStyle w:val="30"/>
      </w:pPr>
      <w:r>
        <w:t>绩效指标：提高开发区节约集约用地水平，促进企业用地规模合理合法有效节约；协调国土资源执法监察部门，及时发现、制止违法行为。依法协助查处案件，开展卫片执法监督检查，协调、联络土地督察机构，推进国土资源基层所标准化建设。</w:t>
      </w:r>
    </w:p>
    <w:p>
      <w:pPr>
        <w:pStyle w:val="30"/>
      </w:pPr>
      <w:r>
        <w:t xml:space="preserve">（八）财政业务 </w:t>
      </w:r>
    </w:p>
    <w:p>
      <w:pPr>
        <w:pStyle w:val="30"/>
      </w:pPr>
      <w:r>
        <w:t>绩效目标：本级财政部门组织本级预算执行情况，对特定事项进行系统调查了解并向开发区报告情况和结果。</w:t>
      </w:r>
    </w:p>
    <w:p>
      <w:pPr>
        <w:pStyle w:val="30"/>
      </w:pPr>
      <w:r>
        <w:t>绩效指标：财政业务组织落实各项财经纪律、法规和制度；做好财政年度预决算编制工作。进一步规范开发区财政业务行为，全面提升开发区财政管理的科学化、规范化水平。</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sectPr>
          <w:pgSz w:w="16840" w:h="11900" w:orient="landscape"/>
          <w:pgMar w:top="1361" w:right="1020" w:bottom="1361" w:left="1020" w:header="720" w:footer="720" w:gutter="0"/>
          <w:docGrid w:linePitch="326" w:charSpace="0"/>
        </w:sectPr>
      </w:pPr>
      <w:r>
        <w:t>（一)我们将在财务分门别类归档建制的基础上，将工作职能完善定位，将工作人员按特长重新合理分工，充实岗位，定岗定责，加强培训交流调度，使人员整体素质迅速提高。二是结合开发区各局室，充分准备，反复论证，系统编制2024年开发区预算建议计划。三是进一步捋顺财权、事权，编制2023年开发区整体决算。      （二）加大力度组织财政收入，一是每月编制开发区各园区各企业纳税明细表，对重点企业进行纳税分析，查找存在问题，提出解决意见，为领导决策提供参考；二是对申报专项资金的企业，落实先核税后申报制度；三是配合区综合治税办公室开展税收联合检查；四是对开发区重点企业开展税源调查。  （三）强化服务宗旨，推进项目建设和企业发展一是坚持务实高效原则，凡是为项目建设而进行的工作，必须放在第一位，做到多到项目现场，多代跑相关部门。二是以跑办资金为主，积极为企业落实优惠政策。通过现场核实、协议研究、报告申请、跑办拨付等过程，为符合条件的企业争取财政补助资金。为项目和企业及时提供了资金支撑和周转。三是结合金融办、银行、担保公司熟悉各种资金政策，为有需求的企业提供咨询服务。四是联系各大国有银行，争取开发区支行尽快落户临港园区。</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Chars="200"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1、城南污水处理厂二期运营费用绩效目标表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13020725P00339E100025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城南污水处理厂二期运营费用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1464.00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1464.00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丰南区城南污水处理厂二期工程运行，经请示丰南区政府批准准予运营，2023年12月7日《关于城南污水处理厂二期运营相关事项的请示》丰经开总字【2023】172号）。根据园区实际与唐山城市排水有限公司签订协议，期限为2024年7月1日起至2027年6月30日，每月运营费122万元，2025年需资金1464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1.1.保障污水厂正常运营，保障园区用水排水。改善开发区工业生产环境，营造良好投资环境。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污水处理量</w:t>
            </w:r>
          </w:p>
        </w:tc>
        <w:tc>
          <w:tcPr>
            <w:tcW w:w="5386" w:type="dxa"/>
            <w:tcBorders>
              <w:left w:val="single" w:sz="6" w:space="0" w:color="auto"/>
              <w:right w:val="single" w:sz="6" w:space="0" w:color="auto"/>
            </w:tcBorders>
            <w:vAlign w:val="center"/>
          </w:tcPr>
          <w:p>
            <w:pPr>
              <w:pStyle w:val="20"/>
            </w:pPr>
            <w:r>
              <w:t>污水处理率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数据报表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出水水质</w:t>
            </w:r>
          </w:p>
        </w:tc>
        <w:tc>
          <w:tcPr>
            <w:tcW w:w="5386" w:type="dxa"/>
            <w:tcBorders>
              <w:left w:val="single" w:sz="6" w:space="0" w:color="auto"/>
              <w:right w:val="single" w:sz="6" w:space="0" w:color="auto"/>
            </w:tcBorders>
            <w:vAlign w:val="center"/>
          </w:tcPr>
          <w:p>
            <w:pPr>
              <w:pStyle w:val="20"/>
            </w:pPr>
            <w:r>
              <w:t>出水合格率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监测报告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对运营单位的资金支付</w:t>
            </w:r>
          </w:p>
        </w:tc>
        <w:tc>
          <w:tcPr>
            <w:tcW w:w="5386" w:type="dxa"/>
            <w:tcBorders>
              <w:left w:val="single" w:sz="6" w:space="0" w:color="auto"/>
              <w:right w:val="single" w:sz="6" w:space="0" w:color="auto"/>
            </w:tcBorders>
            <w:vAlign w:val="center"/>
          </w:tcPr>
          <w:p>
            <w:pPr>
              <w:pStyle w:val="20"/>
            </w:pPr>
            <w:r>
              <w:t>按签订协议内容支付</w:t>
            </w:r>
          </w:p>
        </w:tc>
        <w:tc>
          <w:tcPr>
            <w:tcW w:w="2268" w:type="dxa"/>
            <w:tcBorders>
              <w:left w:val="single" w:sz="6" w:space="0" w:color="auto"/>
              <w:right w:val="single" w:sz="6" w:space="0" w:color="auto"/>
            </w:tcBorders>
            <w:vAlign w:val="center"/>
          </w:tcPr>
          <w:p>
            <w:pPr>
              <w:pStyle w:val="20"/>
            </w:pPr>
            <w:r>
              <w:t>≤1年</w:t>
            </w:r>
          </w:p>
        </w:tc>
        <w:tc>
          <w:tcPr>
            <w:tcW w:w="1276" w:type="dxa"/>
            <w:vAlign w:val="center"/>
          </w:tcPr>
          <w:p>
            <w:pPr>
              <w:pStyle w:val="20"/>
            </w:pPr>
            <w:r>
              <w:t>协议、拨款审批资料</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污水处理费总成本</w:t>
            </w:r>
          </w:p>
        </w:tc>
        <w:tc>
          <w:tcPr>
            <w:tcW w:w="5386" w:type="dxa"/>
            <w:tcBorders>
              <w:left w:val="single" w:sz="6" w:space="0" w:color="auto"/>
              <w:right w:val="single" w:sz="6" w:space="0" w:color="auto"/>
            </w:tcBorders>
            <w:vAlign w:val="center"/>
          </w:tcPr>
          <w:p>
            <w:pPr>
              <w:pStyle w:val="20"/>
            </w:pPr>
            <w:r>
              <w:t>年总成本约</w:t>
            </w:r>
          </w:p>
        </w:tc>
        <w:tc>
          <w:tcPr>
            <w:tcW w:w="2268" w:type="dxa"/>
            <w:tcBorders>
              <w:left w:val="single" w:sz="6" w:space="0" w:color="auto"/>
              <w:right w:val="single" w:sz="6" w:space="0" w:color="auto"/>
            </w:tcBorders>
            <w:vAlign w:val="center"/>
          </w:tcPr>
          <w:p>
            <w:pPr>
              <w:pStyle w:val="20"/>
            </w:pPr>
            <w:r>
              <w:t>≤1464万元</w:t>
            </w:r>
          </w:p>
        </w:tc>
        <w:tc>
          <w:tcPr>
            <w:tcW w:w="1276" w:type="dxa"/>
            <w:vAlign w:val="center"/>
          </w:tcPr>
          <w:p>
            <w:pPr>
              <w:pStyle w:val="20"/>
            </w:pPr>
            <w:r>
              <w:t>协议、请示</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降低环境治理成本</w:t>
            </w:r>
          </w:p>
        </w:tc>
        <w:tc>
          <w:tcPr>
            <w:tcW w:w="5386" w:type="dxa"/>
            <w:tcBorders>
              <w:left w:val="single" w:sz="6" w:space="0" w:color="auto"/>
              <w:right w:val="single" w:sz="6" w:space="0" w:color="auto"/>
            </w:tcBorders>
            <w:vAlign w:val="center"/>
          </w:tcPr>
          <w:p>
            <w:pPr>
              <w:pStyle w:val="20"/>
            </w:pPr>
            <w:r>
              <w:t>改善受纳水体环境，降低环境治理成本</w:t>
            </w:r>
          </w:p>
        </w:tc>
        <w:tc>
          <w:tcPr>
            <w:tcW w:w="2268" w:type="dxa"/>
            <w:tcBorders>
              <w:left w:val="single" w:sz="6" w:space="0" w:color="auto"/>
              <w:right w:val="single" w:sz="6" w:space="0" w:color="auto"/>
            </w:tcBorders>
            <w:vAlign w:val="center"/>
          </w:tcPr>
          <w:p>
            <w:pPr>
              <w:pStyle w:val="20"/>
            </w:pPr>
            <w:r>
              <w:t>合格</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提升环境和水质质量</w:t>
            </w:r>
          </w:p>
        </w:tc>
        <w:tc>
          <w:tcPr>
            <w:tcW w:w="5386" w:type="dxa"/>
            <w:tcBorders>
              <w:left w:val="single" w:sz="6" w:space="0" w:color="auto"/>
              <w:right w:val="single" w:sz="6" w:space="0" w:color="auto"/>
            </w:tcBorders>
            <w:vAlign w:val="center"/>
          </w:tcPr>
          <w:p>
            <w:pPr>
              <w:pStyle w:val="20"/>
            </w:pPr>
            <w:r>
              <w:t>未对园区周边造成不良影响</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有效改善生态环境影响程度</w:t>
            </w:r>
          </w:p>
        </w:tc>
        <w:tc>
          <w:tcPr>
            <w:tcW w:w="5386" w:type="dxa"/>
            <w:tcBorders>
              <w:left w:val="single" w:sz="6" w:space="0" w:color="auto"/>
              <w:right w:val="single" w:sz="6" w:space="0" w:color="auto"/>
            </w:tcBorders>
            <w:vAlign w:val="center"/>
          </w:tcPr>
          <w:p>
            <w:pPr>
              <w:pStyle w:val="20"/>
            </w:pPr>
            <w:r>
              <w:t>能否降低周边环境污染</w:t>
            </w:r>
          </w:p>
        </w:tc>
        <w:tc>
          <w:tcPr>
            <w:tcW w:w="2268" w:type="dxa"/>
            <w:tcBorders>
              <w:left w:val="single" w:sz="6" w:space="0" w:color="auto"/>
              <w:right w:val="single" w:sz="6" w:space="0" w:color="auto"/>
            </w:tcBorders>
            <w:vAlign w:val="center"/>
          </w:tcPr>
          <w:p>
            <w:pPr>
              <w:pStyle w:val="20"/>
            </w:pPr>
            <w:r>
              <w:t>有效降低</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对生态环境产生良好影响</w:t>
            </w:r>
          </w:p>
        </w:tc>
        <w:tc>
          <w:tcPr>
            <w:tcW w:w="5386" w:type="dxa"/>
            <w:tcBorders>
              <w:left w:val="single" w:sz="6" w:space="0" w:color="auto"/>
              <w:right w:val="single" w:sz="6" w:space="0" w:color="auto"/>
            </w:tcBorders>
            <w:vAlign w:val="center"/>
          </w:tcPr>
          <w:p>
            <w:pPr>
              <w:pStyle w:val="20"/>
            </w:pPr>
            <w:r>
              <w:t>可以有效减少污染和保护环境的重要设施</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受益群体调查调查中，满意和比较满意占总体调查数比率。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调查表</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2、城市地下管网及设施专项2024年中央基建投资预算-丰南区惠明街排水防涝能力提升工程（唐财建[2024]66号）绩效目标表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13020724P00680E10124C</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城市地下管网及设施专项2024年中央基建投资预算-丰南区惠明街排水防涝能力提升工程（唐财建[2024]66号）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1011.76</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1011.76</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资金下达后及时支付。</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1.用于丰南区惠明街排水防涝能力提升工程</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项目完成率</w:t>
            </w:r>
          </w:p>
        </w:tc>
        <w:tc>
          <w:tcPr>
            <w:tcW w:w="5386" w:type="dxa"/>
            <w:tcBorders>
              <w:left w:val="single" w:sz="6" w:space="0" w:color="auto"/>
              <w:right w:val="single" w:sz="6" w:space="0" w:color="auto"/>
            </w:tcBorders>
            <w:vAlign w:val="center"/>
          </w:tcPr>
          <w:p>
            <w:pPr>
              <w:pStyle w:val="20"/>
            </w:pPr>
            <w:r>
              <w:t>实际完成量占计划完成量的比率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项目验收合格率</w:t>
            </w:r>
          </w:p>
        </w:tc>
        <w:tc>
          <w:tcPr>
            <w:tcW w:w="5386" w:type="dxa"/>
            <w:tcBorders>
              <w:left w:val="single" w:sz="6" w:space="0" w:color="auto"/>
              <w:right w:val="single" w:sz="6" w:space="0" w:color="auto"/>
            </w:tcBorders>
            <w:vAlign w:val="center"/>
          </w:tcPr>
          <w:p>
            <w:pPr>
              <w:pStyle w:val="20"/>
            </w:pPr>
            <w:r>
              <w:t>验收合格率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成本控制金额</w:t>
            </w:r>
          </w:p>
        </w:tc>
        <w:tc>
          <w:tcPr>
            <w:tcW w:w="5386" w:type="dxa"/>
            <w:tcBorders>
              <w:left w:val="single" w:sz="6" w:space="0" w:color="auto"/>
              <w:right w:val="single" w:sz="6" w:space="0" w:color="auto"/>
            </w:tcBorders>
            <w:vAlign w:val="center"/>
          </w:tcPr>
          <w:p>
            <w:pPr>
              <w:pStyle w:val="20"/>
            </w:pPr>
            <w:r>
              <w:t>成本控制金额</w:t>
            </w:r>
          </w:p>
        </w:tc>
        <w:tc>
          <w:tcPr>
            <w:tcW w:w="2268" w:type="dxa"/>
            <w:tcBorders>
              <w:left w:val="single" w:sz="6" w:space="0" w:color="auto"/>
              <w:right w:val="single" w:sz="6" w:space="0" w:color="auto"/>
            </w:tcBorders>
            <w:vAlign w:val="center"/>
          </w:tcPr>
          <w:p>
            <w:pPr>
              <w:pStyle w:val="20"/>
            </w:pPr>
            <w:r>
              <w:t>≤1300万元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项目完成及时率</w:t>
            </w:r>
          </w:p>
        </w:tc>
        <w:tc>
          <w:tcPr>
            <w:tcW w:w="5386" w:type="dxa"/>
            <w:tcBorders>
              <w:left w:val="single" w:sz="6" w:space="0" w:color="auto"/>
              <w:right w:val="single" w:sz="6" w:space="0" w:color="auto"/>
            </w:tcBorders>
            <w:vAlign w:val="center"/>
          </w:tcPr>
          <w:p>
            <w:pPr>
              <w:pStyle w:val="20"/>
            </w:pPr>
            <w:r>
              <w:t>按照合同约定时间完工</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业务保障能力</w:t>
            </w:r>
          </w:p>
        </w:tc>
        <w:tc>
          <w:tcPr>
            <w:tcW w:w="5386" w:type="dxa"/>
            <w:tcBorders>
              <w:left w:val="single" w:sz="6" w:space="0" w:color="auto"/>
              <w:right w:val="single" w:sz="6" w:space="0" w:color="auto"/>
            </w:tcBorders>
            <w:vAlign w:val="center"/>
          </w:tcPr>
          <w:p>
            <w:pPr>
              <w:pStyle w:val="20"/>
            </w:pPr>
            <w:r>
              <w:t>保障相关工作业务开展的情况</w:t>
            </w:r>
          </w:p>
        </w:tc>
        <w:tc>
          <w:tcPr>
            <w:tcW w:w="2268" w:type="dxa"/>
            <w:tcBorders>
              <w:left w:val="single" w:sz="6" w:space="0" w:color="auto"/>
              <w:right w:val="single" w:sz="6" w:space="0" w:color="auto"/>
            </w:tcBorders>
            <w:vAlign w:val="center"/>
          </w:tcPr>
          <w:p>
            <w:pPr>
              <w:pStyle w:val="20"/>
            </w:pPr>
            <w:r>
              <w:t>相关工作业务开展顺利</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综合利用率</w:t>
            </w:r>
          </w:p>
        </w:tc>
        <w:tc>
          <w:tcPr>
            <w:tcW w:w="5386" w:type="dxa"/>
            <w:tcBorders>
              <w:left w:val="single" w:sz="6" w:space="0" w:color="auto"/>
              <w:right w:val="single" w:sz="6" w:space="0" w:color="auto"/>
            </w:tcBorders>
            <w:vAlign w:val="center"/>
          </w:tcPr>
          <w:p>
            <w:pPr>
              <w:pStyle w:val="20"/>
            </w:pPr>
            <w:r>
              <w:t>完成后的利用使用情况</w:t>
            </w:r>
          </w:p>
        </w:tc>
        <w:tc>
          <w:tcPr>
            <w:tcW w:w="2268" w:type="dxa"/>
            <w:tcBorders>
              <w:left w:val="single" w:sz="6" w:space="0" w:color="auto"/>
              <w:right w:val="single" w:sz="6" w:space="0" w:color="auto"/>
            </w:tcBorders>
            <w:vAlign w:val="center"/>
          </w:tcPr>
          <w:p>
            <w:pPr>
              <w:pStyle w:val="20"/>
            </w:pPr>
            <w:r>
              <w:t>利用率提高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提高群体获得感、幸福感</w:t>
            </w:r>
          </w:p>
        </w:tc>
        <w:tc>
          <w:tcPr>
            <w:tcW w:w="5386" w:type="dxa"/>
            <w:tcBorders>
              <w:left w:val="single" w:sz="6" w:space="0" w:color="auto"/>
              <w:right w:val="single" w:sz="6" w:space="0" w:color="auto"/>
            </w:tcBorders>
            <w:vAlign w:val="center"/>
          </w:tcPr>
          <w:p>
            <w:pPr>
              <w:pStyle w:val="20"/>
            </w:pPr>
            <w:r>
              <w:t>能否促进获得感、幸福感</w:t>
            </w:r>
          </w:p>
        </w:tc>
        <w:tc>
          <w:tcPr>
            <w:tcW w:w="2268" w:type="dxa"/>
            <w:tcBorders>
              <w:left w:val="single" w:sz="6" w:space="0" w:color="auto"/>
              <w:right w:val="single" w:sz="6" w:space="0" w:color="auto"/>
            </w:tcBorders>
            <w:vAlign w:val="center"/>
          </w:tcPr>
          <w:p>
            <w:pPr>
              <w:pStyle w:val="20"/>
            </w:pPr>
            <w:r>
              <w:t>促进发展</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居民满意度</w:t>
            </w:r>
          </w:p>
        </w:tc>
        <w:tc>
          <w:tcPr>
            <w:tcW w:w="5386" w:type="dxa"/>
            <w:tcBorders>
              <w:left w:val="single" w:sz="6" w:space="0" w:color="auto"/>
              <w:right w:val="single" w:sz="6" w:space="0" w:color="auto"/>
            </w:tcBorders>
            <w:vAlign w:val="center"/>
          </w:tcPr>
          <w:p>
            <w:pPr>
              <w:pStyle w:val="20"/>
            </w:pPr>
            <w:r>
              <w:t>受益群体调查调查中，满意和比较满意占总体调查数比率。</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3、电费（雨水泵站、路灯）绩效目标表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13020725P00680E101289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电费（雨水泵站、路灯）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开发区工作安排，2025年预算安排电费项目支出主要有以下几部分：包括临港园第一起步区路灯电费38万；高新园迎宾路路灯电费2万；第二起步区路灯电费14万。高新园华通街、惠明街、朝阳大街、福丰桥、御道街、广生东路泵站6座泵站电费20万；共计74万。</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1.保证开发区泵站、路灯正常使用。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电费缴数</w:t>
            </w:r>
          </w:p>
        </w:tc>
        <w:tc>
          <w:tcPr>
            <w:tcW w:w="5386" w:type="dxa"/>
            <w:tcBorders>
              <w:left w:val="single" w:sz="6" w:space="0" w:color="auto"/>
              <w:right w:val="single" w:sz="6" w:space="0" w:color="auto"/>
            </w:tcBorders>
            <w:vAlign w:val="center"/>
          </w:tcPr>
          <w:p>
            <w:pPr>
              <w:pStyle w:val="20"/>
            </w:pPr>
            <w:r>
              <w:t>反映园区电费缴纳数量</w:t>
            </w:r>
          </w:p>
        </w:tc>
        <w:tc>
          <w:tcPr>
            <w:tcW w:w="2268" w:type="dxa"/>
            <w:tcBorders>
              <w:left w:val="single" w:sz="6" w:space="0" w:color="auto"/>
              <w:right w:val="single" w:sz="6" w:space="0" w:color="auto"/>
            </w:tcBorders>
            <w:vAlign w:val="center"/>
          </w:tcPr>
          <w:p>
            <w:pPr>
              <w:pStyle w:val="20"/>
            </w:pPr>
            <w:r>
              <w:t>按每月实际发生</w:t>
            </w:r>
          </w:p>
        </w:tc>
        <w:tc>
          <w:tcPr>
            <w:tcW w:w="1276" w:type="dxa"/>
            <w:vAlign w:val="center"/>
          </w:tcPr>
          <w:p>
            <w:pPr>
              <w:pStyle w:val="20"/>
            </w:pPr>
            <w:r>
              <w:t>缴费凭证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费用缴纳率</w:t>
            </w:r>
          </w:p>
        </w:tc>
        <w:tc>
          <w:tcPr>
            <w:tcW w:w="5386" w:type="dxa"/>
            <w:tcBorders>
              <w:left w:val="single" w:sz="6" w:space="0" w:color="auto"/>
              <w:right w:val="single" w:sz="6" w:space="0" w:color="auto"/>
            </w:tcBorders>
            <w:vAlign w:val="center"/>
          </w:tcPr>
          <w:p>
            <w:pPr>
              <w:pStyle w:val="20"/>
            </w:pPr>
            <w:r>
              <w:t>反映园区电费缴纳情况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缴费凭证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费用缴纳及时性</w:t>
            </w:r>
          </w:p>
        </w:tc>
        <w:tc>
          <w:tcPr>
            <w:tcW w:w="5386" w:type="dxa"/>
            <w:tcBorders>
              <w:left w:val="single" w:sz="6" w:space="0" w:color="auto"/>
              <w:right w:val="single" w:sz="6" w:space="0" w:color="auto"/>
            </w:tcBorders>
            <w:vAlign w:val="center"/>
          </w:tcPr>
          <w:p>
            <w:pPr>
              <w:pStyle w:val="20"/>
            </w:pPr>
            <w:r>
              <w:t>及时缴纳电费情况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缴费凭证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成本控制情况</w:t>
            </w:r>
          </w:p>
        </w:tc>
        <w:tc>
          <w:tcPr>
            <w:tcW w:w="5386" w:type="dxa"/>
            <w:tcBorders>
              <w:left w:val="single" w:sz="6" w:space="0" w:color="auto"/>
              <w:right w:val="single" w:sz="6" w:space="0" w:color="auto"/>
            </w:tcBorders>
            <w:vAlign w:val="center"/>
          </w:tcPr>
          <w:p>
            <w:pPr>
              <w:pStyle w:val="20"/>
            </w:pPr>
            <w:r>
              <w:t>反映成本下降或增幅低于行业平均标准</w:t>
            </w:r>
          </w:p>
        </w:tc>
        <w:tc>
          <w:tcPr>
            <w:tcW w:w="2268" w:type="dxa"/>
            <w:tcBorders>
              <w:left w:val="single" w:sz="6" w:space="0" w:color="auto"/>
              <w:right w:val="single" w:sz="6" w:space="0" w:color="auto"/>
            </w:tcBorders>
            <w:vAlign w:val="center"/>
          </w:tcPr>
          <w:p>
            <w:pPr>
              <w:pStyle w:val="20"/>
            </w:pPr>
            <w:r>
              <w:t>≤74万元</w:t>
            </w:r>
          </w:p>
        </w:tc>
        <w:tc>
          <w:tcPr>
            <w:tcW w:w="1276" w:type="dxa"/>
            <w:vAlign w:val="center"/>
          </w:tcPr>
          <w:p>
            <w:pPr>
              <w:pStyle w:val="20"/>
            </w:pPr>
            <w:r>
              <w:t>行业标准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降低环境治理成本</w:t>
            </w:r>
          </w:p>
        </w:tc>
        <w:tc>
          <w:tcPr>
            <w:tcW w:w="5386" w:type="dxa"/>
            <w:tcBorders>
              <w:left w:val="single" w:sz="6" w:space="0" w:color="auto"/>
              <w:right w:val="single" w:sz="6" w:space="0" w:color="auto"/>
            </w:tcBorders>
            <w:vAlign w:val="center"/>
          </w:tcPr>
          <w:p>
            <w:pPr>
              <w:pStyle w:val="20"/>
            </w:pPr>
            <w:r>
              <w:t>反映降低环境治理成本情况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保证园区泵站、路灯正常运转</w:t>
            </w:r>
          </w:p>
        </w:tc>
        <w:tc>
          <w:tcPr>
            <w:tcW w:w="5386" w:type="dxa"/>
            <w:tcBorders>
              <w:left w:val="single" w:sz="6" w:space="0" w:color="auto"/>
              <w:right w:val="single" w:sz="6" w:space="0" w:color="auto"/>
            </w:tcBorders>
            <w:vAlign w:val="center"/>
          </w:tcPr>
          <w:p>
            <w:pPr>
              <w:pStyle w:val="20"/>
            </w:pPr>
            <w:r>
              <w:t>保证园区泵站、路灯正常运转情况</w:t>
            </w:r>
          </w:p>
        </w:tc>
        <w:tc>
          <w:tcPr>
            <w:tcW w:w="2268" w:type="dxa"/>
            <w:tcBorders>
              <w:left w:val="single" w:sz="6" w:space="0" w:color="auto"/>
              <w:right w:val="single" w:sz="6" w:space="0" w:color="auto"/>
            </w:tcBorders>
            <w:vAlign w:val="center"/>
          </w:tcPr>
          <w:p>
            <w:pPr>
              <w:pStyle w:val="20"/>
            </w:pPr>
            <w:r>
              <w:t>有效保证</w:t>
            </w:r>
          </w:p>
        </w:tc>
        <w:tc>
          <w:tcPr>
            <w:tcW w:w="1276" w:type="dxa"/>
            <w:vAlign w:val="center"/>
          </w:tcPr>
          <w:p>
            <w:pPr>
              <w:pStyle w:val="20"/>
            </w:pPr>
            <w:r>
              <w:t>路灯、泵站运转实际情况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用电企业生产提高率</w:t>
            </w:r>
          </w:p>
        </w:tc>
        <w:tc>
          <w:tcPr>
            <w:tcW w:w="5386" w:type="dxa"/>
            <w:tcBorders>
              <w:left w:val="single" w:sz="6" w:space="0" w:color="auto"/>
              <w:right w:val="single" w:sz="6" w:space="0" w:color="auto"/>
            </w:tcBorders>
            <w:vAlign w:val="center"/>
          </w:tcPr>
          <w:p>
            <w:pPr>
              <w:pStyle w:val="20"/>
            </w:pPr>
            <w:r>
              <w:t>反映企业用电保障情况</w:t>
            </w:r>
          </w:p>
        </w:tc>
        <w:tc>
          <w:tcPr>
            <w:tcW w:w="2268" w:type="dxa"/>
            <w:tcBorders>
              <w:left w:val="single" w:sz="6" w:space="0" w:color="auto"/>
              <w:right w:val="single" w:sz="6" w:space="0" w:color="auto"/>
            </w:tcBorders>
            <w:vAlign w:val="center"/>
          </w:tcPr>
          <w:p>
            <w:pPr>
              <w:pStyle w:val="20"/>
            </w:pPr>
            <w:r>
              <w:t>企业用电保障提升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周边企业、群众满意度</w:t>
            </w:r>
          </w:p>
        </w:tc>
        <w:tc>
          <w:tcPr>
            <w:tcW w:w="5386" w:type="dxa"/>
            <w:tcBorders>
              <w:left w:val="single" w:sz="6" w:space="0" w:color="auto"/>
              <w:right w:val="single" w:sz="6" w:space="0" w:color="auto"/>
            </w:tcBorders>
            <w:vAlign w:val="center"/>
          </w:tcPr>
          <w:p>
            <w:pPr>
              <w:pStyle w:val="20"/>
            </w:pPr>
            <w:r>
              <w:t>周边企业、群众满意程度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4、经济公司及城南污水缴纳税款项目绩效目标表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13020725P00FP2810018U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经济公司及城南污水缴纳税款项目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476.99</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476.99</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中华人民共和国税收征收管理法》及其《实施细则》的有关规定，接区税务局沿海工业区分局的通知，城南污水处理有限公司及丰南沿海工业区经济发展有限公司应缴纳城镇土地使用税、环保税、房产税及滞纳金，2025年所需税款金额共计476.99万元。其中城南污水处理有限公司所需税款金额74.48万元（城镇土地使用税24.48万元、环保税50万元），丰南沿海工业区经济发展有限公司所需税款金额402.51万元（城镇土地使用税229.04万元、房产税及滞纳金173.47万元）。按税务局要求，按期缴纳上述税款及滞纳金，以确保两公司合理合法运行。</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1.1.及时拨付相关税费，保障开发区工作正常开展。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项目完成率</w:t>
            </w:r>
          </w:p>
        </w:tc>
        <w:tc>
          <w:tcPr>
            <w:tcW w:w="5386" w:type="dxa"/>
            <w:tcBorders>
              <w:left w:val="single" w:sz="6" w:space="0" w:color="auto"/>
              <w:right w:val="single" w:sz="6" w:space="0" w:color="auto"/>
            </w:tcBorders>
            <w:vAlign w:val="center"/>
          </w:tcPr>
          <w:p>
            <w:pPr>
              <w:pStyle w:val="20"/>
            </w:pPr>
            <w:r>
              <w:t>实际纳税占计划完成量的比率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税款缴纳完成率</w:t>
            </w:r>
          </w:p>
        </w:tc>
        <w:tc>
          <w:tcPr>
            <w:tcW w:w="5386" w:type="dxa"/>
            <w:tcBorders>
              <w:left w:val="single" w:sz="6" w:space="0" w:color="auto"/>
              <w:right w:val="single" w:sz="6" w:space="0" w:color="auto"/>
            </w:tcBorders>
            <w:vAlign w:val="center"/>
          </w:tcPr>
          <w:p>
            <w:pPr>
              <w:pStyle w:val="20"/>
            </w:pPr>
            <w:r>
              <w:t>税款缴纳完成情况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项目完成及时率</w:t>
            </w:r>
          </w:p>
        </w:tc>
        <w:tc>
          <w:tcPr>
            <w:tcW w:w="5386" w:type="dxa"/>
            <w:tcBorders>
              <w:left w:val="single" w:sz="6" w:space="0" w:color="auto"/>
              <w:right w:val="single" w:sz="6" w:space="0" w:color="auto"/>
            </w:tcBorders>
            <w:vAlign w:val="center"/>
          </w:tcPr>
          <w:p>
            <w:pPr>
              <w:pStyle w:val="20"/>
            </w:pPr>
            <w:r>
              <w:t>按照约定时间缴纳税款</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项目成本</w:t>
            </w:r>
          </w:p>
        </w:tc>
        <w:tc>
          <w:tcPr>
            <w:tcW w:w="5386" w:type="dxa"/>
            <w:tcBorders>
              <w:left w:val="single" w:sz="6" w:space="0" w:color="auto"/>
              <w:right w:val="single" w:sz="6" w:space="0" w:color="auto"/>
            </w:tcBorders>
            <w:vAlign w:val="center"/>
          </w:tcPr>
          <w:p>
            <w:pPr>
              <w:pStyle w:val="20"/>
            </w:pPr>
            <w:r>
              <w:t>缴纳税款标准</w:t>
            </w:r>
          </w:p>
        </w:tc>
        <w:tc>
          <w:tcPr>
            <w:tcW w:w="2268" w:type="dxa"/>
            <w:tcBorders>
              <w:left w:val="single" w:sz="6" w:space="0" w:color="auto"/>
              <w:right w:val="single" w:sz="6" w:space="0" w:color="auto"/>
            </w:tcBorders>
            <w:vAlign w:val="center"/>
          </w:tcPr>
          <w:p>
            <w:pPr>
              <w:pStyle w:val="20"/>
            </w:pPr>
            <w:r>
              <w:t>税票</w:t>
            </w:r>
          </w:p>
        </w:tc>
        <w:tc>
          <w:tcPr>
            <w:tcW w:w="1276" w:type="dxa"/>
            <w:vAlign w:val="center"/>
          </w:tcPr>
          <w:p>
            <w:pPr>
              <w:pStyle w:val="20"/>
            </w:pPr>
            <w:r>
              <w:t>税票</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经济收入</w:t>
            </w:r>
          </w:p>
        </w:tc>
        <w:tc>
          <w:tcPr>
            <w:tcW w:w="5386" w:type="dxa"/>
            <w:tcBorders>
              <w:left w:val="single" w:sz="6" w:space="0" w:color="auto"/>
              <w:right w:val="single" w:sz="6" w:space="0" w:color="auto"/>
            </w:tcBorders>
            <w:vAlign w:val="center"/>
          </w:tcPr>
          <w:p>
            <w:pPr>
              <w:pStyle w:val="20"/>
            </w:pPr>
            <w:r>
              <w:t>投入运营后带来的经济收入情况</w:t>
            </w:r>
          </w:p>
        </w:tc>
        <w:tc>
          <w:tcPr>
            <w:tcW w:w="2268" w:type="dxa"/>
            <w:tcBorders>
              <w:left w:val="single" w:sz="6" w:space="0" w:color="auto"/>
              <w:right w:val="single" w:sz="6" w:space="0" w:color="auto"/>
            </w:tcBorders>
            <w:vAlign w:val="center"/>
          </w:tcPr>
          <w:p>
            <w:pPr>
              <w:pStyle w:val="20"/>
            </w:pPr>
            <w:r>
              <w:t>经济收入有效提高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业务保障能力</w:t>
            </w:r>
          </w:p>
        </w:tc>
        <w:tc>
          <w:tcPr>
            <w:tcW w:w="5386" w:type="dxa"/>
            <w:tcBorders>
              <w:left w:val="single" w:sz="6" w:space="0" w:color="auto"/>
              <w:right w:val="single" w:sz="6" w:space="0" w:color="auto"/>
            </w:tcBorders>
            <w:vAlign w:val="center"/>
          </w:tcPr>
          <w:p>
            <w:pPr>
              <w:pStyle w:val="20"/>
            </w:pPr>
            <w:r>
              <w:t>保障相关工作业务开展的情况</w:t>
            </w:r>
          </w:p>
        </w:tc>
        <w:tc>
          <w:tcPr>
            <w:tcW w:w="2268" w:type="dxa"/>
            <w:tcBorders>
              <w:left w:val="single" w:sz="6" w:space="0" w:color="auto"/>
              <w:right w:val="single" w:sz="6" w:space="0" w:color="auto"/>
            </w:tcBorders>
            <w:vAlign w:val="center"/>
          </w:tcPr>
          <w:p>
            <w:pPr>
              <w:pStyle w:val="20"/>
            </w:pPr>
            <w:r>
              <w:t>业务能力有效提升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综合利用率</w:t>
            </w:r>
          </w:p>
        </w:tc>
        <w:tc>
          <w:tcPr>
            <w:tcW w:w="5386" w:type="dxa"/>
            <w:tcBorders>
              <w:left w:val="single" w:sz="6" w:space="0" w:color="auto"/>
              <w:right w:val="single" w:sz="6" w:space="0" w:color="auto"/>
            </w:tcBorders>
            <w:vAlign w:val="center"/>
          </w:tcPr>
          <w:p>
            <w:pPr>
              <w:pStyle w:val="20"/>
            </w:pPr>
            <w:r>
              <w:t>完成后的利用使用情况</w:t>
            </w:r>
          </w:p>
        </w:tc>
        <w:tc>
          <w:tcPr>
            <w:tcW w:w="2268" w:type="dxa"/>
            <w:tcBorders>
              <w:left w:val="single" w:sz="6" w:space="0" w:color="auto"/>
              <w:right w:val="single" w:sz="6" w:space="0" w:color="auto"/>
            </w:tcBorders>
            <w:vAlign w:val="center"/>
          </w:tcPr>
          <w:p>
            <w:pPr>
              <w:pStyle w:val="20"/>
            </w:pPr>
            <w:r>
              <w:t>利用率有效提升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受益群体调查中，满意和比较满意占总体调查数比率。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5、开发区道路清扫绿化养护项目绩效目标表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13020725P00680E101308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开发区道路清扫绿化养护项目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1590.00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1590.00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保障开发区整洁卫生，为区内企事业单位提供良好的生产、生活环境，实施开发区绿化养护及清扫保洁项目。；2025年预算安排1590万元，用于支付2025年道路清扫保洁及绿化养护费，包括：临港园第一起步区道路保洁与垃圾清运249.378万元，临港园西扩区、第二起步区、化工园道路保洁493.946733万元，迎宾路清扫保洁85.8242，高新园新扩区清扫保洁148.678225万元，高新园老区保洁及垃圾清运249.053125，高新园新扩区绿化34.724012万元，高新园老区绿化76.83万元，遵曹公路及疏港公路绿化77.15万元，临港园第一起步区绿化170.4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1.保障开发区绿化环境美观，道路整洁卫生。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清扫保洁面积</w:t>
            </w:r>
          </w:p>
        </w:tc>
        <w:tc>
          <w:tcPr>
            <w:tcW w:w="5386" w:type="dxa"/>
            <w:tcBorders>
              <w:left w:val="single" w:sz="6" w:space="0" w:color="auto"/>
              <w:right w:val="single" w:sz="6" w:space="0" w:color="auto"/>
            </w:tcBorders>
            <w:vAlign w:val="center"/>
          </w:tcPr>
          <w:p>
            <w:pPr>
              <w:pStyle w:val="20"/>
            </w:pPr>
            <w:r>
              <w:t>开发区高新园、临港园所有道路面积。</w:t>
            </w:r>
          </w:p>
        </w:tc>
        <w:tc>
          <w:tcPr>
            <w:tcW w:w="2268" w:type="dxa"/>
            <w:tcBorders>
              <w:left w:val="single" w:sz="6" w:space="0" w:color="auto"/>
              <w:right w:val="single" w:sz="6" w:space="0" w:color="auto"/>
            </w:tcBorders>
            <w:vAlign w:val="center"/>
          </w:tcPr>
          <w:p>
            <w:pPr>
              <w:pStyle w:val="20"/>
            </w:pPr>
            <w:r>
              <w:t>223.29万平方米</w:t>
            </w:r>
          </w:p>
        </w:tc>
        <w:tc>
          <w:tcPr>
            <w:tcW w:w="1276" w:type="dxa"/>
            <w:vAlign w:val="center"/>
          </w:tcPr>
          <w:p>
            <w:pPr>
              <w:pStyle w:val="20"/>
            </w:pPr>
            <w:r>
              <w:t>合同、评审报告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绿化养护面积</w:t>
            </w:r>
          </w:p>
        </w:tc>
        <w:tc>
          <w:tcPr>
            <w:tcW w:w="5386" w:type="dxa"/>
            <w:tcBorders>
              <w:left w:val="single" w:sz="6" w:space="0" w:color="auto"/>
              <w:right w:val="single" w:sz="6" w:space="0" w:color="auto"/>
            </w:tcBorders>
            <w:vAlign w:val="center"/>
          </w:tcPr>
          <w:p>
            <w:pPr>
              <w:pStyle w:val="20"/>
            </w:pPr>
            <w:r>
              <w:t>开发区高新园、临港园所有道路面积。</w:t>
            </w:r>
          </w:p>
        </w:tc>
        <w:tc>
          <w:tcPr>
            <w:tcW w:w="2268" w:type="dxa"/>
            <w:tcBorders>
              <w:left w:val="single" w:sz="6" w:space="0" w:color="auto"/>
              <w:right w:val="single" w:sz="6" w:space="0" w:color="auto"/>
            </w:tcBorders>
            <w:vAlign w:val="center"/>
          </w:tcPr>
          <w:p>
            <w:pPr>
              <w:pStyle w:val="20"/>
            </w:pPr>
            <w:r>
              <w:t>92.22万平方米</w:t>
            </w:r>
          </w:p>
        </w:tc>
        <w:tc>
          <w:tcPr>
            <w:tcW w:w="1276" w:type="dxa"/>
            <w:vAlign w:val="center"/>
          </w:tcPr>
          <w:p>
            <w:pPr>
              <w:pStyle w:val="20"/>
            </w:pPr>
            <w:r>
              <w:t>合同、评审报告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垃圾清运/处理量</w:t>
            </w:r>
          </w:p>
        </w:tc>
        <w:tc>
          <w:tcPr>
            <w:tcW w:w="5386" w:type="dxa"/>
            <w:tcBorders>
              <w:left w:val="single" w:sz="6" w:space="0" w:color="auto"/>
              <w:right w:val="single" w:sz="6" w:space="0" w:color="auto"/>
            </w:tcBorders>
            <w:vAlign w:val="center"/>
          </w:tcPr>
          <w:p>
            <w:pPr>
              <w:pStyle w:val="20"/>
            </w:pPr>
            <w:r>
              <w:t>开发区高新园、临港园所有垃圾清运量</w:t>
            </w:r>
          </w:p>
        </w:tc>
        <w:tc>
          <w:tcPr>
            <w:tcW w:w="2268" w:type="dxa"/>
            <w:tcBorders>
              <w:left w:val="single" w:sz="6" w:space="0" w:color="auto"/>
              <w:right w:val="single" w:sz="6" w:space="0" w:color="auto"/>
            </w:tcBorders>
            <w:vAlign w:val="center"/>
          </w:tcPr>
          <w:p>
            <w:pPr>
              <w:pStyle w:val="20"/>
            </w:pPr>
            <w:r>
              <w:t>1200吨/月</w:t>
            </w:r>
          </w:p>
        </w:tc>
        <w:tc>
          <w:tcPr>
            <w:tcW w:w="1276" w:type="dxa"/>
            <w:vAlign w:val="center"/>
          </w:tcPr>
          <w:p>
            <w:pPr>
              <w:pStyle w:val="20"/>
            </w:pPr>
            <w:r>
              <w:t>合同、评审报告</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绿化成活率</w:t>
            </w:r>
          </w:p>
        </w:tc>
        <w:tc>
          <w:tcPr>
            <w:tcW w:w="5386" w:type="dxa"/>
            <w:tcBorders>
              <w:left w:val="single" w:sz="6" w:space="0" w:color="auto"/>
              <w:right w:val="single" w:sz="6" w:space="0" w:color="auto"/>
            </w:tcBorders>
            <w:vAlign w:val="center"/>
          </w:tcPr>
          <w:p>
            <w:pPr>
              <w:pStyle w:val="20"/>
            </w:pPr>
            <w:r>
              <w:t>成活苗木/栽植苗木*100%</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行业标准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垃圾处理（清运）率</w:t>
            </w:r>
          </w:p>
        </w:tc>
        <w:tc>
          <w:tcPr>
            <w:tcW w:w="5386" w:type="dxa"/>
            <w:tcBorders>
              <w:left w:val="single" w:sz="6" w:space="0" w:color="auto"/>
              <w:right w:val="single" w:sz="6" w:space="0" w:color="auto"/>
            </w:tcBorders>
            <w:vAlign w:val="center"/>
          </w:tcPr>
          <w:p>
            <w:pPr>
              <w:pStyle w:val="20"/>
            </w:pPr>
            <w:r>
              <w:t>实际处理（清运）垃圾量/应处理（清运）量*100%</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合同、评审报告等</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清扫覆盖率</w:t>
            </w:r>
          </w:p>
        </w:tc>
        <w:tc>
          <w:tcPr>
            <w:tcW w:w="5386" w:type="dxa"/>
            <w:tcBorders>
              <w:left w:val="single" w:sz="6" w:space="0" w:color="auto"/>
              <w:right w:val="single" w:sz="6" w:space="0" w:color="auto"/>
            </w:tcBorders>
            <w:vAlign w:val="center"/>
          </w:tcPr>
          <w:p>
            <w:pPr>
              <w:pStyle w:val="20"/>
            </w:pPr>
            <w:r>
              <w:t>实际清扫面积/计划清扫面积*100%</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绿化养护及时性</w:t>
            </w:r>
          </w:p>
        </w:tc>
        <w:tc>
          <w:tcPr>
            <w:tcW w:w="5386" w:type="dxa"/>
            <w:tcBorders>
              <w:left w:val="single" w:sz="6" w:space="0" w:color="auto"/>
              <w:right w:val="single" w:sz="6" w:space="0" w:color="auto"/>
            </w:tcBorders>
            <w:vAlign w:val="center"/>
          </w:tcPr>
          <w:p>
            <w:pPr>
              <w:pStyle w:val="20"/>
            </w:pPr>
            <w:r>
              <w:t>浇水、剪枝、除草、除虫等时效情况</w:t>
            </w:r>
          </w:p>
        </w:tc>
        <w:tc>
          <w:tcPr>
            <w:tcW w:w="2268" w:type="dxa"/>
            <w:tcBorders>
              <w:left w:val="single" w:sz="6" w:space="0" w:color="auto"/>
              <w:right w:val="single" w:sz="6" w:space="0" w:color="auto"/>
            </w:tcBorders>
            <w:vAlign w:val="center"/>
          </w:tcPr>
          <w:p>
            <w:pPr>
              <w:pStyle w:val="20"/>
            </w:pPr>
            <w:r>
              <w:t>及时清理</w:t>
            </w:r>
          </w:p>
        </w:tc>
        <w:tc>
          <w:tcPr>
            <w:tcW w:w="1276" w:type="dxa"/>
            <w:vAlign w:val="center"/>
          </w:tcPr>
          <w:p>
            <w:pPr>
              <w:pStyle w:val="20"/>
            </w:pPr>
            <w:r>
              <w:t>合同、养护计划等</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清扫频率</w:t>
            </w:r>
          </w:p>
        </w:tc>
        <w:tc>
          <w:tcPr>
            <w:tcW w:w="5386" w:type="dxa"/>
            <w:tcBorders>
              <w:left w:val="single" w:sz="6" w:space="0" w:color="auto"/>
              <w:right w:val="single" w:sz="6" w:space="0" w:color="auto"/>
            </w:tcBorders>
            <w:vAlign w:val="center"/>
          </w:tcPr>
          <w:p>
            <w:pPr>
              <w:pStyle w:val="20"/>
            </w:pPr>
            <w:r>
              <w:t>道路清扫保洁频率</w:t>
            </w:r>
          </w:p>
        </w:tc>
        <w:tc>
          <w:tcPr>
            <w:tcW w:w="2268" w:type="dxa"/>
            <w:tcBorders>
              <w:left w:val="single" w:sz="6" w:space="0" w:color="auto"/>
              <w:right w:val="single" w:sz="6" w:space="0" w:color="auto"/>
            </w:tcBorders>
            <w:vAlign w:val="center"/>
          </w:tcPr>
          <w:p>
            <w:pPr>
              <w:pStyle w:val="20"/>
            </w:pPr>
            <w:r>
              <w:t>≥3次/天</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垃圾处理（清运）及时性</w:t>
            </w:r>
          </w:p>
        </w:tc>
        <w:tc>
          <w:tcPr>
            <w:tcW w:w="5386" w:type="dxa"/>
            <w:tcBorders>
              <w:left w:val="single" w:sz="6" w:space="0" w:color="auto"/>
              <w:right w:val="single" w:sz="6" w:space="0" w:color="auto"/>
            </w:tcBorders>
            <w:vAlign w:val="center"/>
          </w:tcPr>
          <w:p>
            <w:pPr>
              <w:pStyle w:val="20"/>
            </w:pPr>
            <w:r>
              <w:t>垃圾处理（清运）及时情况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总成本</w:t>
            </w:r>
          </w:p>
        </w:tc>
        <w:tc>
          <w:tcPr>
            <w:tcW w:w="5386" w:type="dxa"/>
            <w:tcBorders>
              <w:left w:val="single" w:sz="6" w:space="0" w:color="auto"/>
              <w:right w:val="single" w:sz="6" w:space="0" w:color="auto"/>
            </w:tcBorders>
            <w:vAlign w:val="center"/>
          </w:tcPr>
          <w:p>
            <w:pPr>
              <w:pStyle w:val="20"/>
            </w:pPr>
            <w:r>
              <w:t>反映绿化养护、清扫保洁、垃圾清运总成本</w:t>
            </w:r>
          </w:p>
        </w:tc>
        <w:tc>
          <w:tcPr>
            <w:tcW w:w="2268" w:type="dxa"/>
            <w:tcBorders>
              <w:left w:val="single" w:sz="6" w:space="0" w:color="auto"/>
              <w:right w:val="single" w:sz="6" w:space="0" w:color="auto"/>
            </w:tcBorders>
            <w:vAlign w:val="center"/>
          </w:tcPr>
          <w:p>
            <w:pPr>
              <w:pStyle w:val="20"/>
            </w:pPr>
            <w:r>
              <w:t>≤1590万元</w:t>
            </w:r>
          </w:p>
        </w:tc>
        <w:tc>
          <w:tcPr>
            <w:tcW w:w="1276" w:type="dxa"/>
            <w:vAlign w:val="center"/>
          </w:tcPr>
          <w:p>
            <w:pPr>
              <w:pStyle w:val="20"/>
            </w:pPr>
            <w:r>
              <w:t>合同、评审报告</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降低环境治理成本</w:t>
            </w:r>
          </w:p>
        </w:tc>
        <w:tc>
          <w:tcPr>
            <w:tcW w:w="5386" w:type="dxa"/>
            <w:tcBorders>
              <w:left w:val="single" w:sz="6" w:space="0" w:color="auto"/>
              <w:right w:val="single" w:sz="6" w:space="0" w:color="auto"/>
            </w:tcBorders>
            <w:vAlign w:val="center"/>
          </w:tcPr>
          <w:p>
            <w:pPr>
              <w:pStyle w:val="20"/>
            </w:pPr>
            <w:r>
              <w:t>反映降低环境治理成本情况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改善人居环境</w:t>
            </w:r>
          </w:p>
        </w:tc>
        <w:tc>
          <w:tcPr>
            <w:tcW w:w="5386" w:type="dxa"/>
            <w:tcBorders>
              <w:left w:val="single" w:sz="6" w:space="0" w:color="auto"/>
              <w:right w:val="single" w:sz="6" w:space="0" w:color="auto"/>
            </w:tcBorders>
            <w:vAlign w:val="center"/>
          </w:tcPr>
          <w:p>
            <w:pPr>
              <w:pStyle w:val="20"/>
            </w:pPr>
            <w:r>
              <w:t>改善开发区人居环境情况</w:t>
            </w:r>
          </w:p>
        </w:tc>
        <w:tc>
          <w:tcPr>
            <w:tcW w:w="2268" w:type="dxa"/>
            <w:tcBorders>
              <w:left w:val="single" w:sz="6" w:space="0" w:color="auto"/>
              <w:right w:val="single" w:sz="6" w:space="0" w:color="auto"/>
            </w:tcBorders>
            <w:vAlign w:val="center"/>
          </w:tcPr>
          <w:p>
            <w:pPr>
              <w:pStyle w:val="20"/>
            </w:pPr>
            <w:r>
              <w:t>有效改善</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周边企业满意度</w:t>
            </w:r>
          </w:p>
        </w:tc>
        <w:tc>
          <w:tcPr>
            <w:tcW w:w="5386" w:type="dxa"/>
            <w:tcBorders>
              <w:left w:val="single" w:sz="6" w:space="0" w:color="auto"/>
              <w:right w:val="single" w:sz="6" w:space="0" w:color="auto"/>
            </w:tcBorders>
            <w:vAlign w:val="center"/>
          </w:tcPr>
          <w:p>
            <w:pPr>
              <w:pStyle w:val="20"/>
            </w:pPr>
            <w:r>
              <w:t>开发区周边企业满意程度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调查报告</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6、开发区派出所经费绩效目标表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13020725P00FP2810020T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开发区派出所经费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辅警人员绩效工资32*880*12=34万元，公司车辆运行维护费10万元，2025年共申请资金44万元。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1.1.及时发放开发区派出所辅警人员绩效工资，保障机关正常运转。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辅警人数</w:t>
            </w:r>
          </w:p>
        </w:tc>
        <w:tc>
          <w:tcPr>
            <w:tcW w:w="5386" w:type="dxa"/>
            <w:tcBorders>
              <w:left w:val="single" w:sz="6" w:space="0" w:color="auto"/>
              <w:right w:val="single" w:sz="6" w:space="0" w:color="auto"/>
            </w:tcBorders>
            <w:vAlign w:val="center"/>
          </w:tcPr>
          <w:p>
            <w:pPr>
              <w:pStyle w:val="20"/>
            </w:pPr>
            <w:r>
              <w:t>聘用的辅警人数</w:t>
            </w:r>
          </w:p>
        </w:tc>
        <w:tc>
          <w:tcPr>
            <w:tcW w:w="2268" w:type="dxa"/>
            <w:tcBorders>
              <w:left w:val="single" w:sz="6" w:space="0" w:color="auto"/>
              <w:right w:val="single" w:sz="6" w:space="0" w:color="auto"/>
            </w:tcBorders>
            <w:vAlign w:val="center"/>
          </w:tcPr>
          <w:p>
            <w:pPr>
              <w:pStyle w:val="20"/>
            </w:pPr>
            <w:r>
              <w:t>32人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工资发放质量</w:t>
            </w:r>
          </w:p>
        </w:tc>
        <w:tc>
          <w:tcPr>
            <w:tcW w:w="5386" w:type="dxa"/>
            <w:tcBorders>
              <w:left w:val="single" w:sz="6" w:space="0" w:color="auto"/>
              <w:right w:val="single" w:sz="6" w:space="0" w:color="auto"/>
            </w:tcBorders>
            <w:vAlign w:val="center"/>
          </w:tcPr>
          <w:p>
            <w:pPr>
              <w:pStyle w:val="20"/>
            </w:pPr>
            <w:r>
              <w:t>执行的辅警月工资标准</w:t>
            </w:r>
          </w:p>
        </w:tc>
        <w:tc>
          <w:tcPr>
            <w:tcW w:w="2268" w:type="dxa"/>
            <w:tcBorders>
              <w:left w:val="single" w:sz="6" w:space="0" w:color="auto"/>
              <w:right w:val="single" w:sz="6" w:space="0" w:color="auto"/>
            </w:tcBorders>
            <w:vAlign w:val="center"/>
          </w:tcPr>
          <w:p>
            <w:pPr>
              <w:pStyle w:val="20"/>
            </w:pPr>
            <w:r>
              <w:t>880元/月/人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工资发放的及时程度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工资成本</w:t>
            </w:r>
          </w:p>
        </w:tc>
        <w:tc>
          <w:tcPr>
            <w:tcW w:w="5386" w:type="dxa"/>
            <w:tcBorders>
              <w:left w:val="single" w:sz="6" w:space="0" w:color="auto"/>
              <w:right w:val="single" w:sz="6" w:space="0" w:color="auto"/>
            </w:tcBorders>
            <w:vAlign w:val="center"/>
          </w:tcPr>
          <w:p>
            <w:pPr>
              <w:pStyle w:val="20"/>
            </w:pPr>
            <w:r>
              <w:t>工资发放成本</w:t>
            </w:r>
          </w:p>
        </w:tc>
        <w:tc>
          <w:tcPr>
            <w:tcW w:w="2268" w:type="dxa"/>
            <w:tcBorders>
              <w:left w:val="single" w:sz="6" w:space="0" w:color="auto"/>
              <w:right w:val="single" w:sz="6" w:space="0" w:color="auto"/>
            </w:tcBorders>
            <w:vAlign w:val="center"/>
          </w:tcPr>
          <w:p>
            <w:pPr>
              <w:pStyle w:val="20"/>
            </w:pPr>
            <w:r>
              <w:t>工资表</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32人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业务保障能力</w:t>
            </w:r>
          </w:p>
        </w:tc>
        <w:tc>
          <w:tcPr>
            <w:tcW w:w="5386" w:type="dxa"/>
            <w:tcBorders>
              <w:left w:val="single" w:sz="6" w:space="0" w:color="auto"/>
              <w:right w:val="single" w:sz="6" w:space="0" w:color="auto"/>
            </w:tcBorders>
            <w:vAlign w:val="center"/>
          </w:tcPr>
          <w:p>
            <w:pPr>
              <w:pStyle w:val="20"/>
            </w:pPr>
            <w:r>
              <w:t>保障相关工作业务开展的情况</w:t>
            </w:r>
          </w:p>
        </w:tc>
        <w:tc>
          <w:tcPr>
            <w:tcW w:w="2268" w:type="dxa"/>
            <w:tcBorders>
              <w:left w:val="single" w:sz="6" w:space="0" w:color="auto"/>
              <w:right w:val="single" w:sz="6" w:space="0" w:color="auto"/>
            </w:tcBorders>
            <w:vAlign w:val="center"/>
          </w:tcPr>
          <w:p>
            <w:pPr>
              <w:pStyle w:val="20"/>
            </w:pPr>
            <w:r>
              <w:t>相关工作业务开展顺利</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劳务派遣人员满意度</w:t>
            </w:r>
          </w:p>
        </w:tc>
        <w:tc>
          <w:tcPr>
            <w:tcW w:w="5386" w:type="dxa"/>
            <w:tcBorders>
              <w:left w:val="single" w:sz="6" w:space="0" w:color="auto"/>
              <w:right w:val="single" w:sz="6" w:space="0" w:color="auto"/>
            </w:tcBorders>
            <w:vAlign w:val="center"/>
          </w:tcPr>
          <w:p>
            <w:pPr>
              <w:pStyle w:val="20"/>
            </w:pPr>
            <w:r>
              <w:t>劳务派遣人员对工资待遇的满意度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7、劳务派遣经费(绩效工资)绩效目标表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13020725P000022101962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劳务派遣经费(绩效工资)</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开发区劳务派遣人员69人，每月绩效工资4.5万元，2025年全年共需资金54万元。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1.1.保障劳务派遣人员绩效工资及时发放。</w:t>
            </w:r>
          </w:p>
          <w:p>
            <w:pPr>
              <w:pStyle w:val="20"/>
            </w:pPr>
            <w:r>
              <w:t>2.保障工作正常开展。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发放工资人数</w:t>
            </w:r>
          </w:p>
        </w:tc>
        <w:tc>
          <w:tcPr>
            <w:tcW w:w="2268" w:type="dxa"/>
            <w:tcBorders>
              <w:left w:val="single" w:sz="6" w:space="0" w:color="auto"/>
              <w:right w:val="single" w:sz="6" w:space="0" w:color="auto"/>
            </w:tcBorders>
            <w:vAlign w:val="center"/>
          </w:tcPr>
          <w:p>
            <w:pPr>
              <w:pStyle w:val="20"/>
            </w:pPr>
            <w:r>
              <w:t>69人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按时足额发放工资情况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执行的劳务派遣人员月工资标准</w:t>
            </w:r>
          </w:p>
        </w:tc>
        <w:tc>
          <w:tcPr>
            <w:tcW w:w="2268" w:type="dxa"/>
            <w:tcBorders>
              <w:left w:val="single" w:sz="6" w:space="0" w:color="auto"/>
              <w:right w:val="single" w:sz="6" w:space="0" w:color="auto"/>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实际生活水平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劳务派遣人员满意度</w:t>
            </w:r>
          </w:p>
        </w:tc>
        <w:tc>
          <w:tcPr>
            <w:tcW w:w="5386" w:type="dxa"/>
            <w:tcBorders>
              <w:left w:val="single" w:sz="6" w:space="0" w:color="auto"/>
              <w:right w:val="single" w:sz="6" w:space="0" w:color="auto"/>
            </w:tcBorders>
            <w:vAlign w:val="center"/>
          </w:tcPr>
          <w:p>
            <w:pPr>
              <w:pStyle w:val="20"/>
            </w:pPr>
            <w:r>
              <w:t>劳务派遣人员对工资待遇的满意度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8、劳务派遣经费(劳务费)绩效目标表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13020725P00002210194T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352.08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352.08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开发区劳务派遣人员71人，每月工资20.04万元，保险及管理费9.3万元，2025年共需资金(20.04+9.3）*12=352.08万元 。</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1.1.确保每月劳务派遣人员工资保险及时足额发放及缴纳。</w:t>
            </w:r>
          </w:p>
          <w:p>
            <w:pPr>
              <w:pStyle w:val="20"/>
            </w:pPr>
            <w:r>
              <w:t>2.保障机关工作正常开展。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发放工资人数</w:t>
            </w:r>
          </w:p>
        </w:tc>
        <w:tc>
          <w:tcPr>
            <w:tcW w:w="2268" w:type="dxa"/>
            <w:tcBorders>
              <w:left w:val="single" w:sz="6" w:space="0" w:color="auto"/>
              <w:right w:val="single" w:sz="6" w:space="0" w:color="auto"/>
            </w:tcBorders>
            <w:vAlign w:val="center"/>
          </w:tcPr>
          <w:p>
            <w:pPr>
              <w:pStyle w:val="20"/>
            </w:pPr>
            <w:r>
              <w:t>71人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按时足额发放工资情况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执行的劳务派遣人员月工资标准</w:t>
            </w:r>
          </w:p>
        </w:tc>
        <w:tc>
          <w:tcPr>
            <w:tcW w:w="2268" w:type="dxa"/>
            <w:tcBorders>
              <w:left w:val="single" w:sz="6" w:space="0" w:color="auto"/>
              <w:right w:val="single" w:sz="6" w:space="0" w:color="auto"/>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实际生活水平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劳务派遣人员满意度</w:t>
            </w:r>
          </w:p>
        </w:tc>
        <w:tc>
          <w:tcPr>
            <w:tcW w:w="5386" w:type="dxa"/>
            <w:tcBorders>
              <w:left w:val="single" w:sz="6" w:space="0" w:color="auto"/>
              <w:right w:val="single" w:sz="6" w:space="0" w:color="auto"/>
            </w:tcBorders>
            <w:vAlign w:val="center"/>
          </w:tcPr>
          <w:p>
            <w:pPr>
              <w:pStyle w:val="20"/>
            </w:pPr>
            <w:r>
              <w:t>劳务派遣人员对工资待遇的满意度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9、劳务外包经费绩效目标表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13020725P00FP2810019F</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49.44</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49.44</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开发区劳务外包人员8人，每月工资2.5万元，保险及管理费1.62万元，2025年共需资金(2.5+1.62）*12=49.44万元 。</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1.1.保障劳务外包人员工资及时发放。</w:t>
            </w:r>
          </w:p>
          <w:p>
            <w:pPr>
              <w:pStyle w:val="20"/>
            </w:pPr>
            <w:r>
              <w:t>2.保障工作正常开展。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发放工资人数</w:t>
            </w:r>
          </w:p>
        </w:tc>
        <w:tc>
          <w:tcPr>
            <w:tcW w:w="2268" w:type="dxa"/>
            <w:tcBorders>
              <w:left w:val="single" w:sz="6" w:space="0" w:color="auto"/>
              <w:right w:val="single" w:sz="6" w:space="0" w:color="auto"/>
            </w:tcBorders>
            <w:vAlign w:val="center"/>
          </w:tcPr>
          <w:p>
            <w:pPr>
              <w:pStyle w:val="20"/>
            </w:pPr>
            <w:r>
              <w:t>8人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按时足额发放工资情况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执行的劳务派遣人员月工资标准</w:t>
            </w:r>
          </w:p>
        </w:tc>
        <w:tc>
          <w:tcPr>
            <w:tcW w:w="2268" w:type="dxa"/>
            <w:tcBorders>
              <w:left w:val="single" w:sz="6" w:space="0" w:color="auto"/>
              <w:right w:val="single" w:sz="6" w:space="0" w:color="auto"/>
            </w:tcBorders>
            <w:vAlign w:val="center"/>
          </w:tcPr>
          <w:p>
            <w:pPr>
              <w:pStyle w:val="20"/>
            </w:pPr>
            <w:r>
              <w:t>≤41200元/月</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实际生活水平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障机关正常运转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劳务外包人员满意度</w:t>
            </w:r>
          </w:p>
        </w:tc>
        <w:tc>
          <w:tcPr>
            <w:tcW w:w="5386" w:type="dxa"/>
            <w:tcBorders>
              <w:left w:val="single" w:sz="6" w:space="0" w:color="auto"/>
              <w:right w:val="single" w:sz="6" w:space="0" w:color="auto"/>
            </w:tcBorders>
            <w:vAlign w:val="center"/>
          </w:tcPr>
          <w:p>
            <w:pPr>
              <w:pStyle w:val="20"/>
            </w:pPr>
            <w:r>
              <w:t>劳务外包人员对工资待遇的满意度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10、退役军人公益性岗位安置费用绩效目标表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13020725P00002210195E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12.32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12.32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开发区共有退役军人公益性岗位3名，工资标准2200元/月/人，全年工资7.92万元、保险4.4万元，2025年预计共需资金12.32万元。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1.1.每月15日前及时拨付退役军人公益性岗人员的工资及时发放，以及保险及时缴纳。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享受公益性岗位补贴人数</w:t>
            </w:r>
          </w:p>
        </w:tc>
        <w:tc>
          <w:tcPr>
            <w:tcW w:w="5386" w:type="dxa"/>
            <w:tcBorders>
              <w:left w:val="single" w:sz="6" w:space="0" w:color="auto"/>
              <w:right w:val="single" w:sz="6" w:space="0" w:color="auto"/>
            </w:tcBorders>
            <w:vAlign w:val="center"/>
          </w:tcPr>
          <w:p>
            <w:pPr>
              <w:pStyle w:val="20"/>
            </w:pPr>
            <w:r>
              <w:t>反映签订公益性岗位合同人数情况</w:t>
            </w:r>
          </w:p>
        </w:tc>
        <w:tc>
          <w:tcPr>
            <w:tcW w:w="2268" w:type="dxa"/>
            <w:tcBorders>
              <w:left w:val="single" w:sz="6" w:space="0" w:color="auto"/>
              <w:right w:val="single" w:sz="6" w:space="0" w:color="auto"/>
            </w:tcBorders>
            <w:vAlign w:val="center"/>
          </w:tcPr>
          <w:p>
            <w:pPr>
              <w:pStyle w:val="20"/>
            </w:pPr>
            <w:r>
              <w:t>3人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历史标准、合同</w:t>
            </w:r>
          </w:p>
          <w:p>
            <w:pPr>
              <w:pStyle w:val="20"/>
            </w:pP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发放工资（补助）总金额</w:t>
            </w:r>
          </w:p>
        </w:tc>
        <w:tc>
          <w:tcPr>
            <w:tcW w:w="5386" w:type="dxa"/>
            <w:tcBorders>
              <w:left w:val="single" w:sz="6" w:space="0" w:color="auto"/>
              <w:right w:val="single" w:sz="6" w:space="0" w:color="auto"/>
            </w:tcBorders>
            <w:vAlign w:val="center"/>
          </w:tcPr>
          <w:p>
            <w:pPr>
              <w:pStyle w:val="20"/>
            </w:pPr>
            <w:r>
              <w:t>反映支付人员工资（补助）总金额情况</w:t>
            </w:r>
          </w:p>
        </w:tc>
        <w:tc>
          <w:tcPr>
            <w:tcW w:w="2268" w:type="dxa"/>
            <w:tcBorders>
              <w:left w:val="single" w:sz="6" w:space="0" w:color="auto"/>
              <w:right w:val="single" w:sz="6" w:space="0" w:color="auto"/>
            </w:tcBorders>
            <w:vAlign w:val="center"/>
          </w:tcPr>
          <w:p>
            <w:pPr>
              <w:pStyle w:val="20"/>
            </w:pPr>
            <w:r>
              <w:t>12.32万元</w:t>
            </w:r>
          </w:p>
        </w:tc>
        <w:tc>
          <w:tcPr>
            <w:tcW w:w="1276" w:type="dxa"/>
            <w:vAlign w:val="center"/>
          </w:tcPr>
          <w:p>
            <w:pPr>
              <w:pStyle w:val="20"/>
            </w:pPr>
            <w:r>
              <w:t>历史标准、合同</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&gt;95%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11、招商经费绩效目标表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13020725P00001810004H</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1、河北丰南经济开发区2025年唐山投资洽谈会所需会议费1万元。2、组织专业招商业务培训所需培训费0.5万元。3、聘请行业专家、咨询公司对项目安全、环保、能耗等方面进行综合评价，提高项目引进质量，聘请律师对入区协议、招商引子工作纠纷进行协助处理所需咨询费5万元。4、印制宣传材料、会晤材料、活动条幅与招商相关的印刷费用47.25万元。5、做好接待来访客商工作，用于接待各地外来客商食宿等费用，计划费用9.75万元。6、招商活动中各项费用，包括劳务费、委托业务费、差旅费、交通费等共36.5万元。2025年共需资金100万元，用于支付招商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1.保障园区招商工作顺利开展，促进开发区发展。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接待企业批次</w:t>
            </w:r>
          </w:p>
        </w:tc>
        <w:tc>
          <w:tcPr>
            <w:tcW w:w="5386" w:type="dxa"/>
            <w:tcBorders>
              <w:left w:val="single" w:sz="6" w:space="0" w:color="auto"/>
              <w:right w:val="single" w:sz="6" w:space="0" w:color="auto"/>
            </w:tcBorders>
            <w:vAlign w:val="center"/>
          </w:tcPr>
          <w:p>
            <w:pPr>
              <w:pStyle w:val="20"/>
            </w:pPr>
            <w:r>
              <w:t>年内接待来访企业批次</w:t>
            </w:r>
          </w:p>
        </w:tc>
        <w:tc>
          <w:tcPr>
            <w:tcW w:w="2268" w:type="dxa"/>
            <w:tcBorders>
              <w:left w:val="single" w:sz="6" w:space="0" w:color="auto"/>
              <w:right w:val="single" w:sz="6" w:space="0" w:color="auto"/>
            </w:tcBorders>
            <w:vAlign w:val="center"/>
          </w:tcPr>
          <w:p>
            <w:pPr>
              <w:pStyle w:val="20"/>
            </w:pPr>
            <w:r>
              <w:t>≥40次</w:t>
            </w:r>
          </w:p>
        </w:tc>
        <w:tc>
          <w:tcPr>
            <w:tcW w:w="1276" w:type="dxa"/>
            <w:vAlign w:val="center"/>
          </w:tcPr>
          <w:p>
            <w:pPr>
              <w:pStyle w:val="20"/>
            </w:pPr>
            <w:r>
              <w:t>往年历史数据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拜访企业数量</w:t>
            </w:r>
          </w:p>
        </w:tc>
        <w:tc>
          <w:tcPr>
            <w:tcW w:w="5386" w:type="dxa"/>
            <w:tcBorders>
              <w:left w:val="single" w:sz="6" w:space="0" w:color="auto"/>
              <w:right w:val="single" w:sz="6" w:space="0" w:color="auto"/>
            </w:tcBorders>
            <w:vAlign w:val="center"/>
          </w:tcPr>
          <w:p>
            <w:pPr>
              <w:pStyle w:val="20"/>
            </w:pPr>
            <w:r>
              <w:t>年内拜访企业数量</w:t>
            </w:r>
          </w:p>
        </w:tc>
        <w:tc>
          <w:tcPr>
            <w:tcW w:w="2268" w:type="dxa"/>
            <w:tcBorders>
              <w:left w:val="single" w:sz="6" w:space="0" w:color="auto"/>
              <w:right w:val="single" w:sz="6" w:space="0" w:color="auto"/>
            </w:tcBorders>
            <w:vAlign w:val="center"/>
          </w:tcPr>
          <w:p>
            <w:pPr>
              <w:pStyle w:val="20"/>
            </w:pPr>
            <w:r>
              <w:t>≥35个</w:t>
            </w:r>
          </w:p>
        </w:tc>
        <w:tc>
          <w:tcPr>
            <w:tcW w:w="1276" w:type="dxa"/>
            <w:vAlign w:val="center"/>
          </w:tcPr>
          <w:p>
            <w:pPr>
              <w:pStyle w:val="20"/>
            </w:pPr>
            <w:r>
              <w:t>往年历史数据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签约项目数量</w:t>
            </w:r>
          </w:p>
        </w:tc>
        <w:tc>
          <w:tcPr>
            <w:tcW w:w="5386" w:type="dxa"/>
            <w:tcBorders>
              <w:left w:val="single" w:sz="6" w:space="0" w:color="auto"/>
              <w:right w:val="single" w:sz="6" w:space="0" w:color="auto"/>
            </w:tcBorders>
            <w:vAlign w:val="center"/>
          </w:tcPr>
          <w:p>
            <w:pPr>
              <w:pStyle w:val="20"/>
            </w:pPr>
            <w:r>
              <w:t>年内签约项目数量</w:t>
            </w:r>
          </w:p>
        </w:tc>
        <w:tc>
          <w:tcPr>
            <w:tcW w:w="2268" w:type="dxa"/>
            <w:tcBorders>
              <w:left w:val="single" w:sz="6" w:space="0" w:color="auto"/>
              <w:right w:val="single" w:sz="6" w:space="0" w:color="auto"/>
            </w:tcBorders>
            <w:vAlign w:val="center"/>
          </w:tcPr>
          <w:p>
            <w:pPr>
              <w:pStyle w:val="20"/>
            </w:pPr>
            <w:r>
              <w:t>≥15个</w:t>
            </w:r>
          </w:p>
        </w:tc>
        <w:tc>
          <w:tcPr>
            <w:tcW w:w="1276" w:type="dxa"/>
            <w:vAlign w:val="center"/>
          </w:tcPr>
          <w:p>
            <w:pPr>
              <w:pStyle w:val="20"/>
            </w:pPr>
            <w:r>
              <w:t>往年历史数据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项目成本</w:t>
            </w:r>
          </w:p>
        </w:tc>
        <w:tc>
          <w:tcPr>
            <w:tcW w:w="5386" w:type="dxa"/>
            <w:tcBorders>
              <w:left w:val="single" w:sz="6" w:space="0" w:color="auto"/>
              <w:right w:val="single" w:sz="6" w:space="0" w:color="auto"/>
            </w:tcBorders>
            <w:vAlign w:val="center"/>
          </w:tcPr>
          <w:p>
            <w:pPr>
              <w:pStyle w:val="20"/>
            </w:pPr>
            <w:r>
              <w:t>招商引资成本</w:t>
            </w:r>
          </w:p>
        </w:tc>
        <w:tc>
          <w:tcPr>
            <w:tcW w:w="2268" w:type="dxa"/>
            <w:tcBorders>
              <w:left w:val="single" w:sz="6" w:space="0" w:color="auto"/>
              <w:right w:val="single" w:sz="6" w:space="0" w:color="auto"/>
            </w:tcBorders>
            <w:vAlign w:val="center"/>
          </w:tcPr>
          <w:p>
            <w:pPr>
              <w:pStyle w:val="20"/>
            </w:pPr>
            <w:r>
              <w:t>≤100万元</w:t>
            </w:r>
          </w:p>
        </w:tc>
        <w:tc>
          <w:tcPr>
            <w:tcW w:w="1276" w:type="dxa"/>
            <w:vAlign w:val="center"/>
          </w:tcPr>
          <w:p>
            <w:pPr>
              <w:pStyle w:val="20"/>
            </w:pPr>
            <w:r>
              <w:t>往年历史数据</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计划引进投资</w:t>
            </w:r>
          </w:p>
        </w:tc>
        <w:tc>
          <w:tcPr>
            <w:tcW w:w="5386" w:type="dxa"/>
            <w:tcBorders>
              <w:left w:val="single" w:sz="6" w:space="0" w:color="auto"/>
              <w:right w:val="single" w:sz="6" w:space="0" w:color="auto"/>
            </w:tcBorders>
            <w:vAlign w:val="center"/>
          </w:tcPr>
          <w:p>
            <w:pPr>
              <w:pStyle w:val="20"/>
            </w:pPr>
            <w:r>
              <w:t>签约项目引进计划投资额</w:t>
            </w:r>
          </w:p>
        </w:tc>
        <w:tc>
          <w:tcPr>
            <w:tcW w:w="2268" w:type="dxa"/>
            <w:tcBorders>
              <w:left w:val="single" w:sz="6" w:space="0" w:color="auto"/>
              <w:right w:val="single" w:sz="6" w:space="0" w:color="auto"/>
            </w:tcBorders>
            <w:vAlign w:val="center"/>
          </w:tcPr>
          <w:p>
            <w:pPr>
              <w:pStyle w:val="20"/>
            </w:pPr>
            <w:r>
              <w:t>≥50亿元</w:t>
            </w:r>
          </w:p>
        </w:tc>
        <w:tc>
          <w:tcPr>
            <w:tcW w:w="1276" w:type="dxa"/>
            <w:vAlign w:val="center"/>
          </w:tcPr>
          <w:p>
            <w:pPr>
              <w:pStyle w:val="20"/>
            </w:pPr>
            <w:r>
              <w:t>往年历史数据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推介覆盖量</w:t>
            </w:r>
          </w:p>
        </w:tc>
        <w:tc>
          <w:tcPr>
            <w:tcW w:w="5386" w:type="dxa"/>
            <w:tcBorders>
              <w:left w:val="single" w:sz="6" w:space="0" w:color="auto"/>
              <w:right w:val="single" w:sz="6" w:space="0" w:color="auto"/>
            </w:tcBorders>
            <w:vAlign w:val="center"/>
          </w:tcPr>
          <w:p>
            <w:pPr>
              <w:pStyle w:val="20"/>
            </w:pPr>
            <w:r>
              <w:t>举办或参加活动宣传推介开发区投资环境覆盖企业数量</w:t>
            </w:r>
          </w:p>
        </w:tc>
        <w:tc>
          <w:tcPr>
            <w:tcW w:w="2268" w:type="dxa"/>
            <w:tcBorders>
              <w:left w:val="single" w:sz="6" w:space="0" w:color="auto"/>
              <w:right w:val="single" w:sz="6" w:space="0" w:color="auto"/>
            </w:tcBorders>
            <w:vAlign w:val="center"/>
          </w:tcPr>
          <w:p>
            <w:pPr>
              <w:pStyle w:val="20"/>
            </w:pPr>
            <w:r>
              <w:t>≥100个</w:t>
            </w:r>
          </w:p>
        </w:tc>
        <w:tc>
          <w:tcPr>
            <w:tcW w:w="1276" w:type="dxa"/>
            <w:vAlign w:val="center"/>
          </w:tcPr>
          <w:p>
            <w:pPr>
              <w:pStyle w:val="20"/>
            </w:pPr>
            <w:r>
              <w:t>往年历史数据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引进环保企业数量</w:t>
            </w:r>
          </w:p>
        </w:tc>
        <w:tc>
          <w:tcPr>
            <w:tcW w:w="5386" w:type="dxa"/>
            <w:tcBorders>
              <w:left w:val="single" w:sz="6" w:space="0" w:color="auto"/>
              <w:right w:val="single" w:sz="6" w:space="0" w:color="auto"/>
            </w:tcBorders>
            <w:vAlign w:val="center"/>
          </w:tcPr>
          <w:p>
            <w:pPr>
              <w:pStyle w:val="20"/>
            </w:pPr>
            <w:r>
              <w:t>年内引进环保企业数量</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往年历史数据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以商招商项目</w:t>
            </w:r>
          </w:p>
        </w:tc>
        <w:tc>
          <w:tcPr>
            <w:tcW w:w="5386" w:type="dxa"/>
            <w:tcBorders>
              <w:left w:val="single" w:sz="6" w:space="0" w:color="auto"/>
              <w:right w:val="single" w:sz="6" w:space="0" w:color="auto"/>
            </w:tcBorders>
            <w:vAlign w:val="center"/>
          </w:tcPr>
          <w:p>
            <w:pPr>
              <w:pStyle w:val="20"/>
            </w:pPr>
            <w:r>
              <w:t>入区企业推荐在谈项目数量</w:t>
            </w:r>
          </w:p>
        </w:tc>
        <w:tc>
          <w:tcPr>
            <w:tcW w:w="2268" w:type="dxa"/>
            <w:tcBorders>
              <w:left w:val="single" w:sz="6" w:space="0" w:color="auto"/>
              <w:right w:val="single" w:sz="6" w:space="0" w:color="auto"/>
            </w:tcBorders>
            <w:vAlign w:val="center"/>
          </w:tcPr>
          <w:p>
            <w:pPr>
              <w:pStyle w:val="20"/>
            </w:pPr>
            <w:r>
              <w:t>≥5个</w:t>
            </w:r>
          </w:p>
        </w:tc>
        <w:tc>
          <w:tcPr>
            <w:tcW w:w="1276" w:type="dxa"/>
            <w:vAlign w:val="center"/>
          </w:tcPr>
          <w:p>
            <w:pPr>
              <w:pStyle w:val="20"/>
            </w:pPr>
            <w:r>
              <w:t>往年历史数据</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入区项目满意度调查</w:t>
            </w:r>
          </w:p>
        </w:tc>
        <w:tc>
          <w:tcPr>
            <w:tcW w:w="5386" w:type="dxa"/>
            <w:tcBorders>
              <w:left w:val="single" w:sz="6" w:space="0" w:color="auto"/>
              <w:right w:val="single" w:sz="6" w:space="0" w:color="auto"/>
            </w:tcBorders>
            <w:vAlign w:val="center"/>
          </w:tcPr>
          <w:p>
            <w:pPr>
              <w:pStyle w:val="20"/>
            </w:pPr>
            <w:r>
              <w:t>入区项目满意度为满意的占总入区项目占比</w:t>
            </w:r>
          </w:p>
        </w:tc>
        <w:tc>
          <w:tcPr>
            <w:tcW w:w="2268" w:type="dxa"/>
            <w:tcBorders>
              <w:left w:val="single" w:sz="6" w:space="0" w:color="auto"/>
              <w:right w:val="single" w:sz="6" w:space="0" w:color="auto"/>
            </w:tcBorders>
            <w:vAlign w:val="center"/>
          </w:tcPr>
          <w:p>
            <w:pPr>
              <w:pStyle w:val="20"/>
            </w:pPr>
            <w:r>
              <w:t>≥85%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12、遵曹公路及疏港公路绿化工程土地流转费绩效目标表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13020725P004X0L10047K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遵曹公路及疏港公路绿化工程土地流转费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16.94</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16.94</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2025年申请预算资金16.94万元，用于支付遵曹公路及疏港公路绿化工程土地流转费</w:t>
              <w:tab/>
              <w:t>。</w:t>
            </w:r>
          </w:p>
          <w:p>
            <w:pPr>
              <w:pStyle w:val="20"/>
            </w:pP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100%</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1.保证工程占用土地合法使用，工程能按期完工。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费用拨付率</w:t>
            </w:r>
          </w:p>
        </w:tc>
        <w:tc>
          <w:tcPr>
            <w:tcW w:w="5386" w:type="dxa"/>
            <w:tcBorders>
              <w:left w:val="single" w:sz="6" w:space="0" w:color="auto"/>
              <w:right w:val="single" w:sz="6" w:space="0" w:color="auto"/>
            </w:tcBorders>
            <w:vAlign w:val="center"/>
          </w:tcPr>
          <w:p>
            <w:pPr>
              <w:pStyle w:val="20"/>
            </w:pPr>
            <w:r>
              <w:t>已拨付费用/应拨付费用</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合同，拨款凭证</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流转土地利用率</w:t>
            </w:r>
          </w:p>
        </w:tc>
        <w:tc>
          <w:tcPr>
            <w:tcW w:w="5386" w:type="dxa"/>
            <w:tcBorders>
              <w:left w:val="single" w:sz="6" w:space="0" w:color="auto"/>
              <w:right w:val="single" w:sz="6" w:space="0" w:color="auto"/>
            </w:tcBorders>
            <w:vAlign w:val="center"/>
          </w:tcPr>
          <w:p>
            <w:pPr>
              <w:pStyle w:val="20"/>
            </w:pPr>
            <w:r>
              <w:t>实际使用流转土地亩数/合同土地流转亩数*100%</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现场、合同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费用拨付及时率</w:t>
            </w:r>
          </w:p>
        </w:tc>
        <w:tc>
          <w:tcPr>
            <w:tcW w:w="5386" w:type="dxa"/>
            <w:tcBorders>
              <w:left w:val="single" w:sz="6" w:space="0" w:color="auto"/>
              <w:right w:val="single" w:sz="6" w:space="0" w:color="auto"/>
            </w:tcBorders>
            <w:vAlign w:val="center"/>
          </w:tcPr>
          <w:p>
            <w:pPr>
              <w:pStyle w:val="20"/>
            </w:pPr>
            <w:r>
              <w:t>按合同及时拨付费用情况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流转成本</w:t>
            </w:r>
          </w:p>
        </w:tc>
        <w:tc>
          <w:tcPr>
            <w:tcW w:w="5386" w:type="dxa"/>
            <w:tcBorders>
              <w:left w:val="single" w:sz="6" w:space="0" w:color="auto"/>
              <w:right w:val="single" w:sz="6" w:space="0" w:color="auto"/>
            </w:tcBorders>
            <w:vAlign w:val="center"/>
          </w:tcPr>
          <w:p>
            <w:pPr>
              <w:pStyle w:val="20"/>
            </w:pPr>
            <w:r>
              <w:t>反映流转成本控制情况</w:t>
            </w:r>
          </w:p>
        </w:tc>
        <w:tc>
          <w:tcPr>
            <w:tcW w:w="2268" w:type="dxa"/>
            <w:tcBorders>
              <w:left w:val="single" w:sz="6" w:space="0" w:color="auto"/>
              <w:right w:val="single" w:sz="6" w:space="0" w:color="auto"/>
            </w:tcBorders>
            <w:vAlign w:val="center"/>
          </w:tcPr>
          <w:p>
            <w:pPr>
              <w:pStyle w:val="20"/>
            </w:pPr>
            <w:r>
              <w:t>&lt;16.94有效控制</w:t>
            </w:r>
          </w:p>
        </w:tc>
        <w:tc>
          <w:tcPr>
            <w:tcW w:w="1276" w:type="dxa"/>
            <w:vAlign w:val="center"/>
          </w:tcPr>
          <w:p>
            <w:pPr>
              <w:pStyle w:val="20"/>
            </w:pPr>
            <w:r>
              <w:t>行业标准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降低环境治理成本</w:t>
            </w:r>
          </w:p>
        </w:tc>
        <w:tc>
          <w:tcPr>
            <w:tcW w:w="5386" w:type="dxa"/>
            <w:tcBorders>
              <w:left w:val="single" w:sz="6" w:space="0" w:color="auto"/>
              <w:right w:val="single" w:sz="6" w:space="0" w:color="auto"/>
            </w:tcBorders>
            <w:vAlign w:val="center"/>
          </w:tcPr>
          <w:p>
            <w:pPr>
              <w:pStyle w:val="20"/>
            </w:pPr>
            <w:r>
              <w:t>反映降低环境治理成本情况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提升工程效率的保障程度</w:t>
            </w:r>
          </w:p>
        </w:tc>
        <w:tc>
          <w:tcPr>
            <w:tcW w:w="5386" w:type="dxa"/>
            <w:tcBorders>
              <w:left w:val="single" w:sz="6" w:space="0" w:color="auto"/>
              <w:right w:val="single" w:sz="6" w:space="0" w:color="auto"/>
            </w:tcBorders>
            <w:vAlign w:val="center"/>
          </w:tcPr>
          <w:p>
            <w:pPr>
              <w:pStyle w:val="20"/>
            </w:pPr>
            <w:r>
              <w:t>反映土地流转对提升工程效率的保障程度情况</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行业标准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达到绿色产业标准</w:t>
            </w:r>
          </w:p>
        </w:tc>
        <w:tc>
          <w:tcPr>
            <w:tcW w:w="5386" w:type="dxa"/>
            <w:tcBorders>
              <w:left w:val="single" w:sz="6" w:space="0" w:color="auto"/>
              <w:right w:val="single" w:sz="6" w:space="0" w:color="auto"/>
            </w:tcBorders>
            <w:vAlign w:val="center"/>
          </w:tcPr>
          <w:p>
            <w:pPr>
              <w:pStyle w:val="20"/>
            </w:pPr>
            <w:r>
              <w:t>不对生态环境产生坏的影响，属于绿色生态产业。</w:t>
            </w:r>
          </w:p>
        </w:tc>
        <w:tc>
          <w:tcPr>
            <w:tcW w:w="2268" w:type="dxa"/>
            <w:tcBorders>
              <w:left w:val="single" w:sz="6" w:space="0" w:color="auto"/>
              <w:right w:val="single" w:sz="6" w:space="0" w:color="auto"/>
            </w:tcBorders>
            <w:vAlign w:val="center"/>
          </w:tcPr>
          <w:p>
            <w:pPr>
              <w:pStyle w:val="20"/>
            </w:pPr>
            <w:r>
              <w:t>达到绿色产业标准</w:t>
            </w:r>
          </w:p>
        </w:tc>
        <w:tc>
          <w:tcPr>
            <w:tcW w:w="1276" w:type="dxa"/>
            <w:vAlign w:val="center"/>
          </w:tcPr>
          <w:p>
            <w:pPr>
              <w:pStyle w:val="20"/>
            </w:pPr>
            <w:r>
              <w:t>园区建设实际情况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有效使用期限</w:t>
            </w:r>
          </w:p>
        </w:tc>
        <w:tc>
          <w:tcPr>
            <w:tcW w:w="5386" w:type="dxa"/>
            <w:tcBorders>
              <w:left w:val="single" w:sz="6" w:space="0" w:color="auto"/>
              <w:right w:val="single" w:sz="6" w:space="0" w:color="auto"/>
            </w:tcBorders>
            <w:vAlign w:val="center"/>
          </w:tcPr>
          <w:p>
            <w:pPr>
              <w:pStyle w:val="20"/>
            </w:pPr>
            <w:r>
              <w:t>项目完成后最低有效使用期限</w:t>
            </w:r>
          </w:p>
        </w:tc>
        <w:tc>
          <w:tcPr>
            <w:tcW w:w="2268" w:type="dxa"/>
            <w:tcBorders>
              <w:left w:val="single" w:sz="6" w:space="0" w:color="auto"/>
              <w:right w:val="single" w:sz="6" w:space="0" w:color="auto"/>
            </w:tcBorders>
            <w:vAlign w:val="center"/>
          </w:tcPr>
          <w:p>
            <w:pPr>
              <w:pStyle w:val="20"/>
            </w:pPr>
            <w:r>
              <w:t>≥10年</w:t>
            </w:r>
          </w:p>
        </w:tc>
        <w:tc>
          <w:tcPr>
            <w:tcW w:w="1276" w:type="dxa"/>
            <w:vAlign w:val="center"/>
          </w:tcPr>
          <w:p>
            <w:pPr>
              <w:pStyle w:val="20"/>
            </w:pPr>
            <w:r>
              <w:t>行业标准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补偿人员满意度</w:t>
            </w:r>
          </w:p>
        </w:tc>
        <w:tc>
          <w:tcPr>
            <w:tcW w:w="5386" w:type="dxa"/>
            <w:tcBorders>
              <w:left w:val="single" w:sz="6" w:space="0" w:color="auto"/>
              <w:right w:val="single" w:sz="6" w:space="0" w:color="auto"/>
            </w:tcBorders>
            <w:vAlign w:val="center"/>
          </w:tcPr>
          <w:p>
            <w:pPr>
              <w:pStyle w:val="20"/>
            </w:pPr>
            <w:r>
              <w:t>群众满意程度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bookmarkStart w:id="17" w:name="_GoBack"/>
      <w:bookmarkEnd w:id="17"/>
      <w:r>
        <w:rPr>
          <w:rFonts w:ascii="黑体" w:eastAsia="黑体" w:cs="黑体" w:hAnsi="黑体"/>
          <w:color w:val="000000"/>
          <w:sz w:val="32"/>
        </w:rPr>
        <w:t>八、政府采购预算情况</w:t>
      </w:r>
      <w:bookmarkEnd w:id="16"/>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河北丰南经济开发区管理委员会（含所属单位）上年末固定资产金额为6761.64万元（详见下表）。本年度拟购置固定资产总额为0.00万元，已按要求列入政府采购预算，详见政府采购预算表。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6761.64</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11454.91</w:t>
            </w:r>
          </w:p>
        </w:tc>
        <w:tc>
          <w:tcPr>
            <w:tcW w:w="2835" w:type="dxa"/>
            <w:vAlign w:val="center"/>
          </w:tcPr>
          <w:p>
            <w:pPr>
              <w:pStyle w:val="19"/>
            </w:pPr>
            <w:r>
              <w:t>283.49</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9816.68</w:t>
            </w:r>
          </w:p>
        </w:tc>
        <w:tc>
          <w:tcPr>
            <w:tcW w:w="2835" w:type="dxa"/>
            <w:vAlign w:val="center"/>
          </w:tcPr>
          <w:p>
            <w:pPr>
              <w:pStyle w:val="19"/>
            </w:pPr>
            <w:r>
              <w:t>202.45</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17</w:t>
            </w:r>
          </w:p>
        </w:tc>
        <w:tc>
          <w:tcPr>
            <w:tcW w:w="2835" w:type="dxa"/>
            <w:vAlign w:val="center"/>
          </w:tcPr>
          <w:p>
            <w:pPr>
              <w:pStyle w:val="19"/>
            </w:pPr>
            <w:r>
              <w:t>1549.93</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r>
              <w:t>4</w:t>
            </w:r>
          </w:p>
        </w:tc>
        <w:tc>
          <w:tcPr>
            <w:tcW w:w="2835" w:type="dxa"/>
            <w:vAlign w:val="center"/>
          </w:tcPr>
          <w:p>
            <w:pPr>
              <w:pStyle w:val="19"/>
            </w:pPr>
            <w:r>
              <w:t>473.06</w:t>
            </w: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7000</w:t>
            </w:r>
          </w:p>
        </w:tc>
        <w:tc>
          <w:tcPr>
            <w:tcW w:w="2835" w:type="dxa"/>
            <w:vAlign w:val="center"/>
          </w:tcPr>
          <w:p>
            <w:pPr>
              <w:pStyle w:val="19"/>
            </w:pPr>
            <w:r>
              <w:t>4455.16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38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B05DE25-EBA9-450E-8DFA-0413C5DED42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40</Pages>
  <Words>0</Words>
  <Characters>16161</Characters>
  <Lines>0</Lines>
  <Paragraphs>189</Paragraphs>
  <CharactersWithSpaces>21549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2025-02-07T09:19:25Z</dcterms:created>
  <dcterms:modified xsi:type="dcterms:W3CDTF">2025-02-07T01:29:07Z</dcterms:modified>
</cp:coreProperties>
</file>