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ascii="宋体" w:eastAsia="宋体" w:cs="Tahoma"/>
          <w:b/>
          <w:kern w:val="0"/>
          <w:sz w:val="44"/>
          <w:szCs w:val="44"/>
        </w:rPr>
      </w:pPr>
      <w:r>
        <w:rPr>
          <w:rFonts w:hint="eastAsia" w:ascii="宋体" w:eastAsia="宋体" w:cs="Tahoma"/>
          <w:b/>
          <w:kern w:val="0"/>
          <w:sz w:val="44"/>
          <w:szCs w:val="44"/>
        </w:rPr>
        <w:t>唐山市丰南区信访局</w:t>
      </w:r>
    </w:p>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ascii="宋体" w:eastAsia="宋体"/>
          <w:b/>
          <w:sz w:val="44"/>
          <w:szCs w:val="44"/>
        </w:rPr>
      </w:pPr>
      <w:r>
        <w:rPr>
          <w:rFonts w:hint="eastAsia" w:ascii="宋体" w:eastAsia="宋体" w:cs="Tahoma"/>
          <w:b/>
          <w:kern w:val="0"/>
          <w:sz w:val="44"/>
          <w:szCs w:val="44"/>
        </w:rPr>
        <w:t>部门年度</w:t>
      </w:r>
      <w:r>
        <w:rPr>
          <w:rFonts w:hint="eastAsia" w:ascii="宋体" w:eastAsia="宋体"/>
          <w:b/>
          <w:sz w:val="44"/>
          <w:szCs w:val="44"/>
        </w:rPr>
        <w:t>绩效自评工作报告</w:t>
      </w:r>
    </w:p>
    <w:p>
      <w:pPr>
        <w:keepNext w:val="0"/>
        <w:keepLines w:val="0"/>
        <w:pageBreakBefore w:val="0"/>
        <w:widowControl w:val="0"/>
        <w:kinsoku/>
        <w:wordWrap/>
        <w:overflowPunct/>
        <w:topLinePunct w:val="0"/>
        <w:autoSpaceDN/>
        <w:bidi w:val="0"/>
        <w:adjustRightInd/>
        <w:spacing w:line="560" w:lineRule="exact"/>
        <w:jc w:val="center"/>
        <w:textAlignment w:val="auto"/>
        <w:rPr>
          <w:rFonts w:ascii="宋体" w:hAnsi="宋体" w:eastAsia="仿宋"/>
        </w:rPr>
      </w:pPr>
      <w:r>
        <w:rPr>
          <w:rFonts w:hint="eastAsia" w:ascii="宋体" w:hAnsi="宋体" w:eastAsia="仿宋"/>
        </w:rPr>
        <w:t>（20</w:t>
      </w:r>
      <w:r>
        <w:rPr>
          <w:rFonts w:hint="eastAsia" w:ascii="宋体" w:hAnsi="宋体" w:eastAsia="仿宋"/>
          <w:lang w:val="en-US" w:eastAsia="zh-CN"/>
        </w:rPr>
        <w:t>21</w:t>
      </w:r>
      <w:r>
        <w:rPr>
          <w:rFonts w:hint="eastAsia" w:ascii="宋体" w:hAnsi="宋体" w:eastAsia="仿宋"/>
        </w:rPr>
        <w:t>年度）</w:t>
      </w:r>
    </w:p>
    <w:p>
      <w:pPr>
        <w:keepNext w:val="0"/>
        <w:keepLines w:val="0"/>
        <w:pageBreakBefore w:val="0"/>
        <w:widowControl w:val="0"/>
        <w:kinsoku/>
        <w:wordWrap/>
        <w:overflowPunct/>
        <w:topLinePunct w:val="0"/>
        <w:autoSpaceDN/>
        <w:bidi w:val="0"/>
        <w:adjustRightInd/>
        <w:spacing w:line="560" w:lineRule="exact"/>
        <w:jc w:val="center"/>
        <w:textAlignment w:val="auto"/>
        <w:rPr>
          <w:rFonts w:ascii="宋体" w:hAnsi="宋体" w:eastAsia="仿宋"/>
        </w:rPr>
      </w:pP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黑体" w:eastAsia="黑体"/>
        </w:rPr>
      </w:pPr>
      <w:r>
        <w:rPr>
          <w:rFonts w:hint="eastAsia" w:ascii="黑体" w:eastAsia="黑体"/>
        </w:rPr>
        <w:t>一、绩效自评工作组织开展情况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ascii="宋体" w:hAnsi="宋体"/>
          <w:color w:val="333333"/>
        </w:rPr>
      </w:pPr>
      <w:r>
        <w:rPr>
          <w:rFonts w:hint="eastAsia" w:ascii="宋体" w:hAnsi="宋体"/>
          <w:color w:val="333333"/>
        </w:rPr>
        <w:t>按照区财政局《关于</w:t>
      </w:r>
      <w:r>
        <w:rPr>
          <w:rFonts w:ascii="宋体" w:hAnsi="宋体"/>
          <w:color w:val="333333"/>
        </w:rPr>
        <w:t>全面开展202</w:t>
      </w:r>
      <w:r>
        <w:rPr>
          <w:rFonts w:hint="eastAsia" w:ascii="宋体" w:hAnsi="宋体"/>
          <w:color w:val="333333"/>
          <w:lang w:val="en-US" w:eastAsia="zh-CN"/>
        </w:rPr>
        <w:t>1</w:t>
      </w:r>
      <w:r>
        <w:rPr>
          <w:rFonts w:ascii="宋体" w:hAnsi="宋体"/>
          <w:color w:val="333333"/>
        </w:rPr>
        <w:t>年度财政支出绩效评价工作</w:t>
      </w:r>
      <w:r>
        <w:rPr>
          <w:rFonts w:hint="eastAsia" w:ascii="宋体" w:hAnsi="宋体"/>
          <w:color w:val="333333"/>
        </w:rPr>
        <w:t>的通知》要求，我单位高度重视，成立了由局长</w:t>
      </w:r>
      <w:r>
        <w:rPr>
          <w:rFonts w:hint="eastAsia" w:ascii="宋体" w:hAnsi="宋体"/>
          <w:color w:val="333333"/>
          <w:lang w:eastAsia="zh-CN"/>
        </w:rPr>
        <w:t>张增勇</w:t>
      </w:r>
      <w:r>
        <w:rPr>
          <w:rFonts w:hint="eastAsia" w:ascii="宋体" w:hAnsi="宋体"/>
          <w:color w:val="333333"/>
        </w:rPr>
        <w:t>同志任组长，局班子成员为副组长，各科室负责人及财务人员为成员的绩效评价工作领导小组。领导小组明确要求在自评过程中既将项目实施中存在的问题如实反映，又要分析所得的成绩，客观公正地实施评价，为进一步规范预算项目管理、科学合理设置绩效目标提供依据，确保自评结果所反映的资金使用效益全面、真实、准确、客观。</w:t>
      </w:r>
    </w:p>
    <w:p>
      <w:pPr>
        <w:snapToGrid w:val="0"/>
        <w:spacing w:line="600" w:lineRule="exact"/>
        <w:ind w:firstLine="600" w:firstLineChars="200"/>
        <w:rPr>
          <w:rFonts w:hint="eastAsia" w:ascii="宋体" w:hAnsi="宋体"/>
          <w:color w:val="333333"/>
          <w:lang w:val="en-US" w:eastAsia="zh-CN"/>
        </w:rPr>
      </w:pPr>
      <w:r>
        <w:rPr>
          <w:rFonts w:hint="eastAsia" w:ascii="宋体" w:hAnsi="宋体"/>
          <w:color w:val="333333"/>
        </w:rPr>
        <w:t>在绩效评价开展过程中，领导小组明确责任分工，第一时间布置相关工作要求，各业务科室与财务人员有效配合，积极开展项目梳理，共同探讨交流并深度分析财政资金使用效能，认真落实评价工作。重点对各项目支出的立项依据是否充分、绩效目标设置是否细化量化、工作任务和要求是否明确、计划执行是否到位、绩效目标是否实现等情况进行逐一评价。根据绩效自评全覆盖的工作要求，对信访维稳工作、群众中心工作等</w:t>
      </w:r>
      <w:r>
        <w:rPr>
          <w:rFonts w:hint="eastAsia" w:ascii="宋体" w:hAnsi="宋体"/>
          <w:color w:val="333333"/>
          <w:lang w:val="en-US" w:eastAsia="zh-CN"/>
        </w:rPr>
        <w:t>4</w:t>
      </w:r>
      <w:r>
        <w:rPr>
          <w:rFonts w:hint="eastAsia" w:ascii="宋体" w:hAnsi="宋体"/>
          <w:color w:val="333333"/>
        </w:rPr>
        <w:t>个项目支出综合情况进行客观评价。20</w:t>
      </w:r>
      <w:r>
        <w:rPr>
          <w:rFonts w:ascii="宋体" w:hAnsi="宋体"/>
          <w:color w:val="333333"/>
        </w:rPr>
        <w:t>2</w:t>
      </w:r>
      <w:r>
        <w:rPr>
          <w:rFonts w:hint="eastAsia" w:ascii="宋体" w:hAnsi="宋体"/>
          <w:color w:val="333333"/>
          <w:lang w:val="en-US" w:eastAsia="zh-CN"/>
        </w:rPr>
        <w:t>1</w:t>
      </w:r>
      <w:r>
        <w:rPr>
          <w:rFonts w:hint="eastAsia" w:ascii="宋体" w:hAnsi="宋体"/>
          <w:color w:val="333333"/>
        </w:rPr>
        <w:t>年预算安排信访维稳工作经费</w:t>
      </w:r>
      <w:r>
        <w:rPr>
          <w:rFonts w:hint="eastAsia" w:ascii="宋体" w:hAnsi="宋体"/>
          <w:color w:val="333333"/>
          <w:lang w:val="en-US" w:eastAsia="zh-CN"/>
        </w:rPr>
        <w:t>120</w:t>
      </w:r>
      <w:r>
        <w:rPr>
          <w:rFonts w:hint="eastAsia" w:ascii="宋体" w:hAnsi="宋体"/>
          <w:color w:val="333333"/>
        </w:rPr>
        <w:t>万元，资金执行</w:t>
      </w:r>
      <w:r>
        <w:rPr>
          <w:rFonts w:hint="eastAsia" w:ascii="宋体" w:hAnsi="宋体"/>
          <w:color w:val="333333"/>
          <w:lang w:val="en-US" w:eastAsia="zh-CN"/>
        </w:rPr>
        <w:t>120</w:t>
      </w:r>
      <w:r>
        <w:rPr>
          <w:rFonts w:hint="eastAsia" w:ascii="宋体" w:hAnsi="宋体"/>
          <w:color w:val="333333"/>
        </w:rPr>
        <w:t>万元，群众工作经费</w:t>
      </w:r>
      <w:r>
        <w:rPr>
          <w:rFonts w:hint="eastAsia" w:ascii="宋体" w:hAnsi="宋体"/>
          <w:color w:val="333333"/>
          <w:lang w:val="en-US" w:eastAsia="zh-CN"/>
        </w:rPr>
        <w:t>12.84</w:t>
      </w:r>
      <w:r>
        <w:rPr>
          <w:rFonts w:hint="eastAsia" w:ascii="宋体" w:hAnsi="宋体"/>
          <w:color w:val="333333"/>
        </w:rPr>
        <w:t>万元，资金执行</w:t>
      </w:r>
      <w:r>
        <w:rPr>
          <w:rFonts w:hint="eastAsia" w:ascii="宋体" w:hAnsi="宋体"/>
          <w:color w:val="333333"/>
          <w:lang w:val="en-US" w:eastAsia="zh-CN"/>
        </w:rPr>
        <w:t>12.84</w:t>
      </w:r>
      <w:r>
        <w:rPr>
          <w:rFonts w:hint="eastAsia" w:ascii="宋体" w:hAnsi="宋体"/>
          <w:color w:val="333333"/>
        </w:rPr>
        <w:t>万元</w:t>
      </w:r>
      <w:r>
        <w:rPr>
          <w:rFonts w:ascii="宋体" w:hAnsi="宋体"/>
          <w:color w:val="333333"/>
        </w:rPr>
        <w:t>，信访综合事务管理经费</w:t>
      </w:r>
      <w:r>
        <w:rPr>
          <w:rFonts w:hint="eastAsia" w:ascii="宋体" w:hAnsi="宋体"/>
          <w:color w:val="333333"/>
          <w:lang w:val="en-US" w:eastAsia="zh-CN"/>
        </w:rPr>
        <w:t>57.19</w:t>
      </w:r>
      <w:r>
        <w:rPr>
          <w:rFonts w:ascii="宋体" w:hAnsi="宋体"/>
          <w:color w:val="333333"/>
        </w:rPr>
        <w:t>元，</w:t>
      </w:r>
      <w:r>
        <w:rPr>
          <w:rFonts w:hint="eastAsia" w:ascii="宋体" w:hAnsi="宋体"/>
          <w:color w:val="333333"/>
        </w:rPr>
        <w:t>资金执行</w:t>
      </w:r>
      <w:r>
        <w:rPr>
          <w:rFonts w:hint="eastAsia" w:ascii="宋体" w:hAnsi="宋体"/>
          <w:color w:val="333333"/>
          <w:lang w:val="en-US" w:eastAsia="zh-CN"/>
        </w:rPr>
        <w:t>57.19</w:t>
      </w:r>
      <w:r>
        <w:rPr>
          <w:rFonts w:ascii="宋体" w:hAnsi="宋体"/>
          <w:color w:val="333333"/>
        </w:rPr>
        <w:t>万元</w:t>
      </w:r>
      <w:r>
        <w:rPr>
          <w:rFonts w:hint="eastAsia" w:ascii="宋体" w:hAnsi="宋体"/>
          <w:color w:val="333333"/>
          <w:lang w:eastAsia="zh-CN"/>
        </w:rPr>
        <w:t>，中医院异地扩建项目院内信访局配电室改造工程费</w:t>
      </w:r>
      <w:r>
        <w:rPr>
          <w:rFonts w:hint="eastAsia" w:ascii="宋体" w:hAnsi="宋体"/>
          <w:color w:val="333333"/>
          <w:lang w:val="en-US" w:eastAsia="zh-CN"/>
        </w:rPr>
        <w:t>8.81万元，</w:t>
      </w:r>
      <w:r>
        <w:rPr>
          <w:rFonts w:hint="eastAsia" w:ascii="宋体" w:hAnsi="宋体"/>
          <w:color w:val="333333"/>
        </w:rPr>
        <w:t>资金执行</w:t>
      </w:r>
      <w:r>
        <w:rPr>
          <w:rFonts w:hint="eastAsia" w:ascii="宋体" w:hAnsi="宋体"/>
          <w:color w:val="333333"/>
          <w:lang w:val="en-US" w:eastAsia="zh-CN"/>
        </w:rPr>
        <w:t>8.81</w:t>
      </w:r>
      <w:r>
        <w:rPr>
          <w:rFonts w:hint="eastAsia" w:ascii="宋体" w:hAnsi="宋体"/>
          <w:color w:val="333333"/>
        </w:rPr>
        <w:t>万元</w:t>
      </w:r>
      <w:r>
        <w:rPr>
          <w:rFonts w:hint="eastAsia" w:ascii="宋体" w:hAnsi="宋体"/>
          <w:color w:val="333333"/>
          <w:lang w:val="en-US" w:eastAsia="zh-CN"/>
        </w:rPr>
        <w:t>。在执行过程中，严格遵守项目库管理办法，严格执行财务管理制度，进行资金拨付，无虚列、挤占、截留、挪用等现象，无超标准开支情况，对项目的实施、付款等环节进行严格管理和监督。资金拨付有完整的审批程序和手续。项目支出符合部门预算批复的用途。</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黑体" w:eastAsia="黑体"/>
        </w:rPr>
      </w:pPr>
      <w:r>
        <w:rPr>
          <w:rFonts w:hint="eastAsia" w:ascii="黑体" w:eastAsia="黑体"/>
        </w:rPr>
        <w:t>二、绩效目标实现情况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ascii="宋体" w:hAnsi="宋体" w:cs="Tahoma"/>
          <w:shd w:val="clear" w:color="auto" w:fill="FFFFFF"/>
        </w:rPr>
      </w:pPr>
      <w:r>
        <w:rPr>
          <w:rFonts w:hint="eastAsia" w:ascii="宋体" w:hAnsi="宋体" w:cs="Tahoma"/>
          <w:shd w:val="clear" w:color="auto" w:fill="FFFFFF"/>
        </w:rPr>
        <w:t>1、总体工作开展情况。一是信访维稳工作。我单位在区委区政府正确领导下，在区信访工作联席会议靠前指挥下，以维护全区社会和谐稳定为中心，解决问题，规范秩序，全力攻坚，合力维稳，圆满完成全国“两会”</w:t>
      </w:r>
      <w:r>
        <w:rPr>
          <w:rFonts w:ascii="宋体" w:hAnsi="宋体" w:cs="Tahoma"/>
          <w:shd w:val="clear" w:color="auto" w:fill="FFFFFF"/>
        </w:rPr>
        <w:t>等</w:t>
      </w:r>
      <w:r>
        <w:rPr>
          <w:rFonts w:hint="eastAsia" w:ascii="宋体" w:hAnsi="宋体" w:cs="Tahoma"/>
          <w:shd w:val="clear" w:color="auto" w:fill="FFFFFF"/>
        </w:rPr>
        <w:t>全会等重大时期和敏感期信访稳定工作任务。二是群众工作。每个工作日安排一名律师坐班接访，引导信访人依法依规解决问题。同时，依托区乡两级群众工作中心、站室平台，开展领导干部接访、约访、走访，解决矛盾问题，减少信访问题发生。</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ascii="宋体" w:hAnsi="宋体"/>
        </w:rPr>
      </w:pPr>
      <w:r>
        <w:rPr>
          <w:rFonts w:hint="eastAsia" w:ascii="宋体" w:hAnsi="宋体"/>
        </w:rPr>
        <w:t>2、预期绩效目标完成情况。我单位</w:t>
      </w:r>
      <w:r>
        <w:rPr>
          <w:rFonts w:ascii="宋体" w:hAnsi="宋体"/>
        </w:rPr>
        <w:t>202</w:t>
      </w:r>
      <w:r>
        <w:rPr>
          <w:rFonts w:hint="eastAsia" w:ascii="宋体" w:hAnsi="宋体"/>
          <w:lang w:val="en-US" w:eastAsia="zh-CN"/>
        </w:rPr>
        <w:t>1</w:t>
      </w:r>
      <w:r>
        <w:rPr>
          <w:rFonts w:hint="eastAsia" w:ascii="宋体" w:hAnsi="宋体"/>
        </w:rPr>
        <w:t>年预算项目在区政府及区财政局的大力支持下，在单位项目领导小组的精心组织下得到顺利实施。</w:t>
      </w:r>
      <w:r>
        <w:rPr>
          <w:rFonts w:ascii="宋体" w:hAnsi="宋体" w:cs="Arial"/>
          <w:color w:val="333333"/>
          <w:shd w:val="clear" w:color="auto" w:fill="FFFFFF"/>
        </w:rPr>
        <w:t>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w:t>
      </w:r>
      <w:r>
        <w:rPr>
          <w:rFonts w:hint="eastAsia" w:ascii="宋体" w:hAnsi="宋体"/>
        </w:rPr>
        <w:t>完成了预期绩效目标。</w:t>
      </w:r>
    </w:p>
    <w:p>
      <w:pPr>
        <w:snapToGrid w:val="0"/>
        <w:spacing w:line="600" w:lineRule="exact"/>
        <w:ind w:firstLine="600" w:firstLineChars="200"/>
        <w:rPr>
          <w:rFonts w:hint="eastAsia" w:ascii="宋体" w:hAnsi="宋体"/>
          <w:color w:val="333333"/>
          <w:lang w:val="en-US" w:eastAsia="zh-CN"/>
        </w:rPr>
      </w:pPr>
      <w:r>
        <w:rPr>
          <w:rFonts w:ascii="宋体" w:hAnsi="宋体" w:cs="Arial"/>
          <w:color w:val="333333"/>
          <w:shd w:val="clear" w:color="auto" w:fill="FFFFFF"/>
        </w:rPr>
        <w:t>202</w:t>
      </w:r>
      <w:r>
        <w:rPr>
          <w:rFonts w:hint="eastAsia" w:ascii="宋体" w:hAnsi="宋体" w:cs="Arial"/>
          <w:color w:val="333333"/>
          <w:shd w:val="clear" w:color="auto" w:fill="FFFFFF"/>
          <w:lang w:val="en-US" w:eastAsia="zh-CN"/>
        </w:rPr>
        <w:t>1</w:t>
      </w:r>
      <w:r>
        <w:rPr>
          <w:rFonts w:hint="eastAsia" w:ascii="宋体" w:hAnsi="宋体" w:cs="Arial"/>
          <w:color w:val="333333"/>
          <w:shd w:val="clear" w:color="auto" w:fill="FFFFFF"/>
        </w:rPr>
        <w:t>年预算安排项目资金（调整后）</w:t>
      </w:r>
      <w:r>
        <w:rPr>
          <w:rFonts w:hint="eastAsia" w:ascii="宋体" w:hAnsi="宋体" w:cs="Arial"/>
          <w:color w:val="333333"/>
          <w:shd w:val="clear" w:color="auto" w:fill="FFFFFF"/>
          <w:lang w:val="en-US" w:eastAsia="zh-CN"/>
        </w:rPr>
        <w:t>198.84</w:t>
      </w:r>
      <w:r>
        <w:rPr>
          <w:rFonts w:hint="eastAsia" w:ascii="宋体" w:hAnsi="宋体" w:cs="Arial"/>
          <w:color w:val="333333"/>
          <w:shd w:val="clear" w:color="auto" w:fill="FFFFFF"/>
        </w:rPr>
        <w:t>万元，实际到位资金</w:t>
      </w:r>
      <w:r>
        <w:rPr>
          <w:rFonts w:hint="eastAsia" w:ascii="宋体" w:hAnsi="宋体" w:cs="Arial"/>
          <w:color w:val="333333"/>
          <w:shd w:val="clear" w:color="auto" w:fill="FFFFFF"/>
          <w:lang w:val="en-US" w:eastAsia="zh-CN"/>
        </w:rPr>
        <w:t>198.84</w:t>
      </w:r>
      <w:r>
        <w:rPr>
          <w:rFonts w:hint="eastAsia" w:ascii="宋体" w:hAnsi="宋体" w:cs="Arial"/>
          <w:color w:val="333333"/>
          <w:shd w:val="clear" w:color="auto" w:fill="FFFFFF"/>
        </w:rPr>
        <w:t>万元，实际支出资金</w:t>
      </w:r>
      <w:r>
        <w:rPr>
          <w:rFonts w:hint="eastAsia" w:ascii="宋体" w:hAnsi="宋体" w:cs="Arial"/>
          <w:color w:val="333333"/>
          <w:shd w:val="clear" w:color="auto" w:fill="FFFFFF"/>
          <w:lang w:val="en-US" w:eastAsia="zh-CN"/>
        </w:rPr>
        <w:t>198.84</w:t>
      </w:r>
      <w:r>
        <w:rPr>
          <w:rFonts w:hint="eastAsia" w:ascii="宋体" w:hAnsi="宋体" w:cs="Arial"/>
          <w:color w:val="333333"/>
          <w:shd w:val="clear" w:color="auto" w:fill="FFFFFF"/>
        </w:rPr>
        <w:t>万元。涉及“信访维稳工作经费”“群众工作经费”“</w:t>
      </w:r>
      <w:r>
        <w:rPr>
          <w:rFonts w:ascii="宋体" w:hAnsi="宋体"/>
          <w:color w:val="333333"/>
        </w:rPr>
        <w:t>信访综合事务管理经费</w:t>
      </w:r>
      <w:r>
        <w:rPr>
          <w:rFonts w:hint="eastAsia" w:ascii="宋体" w:hAnsi="宋体"/>
          <w:color w:val="333333"/>
        </w:rPr>
        <w:t>”</w:t>
      </w:r>
      <w:r>
        <w:rPr>
          <w:rFonts w:hint="eastAsia" w:ascii="宋体" w:hAnsi="宋体"/>
          <w:color w:val="333333"/>
          <w:lang w:eastAsia="zh-CN"/>
        </w:rPr>
        <w:t>“中医院异地扩建项目院内信访局配电室改造工程费”</w:t>
      </w:r>
      <w:r>
        <w:rPr>
          <w:rFonts w:hint="eastAsia" w:ascii="宋体" w:hAnsi="宋体"/>
          <w:color w:val="333333"/>
          <w:lang w:val="en-US" w:eastAsia="zh-CN"/>
        </w:rPr>
        <w:t>4</w:t>
      </w:r>
      <w:r>
        <w:rPr>
          <w:rFonts w:hint="eastAsia" w:ascii="宋体" w:hAnsi="宋体" w:cs="Arial"/>
          <w:color w:val="333333"/>
          <w:shd w:val="clear" w:color="auto" w:fill="FFFFFF"/>
        </w:rPr>
        <w:t>个项目，预算项目绩效自评得分全部为100分，年度绩效目标基本实现。</w:t>
      </w:r>
      <w:r>
        <w:rPr>
          <w:rFonts w:hint="eastAsia" w:ascii="宋体" w:hAnsi="宋体"/>
          <w:color w:val="333333"/>
          <w:lang w:val="en-US" w:eastAsia="zh-CN"/>
        </w:rPr>
        <w:t>资金来源全部为区财政拨款。资金利用率均达到100%，最大限度地发挥了资金效益。所有项目完成及时，项目预算执行率全部达到100%。</w:t>
      </w:r>
    </w:p>
    <w:p>
      <w:pPr>
        <w:snapToGrid w:val="0"/>
        <w:spacing w:line="600" w:lineRule="exact"/>
        <w:ind w:firstLine="600" w:firstLineChars="200"/>
        <w:rPr>
          <w:rFonts w:ascii="宋体" w:hAnsi="宋体" w:cs="Arial"/>
          <w:color w:val="333333"/>
          <w:shd w:val="clear" w:color="auto" w:fill="FFFFFF"/>
        </w:rPr>
      </w:pPr>
      <w:r>
        <w:rPr>
          <w:rFonts w:hint="eastAsia" w:ascii="宋体" w:hAnsi="宋体"/>
          <w:color w:val="333333"/>
          <w:lang w:val="en-US" w:eastAsia="zh-CN"/>
        </w:rPr>
        <w:t>我单位在区财政局的大力支持下，在单位领导小组的精心组织下，涉及到的4个项目均得到顺利实施，部门预算项目绩效自评得分全部为100分，所有项目的绩效目标总体完成率均为100%。年度预期目标基本实现，项目的组织管理基本有效，项目的产出、效益、满意度均达到预期指标。</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黑体" w:eastAsia="黑体"/>
        </w:rPr>
      </w:pPr>
      <w:r>
        <w:rPr>
          <w:rFonts w:hint="eastAsia" w:ascii="黑体" w:eastAsia="黑体"/>
        </w:rPr>
        <w:t> 三、绩效目标设定质量情况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ascii="宋体" w:hAnsi="宋体"/>
        </w:rPr>
      </w:pPr>
      <w:r>
        <w:rPr>
          <w:rFonts w:hint="eastAsia" w:ascii="宋体" w:hAnsi="宋体"/>
        </w:rPr>
        <w:t>我单位项目依照省、市信访局、区委区政府的要求决策，依据充分，项目立项规范。绩效目标合理，符合规定格式要求，内容完整，充分体现了“干什么”、“干到什么程度”，目标量化、具体，做到了绩效目标设定清晰准确。绩效指标明确、全面完整、科学合理，绩效标准恰当适宜、易于评价。</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黑体" w:eastAsia="黑体"/>
        </w:rPr>
      </w:pPr>
      <w:r>
        <w:rPr>
          <w:rFonts w:hint="eastAsia" w:ascii="黑体" w:eastAsia="黑体"/>
        </w:rPr>
        <w:t>四、整改措施及结果应用</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ascii="宋体" w:hAnsi="宋体"/>
        </w:rPr>
      </w:pPr>
      <w:r>
        <w:rPr>
          <w:rFonts w:hint="eastAsia" w:ascii="宋体" w:hAnsi="宋体"/>
        </w:rPr>
        <w:t>一是进一步增强全年信访稳定形势和具体工作的预估预判，力求在细化分解项目绩效目标方面更加科学合理，争取通过清晰、可衡量的指标值予以体现。二是进一步压实工作责任，完善工作机制，创新工作方法，切实解决好历史遗留和现实发生的突出矛盾问题，化解老案难案，从根本上筑牢社会和谐稳定的基础，保障全区持续和谐稳定。三是切实加强组织领导，进一步强化机关绩效管理理念，健全完善制度办法。</w:t>
      </w:r>
    </w:p>
    <w:p>
      <w:pPr>
        <w:keepNext w:val="0"/>
        <w:keepLines w:val="0"/>
        <w:pageBreakBefore w:val="0"/>
        <w:widowControl w:val="0"/>
        <w:kinsoku/>
        <w:wordWrap/>
        <w:overflowPunct/>
        <w:topLinePunct w:val="0"/>
        <w:autoSpaceDN/>
        <w:adjustRightInd/>
        <w:spacing w:line="560" w:lineRule="exact"/>
        <w:rPr>
          <w:rFonts w:ascii="仿宋_GB2312" w:cs="仿宋_GB2312"/>
          <w:sz w:val="30"/>
          <w:szCs w:val="30"/>
        </w:rPr>
      </w:pPr>
    </w:p>
    <w:p>
      <w:pPr>
        <w:keepNext w:val="0"/>
        <w:keepLines w:val="0"/>
        <w:pageBreakBefore w:val="0"/>
        <w:widowControl w:val="0"/>
        <w:kinsoku/>
        <w:wordWrap/>
        <w:overflowPunct/>
        <w:topLinePunct w:val="0"/>
        <w:autoSpaceDN/>
        <w:adjustRightInd/>
        <w:spacing w:line="560" w:lineRule="exact"/>
        <w:rPr>
          <w:rFonts w:ascii="仿宋_GB2312" w:cs="仿宋_GB2312"/>
          <w:sz w:val="30"/>
          <w:szCs w:val="30"/>
        </w:rPr>
      </w:pPr>
    </w:p>
    <w:p>
      <w:pPr>
        <w:keepNext w:val="0"/>
        <w:keepLines w:val="0"/>
        <w:pageBreakBefore w:val="0"/>
        <w:widowControl w:val="0"/>
        <w:kinsoku/>
        <w:wordWrap/>
        <w:overflowPunct/>
        <w:topLinePunct w:val="0"/>
        <w:autoSpaceDN/>
        <w:adjustRightInd/>
        <w:spacing w:line="560" w:lineRule="exact"/>
        <w:rPr>
          <w:rFonts w:ascii="宋体" w:hAnsi="宋体"/>
        </w:rPr>
      </w:pPr>
      <w:bookmarkStart w:id="0" w:name="_GoBack"/>
      <w:bookmarkEnd w:id="0"/>
    </w:p>
    <w:sectPr>
      <w:footerReference r:id="rId3" w:type="default"/>
      <w:pgSz w:w="11906" w:h="16838"/>
      <w:pgMar w:top="1701" w:right="1531" w:bottom="1361" w:left="1531" w:header="851" w:footer="992" w:gutter="0"/>
      <w:pgNumType w:fmt="numberInDash"/>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
    <w:altName w:val="仿宋_GB2312"/>
    <w:panose1 w:val="00000000000000000000"/>
    <w:charset w:val="86"/>
    <w:family w:val="swiss"/>
    <w:pitch w:val="default"/>
    <w:sig w:usb0="00000000" w:usb1="00000000" w:usb2="00000016" w:usb3="00000000" w:csb0="00040001" w:csb1="00000000"/>
  </w:font>
  <w:font w:name="Tahoma">
    <w:panose1 w:val="020B0604030504040204"/>
    <w:charset w:val="00"/>
    <w:family w:val="decorative"/>
    <w:pitch w:val="default"/>
    <w:sig w:usb0="61007A87" w:usb1="80000000" w:usb2="00000008" w:usb3="00000000" w:csb0="200101FF" w:csb1="2028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
    <w:altName w:val="仿宋_GB2312"/>
    <w:panose1 w:val="00000000000000000000"/>
    <w:charset w:val="86"/>
    <w:family w:val="decorative"/>
    <w:pitch w:val="default"/>
    <w:sig w:usb0="00000000" w:usb1="00000000" w:usb2="00000016" w:usb3="00000000" w:csb0="00040001" w:csb1="00000000"/>
  </w:font>
  <w:font w:name="Tahoma">
    <w:panose1 w:val="020B0604030504040204"/>
    <w:charset w:val="00"/>
    <w:family w:val="roman"/>
    <w:pitch w:val="default"/>
    <w:sig w:usb0="61007A87" w:usb1="80000000" w:usb2="00000008" w:usb3="00000000" w:csb0="200101FF" w:csb1="2028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
    <w:altName w:val="仿宋_GB2312"/>
    <w:panose1 w:val="00000000000000000000"/>
    <w:charset w:val="86"/>
    <w:family w:val="roman"/>
    <w:pitch w:val="default"/>
    <w:sig w:usb0="00000000" w:usb1="00000000" w:usb2="00000016" w:usb3="00000000" w:csb0="00040001" w:csb1="00000000"/>
  </w:font>
  <w:font w:name="Tahoma">
    <w:panose1 w:val="020B0604030504040204"/>
    <w:charset w:val="00"/>
    <w:family w:val="modern"/>
    <w:pitch w:val="default"/>
    <w:sig w:usb0="61007A87" w:usb1="80000000" w:usb2="00000008" w:usb3="00000000" w:csb0="200101FF" w:csb1="2028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eastAsia="仿宋"/>
        <w:sz w:val="32"/>
        <w:szCs w:val="32"/>
      </w:rPr>
    </w:pPr>
    <w:r>
      <w:rPr>
        <w:sz w:val="32"/>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444500" cy="230505"/>
              <wp:effectExtent l="0" t="0" r="0" b="0"/>
              <wp:wrapNone/>
              <wp:docPr id="1" name="_x0000_s3073"/>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5"/>
                            <w:jc w:val="cente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2</w:t>
                          </w:r>
                          <w:r>
                            <w:rPr>
                              <w:rFonts w:ascii="仿宋" w:eastAsia="仿宋"/>
                              <w:sz w:val="28"/>
                              <w:szCs w:val="28"/>
                            </w:rPr>
                            <w:fldChar w:fldCharType="end"/>
                          </w:r>
                        </w:p>
                      </w:txbxContent>
                    </wps:txbx>
                    <wps:bodyPr vert="horz" wrap="none" lIns="0" tIns="0" rIns="0" bIns="0" anchor="t" anchorCtr="0" upright="1">
                      <a:spAutoFit/>
                    </wps:bodyPr>
                  </wps:wsp>
                </a:graphicData>
              </a:graphic>
            </wp:anchor>
          </w:drawing>
        </mc:Choice>
        <mc:Fallback>
          <w:pict>
            <v:rect id="_x0000_s3073" o:spid="_x0000_s1026" o:spt="1" style="position:absolute;left:0pt;margin-top:0pt;height:18.15pt;width:35pt;mso-position-horizontal:center;mso-position-horizontal-relative:margin;mso-wrap-style:none;z-index:102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AL8xlR2wEAAKcDAAAOAAAAZHJzL2Uyb0RvYy54bWytU02P0zAQvSPx&#10;HyzfadKWAo2arhDVIiQEKy17Xk0dJ7HkL3ncJuXXM3b6sYLbCh+csT1+fm/mZXM3Gs2OMqBytubz&#10;WcmZtMI1ynY1f/p1/+4TZxjBNqCdlTU/SeR327dvNoOv5ML1TjcyMAKxWA2+5n2MvioKFL00gDPn&#10;paXD1gUDkZahK5oAA6EbXSzK8kMxuND44IREpN3ddMi3Gb9tpYg/2xZlZLrmxC3mOeR5n+Ziu4Gq&#10;C+B7Jc404BUsDChLj16hdhCBHYL6B8ooERy6Ns6EM4VrWyVk1kBq5uVfah578DJroeKgv5YJ/x+s&#10;+HF8CEw11DvOLBhq0fNY0njGZflxmeozeKwo7dE/hPMKKUxixzaY9CUZbMw1PV1rKsfIBG2+p7Fe&#10;cyboaLEsF6t5wixul33A+FU6w1JQ80Aty5WE43eMU+olJb1l3b3Smvah0pYNNV+vFiuCBzJPqyFS&#10;aDzJQdtlmBf5CWYH2LMjkBvQadVM/TcqyqSNWGlLn6R40piiOO5HOkzh3jUnKhf5nZj2LvzmbCDv&#10;1NySuTnT3yy1JtnsEoRLsL8EYAVdrDkRncIvcbLjwQfV9YQ7z7zRfz5E0ppLcHv7zI7ckOmenZvs&#10;9nKds27/1/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Y8BwtEAAAADAQAADwAAAAAAAAABACAA&#10;AAAiAAAAZHJzL2Rvd25yZXYueG1sUEsBAhQAFAAAAAgAh07iQAvzGVHbAQAApwMAAA4AAAAAAAAA&#10;AQAgAAAAIAEAAGRycy9lMm9Eb2MueG1sUEsFBgAAAAAGAAYAWQEAAG0FAAAAAA==&#10;">
              <v:fill on="f" focussize="0,0"/>
              <v:stroke on="f" joinstyle="miter"/>
              <v:imagedata o:title=""/>
              <o:lock v:ext="edit" aspectratio="f"/>
              <v:textbox inset="0mm,0mm,0mm,0mm" style="mso-fit-shape-to-text:t;">
                <w:txbxContent>
                  <w:p>
                    <w:pPr>
                      <w:pStyle w:val="5"/>
                      <w:jc w:val="cente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2</w:t>
                    </w:r>
                    <w:r>
                      <w:rPr>
                        <w:rFonts w:ascii="仿宋" w:eastAsia="仿宋"/>
                        <w:sz w:val="28"/>
                        <w:szCs w:val="28"/>
                      </w:rPr>
                      <w:fldChar w:fldCharType="end"/>
                    </w:r>
                  </w:p>
                </w:txbxContent>
              </v:textbox>
            </v:rect>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2090586E"/>
    <w:rsid w:val="25D10D3B"/>
    <w:rsid w:val="29875B2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widowControl/>
      <w:jc w:val="left"/>
      <w:outlineLvl w:val="1"/>
    </w:pPr>
    <w:rPr>
      <w:rFonts w:ascii="宋体" w:eastAsia="宋体" w:cs="宋体"/>
      <w:kern w:val="0"/>
      <w:sz w:val="24"/>
      <w:szCs w:val="24"/>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9">
    <w:name w:val="Strong"/>
    <w:basedOn w:val="8"/>
    <w:qFormat/>
    <w:uiPriority w:val="0"/>
    <w:rPr>
      <w:b/>
      <w:bCs/>
    </w:rPr>
  </w:style>
  <w:style w:type="paragraph" w:customStyle="1" w:styleId="11">
    <w:name w:val="p0"/>
    <w:basedOn w:val="1"/>
    <w:qFormat/>
    <w:uiPriority w:val="0"/>
    <w:pPr>
      <w:widowControl/>
      <w:spacing w:before="100" w:beforeAutospacing="1" w:after="100" w:afterAutospacing="1"/>
      <w:jc w:val="left"/>
    </w:pPr>
    <w:rPr>
      <w:rFonts w:ascii="宋体" w:eastAsia="宋体" w:cs="宋体"/>
      <w:kern w:val="0"/>
      <w:sz w:val="24"/>
      <w:szCs w:val="24"/>
    </w:rPr>
  </w:style>
  <w:style w:type="character" w:customStyle="1" w:styleId="12">
    <w:name w:val="bjh-p"/>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Pages>
  <Words>1597</Words>
  <Characters>1684</Characters>
  <Lines>99</Lines>
  <Paragraphs>35</Paragraphs>
  <TotalTime>0</TotalTime>
  <ScaleCrop>false</ScaleCrop>
  <LinksUpToDate>false</LinksUpToDate>
  <CharactersWithSpaces>1685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2020-05-25T06:37:00Z</dcterms:created>
  <dc:creator>微软用户</dc:creator>
  <cp:lastModifiedBy>Administrator</cp:lastModifiedBy>
  <dcterms:modified xsi:type="dcterms:W3CDTF">2022-05-11T03:14:08Z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