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adjustRightInd w:val="0"/>
        <w:snapToGrid w:val="0"/>
        <w:spacing w:line="560" w:lineRule="exact"/>
        <w:jc w:val="left"/>
        <w:rPr>
          <w:rFonts w:ascii="宋体" w:eastAsia="仿宋" w:cs="宋体" w:hAnsi="宋体"/>
          <w:b/>
          <w:kern w:val="0"/>
          <w:sz w:val="32"/>
          <w:szCs w:val="32"/>
        </w:rPr>
      </w:pPr>
      <w:r>
        <w:rPr>
          <w:rFonts w:ascii="宋体" w:eastAsia="仿宋" w:cs="宋体" w:hAnsi="宋体" w:hint="eastAsia"/>
          <w:b/>
          <w:kern w:val="0"/>
          <w:sz w:val="32"/>
          <w:szCs w:val="32"/>
        </w:rPr>
        <w:t>附件2：</w:t>
      </w:r>
    </w:p>
    <w:tbl>
      <w:tblPr>
        <w:tblpPr w:leftFromText="180" w:rightFromText="180" w:vertAnchor="text" w:horzAnchor="margin" w:tblpXSpec="center" w:tblpY="901"/>
        <w:tblW w:w="1044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37"/>
        <w:gridCol w:w="675"/>
        <w:gridCol w:w="690"/>
        <w:gridCol w:w="630"/>
        <w:gridCol w:w="1298"/>
        <w:gridCol w:w="607"/>
        <w:gridCol w:w="5251"/>
        <w:gridCol w:w="654"/>
      </w:tblGrid>
      <w:tr>
        <w:trPr>
          <w:trHeight w:val="420"/>
        </w:trPr>
        <w:tc>
          <w:tcPr>
            <w:tcW w:w="10442" w:type="dxa"/>
            <w:gridSpan w:val="8"/>
            <w:tcBorders>
              <w:top w:val="nil"/>
              <w:left w:val="nil"/>
              <w:bottom w:val="single" w:sz="4" w:space="0" w:color="auto"/>
              <w:right w:val="nil"/>
            </w:tcBorders>
            <w:shd w:val="clear" w:color="auto" w:fill="auto"/>
            <w:noWrap/>
            <w:vAlign w:val="center"/>
          </w:tcPr>
          <w:p>
            <w:pPr>
              <w:widowControl/>
              <w:jc w:val="center"/>
              <w:rPr>
                <w:rFonts w:ascii="方正小标宋简体" w:eastAsia="方正小标宋简体" w:cs="宋体" w:hint="eastAsia"/>
                <w:b/>
                <w:kern w:val="0"/>
                <w:sz w:val="32"/>
                <w:szCs w:val="32"/>
              </w:rPr>
            </w:pPr>
            <w:r>
              <w:rPr>
                <w:rFonts w:ascii="方正小标宋简体" w:eastAsia="方正小标宋简体" w:cs="宋体" w:hint="eastAsia"/>
                <w:b/>
                <w:kern w:val="0"/>
                <w:sz w:val="32"/>
                <w:szCs w:val="32"/>
              </w:rPr>
              <w:t>部门整体支出绩效评价指标体系评分表</w:t>
            </w:r>
          </w:p>
        </w:tc>
      </w:tr>
      <w:tr>
        <w:trPr>
          <w:trHeight w:val="539"/>
        </w:trPr>
        <w:tc>
          <w:tcPr>
            <w:tcW w:w="637"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Times New Roman"/>
                <w:b/>
                <w:bCs/>
                <w:kern w:val="0"/>
                <w:sz w:val="20"/>
                <w:szCs w:val="20"/>
              </w:rPr>
            </w:pPr>
            <w:r>
              <w:rPr>
                <w:rFonts w:ascii="宋体" w:eastAsia="仿宋_GB2312" w:cs="Times New Roman" w:hAnsi="宋体" w:hint="eastAsia"/>
                <w:b/>
                <w:bCs/>
                <w:kern w:val="0"/>
                <w:sz w:val="20"/>
                <w:szCs w:val="20"/>
              </w:rPr>
              <w:t>得分</w:t>
            </w:r>
          </w:p>
        </w:tc>
      </w:tr>
      <w:tr>
        <w:trPr>
          <w:trHeight w:val="54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以100%为标准。在职人员控制率≦100%，计4分；每超过一个百分点扣0.5分，扣完为止。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pPr>
              <w:widowControl/>
              <w:jc w:val="center"/>
              <w:rPr>
                <w:rFonts w:ascii="宋体" w:eastAsia="仿宋_GB2312" w:cs="Times New Roman" w:hAnsi="宋体"/>
                <w:b/>
                <w:bCs/>
                <w:kern w:val="0"/>
                <w:sz w:val="20"/>
                <w:szCs w:val="20"/>
              </w:rPr>
            </w:pPr>
            <w:r>
              <w:rPr>
                <w:rFonts w:ascii="宋体" w:eastAsia="仿宋_GB2312" w:cs="Times New Roman" w:hAnsi="宋体"/>
                <w:b/>
                <w:bCs/>
                <w:kern w:val="0"/>
                <w:sz w:val="20"/>
                <w:szCs w:val="20"/>
              </w:rPr>
              <w:t>4</w:t>
            </w:r>
          </w:p>
        </w:tc>
      </w:tr>
      <w:tr>
        <w:trPr>
          <w:trHeight w:val="1111"/>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变动率=（本年三公经费预算数-上年度三公经费预算数）/上年度三公经费预算数*100%；“三公经费”变动率≦0,计4分；“三公经费”＞0，每超过一个百分点扣0.4分，扣完为止。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4</w:t>
            </w:r>
          </w:p>
        </w:tc>
      </w:tr>
      <w:tr>
        <w:trPr>
          <w:trHeight w:val="925"/>
        </w:trPr>
        <w:tc>
          <w:tcPr>
            <w:tcW w:w="637" w:type="dxa"/>
            <w:vMerge w:val="restart"/>
            <w:tcBorders>
              <w:top w:val="nil"/>
              <w:left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7</w:t>
            </w:r>
          </w:p>
        </w:tc>
      </w:tr>
      <w:tr>
        <w:trPr>
          <w:trHeight w:val="92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b/>
                <w:kern w:val="0"/>
                <w:sz w:val="20"/>
                <w:szCs w:val="20"/>
              </w:rPr>
            </w:pPr>
            <w:r>
              <w:rPr>
                <w:rFonts w:ascii="宋体" w:cs="宋体" w:hint="eastAsia"/>
                <w:b/>
                <w:kern w:val="0"/>
                <w:sz w:val="20"/>
                <w:szCs w:val="20"/>
              </w:rPr>
              <w:t>预算控制率（本年追加预算/年初预算数）=0，计7分；0-10%（含），计6分；10-20%（含），计5分；20-30%（含），计3分；大于30%不得分。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5</w:t>
            </w:r>
          </w:p>
        </w:tc>
      </w:tr>
      <w:tr>
        <w:trPr>
          <w:trHeight w:val="92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690" w:type="dxa"/>
            <w:vMerge w:val="restart"/>
            <w:tcBorders>
              <w:top w:val="single" w:sz="4" w:space="0" w:color="auto"/>
              <w:left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公用经费控制率=实际支出公用经费/预算安排公用经费*100%；100%以下（含）计满分，每超出1%扣1分，扣完为止。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6</w:t>
            </w:r>
          </w:p>
        </w:tc>
      </w:tr>
      <w:tr>
        <w:trPr>
          <w:trHeight w:val="1237"/>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noWrap/>
            <w:vAlign w:val="center"/>
          </w:tcPr>
          <w:p/>
        </w:tc>
        <w:tc>
          <w:tcPr>
            <w:tcW w:w="520" w:type="dxa"/>
            <w:vMerge/>
            <w:tcBorders>
              <w:top w:val="single" w:sz="4" w:space="0" w:color="auto"/>
              <w:left w:val="single" w:sz="4" w:space="0" w:color="auto"/>
              <w:bottom w:val="single" w:sz="4" w:space="0" w:color="000000"/>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6</w:t>
            </w:r>
          </w:p>
        </w:tc>
      </w:tr>
      <w:tr>
        <w:trPr>
          <w:trHeight w:val="739"/>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noWrap/>
            <w:vAlign w:val="center"/>
          </w:tcPr>
          <w:p/>
        </w:tc>
        <w:tc>
          <w:tcPr>
            <w:tcW w:w="520" w:type="dxa"/>
            <w:vMerge/>
            <w:tcBorders>
              <w:top w:val="single" w:sz="4" w:space="0" w:color="auto"/>
              <w:left w:val="single" w:sz="4" w:space="0" w:color="auto"/>
              <w:bottom w:val="single" w:sz="4" w:space="0" w:color="000000"/>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政府采购执行率=实际政府采购金额/政府采购预算数*100%；100%计满分，每超过（降低）5%扣2分。扣完为止。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5</w:t>
            </w:r>
          </w:p>
        </w:tc>
      </w:tr>
      <w:tr>
        <w:trPr>
          <w:trHeight w:val="1861"/>
        </w:trPr>
        <w:tc>
          <w:tcPr>
            <w:tcW w:w="816" w:type="dxa"/>
            <w:vMerge/>
            <w:tcBorders>
              <w:top w:val="nil"/>
              <w:left w:val="single" w:sz="4" w:space="0" w:color="auto"/>
              <w:bottom w:val="single" w:sz="4" w:space="0" w:color="auto"/>
              <w:right w:val="single" w:sz="4" w:space="0" w:color="auto"/>
            </w:tcBorders>
            <w:shd w:val="clear" w:color="auto" w:fill="auto"/>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资金使用合规性</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5</w:t>
            </w:r>
          </w:p>
        </w:tc>
      </w:tr>
      <w:tr>
        <w:trPr>
          <w:trHeight w:val="1237"/>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6</w:t>
            </w:r>
          </w:p>
        </w:tc>
      </w:tr>
      <w:tr>
        <w:trPr>
          <w:trHeight w:val="1237"/>
        </w:trPr>
        <w:tc>
          <w:tcPr>
            <w:tcW w:w="637" w:type="dxa"/>
            <w:vMerge/>
            <w:tcBorders>
              <w:top w:val="nil"/>
              <w:left w:val="single" w:sz="4" w:space="0" w:color="auto"/>
              <w:bottom w:val="single" w:sz="4" w:space="0" w:color="auto"/>
              <w:right w:val="single" w:sz="4" w:space="0" w:color="auto"/>
            </w:tcBorders>
            <w:noWrap/>
            <w:vAlign w:val="center"/>
          </w:tcPr>
          <w:p/>
        </w:tc>
        <w:tc>
          <w:tcPr>
            <w:tcW w:w="675" w:type="dxa"/>
            <w:vMerge/>
            <w:tcBorders>
              <w:top w:val="nil"/>
              <w:left w:val="single" w:sz="4" w:space="0" w:color="auto"/>
              <w:bottom w:val="single" w:sz="4" w:space="0" w:color="auto"/>
              <w:right w:val="single" w:sz="4" w:space="0" w:color="auto"/>
            </w:tcBorders>
            <w:noWrap/>
            <w:vAlign w:val="center"/>
          </w:tcPr>
          <w:p/>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8</w:t>
            </w:r>
          </w:p>
        </w:tc>
      </w:tr>
      <w:tr>
        <w:trPr>
          <w:trHeight w:val="1277"/>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绩效目标符合规定格式要求，计2分；内容完整，充分体现“干什么”、“干到什么程度（预期效果）计3分；目标量化、具体，计3分。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8</w:t>
            </w:r>
          </w:p>
        </w:tc>
      </w:tr>
      <w:tr>
        <w:trPr>
          <w:trHeight w:val="1329"/>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覆盖率=项目支出绩效自评金额/全年项目支出金额*100%；100%计满分，每降低1%扣1分，扣完为止。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8</w:t>
            </w:r>
          </w:p>
        </w:tc>
      </w:tr>
      <w:tr>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8</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履职 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3</w:t>
            </w:r>
          </w:p>
        </w:tc>
        <w:tc>
          <w:tcPr>
            <w:tcW w:w="5251" w:type="dxa"/>
            <w:vMerge w:val="restart"/>
            <w:tcBorders>
              <w:top w:val="nil"/>
              <w:left w:val="nil"/>
              <w:bottom w:val="nil"/>
              <w:right w:val="nil"/>
            </w:tcBorders>
            <w:shd w:val="clear" w:color="auto" w:fill="auto"/>
            <w:noWrap/>
            <w:vAlign w:val="center"/>
          </w:tcPr>
          <w:p>
            <w:pPr>
              <w:widowControl/>
              <w:jc w:val="center"/>
              <w:rPr>
                <w:rFonts w:ascii="宋体" w:cs="宋体"/>
                <w:b/>
                <w:color w:val="000000"/>
                <w:kern w:val="0"/>
                <w:sz w:val="20"/>
                <w:szCs w:val="20"/>
              </w:rPr>
            </w:pPr>
            <w:r>
              <w:rPr>
                <w:rFonts w:ascii="宋体" w:cs="宋体" w:hint="eastAsia"/>
                <w:b/>
                <w:color w:val="000000"/>
                <w:kern w:val="0"/>
                <w:sz w:val="20"/>
                <w:szCs w:val="20"/>
              </w:rPr>
              <w:t>对照绩效目标评价社会效益（按优6分、良4分、中2分、差0分进行评分）</w:t>
            </w:r>
          </w:p>
        </w:tc>
        <w:tc>
          <w:tcPr>
            <w:tcW w:w="65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3</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3</w:t>
            </w:r>
          </w:p>
        </w:tc>
        <w:tc>
          <w:tcPr>
            <w:tcW w:w="4530" w:type="dxa"/>
            <w:vMerge/>
            <w:tcBorders>
              <w:top w:val="nil"/>
              <w:left w:val="nil"/>
              <w:bottom w:val="nil"/>
              <w:right w:val="nil"/>
            </w:tcBorders>
            <w:noWrap/>
            <w:vAlign w:val="center"/>
          </w:tcPr>
          <w:p/>
        </w:tc>
        <w:tc>
          <w:tcPr>
            <w:tcW w:w="65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3</w:t>
            </w:r>
          </w:p>
        </w:tc>
      </w:tr>
      <w:tr>
        <w:trPr>
          <w:trHeight w:val="70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根据区委年度考核结果计分，优秀得6分，良好得4分，合格得2分，不合格0分。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6</w:t>
            </w:r>
          </w:p>
        </w:tc>
      </w:tr>
      <w:tr>
        <w:trPr>
          <w:trHeight w:val="76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社会公众</w:t>
            </w:r>
            <w:r>
              <w:rPr>
                <w:rFonts w:ascii="宋体" w:cs="宋体"/>
                <w:b/>
                <w:kern w:val="0"/>
                <w:sz w:val="20"/>
                <w:szCs w:val="20"/>
              </w:rPr>
              <w:t>或</w:t>
            </w:r>
            <w:r>
              <w:rPr>
                <w:rFonts w:ascii="宋体" w:cs="宋体" w:hint="eastAsia"/>
                <w:b/>
                <w:kern w:val="0"/>
                <w:sz w:val="20"/>
                <w:szCs w:val="20"/>
              </w:rPr>
              <w:t>服务对象满意度</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b/>
                <w:kern w:val="0"/>
                <w:sz w:val="20"/>
                <w:szCs w:val="20"/>
              </w:rPr>
            </w:pPr>
            <w:r>
              <w:rPr>
                <w:rFonts w:ascii="宋体" w:cs="宋体" w:hint="eastAsia"/>
                <w:b/>
                <w:kern w:val="0"/>
                <w:sz w:val="20"/>
                <w:szCs w:val="20"/>
              </w:rPr>
              <w:t>90%（含）以上计6分；80%（含）-90%，计5分；70%（含）-80%，计3分；低于70%计2分。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kern w:val="0"/>
                <w:sz w:val="20"/>
                <w:szCs w:val="20"/>
              </w:rPr>
            </w:pPr>
            <w:r>
              <w:rPr>
                <w:rFonts w:ascii="宋体" w:cs="Times New Roman"/>
                <w:b/>
                <w:kern w:val="0"/>
                <w:sz w:val="20"/>
                <w:szCs w:val="20"/>
              </w:rPr>
              <w:t>6</w:t>
            </w:r>
          </w:p>
        </w:tc>
      </w:tr>
      <w:tr>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合  计</w:t>
            </w:r>
          </w:p>
        </w:tc>
        <w:tc>
          <w:tcPr>
            <w:tcW w:w="675"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　</w:t>
            </w:r>
          </w:p>
        </w:tc>
        <w:tc>
          <w:tcPr>
            <w:tcW w:w="63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　</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b/>
                <w:bCs/>
                <w:kern w:val="0"/>
                <w:sz w:val="20"/>
                <w:szCs w:val="20"/>
              </w:rPr>
            </w:pPr>
            <w:r>
              <w:rPr>
                <w:rFonts w:ascii="宋体" w:cs="宋体" w:hint="eastAsia"/>
                <w:b/>
                <w:bCs/>
                <w:kern w:val="0"/>
                <w:sz w:val="20"/>
                <w:szCs w:val="20"/>
              </w:rPr>
              <w:t>　</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Times New Roman"/>
                <w:b/>
                <w:bCs/>
                <w:kern w:val="0"/>
                <w:sz w:val="20"/>
                <w:szCs w:val="20"/>
              </w:rPr>
            </w:pPr>
            <w:r>
              <w:rPr>
                <w:rFonts w:ascii="宋体" w:cs="Times New Roman"/>
                <w:b/>
                <w:bCs/>
                <w:kern w:val="0"/>
                <w:sz w:val="20"/>
                <w:szCs w:val="20"/>
              </w:rPr>
              <w:t>98</w:t>
            </w:r>
          </w:p>
        </w:tc>
      </w:tr>
      <w:tr>
        <w:trPr>
          <w:trHeight w:val="390"/>
        </w:trPr>
        <w:tc>
          <w:tcPr>
            <w:tcW w:w="9788" w:type="dxa"/>
            <w:gridSpan w:val="7"/>
            <w:tcBorders>
              <w:top w:val="nil"/>
              <w:left w:val="nil"/>
              <w:bottom w:val="nil"/>
              <w:right w:val="nil"/>
            </w:tcBorders>
            <w:shd w:val="clear" w:color="auto" w:fill="auto"/>
            <w:noWrap/>
            <w:vAlign w:val="bottom"/>
          </w:tcPr>
          <w:p>
            <w:pPr>
              <w:widowControl/>
              <w:jc w:val="left"/>
              <w:rPr>
                <w:rFonts w:ascii="宋体" w:cs="宋体"/>
                <w:b/>
                <w:bCs/>
                <w:kern w:val="0"/>
                <w:sz w:val="20"/>
                <w:szCs w:val="20"/>
              </w:rPr>
            </w:pPr>
            <w:r>
              <w:rPr>
                <w:rFonts w:ascii="宋体" w:cs="宋体" w:hint="eastAsia"/>
                <w:b/>
                <w:bCs/>
                <w:kern w:val="0"/>
                <w:sz w:val="20"/>
                <w:szCs w:val="20"/>
              </w:rPr>
              <w:t>绩效评价等级：优（100-90）；良（89-80）；中（79-70）；差（70分以下）</w:t>
            </w:r>
          </w:p>
        </w:tc>
        <w:tc>
          <w:tcPr>
            <w:tcW w:w="654" w:type="dxa"/>
            <w:tcBorders>
              <w:top w:val="nil"/>
              <w:left w:val="nil"/>
              <w:bottom w:val="nil"/>
              <w:right w:val="nil"/>
            </w:tcBorders>
            <w:shd w:val="clear" w:color="auto" w:fill="auto"/>
            <w:noWrap/>
            <w:vAlign w:val="center"/>
          </w:tcPr>
          <w:p>
            <w:pPr>
              <w:widowControl/>
              <w:jc w:val="center"/>
              <w:rPr>
                <w:rFonts w:ascii="宋体" w:cs="Times New Roman"/>
                <w:b/>
                <w:bCs/>
                <w:kern w:val="0"/>
                <w:sz w:val="20"/>
                <w:szCs w:val="20"/>
              </w:rPr>
            </w:pPr>
          </w:p>
        </w:tc>
      </w:tr>
    </w:tbl>
    <w:p>
      <w:pPr>
        <w:widowControl/>
        <w:adjustRightInd w:val="0"/>
        <w:snapToGrid w:val="0"/>
        <w:spacing w:line="560" w:lineRule="exact"/>
        <w:jc w:val="left"/>
        <w:rPr>
          <w:rFonts w:ascii="宋体" w:eastAsia="仿宋" w:cs="宋体" w:hAnsi="宋体"/>
          <w:b/>
          <w:kern w:val="0"/>
          <w:sz w:val="32"/>
          <w:szCs w:val="32"/>
        </w:rPr>
      </w:pPr>
    </w:p>
    <w:p>
      <w:pPr>
        <w:keepNext w:val="0"/>
        <w:keepLines w:val="0"/>
        <w:pageBreakBefore w:val="0"/>
        <w:widowControl w:val="0"/>
        <w:kinsoku/>
        <w:wordWrap/>
        <w:overflowPunct/>
        <w:topLinePunct w:val="0"/>
        <w:autoSpaceDE/>
        <w:autoSpaceDN/>
        <w:adjustRightInd/>
        <w:snapToGrid/>
        <w:spacing w:line="592" w:lineRule="exact"/>
        <w:jc w:val="right"/>
        <w:rPr>
          <w:rFonts w:ascii="宋体" w:eastAsia="方正仿宋简体" w:cs="方正仿宋简体" w:hAnsi="宋体" w:hint="eastAsia"/>
          <w:b/>
          <w:bCs/>
          <w:spacing w:val="6"/>
          <w:sz w:val="30"/>
          <w:szCs w:val="30"/>
        </w:rPr>
      </w:pPr>
    </w:p>
    <w:p/>
    <w:sectPr>
      <w:footerReference w:type="default" r:id="rId2"/>
      <w:footerReference w:type="even" r:id="rId3"/>
      <w:pgSz w:w="11906" w:h="16838"/>
      <w:pgMar w:top="1757" w:right="1474" w:bottom="1531" w:left="1587"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仿宋">
    <w:panose1 w:val="02010609060101010101"/>
    <w:charset w:val="86"/>
    <w:family w:val="auto"/>
    <w:pitch w:val="variable"/>
    <w:sig w:usb0="800002BF" w:usb1="38CF7CFA" w:usb2="00000016" w:usb3="00000000" w:csb0="00040001" w:csb1="00000000"/>
  </w:font>
  <w:font w:name="方正小标宋简体">
    <w:panose1 w:val="00000000000000000000"/>
    <w:charset w:val="00"/>
    <w:family w:val="auto"/>
    <w:pitch w:val="variable"/>
    <w:sig w:usb0="00000000" w:usb1="00000000" w:usb2="00000000" w:usb3="00000000" w:csb0="00000000" w:csb1="00000000"/>
  </w:font>
  <w:font w:name="仿宋_GB2312">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简体">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33"/>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33"/>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42"/>
      </w:rPr>
      <w:fldChar w:fldCharType="begin"/>
    </w:r>
    <w:r>
      <w:rPr>
        <w:rStyle w:val="42"/>
      </w:rPr>
      <w:instrText>Page</w:instrText>
    </w:r>
    <w:r>
      <w:rPr>
        <w:rStyle w:val="42"/>
      </w:rPr>
      <w:fldChar w:fldCharType="separate"/>
    </w:r>
    <w:r>
      <w:rPr>
        <w:rStyle w:val="42"/>
      </w:rPr>
      <w:t>1</w:t>
    </w:r>
    <w:r>
      <w:rPr>
        <w:rStyle w:val="42"/>
      </w:rPr>
      <w:fldChar w:fldCharType="end"/>
    </w:r>
  </w:p>
  <w:p>
    <w:pPr>
      <w:pStyle w:val="33"/>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33">
    <w:name w:val="footer"/>
    <w:basedOn w:val="0"/>
    <w:next w:val="15"/>
    <w:pPr>
      <w:widowControl w:val="0"/>
      <w:tabs>
        <w:tab w:val="center" w:pos="4153"/>
        <w:tab w:val="right" w:pos="8306"/>
      </w:tabs>
      <w:snapToGrid w:val="0"/>
      <w:jc w:val="left"/>
    </w:pPr>
    <w:rPr>
      <w:rFonts w:ascii="Calibri" w:eastAsia="宋体" w:cs="Arial" w:hAnsi="Calibri"/>
      <w:kern w:val="2"/>
      <w:sz w:val="18"/>
      <w:szCs w:val="18"/>
      <w:lang w:val="en-US" w:eastAsia="zh-CN" w:bidi="ar-SA"/>
    </w:rPr>
  </w:style>
  <w:style w:type="character" w:styleId="42">
    <w:name w:val="page number"/>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184CC73-DE56-4DEA-9D43-B7A2B25C083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Pages>
  <Words>0</Words>
  <Characters>1184</Characters>
  <Lines>0</Lines>
  <Paragraphs>5</Paragraphs>
  <CharactersWithSpaces>1579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2023-05-16T08:04:26Z</dcterms:created>
  <dcterms:modified xsi:type="dcterms:W3CDTF">2023-05-16T08:05:16Z</dcterms:modified>
</cp:coreProperties>
</file>