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一、唐山市丰南区应急管理局本级收支预算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一、唐山市丰南区应急管理局本级收支预算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2054.55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185.81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87.12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81.91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1777.87</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2054.55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2132.71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78.16</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2132.71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2132.71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2132.71</w:t>
            </w:r>
          </w:p>
        </w:tc>
        <w:tc>
          <w:tcPr>
            <w:tcW w:w="1134" w:type="dxa"/>
            <w:vAlign w:val="center"/>
          </w:tcPr>
          <w:p>
            <w:pPr>
              <w:pStyle w:val="单元格样式7"/>
            </w:pPr>
            <w:r>
              <w:t xml:space="preserve">2054.55</w:t>
            </w:r>
          </w:p>
        </w:tc>
        <w:tc>
          <w:tcPr>
            <w:tcW w:w="1134" w:type="dxa"/>
            <w:vAlign w:val="center"/>
          </w:tcPr>
          <w:p>
            <w:pPr>
              <w:pStyle w:val="单元格样式7"/>
            </w:pPr>
            <w:r>
              <w:t xml:space="preserve">2054.55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78.16</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185.81</w:t>
            </w:r>
          </w:p>
        </w:tc>
        <w:tc>
          <w:tcPr>
            <w:tcW w:w="1134" w:type="dxa"/>
            <w:vAlign w:val="center"/>
          </w:tcPr>
          <w:p>
            <w:pPr>
              <w:pStyle w:val="单元格样式4"/>
            </w:pPr>
            <w:r>
              <w:t xml:space="preserve">185.81</w:t>
            </w:r>
          </w:p>
        </w:tc>
        <w:tc>
          <w:tcPr>
            <w:tcW w:w="1134" w:type="dxa"/>
            <w:vAlign w:val="center"/>
          </w:tcPr>
          <w:p>
            <w:pPr>
              <w:pStyle w:val="单元格样式4"/>
            </w:pPr>
            <w:r>
              <w:t xml:space="preserve">185.81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130.81</w:t>
            </w:r>
          </w:p>
        </w:tc>
        <w:tc>
          <w:tcPr>
            <w:tcW w:w="1134" w:type="dxa"/>
            <w:vAlign w:val="center"/>
          </w:tcPr>
          <w:p>
            <w:pPr>
              <w:pStyle w:val="单元格样式4"/>
            </w:pPr>
            <w:r>
              <w:t xml:space="preserve">130.81</w:t>
            </w:r>
          </w:p>
        </w:tc>
        <w:tc>
          <w:tcPr>
            <w:tcW w:w="1134" w:type="dxa"/>
            <w:vAlign w:val="center"/>
          </w:tcPr>
          <w:p>
            <w:pPr>
              <w:pStyle w:val="单元格样式4"/>
            </w:pPr>
            <w:r>
              <w:t xml:space="preserve">130.81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29.23</w:t>
            </w:r>
          </w:p>
        </w:tc>
        <w:tc>
          <w:tcPr>
            <w:tcW w:w="1134" w:type="dxa"/>
            <w:vAlign w:val="center"/>
          </w:tcPr>
          <w:p>
            <w:pPr>
              <w:pStyle w:val="单元格样式4"/>
            </w:pPr>
            <w:r>
              <w:t xml:space="preserve">29.23</w:t>
            </w:r>
          </w:p>
        </w:tc>
        <w:tc>
          <w:tcPr>
            <w:tcW w:w="1134" w:type="dxa"/>
            <w:vAlign w:val="center"/>
          </w:tcPr>
          <w:p>
            <w:pPr>
              <w:pStyle w:val="单元格样式4"/>
            </w:pPr>
            <w:r>
              <w:t xml:space="preserve">29.23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r>
              <w:t xml:space="preserve">101.58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r>
              <w:t xml:space="preserve">55.00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87.12</w:t>
            </w:r>
          </w:p>
        </w:tc>
        <w:tc>
          <w:tcPr>
            <w:tcW w:w="1134" w:type="dxa"/>
            <w:vAlign w:val="center"/>
          </w:tcPr>
          <w:p>
            <w:pPr>
              <w:pStyle w:val="单元格样式4"/>
            </w:pPr>
            <w:r>
              <w:t xml:space="preserve">87.12</w:t>
            </w:r>
          </w:p>
        </w:tc>
        <w:tc>
          <w:tcPr>
            <w:tcW w:w="1134" w:type="dxa"/>
            <w:vAlign w:val="center"/>
          </w:tcPr>
          <w:p>
            <w:pPr>
              <w:pStyle w:val="单元格样式4"/>
            </w:pPr>
            <w:r>
              <w:t xml:space="preserve">87.12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87.12</w:t>
            </w:r>
          </w:p>
        </w:tc>
        <w:tc>
          <w:tcPr>
            <w:tcW w:w="1134" w:type="dxa"/>
            <w:vAlign w:val="center"/>
          </w:tcPr>
          <w:p>
            <w:pPr>
              <w:pStyle w:val="单元格样式4"/>
            </w:pPr>
            <w:r>
              <w:t xml:space="preserve">87.12</w:t>
            </w:r>
          </w:p>
        </w:tc>
        <w:tc>
          <w:tcPr>
            <w:tcW w:w="1134" w:type="dxa"/>
            <w:vAlign w:val="center"/>
          </w:tcPr>
          <w:p>
            <w:pPr>
              <w:pStyle w:val="单元格样式4"/>
            </w:pPr>
            <w:r>
              <w:t xml:space="preserve">87.12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41.42</w:t>
            </w:r>
          </w:p>
        </w:tc>
        <w:tc>
          <w:tcPr>
            <w:tcW w:w="1134" w:type="dxa"/>
            <w:vAlign w:val="center"/>
          </w:tcPr>
          <w:p>
            <w:pPr>
              <w:pStyle w:val="单元格样式4"/>
            </w:pPr>
            <w:r>
              <w:t xml:space="preserve">41.42</w:t>
            </w:r>
          </w:p>
        </w:tc>
        <w:tc>
          <w:tcPr>
            <w:tcW w:w="1134" w:type="dxa"/>
            <w:vAlign w:val="center"/>
          </w:tcPr>
          <w:p>
            <w:pPr>
              <w:pStyle w:val="单元格样式4"/>
            </w:pPr>
            <w:r>
              <w:t xml:space="preserve">41.42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45.70</w:t>
            </w:r>
          </w:p>
        </w:tc>
        <w:tc>
          <w:tcPr>
            <w:tcW w:w="1134" w:type="dxa"/>
            <w:vAlign w:val="center"/>
          </w:tcPr>
          <w:p>
            <w:pPr>
              <w:pStyle w:val="单元格样式4"/>
            </w:pPr>
            <w:r>
              <w:t xml:space="preserve">45.70</w:t>
            </w:r>
          </w:p>
        </w:tc>
        <w:tc>
          <w:tcPr>
            <w:tcW w:w="1134" w:type="dxa"/>
            <w:vAlign w:val="center"/>
          </w:tcPr>
          <w:p>
            <w:pPr>
              <w:pStyle w:val="单元格样式4"/>
            </w:pPr>
            <w:r>
              <w:t xml:space="preserve">45.70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r>
              <w:t xml:space="preserve">81.91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1777.87</w:t>
            </w:r>
          </w:p>
        </w:tc>
        <w:tc>
          <w:tcPr>
            <w:tcW w:w="1134" w:type="dxa"/>
            <w:vAlign w:val="center"/>
          </w:tcPr>
          <w:p>
            <w:pPr>
              <w:pStyle w:val="单元格样式4"/>
            </w:pPr>
            <w:r>
              <w:t xml:space="preserve">1699.71</w:t>
            </w:r>
          </w:p>
        </w:tc>
        <w:tc>
          <w:tcPr>
            <w:tcW w:w="1134" w:type="dxa"/>
            <w:vAlign w:val="center"/>
          </w:tcPr>
          <w:p>
            <w:pPr>
              <w:pStyle w:val="单元格样式4"/>
            </w:pPr>
            <w:r>
              <w:t xml:space="preserve">1699.71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78.16</w:t>
            </w: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1674.92</w:t>
            </w:r>
          </w:p>
        </w:tc>
        <w:tc>
          <w:tcPr>
            <w:tcW w:w="1134" w:type="dxa"/>
            <w:vAlign w:val="center"/>
          </w:tcPr>
          <w:p>
            <w:pPr>
              <w:pStyle w:val="单元格样式4"/>
            </w:pPr>
            <w:r>
              <w:t xml:space="preserve">1596.76</w:t>
            </w:r>
          </w:p>
        </w:tc>
        <w:tc>
          <w:tcPr>
            <w:tcW w:w="1134" w:type="dxa"/>
            <w:vAlign w:val="center"/>
          </w:tcPr>
          <w:p>
            <w:pPr>
              <w:pStyle w:val="单元格样式4"/>
            </w:pPr>
            <w:r>
              <w:t xml:space="preserve">1596.76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78.16</w:t>
            </w: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807.13</w:t>
            </w:r>
          </w:p>
        </w:tc>
        <w:tc>
          <w:tcPr>
            <w:tcW w:w="1134" w:type="dxa"/>
            <w:vAlign w:val="center"/>
          </w:tcPr>
          <w:p>
            <w:pPr>
              <w:pStyle w:val="单元格样式4"/>
            </w:pPr>
            <w:r>
              <w:t xml:space="preserve">807.13</w:t>
            </w:r>
          </w:p>
        </w:tc>
        <w:tc>
          <w:tcPr>
            <w:tcW w:w="1134" w:type="dxa"/>
            <w:vAlign w:val="center"/>
          </w:tcPr>
          <w:p>
            <w:pPr>
              <w:pStyle w:val="单元格样式4"/>
            </w:pPr>
            <w:r>
              <w:t xml:space="preserve">807.13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2240102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195.42</w:t>
            </w:r>
          </w:p>
        </w:tc>
        <w:tc>
          <w:tcPr>
            <w:tcW w:w="1134" w:type="dxa"/>
            <w:vAlign w:val="center"/>
          </w:tcPr>
          <w:p>
            <w:pPr>
              <w:pStyle w:val="单元格样式4"/>
            </w:pPr>
            <w:r>
              <w:t xml:space="preserve">195.42</w:t>
            </w:r>
          </w:p>
        </w:tc>
        <w:tc>
          <w:tcPr>
            <w:tcW w:w="1134" w:type="dxa"/>
            <w:vAlign w:val="center"/>
          </w:tcPr>
          <w:p>
            <w:pPr>
              <w:pStyle w:val="单元格样式4"/>
            </w:pPr>
            <w:r>
              <w:t xml:space="preserve">195.42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503.00</w:t>
            </w:r>
          </w:p>
        </w:tc>
        <w:tc>
          <w:tcPr>
            <w:tcW w:w="1134" w:type="dxa"/>
            <w:vAlign w:val="center"/>
          </w:tcPr>
          <w:p>
            <w:pPr>
              <w:pStyle w:val="单元格样式4"/>
            </w:pPr>
            <w:r>
              <w:t xml:space="preserve">503.00</w:t>
            </w:r>
          </w:p>
        </w:tc>
        <w:tc>
          <w:tcPr>
            <w:tcW w:w="1134" w:type="dxa"/>
            <w:vAlign w:val="center"/>
          </w:tcPr>
          <w:p>
            <w:pPr>
              <w:pStyle w:val="单元格样式4"/>
            </w:pPr>
            <w:r>
              <w:t xml:space="preserve">503.00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2240108</w:t>
            </w:r>
          </w:p>
        </w:tc>
        <w:tc>
          <w:tcPr>
            <w:tcW w:w="1559" w:type="dxa"/>
            <w:vAlign w:val="center"/>
          </w:tcPr>
          <w:p>
            <w:pPr>
              <w:pStyle w:val="单元格样式2"/>
            </w:pPr>
            <w:r>
              <w:t xml:space="preserve">应急救援</w:t>
            </w:r>
          </w:p>
        </w:tc>
        <w:tc>
          <w:tcPr>
            <w:tcW w:w="1134" w:type="dxa"/>
            <w:vAlign w:val="center"/>
          </w:tcPr>
          <w:p>
            <w:pPr>
              <w:pStyle w:val="单元格样式4"/>
            </w:pPr>
            <w:r>
              <w:t xml:space="preserve">113.63</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63.63</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55.74</w:t>
            </w:r>
          </w:p>
        </w:tc>
        <w:tc>
          <w:tcPr>
            <w:tcW w:w="1134" w:type="dxa"/>
            <w:vAlign w:val="center"/>
          </w:tcPr>
          <w:p>
            <w:pPr>
              <w:pStyle w:val="单元格样式4"/>
            </w:pPr>
            <w:r>
              <w:t xml:space="preserve">41.21</w:t>
            </w:r>
          </w:p>
        </w:tc>
        <w:tc>
          <w:tcPr>
            <w:tcW w:w="1134" w:type="dxa"/>
            <w:vAlign w:val="center"/>
          </w:tcPr>
          <w:p>
            <w:pPr>
              <w:pStyle w:val="单元格样式4"/>
            </w:pPr>
            <w:r>
              <w:t xml:space="preserve">41.21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14.53</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22405</w:t>
            </w:r>
          </w:p>
        </w:tc>
        <w:tc>
          <w:tcPr>
            <w:tcW w:w="1559" w:type="dxa"/>
            <w:vAlign w:val="center"/>
          </w:tcPr>
          <w:p>
            <w:pPr>
              <w:pStyle w:val="单元格样式2"/>
            </w:pPr>
            <w:r>
              <w:t xml:space="preserve">地震事务</w:t>
            </w:r>
          </w:p>
        </w:tc>
        <w:tc>
          <w:tcPr>
            <w:tcW w:w="1134" w:type="dxa"/>
            <w:vAlign w:val="center"/>
          </w:tcPr>
          <w:p>
            <w:pPr>
              <w:pStyle w:val="单元格样式4"/>
            </w:pPr>
            <w:r>
              <w:t xml:space="preserve">6.19</w:t>
            </w:r>
          </w:p>
        </w:tc>
        <w:tc>
          <w:tcPr>
            <w:tcW w:w="1134" w:type="dxa"/>
            <w:vAlign w:val="center"/>
          </w:tcPr>
          <w:p>
            <w:pPr>
              <w:pStyle w:val="单元格样式4"/>
            </w:pPr>
            <w:r>
              <w:t xml:space="preserve">6.19</w:t>
            </w:r>
          </w:p>
        </w:tc>
        <w:tc>
          <w:tcPr>
            <w:tcW w:w="1134" w:type="dxa"/>
            <w:vAlign w:val="center"/>
          </w:tcPr>
          <w:p>
            <w:pPr>
              <w:pStyle w:val="单元格样式4"/>
            </w:pPr>
            <w:r>
              <w:t xml:space="preserve">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2240504</w:t>
            </w:r>
          </w:p>
        </w:tc>
        <w:tc>
          <w:tcPr>
            <w:tcW w:w="1559" w:type="dxa"/>
            <w:vAlign w:val="center"/>
          </w:tcPr>
          <w:p>
            <w:pPr>
              <w:pStyle w:val="单元格样式2"/>
            </w:pPr>
            <w:r>
              <w:t xml:space="preserve">地震监测</w:t>
            </w:r>
          </w:p>
        </w:tc>
        <w:tc>
          <w:tcPr>
            <w:tcW w:w="1134" w:type="dxa"/>
            <w:vAlign w:val="center"/>
          </w:tcPr>
          <w:p>
            <w:pPr>
              <w:pStyle w:val="单元格样式4"/>
            </w:pPr>
            <w:r>
              <w:t xml:space="preserve">6.19</w:t>
            </w:r>
          </w:p>
        </w:tc>
        <w:tc>
          <w:tcPr>
            <w:tcW w:w="1134" w:type="dxa"/>
            <w:vAlign w:val="center"/>
          </w:tcPr>
          <w:p>
            <w:pPr>
              <w:pStyle w:val="单元格样式4"/>
            </w:pPr>
            <w:r>
              <w:t xml:space="preserve">6.19</w:t>
            </w:r>
          </w:p>
        </w:tc>
        <w:tc>
          <w:tcPr>
            <w:tcW w:w="1134" w:type="dxa"/>
            <w:vAlign w:val="center"/>
          </w:tcPr>
          <w:p>
            <w:pPr>
              <w:pStyle w:val="单元格样式4"/>
            </w:pPr>
            <w:r>
              <w:t xml:space="preserve">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96.76</w:t>
            </w:r>
          </w:p>
        </w:tc>
        <w:tc>
          <w:tcPr>
            <w:tcW w:w="1134" w:type="dxa"/>
            <w:vAlign w:val="center"/>
          </w:tcPr>
          <w:p>
            <w:pPr>
              <w:pStyle w:val="单元格样式4"/>
            </w:pPr>
            <w:r>
              <w:t xml:space="preserve">96.76</w:t>
            </w:r>
          </w:p>
        </w:tc>
        <w:tc>
          <w:tcPr>
            <w:tcW w:w="1134" w:type="dxa"/>
            <w:vAlign w:val="center"/>
          </w:tcPr>
          <w:p>
            <w:pPr>
              <w:pStyle w:val="单元格样式4"/>
            </w:pPr>
            <w:r>
              <w:t xml:space="preserve">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96.76</w:t>
            </w:r>
          </w:p>
        </w:tc>
        <w:tc>
          <w:tcPr>
            <w:tcW w:w="1134" w:type="dxa"/>
            <w:vAlign w:val="center"/>
          </w:tcPr>
          <w:p>
            <w:pPr>
              <w:pStyle w:val="单元格样式4"/>
            </w:pPr>
            <w:r>
              <w:t xml:space="preserve">96.76</w:t>
            </w:r>
          </w:p>
        </w:tc>
        <w:tc>
          <w:tcPr>
            <w:tcW w:w="1134" w:type="dxa"/>
            <w:vAlign w:val="center"/>
          </w:tcPr>
          <w:p>
            <w:pPr>
              <w:pStyle w:val="单元格样式4"/>
            </w:pPr>
            <w:r>
              <w:t xml:space="preserve">96.76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2132.71</w:t>
            </w:r>
          </w:p>
        </w:tc>
        <w:tc>
          <w:tcPr>
            <w:tcW w:w="1361" w:type="dxa"/>
            <w:vAlign w:val="center"/>
          </w:tcPr>
          <w:p>
            <w:pPr>
              <w:pStyle w:val="单元格样式7"/>
            </w:pPr>
            <w:r>
              <w:t xml:space="preserve">1106.97</w:t>
            </w:r>
          </w:p>
        </w:tc>
        <w:tc>
          <w:tcPr>
            <w:tcW w:w="1361" w:type="dxa"/>
            <w:vAlign w:val="center"/>
          </w:tcPr>
          <w:p>
            <w:pPr>
              <w:pStyle w:val="单元格样式7"/>
            </w:pPr>
            <w:r>
              <w:t xml:space="preserve">1025.74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185.81</w:t>
            </w:r>
          </w:p>
        </w:tc>
        <w:tc>
          <w:tcPr>
            <w:tcW w:w="1361" w:type="dxa"/>
            <w:vAlign w:val="center"/>
          </w:tcPr>
          <w:p>
            <w:pPr>
              <w:pStyle w:val="单元格样式4"/>
            </w:pPr>
            <w:r>
              <w:t xml:space="preserve">130.81</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130.81</w:t>
            </w:r>
          </w:p>
        </w:tc>
        <w:tc>
          <w:tcPr>
            <w:tcW w:w="1361" w:type="dxa"/>
            <w:vAlign w:val="center"/>
          </w:tcPr>
          <w:p>
            <w:pPr>
              <w:pStyle w:val="单元格样式4"/>
            </w:pPr>
            <w:r>
              <w:t xml:space="preserve">130.81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29.23</w:t>
            </w:r>
          </w:p>
        </w:tc>
        <w:tc>
          <w:tcPr>
            <w:tcW w:w="1361" w:type="dxa"/>
            <w:vAlign w:val="center"/>
          </w:tcPr>
          <w:p>
            <w:pPr>
              <w:pStyle w:val="单元格样式4"/>
            </w:pPr>
            <w:r>
              <w:t xml:space="preserve">29.23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101.58</w:t>
            </w:r>
          </w:p>
        </w:tc>
        <w:tc>
          <w:tcPr>
            <w:tcW w:w="1361" w:type="dxa"/>
            <w:vAlign w:val="center"/>
          </w:tcPr>
          <w:p>
            <w:pPr>
              <w:pStyle w:val="单元格样式4"/>
            </w:pPr>
            <w:r>
              <w:t xml:space="preserve">101.58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r>
              <w:t xml:space="preserve">55.00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87.12</w:t>
            </w:r>
          </w:p>
        </w:tc>
        <w:tc>
          <w:tcPr>
            <w:tcW w:w="1361" w:type="dxa"/>
            <w:vAlign w:val="center"/>
          </w:tcPr>
          <w:p>
            <w:pPr>
              <w:pStyle w:val="单元格样式4"/>
            </w:pPr>
            <w:r>
              <w:t xml:space="preserve">87.12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87.12</w:t>
            </w:r>
          </w:p>
        </w:tc>
        <w:tc>
          <w:tcPr>
            <w:tcW w:w="1361" w:type="dxa"/>
            <w:vAlign w:val="center"/>
          </w:tcPr>
          <w:p>
            <w:pPr>
              <w:pStyle w:val="单元格样式4"/>
            </w:pPr>
            <w:r>
              <w:t xml:space="preserve">87.12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41.42</w:t>
            </w:r>
          </w:p>
        </w:tc>
        <w:tc>
          <w:tcPr>
            <w:tcW w:w="1361" w:type="dxa"/>
            <w:vAlign w:val="center"/>
          </w:tcPr>
          <w:p>
            <w:pPr>
              <w:pStyle w:val="单元格样式4"/>
            </w:pPr>
            <w:r>
              <w:t xml:space="preserve">41.42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45.70</w:t>
            </w:r>
          </w:p>
        </w:tc>
        <w:tc>
          <w:tcPr>
            <w:tcW w:w="1361" w:type="dxa"/>
            <w:vAlign w:val="center"/>
          </w:tcPr>
          <w:p>
            <w:pPr>
              <w:pStyle w:val="单元格样式4"/>
            </w:pPr>
            <w:r>
              <w:t xml:space="preserve">45.70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81.91</w:t>
            </w:r>
          </w:p>
        </w:tc>
        <w:tc>
          <w:tcPr>
            <w:tcW w:w="1361" w:type="dxa"/>
            <w:vAlign w:val="center"/>
          </w:tcPr>
          <w:p>
            <w:pPr>
              <w:pStyle w:val="单元格样式4"/>
            </w:pPr>
            <w:r>
              <w:t xml:space="preserve">81.91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81.91</w:t>
            </w:r>
          </w:p>
        </w:tc>
        <w:tc>
          <w:tcPr>
            <w:tcW w:w="1361" w:type="dxa"/>
            <w:vAlign w:val="center"/>
          </w:tcPr>
          <w:p>
            <w:pPr>
              <w:pStyle w:val="单元格样式4"/>
            </w:pPr>
            <w:r>
              <w:t xml:space="preserve">81.91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81.91</w:t>
            </w:r>
          </w:p>
        </w:tc>
        <w:tc>
          <w:tcPr>
            <w:tcW w:w="1361" w:type="dxa"/>
            <w:vAlign w:val="center"/>
          </w:tcPr>
          <w:p>
            <w:pPr>
              <w:pStyle w:val="单元格样式4"/>
            </w:pPr>
            <w:r>
              <w:t xml:space="preserve">81.91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1777.87</w:t>
            </w:r>
          </w:p>
        </w:tc>
        <w:tc>
          <w:tcPr>
            <w:tcW w:w="1361" w:type="dxa"/>
            <w:vAlign w:val="center"/>
          </w:tcPr>
          <w:p>
            <w:pPr>
              <w:pStyle w:val="单元格样式4"/>
            </w:pPr>
            <w:r>
              <w:t xml:space="preserve">807.13</w:t>
            </w:r>
          </w:p>
        </w:tc>
        <w:tc>
          <w:tcPr>
            <w:tcW w:w="1361" w:type="dxa"/>
            <w:vAlign w:val="center"/>
          </w:tcPr>
          <w:p>
            <w:pPr>
              <w:pStyle w:val="单元格样式4"/>
            </w:pPr>
            <w:r>
              <w:t xml:space="preserve">970.74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1674.92</w:t>
            </w:r>
          </w:p>
        </w:tc>
        <w:tc>
          <w:tcPr>
            <w:tcW w:w="1361" w:type="dxa"/>
            <w:vAlign w:val="center"/>
          </w:tcPr>
          <w:p>
            <w:pPr>
              <w:pStyle w:val="单元格样式4"/>
            </w:pPr>
            <w:r>
              <w:t xml:space="preserve">807.13</w:t>
            </w:r>
          </w:p>
        </w:tc>
        <w:tc>
          <w:tcPr>
            <w:tcW w:w="1361" w:type="dxa"/>
            <w:vAlign w:val="center"/>
          </w:tcPr>
          <w:p>
            <w:pPr>
              <w:pStyle w:val="单元格样式4"/>
            </w:pPr>
            <w:r>
              <w:t xml:space="preserve">867.79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807.13</w:t>
            </w:r>
          </w:p>
        </w:tc>
        <w:tc>
          <w:tcPr>
            <w:tcW w:w="1361" w:type="dxa"/>
            <w:vAlign w:val="center"/>
          </w:tcPr>
          <w:p>
            <w:pPr>
              <w:pStyle w:val="单元格样式4"/>
            </w:pPr>
            <w:r>
              <w:t xml:space="preserve">807.13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195.42</w:t>
            </w:r>
          </w:p>
        </w:tc>
        <w:tc>
          <w:tcPr>
            <w:tcW w:w="1361" w:type="dxa"/>
            <w:vAlign w:val="center"/>
          </w:tcPr>
          <w:p>
            <w:pPr>
              <w:pStyle w:val="单元格样式4"/>
            </w:pPr>
          </w:p>
        </w:tc>
        <w:tc>
          <w:tcPr>
            <w:tcW w:w="1361" w:type="dxa"/>
            <w:vAlign w:val="center"/>
          </w:tcPr>
          <w:p>
            <w:pPr>
              <w:pStyle w:val="单元格样式4"/>
            </w:pPr>
            <w:r>
              <w:t xml:space="preserve">195.42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503.00</w:t>
            </w:r>
          </w:p>
        </w:tc>
        <w:tc>
          <w:tcPr>
            <w:tcW w:w="1361" w:type="dxa"/>
            <w:vAlign w:val="center"/>
          </w:tcPr>
          <w:p>
            <w:pPr>
              <w:pStyle w:val="单元格样式4"/>
            </w:pPr>
          </w:p>
        </w:tc>
        <w:tc>
          <w:tcPr>
            <w:tcW w:w="1361" w:type="dxa"/>
            <w:vAlign w:val="center"/>
          </w:tcPr>
          <w:p>
            <w:pPr>
              <w:pStyle w:val="单元格样式4"/>
            </w:pPr>
            <w:r>
              <w:t xml:space="preserve">503.00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1361" w:type="dxa"/>
            <w:vAlign w:val="center"/>
          </w:tcPr>
          <w:p>
            <w:pPr>
              <w:pStyle w:val="单元格样式4"/>
            </w:pPr>
            <w:r>
              <w:t xml:space="preserve">113.63</w:t>
            </w:r>
          </w:p>
        </w:tc>
        <w:tc>
          <w:tcPr>
            <w:tcW w:w="1361" w:type="dxa"/>
            <w:vAlign w:val="center"/>
          </w:tcPr>
          <w:p>
            <w:pPr>
              <w:pStyle w:val="单元格样式4"/>
            </w:pPr>
          </w:p>
        </w:tc>
        <w:tc>
          <w:tcPr>
            <w:tcW w:w="1361" w:type="dxa"/>
            <w:vAlign w:val="center"/>
          </w:tcPr>
          <w:p>
            <w:pPr>
              <w:pStyle w:val="单元格样式4"/>
            </w:pPr>
            <w:r>
              <w:t xml:space="preserve">113.63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55.74</w:t>
            </w:r>
          </w:p>
        </w:tc>
        <w:tc>
          <w:tcPr>
            <w:tcW w:w="1361" w:type="dxa"/>
            <w:vAlign w:val="center"/>
          </w:tcPr>
          <w:p>
            <w:pPr>
              <w:pStyle w:val="单元格样式4"/>
            </w:pPr>
          </w:p>
        </w:tc>
        <w:tc>
          <w:tcPr>
            <w:tcW w:w="1361" w:type="dxa"/>
            <w:vAlign w:val="center"/>
          </w:tcPr>
          <w:p>
            <w:pPr>
              <w:pStyle w:val="单元格样式4"/>
            </w:pPr>
            <w:r>
              <w:t xml:space="preserve">55.74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22405</w:t>
            </w:r>
          </w:p>
        </w:tc>
        <w:tc>
          <w:tcPr>
            <w:tcW w:w="4535" w:type="dxa"/>
            <w:vAlign w:val="center"/>
          </w:tcPr>
          <w:p>
            <w:pPr>
              <w:pStyle w:val="单元格样式2"/>
            </w:pPr>
            <w:r>
              <w:t xml:space="preserve">地震事务</w:t>
            </w:r>
          </w:p>
        </w:tc>
        <w:tc>
          <w:tcPr>
            <w:tcW w:w="1361" w:type="dxa"/>
            <w:vAlign w:val="center"/>
          </w:tcPr>
          <w:p>
            <w:pPr>
              <w:pStyle w:val="单元格样式4"/>
            </w:pPr>
            <w:r>
              <w:t xml:space="preserve">6.19</w:t>
            </w:r>
          </w:p>
        </w:tc>
        <w:tc>
          <w:tcPr>
            <w:tcW w:w="1361" w:type="dxa"/>
            <w:vAlign w:val="center"/>
          </w:tcPr>
          <w:p>
            <w:pPr>
              <w:pStyle w:val="单元格样式4"/>
            </w:pPr>
          </w:p>
        </w:tc>
        <w:tc>
          <w:tcPr>
            <w:tcW w:w="1361" w:type="dxa"/>
            <w:vAlign w:val="center"/>
          </w:tcPr>
          <w:p>
            <w:pPr>
              <w:pStyle w:val="单元格样式4"/>
            </w:pPr>
            <w:r>
              <w:t xml:space="preserve">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2240504</w:t>
            </w:r>
          </w:p>
        </w:tc>
        <w:tc>
          <w:tcPr>
            <w:tcW w:w="4535" w:type="dxa"/>
            <w:vAlign w:val="center"/>
          </w:tcPr>
          <w:p>
            <w:pPr>
              <w:pStyle w:val="单元格样式2"/>
            </w:pPr>
            <w:r>
              <w:t xml:space="preserve">地震监测</w:t>
            </w:r>
          </w:p>
        </w:tc>
        <w:tc>
          <w:tcPr>
            <w:tcW w:w="1361" w:type="dxa"/>
            <w:vAlign w:val="center"/>
          </w:tcPr>
          <w:p>
            <w:pPr>
              <w:pStyle w:val="单元格样式4"/>
            </w:pPr>
            <w:r>
              <w:t xml:space="preserve">6.19</w:t>
            </w:r>
          </w:p>
        </w:tc>
        <w:tc>
          <w:tcPr>
            <w:tcW w:w="1361" w:type="dxa"/>
            <w:vAlign w:val="center"/>
          </w:tcPr>
          <w:p>
            <w:pPr>
              <w:pStyle w:val="单元格样式4"/>
            </w:pPr>
          </w:p>
        </w:tc>
        <w:tc>
          <w:tcPr>
            <w:tcW w:w="1361" w:type="dxa"/>
            <w:vAlign w:val="center"/>
          </w:tcPr>
          <w:p>
            <w:pPr>
              <w:pStyle w:val="单元格样式4"/>
            </w:pPr>
            <w:r>
              <w:t xml:space="preserve">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96.76</w:t>
            </w:r>
          </w:p>
        </w:tc>
        <w:tc>
          <w:tcPr>
            <w:tcW w:w="1361" w:type="dxa"/>
            <w:vAlign w:val="center"/>
          </w:tcPr>
          <w:p>
            <w:pPr>
              <w:pStyle w:val="单元格样式4"/>
            </w:pPr>
          </w:p>
        </w:tc>
        <w:tc>
          <w:tcPr>
            <w:tcW w:w="1361" w:type="dxa"/>
            <w:vAlign w:val="center"/>
          </w:tcPr>
          <w:p>
            <w:pPr>
              <w:pStyle w:val="单元格样式4"/>
            </w:pPr>
            <w:r>
              <w:t xml:space="preserve">96.76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96.76</w:t>
            </w:r>
          </w:p>
        </w:tc>
        <w:tc>
          <w:tcPr>
            <w:tcW w:w="1361" w:type="dxa"/>
            <w:vAlign w:val="center"/>
          </w:tcPr>
          <w:p>
            <w:pPr>
              <w:pStyle w:val="单元格样式4"/>
            </w:pPr>
          </w:p>
        </w:tc>
        <w:tc>
          <w:tcPr>
            <w:tcW w:w="1361" w:type="dxa"/>
            <w:vAlign w:val="center"/>
          </w:tcPr>
          <w:p>
            <w:pPr>
              <w:pStyle w:val="单元格样式4"/>
            </w:pPr>
            <w:r>
              <w:t xml:space="preserve">96.76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2054.55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185.81</w:t>
            </w:r>
          </w:p>
        </w:tc>
        <w:tc>
          <w:tcPr>
            <w:tcW w:w="1474" w:type="dxa"/>
            <w:vAlign w:val="center"/>
          </w:tcPr>
          <w:p>
            <w:pPr>
              <w:pStyle w:val="单元格样式4"/>
            </w:pPr>
            <w:r>
              <w:t xml:space="preserve">185.81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87.12</w:t>
            </w:r>
          </w:p>
        </w:tc>
        <w:tc>
          <w:tcPr>
            <w:tcW w:w="1474" w:type="dxa"/>
            <w:vAlign w:val="center"/>
          </w:tcPr>
          <w:p>
            <w:pPr>
              <w:pStyle w:val="单元格样式4"/>
            </w:pPr>
            <w:r>
              <w:t xml:space="preserve">87.12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81.91</w:t>
            </w:r>
          </w:p>
        </w:tc>
        <w:tc>
          <w:tcPr>
            <w:tcW w:w="1474" w:type="dxa"/>
            <w:vAlign w:val="center"/>
          </w:tcPr>
          <w:p>
            <w:pPr>
              <w:pStyle w:val="单元格样式4"/>
            </w:pPr>
            <w:r>
              <w:t xml:space="preserve">81.91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1777.87</w:t>
            </w:r>
          </w:p>
        </w:tc>
        <w:tc>
          <w:tcPr>
            <w:tcW w:w="1474" w:type="dxa"/>
            <w:vAlign w:val="center"/>
          </w:tcPr>
          <w:p>
            <w:pPr>
              <w:pStyle w:val="单元格样式4"/>
            </w:pPr>
            <w:r>
              <w:t xml:space="preserve">1777.87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2054.55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2132.71</w:t>
            </w:r>
          </w:p>
        </w:tc>
        <w:tc>
          <w:tcPr>
            <w:tcW w:w="1474" w:type="dxa"/>
            <w:vAlign w:val="center"/>
          </w:tcPr>
          <w:p>
            <w:pPr>
              <w:pStyle w:val="单元格样式7"/>
            </w:pPr>
            <w:r>
              <w:t xml:space="preserve">2132.71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78.16</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78.16</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2132.71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2132.71</w:t>
            </w:r>
          </w:p>
        </w:tc>
        <w:tc>
          <w:tcPr>
            <w:tcW w:w="1474" w:type="dxa"/>
            <w:vAlign w:val="center"/>
          </w:tcPr>
          <w:p>
            <w:pPr>
              <w:pStyle w:val="单元格样式7"/>
            </w:pPr>
            <w:r>
              <w:t xml:space="preserve">2132.71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2132.71</w:t>
            </w:r>
          </w:p>
        </w:tc>
        <w:tc>
          <w:tcPr>
            <w:tcW w:w="2551" w:type="dxa"/>
            <w:vAlign w:val="center"/>
          </w:tcPr>
          <w:p>
            <w:pPr>
              <w:pStyle w:val="单元格样式7"/>
            </w:pPr>
            <w:r>
              <w:t xml:space="preserve">1106.97</w:t>
            </w:r>
          </w:p>
        </w:tc>
        <w:tc>
          <w:tcPr>
            <w:tcW w:w="2551" w:type="dxa"/>
            <w:vAlign w:val="center"/>
          </w:tcPr>
          <w:p>
            <w:pPr>
              <w:pStyle w:val="单元格样式7"/>
            </w:pPr>
            <w:r>
              <w:t xml:space="preserve">1025.74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185.81</w:t>
            </w:r>
          </w:p>
        </w:tc>
        <w:tc>
          <w:tcPr>
            <w:tcW w:w="2551" w:type="dxa"/>
            <w:vAlign w:val="center"/>
          </w:tcPr>
          <w:p>
            <w:pPr>
              <w:pStyle w:val="单元格样式4"/>
            </w:pPr>
            <w:r>
              <w:t xml:space="preserve">130.81</w:t>
            </w: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130.81</w:t>
            </w:r>
          </w:p>
        </w:tc>
        <w:tc>
          <w:tcPr>
            <w:tcW w:w="2551" w:type="dxa"/>
            <w:vAlign w:val="center"/>
          </w:tcPr>
          <w:p>
            <w:pPr>
              <w:pStyle w:val="单元格样式4"/>
            </w:pPr>
            <w:r>
              <w:t xml:space="preserve">130.81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29.23</w:t>
            </w:r>
          </w:p>
        </w:tc>
        <w:tc>
          <w:tcPr>
            <w:tcW w:w="2551" w:type="dxa"/>
            <w:vAlign w:val="center"/>
          </w:tcPr>
          <w:p>
            <w:pPr>
              <w:pStyle w:val="单元格样式4"/>
            </w:pPr>
            <w:r>
              <w:t xml:space="preserve">29.23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101.58</w:t>
            </w:r>
          </w:p>
        </w:tc>
        <w:tc>
          <w:tcPr>
            <w:tcW w:w="2551" w:type="dxa"/>
            <w:vAlign w:val="center"/>
          </w:tcPr>
          <w:p>
            <w:pPr>
              <w:pStyle w:val="单元格样式4"/>
            </w:pPr>
            <w:r>
              <w:t xml:space="preserve">101.58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55.00</w:t>
            </w:r>
          </w:p>
        </w:tc>
        <w:tc>
          <w:tcPr>
            <w:tcW w:w="2551" w:type="dxa"/>
            <w:vAlign w:val="center"/>
          </w:tcPr>
          <w:p>
            <w:pPr>
              <w:pStyle w:val="单元格样式4"/>
            </w:pPr>
          </w:p>
        </w:tc>
        <w:tc>
          <w:tcPr>
            <w:tcW w:w="2551" w:type="dxa"/>
            <w:vAlign w:val="center"/>
          </w:tcPr>
          <w:p>
            <w:pPr>
              <w:pStyle w:val="单元格样式4"/>
            </w:pPr>
            <w:r>
              <w:t xml:space="preserve">55.00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87.12</w:t>
            </w:r>
          </w:p>
        </w:tc>
        <w:tc>
          <w:tcPr>
            <w:tcW w:w="2551" w:type="dxa"/>
            <w:vAlign w:val="center"/>
          </w:tcPr>
          <w:p>
            <w:pPr>
              <w:pStyle w:val="单元格样式4"/>
            </w:pPr>
            <w:r>
              <w:t xml:space="preserve">87.12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87.12</w:t>
            </w:r>
          </w:p>
        </w:tc>
        <w:tc>
          <w:tcPr>
            <w:tcW w:w="2551" w:type="dxa"/>
            <w:vAlign w:val="center"/>
          </w:tcPr>
          <w:p>
            <w:pPr>
              <w:pStyle w:val="单元格样式4"/>
            </w:pPr>
            <w:r>
              <w:t xml:space="preserve">87.12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41.42</w:t>
            </w:r>
          </w:p>
        </w:tc>
        <w:tc>
          <w:tcPr>
            <w:tcW w:w="2551" w:type="dxa"/>
            <w:vAlign w:val="center"/>
          </w:tcPr>
          <w:p>
            <w:pPr>
              <w:pStyle w:val="单元格样式4"/>
            </w:pPr>
            <w:r>
              <w:t xml:space="preserve">41.42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45.70</w:t>
            </w:r>
          </w:p>
        </w:tc>
        <w:tc>
          <w:tcPr>
            <w:tcW w:w="2551" w:type="dxa"/>
            <w:vAlign w:val="center"/>
          </w:tcPr>
          <w:p>
            <w:pPr>
              <w:pStyle w:val="单元格样式4"/>
            </w:pPr>
            <w:r>
              <w:t xml:space="preserve">45.70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81.91</w:t>
            </w:r>
          </w:p>
        </w:tc>
        <w:tc>
          <w:tcPr>
            <w:tcW w:w="2551" w:type="dxa"/>
            <w:vAlign w:val="center"/>
          </w:tcPr>
          <w:p>
            <w:pPr>
              <w:pStyle w:val="单元格样式4"/>
            </w:pPr>
            <w:r>
              <w:t xml:space="preserve">81.91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81.91</w:t>
            </w:r>
          </w:p>
        </w:tc>
        <w:tc>
          <w:tcPr>
            <w:tcW w:w="2551" w:type="dxa"/>
            <w:vAlign w:val="center"/>
          </w:tcPr>
          <w:p>
            <w:pPr>
              <w:pStyle w:val="单元格样式4"/>
            </w:pPr>
            <w:r>
              <w:t xml:space="preserve">81.91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81.91</w:t>
            </w:r>
          </w:p>
        </w:tc>
        <w:tc>
          <w:tcPr>
            <w:tcW w:w="2551" w:type="dxa"/>
            <w:vAlign w:val="center"/>
          </w:tcPr>
          <w:p>
            <w:pPr>
              <w:pStyle w:val="单元格样式4"/>
            </w:pPr>
            <w:r>
              <w:t xml:space="preserve">81.91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1777.87</w:t>
            </w:r>
          </w:p>
        </w:tc>
        <w:tc>
          <w:tcPr>
            <w:tcW w:w="2551" w:type="dxa"/>
            <w:vAlign w:val="center"/>
          </w:tcPr>
          <w:p>
            <w:pPr>
              <w:pStyle w:val="单元格样式4"/>
            </w:pPr>
            <w:r>
              <w:t xml:space="preserve">807.13</w:t>
            </w:r>
          </w:p>
        </w:tc>
        <w:tc>
          <w:tcPr>
            <w:tcW w:w="2551" w:type="dxa"/>
            <w:vAlign w:val="center"/>
          </w:tcPr>
          <w:p>
            <w:pPr>
              <w:pStyle w:val="单元格样式4"/>
            </w:pPr>
            <w:r>
              <w:t xml:space="preserve">970.74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1674.92</w:t>
            </w:r>
          </w:p>
        </w:tc>
        <w:tc>
          <w:tcPr>
            <w:tcW w:w="2551" w:type="dxa"/>
            <w:vAlign w:val="center"/>
          </w:tcPr>
          <w:p>
            <w:pPr>
              <w:pStyle w:val="单元格样式4"/>
            </w:pPr>
            <w:r>
              <w:t xml:space="preserve">807.13</w:t>
            </w:r>
          </w:p>
        </w:tc>
        <w:tc>
          <w:tcPr>
            <w:tcW w:w="2551" w:type="dxa"/>
            <w:vAlign w:val="center"/>
          </w:tcPr>
          <w:p>
            <w:pPr>
              <w:pStyle w:val="单元格样式4"/>
            </w:pPr>
            <w:r>
              <w:t xml:space="preserve">867.79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807.13</w:t>
            </w:r>
          </w:p>
        </w:tc>
        <w:tc>
          <w:tcPr>
            <w:tcW w:w="2551" w:type="dxa"/>
            <w:vAlign w:val="center"/>
          </w:tcPr>
          <w:p>
            <w:pPr>
              <w:pStyle w:val="单元格样式4"/>
            </w:pPr>
            <w:r>
              <w:t xml:space="preserve">807.13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2240102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195.42</w:t>
            </w:r>
          </w:p>
        </w:tc>
        <w:tc>
          <w:tcPr>
            <w:tcW w:w="2551" w:type="dxa"/>
            <w:vAlign w:val="center"/>
          </w:tcPr>
          <w:p>
            <w:pPr>
              <w:pStyle w:val="单元格样式4"/>
            </w:pPr>
          </w:p>
        </w:tc>
        <w:tc>
          <w:tcPr>
            <w:tcW w:w="2551" w:type="dxa"/>
            <w:vAlign w:val="center"/>
          </w:tcPr>
          <w:p>
            <w:pPr>
              <w:pStyle w:val="单元格样式4"/>
            </w:pPr>
            <w:r>
              <w:t xml:space="preserve">195.42</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503.00</w:t>
            </w:r>
          </w:p>
        </w:tc>
        <w:tc>
          <w:tcPr>
            <w:tcW w:w="2551" w:type="dxa"/>
            <w:vAlign w:val="center"/>
          </w:tcPr>
          <w:p>
            <w:pPr>
              <w:pStyle w:val="单元格样式4"/>
            </w:pPr>
          </w:p>
        </w:tc>
        <w:tc>
          <w:tcPr>
            <w:tcW w:w="2551" w:type="dxa"/>
            <w:vAlign w:val="center"/>
          </w:tcPr>
          <w:p>
            <w:pPr>
              <w:pStyle w:val="单元格样式4"/>
            </w:pPr>
            <w:r>
              <w:t xml:space="preserve">503.00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2551" w:type="dxa"/>
            <w:vAlign w:val="center"/>
          </w:tcPr>
          <w:p>
            <w:pPr>
              <w:pStyle w:val="单元格样式4"/>
            </w:pPr>
            <w:r>
              <w:t xml:space="preserve">113.63</w:t>
            </w:r>
          </w:p>
        </w:tc>
        <w:tc>
          <w:tcPr>
            <w:tcW w:w="2551" w:type="dxa"/>
            <w:vAlign w:val="center"/>
          </w:tcPr>
          <w:p>
            <w:pPr>
              <w:pStyle w:val="单元格样式4"/>
            </w:pPr>
          </w:p>
        </w:tc>
        <w:tc>
          <w:tcPr>
            <w:tcW w:w="2551" w:type="dxa"/>
            <w:vAlign w:val="center"/>
          </w:tcPr>
          <w:p>
            <w:pPr>
              <w:pStyle w:val="单元格样式4"/>
            </w:pPr>
            <w:r>
              <w:t xml:space="preserve">113.63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55.74</w:t>
            </w:r>
          </w:p>
        </w:tc>
        <w:tc>
          <w:tcPr>
            <w:tcW w:w="2551" w:type="dxa"/>
            <w:vAlign w:val="center"/>
          </w:tcPr>
          <w:p>
            <w:pPr>
              <w:pStyle w:val="单元格样式4"/>
            </w:pPr>
          </w:p>
        </w:tc>
        <w:tc>
          <w:tcPr>
            <w:tcW w:w="2551" w:type="dxa"/>
            <w:vAlign w:val="center"/>
          </w:tcPr>
          <w:p>
            <w:pPr>
              <w:pStyle w:val="单元格样式4"/>
            </w:pPr>
            <w:r>
              <w:t xml:space="preserve">55.74</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22405</w:t>
            </w:r>
          </w:p>
        </w:tc>
        <w:tc>
          <w:tcPr>
            <w:tcW w:w="4535" w:type="dxa"/>
            <w:vAlign w:val="center"/>
          </w:tcPr>
          <w:p>
            <w:pPr>
              <w:pStyle w:val="单元格样式2"/>
            </w:pPr>
            <w:r>
              <w:t xml:space="preserve">地震事务</w:t>
            </w:r>
          </w:p>
        </w:tc>
        <w:tc>
          <w:tcPr>
            <w:tcW w:w="2551" w:type="dxa"/>
            <w:vAlign w:val="center"/>
          </w:tcPr>
          <w:p>
            <w:pPr>
              <w:pStyle w:val="单元格样式4"/>
            </w:pPr>
            <w:r>
              <w:t xml:space="preserve">6.19</w:t>
            </w:r>
          </w:p>
        </w:tc>
        <w:tc>
          <w:tcPr>
            <w:tcW w:w="2551" w:type="dxa"/>
            <w:vAlign w:val="center"/>
          </w:tcPr>
          <w:p>
            <w:pPr>
              <w:pStyle w:val="单元格样式4"/>
            </w:pPr>
          </w:p>
        </w:tc>
        <w:tc>
          <w:tcPr>
            <w:tcW w:w="2551" w:type="dxa"/>
            <w:vAlign w:val="center"/>
          </w:tcPr>
          <w:p>
            <w:pPr>
              <w:pStyle w:val="单元格样式4"/>
            </w:pPr>
            <w:r>
              <w:t xml:space="preserve">6.19</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2240504</w:t>
            </w:r>
          </w:p>
        </w:tc>
        <w:tc>
          <w:tcPr>
            <w:tcW w:w="4535" w:type="dxa"/>
            <w:vAlign w:val="center"/>
          </w:tcPr>
          <w:p>
            <w:pPr>
              <w:pStyle w:val="单元格样式2"/>
            </w:pPr>
            <w:r>
              <w:t xml:space="preserve">地震监测</w:t>
            </w:r>
          </w:p>
        </w:tc>
        <w:tc>
          <w:tcPr>
            <w:tcW w:w="2551" w:type="dxa"/>
            <w:vAlign w:val="center"/>
          </w:tcPr>
          <w:p>
            <w:pPr>
              <w:pStyle w:val="单元格样式4"/>
            </w:pPr>
            <w:r>
              <w:t xml:space="preserve">6.19</w:t>
            </w:r>
          </w:p>
        </w:tc>
        <w:tc>
          <w:tcPr>
            <w:tcW w:w="2551" w:type="dxa"/>
            <w:vAlign w:val="center"/>
          </w:tcPr>
          <w:p>
            <w:pPr>
              <w:pStyle w:val="单元格样式4"/>
            </w:pPr>
          </w:p>
        </w:tc>
        <w:tc>
          <w:tcPr>
            <w:tcW w:w="2551" w:type="dxa"/>
            <w:vAlign w:val="center"/>
          </w:tcPr>
          <w:p>
            <w:pPr>
              <w:pStyle w:val="单元格样式4"/>
            </w:pPr>
            <w:r>
              <w:t xml:space="preserve">6.19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96.76</w:t>
            </w:r>
          </w:p>
        </w:tc>
        <w:tc>
          <w:tcPr>
            <w:tcW w:w="2551" w:type="dxa"/>
            <w:vAlign w:val="center"/>
          </w:tcPr>
          <w:p>
            <w:pPr>
              <w:pStyle w:val="单元格样式4"/>
            </w:pPr>
          </w:p>
        </w:tc>
        <w:tc>
          <w:tcPr>
            <w:tcW w:w="2551" w:type="dxa"/>
            <w:vAlign w:val="center"/>
          </w:tcPr>
          <w:p>
            <w:pPr>
              <w:pStyle w:val="单元格样式4"/>
            </w:pPr>
            <w:r>
              <w:t xml:space="preserve">96.76</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96.76</w:t>
            </w:r>
          </w:p>
        </w:tc>
        <w:tc>
          <w:tcPr>
            <w:tcW w:w="2551" w:type="dxa"/>
            <w:vAlign w:val="center"/>
          </w:tcPr>
          <w:p>
            <w:pPr>
              <w:pStyle w:val="单元格样式4"/>
            </w:pPr>
          </w:p>
        </w:tc>
        <w:tc>
          <w:tcPr>
            <w:tcW w:w="2551" w:type="dxa"/>
            <w:vAlign w:val="center"/>
          </w:tcPr>
          <w:p>
            <w:pPr>
              <w:pStyle w:val="单元格样式4"/>
            </w:pPr>
            <w:r>
              <w:t xml:space="preserve">96.76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1106.97</w:t>
            </w:r>
          </w:p>
        </w:tc>
        <w:tc>
          <w:tcPr>
            <w:tcW w:w="2551" w:type="dxa"/>
            <w:vAlign w:val="center"/>
          </w:tcPr>
          <w:p>
            <w:pPr>
              <w:pStyle w:val="单元格样式7"/>
            </w:pPr>
            <w:r>
              <w:t xml:space="preserve">1015.98</w:t>
            </w:r>
          </w:p>
        </w:tc>
        <w:tc>
          <w:tcPr>
            <w:tcW w:w="2551" w:type="dxa"/>
            <w:vAlign w:val="center"/>
          </w:tcPr>
          <w:p>
            <w:pPr>
              <w:pStyle w:val="单元格样式7"/>
            </w:pPr>
            <w:r>
              <w:t xml:space="preserve">90.99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986.75</w:t>
            </w:r>
          </w:p>
        </w:tc>
        <w:tc>
          <w:tcPr>
            <w:tcW w:w="2551" w:type="dxa"/>
            <w:vAlign w:val="center"/>
          </w:tcPr>
          <w:p>
            <w:pPr>
              <w:pStyle w:val="单元格样式4"/>
            </w:pPr>
            <w:r>
              <w:t xml:space="preserve">986.75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260.94</w:t>
            </w:r>
          </w:p>
        </w:tc>
        <w:tc>
          <w:tcPr>
            <w:tcW w:w="2551" w:type="dxa"/>
            <w:vAlign w:val="center"/>
          </w:tcPr>
          <w:p>
            <w:pPr>
              <w:pStyle w:val="单元格样式4"/>
            </w:pPr>
            <w:r>
              <w:t xml:space="preserve">260.94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209.23</w:t>
            </w:r>
          </w:p>
        </w:tc>
        <w:tc>
          <w:tcPr>
            <w:tcW w:w="2551" w:type="dxa"/>
            <w:vAlign w:val="center"/>
          </w:tcPr>
          <w:p>
            <w:pPr>
              <w:pStyle w:val="单元格样式4"/>
            </w:pPr>
            <w:r>
              <w:t xml:space="preserve">209.23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82.20</w:t>
            </w:r>
          </w:p>
        </w:tc>
        <w:tc>
          <w:tcPr>
            <w:tcW w:w="2551" w:type="dxa"/>
            <w:vAlign w:val="center"/>
          </w:tcPr>
          <w:p>
            <w:pPr>
              <w:pStyle w:val="单元格样式4"/>
            </w:pPr>
            <w:r>
              <w:t xml:space="preserve">82.20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130.71</w:t>
            </w:r>
          </w:p>
        </w:tc>
        <w:tc>
          <w:tcPr>
            <w:tcW w:w="2551" w:type="dxa"/>
            <w:vAlign w:val="center"/>
          </w:tcPr>
          <w:p>
            <w:pPr>
              <w:pStyle w:val="单元格样式4"/>
            </w:pPr>
            <w:r>
              <w:t xml:space="preserve">130.71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97.32</w:t>
            </w:r>
          </w:p>
        </w:tc>
        <w:tc>
          <w:tcPr>
            <w:tcW w:w="2551" w:type="dxa"/>
            <w:vAlign w:val="center"/>
          </w:tcPr>
          <w:p>
            <w:pPr>
              <w:pStyle w:val="单元格样式4"/>
            </w:pPr>
            <w:r>
              <w:t xml:space="preserve">97.32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39.65</w:t>
            </w:r>
          </w:p>
        </w:tc>
        <w:tc>
          <w:tcPr>
            <w:tcW w:w="2551" w:type="dxa"/>
            <w:vAlign w:val="center"/>
          </w:tcPr>
          <w:p>
            <w:pPr>
              <w:pStyle w:val="单元格样式4"/>
            </w:pPr>
            <w:r>
              <w:t xml:space="preserve">39.65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43.75</w:t>
            </w:r>
          </w:p>
        </w:tc>
        <w:tc>
          <w:tcPr>
            <w:tcW w:w="2551" w:type="dxa"/>
            <w:vAlign w:val="center"/>
          </w:tcPr>
          <w:p>
            <w:pPr>
              <w:pStyle w:val="单元格样式4"/>
            </w:pPr>
            <w:r>
              <w:t xml:space="preserve">43.75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4.01</w:t>
            </w:r>
          </w:p>
        </w:tc>
        <w:tc>
          <w:tcPr>
            <w:tcW w:w="2551" w:type="dxa"/>
            <w:vAlign w:val="center"/>
          </w:tcPr>
          <w:p>
            <w:pPr>
              <w:pStyle w:val="单元格样式4"/>
            </w:pPr>
            <w:r>
              <w:t xml:space="preserve">4.01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78.41</w:t>
            </w:r>
          </w:p>
        </w:tc>
        <w:tc>
          <w:tcPr>
            <w:tcW w:w="2551" w:type="dxa"/>
            <w:vAlign w:val="center"/>
          </w:tcPr>
          <w:p>
            <w:pPr>
              <w:pStyle w:val="单元格样式4"/>
            </w:pPr>
            <w:r>
              <w:t xml:space="preserve">78.41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40.53</w:t>
            </w:r>
          </w:p>
        </w:tc>
        <w:tc>
          <w:tcPr>
            <w:tcW w:w="2551" w:type="dxa"/>
            <w:vAlign w:val="center"/>
          </w:tcPr>
          <w:p>
            <w:pPr>
              <w:pStyle w:val="单元格样式4"/>
            </w:pPr>
            <w:r>
              <w:t xml:space="preserve">40.53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88.99</w:t>
            </w:r>
          </w:p>
        </w:tc>
        <w:tc>
          <w:tcPr>
            <w:tcW w:w="2551" w:type="dxa"/>
            <w:vAlign w:val="center"/>
          </w:tcPr>
          <w:p>
            <w:pPr>
              <w:pStyle w:val="单元格样式4"/>
            </w:pPr>
          </w:p>
        </w:tc>
        <w:tc>
          <w:tcPr>
            <w:tcW w:w="2551" w:type="dxa"/>
            <w:vAlign w:val="center"/>
          </w:tcPr>
          <w:p>
            <w:pPr>
              <w:pStyle w:val="单元格样式4"/>
            </w:pPr>
            <w:r>
              <w:t xml:space="preserve">88.99</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8.70</w:t>
            </w:r>
          </w:p>
        </w:tc>
        <w:tc>
          <w:tcPr>
            <w:tcW w:w="2551" w:type="dxa"/>
            <w:vAlign w:val="center"/>
          </w:tcPr>
          <w:p>
            <w:pPr>
              <w:pStyle w:val="单元格样式4"/>
            </w:pPr>
          </w:p>
        </w:tc>
        <w:tc>
          <w:tcPr>
            <w:tcW w:w="2551" w:type="dxa"/>
            <w:vAlign w:val="center"/>
          </w:tcPr>
          <w:p>
            <w:pPr>
              <w:pStyle w:val="单元格样式4"/>
            </w:pPr>
            <w:r>
              <w:t xml:space="preserve">8.70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21.05</w:t>
            </w:r>
          </w:p>
        </w:tc>
        <w:tc>
          <w:tcPr>
            <w:tcW w:w="2551" w:type="dxa"/>
            <w:vAlign w:val="center"/>
          </w:tcPr>
          <w:p>
            <w:pPr>
              <w:pStyle w:val="单元格样式4"/>
            </w:pPr>
          </w:p>
        </w:tc>
        <w:tc>
          <w:tcPr>
            <w:tcW w:w="2551" w:type="dxa"/>
            <w:vAlign w:val="center"/>
          </w:tcPr>
          <w:p>
            <w:pPr>
              <w:pStyle w:val="单元格样式4"/>
            </w:pPr>
            <w:r>
              <w:t xml:space="preserve">21.05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0.46</w:t>
            </w:r>
          </w:p>
        </w:tc>
        <w:tc>
          <w:tcPr>
            <w:tcW w:w="2551" w:type="dxa"/>
            <w:vAlign w:val="center"/>
          </w:tcPr>
          <w:p>
            <w:pPr>
              <w:pStyle w:val="单元格样式4"/>
            </w:pPr>
          </w:p>
        </w:tc>
        <w:tc>
          <w:tcPr>
            <w:tcW w:w="2551" w:type="dxa"/>
            <w:vAlign w:val="center"/>
          </w:tcPr>
          <w:p>
            <w:pPr>
              <w:pStyle w:val="单元格样式4"/>
            </w:pPr>
            <w:r>
              <w:t xml:space="preserve">0.46</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14.24</w:t>
            </w:r>
          </w:p>
        </w:tc>
        <w:tc>
          <w:tcPr>
            <w:tcW w:w="2551" w:type="dxa"/>
            <w:vAlign w:val="center"/>
          </w:tcPr>
          <w:p>
            <w:pPr>
              <w:pStyle w:val="单元格样式4"/>
            </w:pPr>
          </w:p>
        </w:tc>
        <w:tc>
          <w:tcPr>
            <w:tcW w:w="2551" w:type="dxa"/>
            <w:vAlign w:val="center"/>
          </w:tcPr>
          <w:p>
            <w:pPr>
              <w:pStyle w:val="单元格样式4"/>
            </w:pPr>
            <w:r>
              <w:t xml:space="preserve">14.24</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6.80</w:t>
            </w:r>
          </w:p>
        </w:tc>
        <w:tc>
          <w:tcPr>
            <w:tcW w:w="2551" w:type="dxa"/>
            <w:vAlign w:val="center"/>
          </w:tcPr>
          <w:p>
            <w:pPr>
              <w:pStyle w:val="单元格样式4"/>
            </w:pPr>
          </w:p>
        </w:tc>
        <w:tc>
          <w:tcPr>
            <w:tcW w:w="2551" w:type="dxa"/>
            <w:vAlign w:val="center"/>
          </w:tcPr>
          <w:p>
            <w:pPr>
              <w:pStyle w:val="单元格样式4"/>
            </w:pPr>
            <w:r>
              <w:t xml:space="preserve">6.80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25.40</w:t>
            </w:r>
          </w:p>
        </w:tc>
        <w:tc>
          <w:tcPr>
            <w:tcW w:w="2551" w:type="dxa"/>
            <w:vAlign w:val="center"/>
          </w:tcPr>
          <w:p>
            <w:pPr>
              <w:pStyle w:val="单元格样式4"/>
            </w:pPr>
          </w:p>
        </w:tc>
        <w:tc>
          <w:tcPr>
            <w:tcW w:w="2551" w:type="dxa"/>
            <w:vAlign w:val="center"/>
          </w:tcPr>
          <w:p>
            <w:pPr>
              <w:pStyle w:val="单元格样式4"/>
            </w:pPr>
            <w:r>
              <w:t xml:space="preserve">25.40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1.34</w:t>
            </w:r>
          </w:p>
        </w:tc>
        <w:tc>
          <w:tcPr>
            <w:tcW w:w="2551" w:type="dxa"/>
            <w:vAlign w:val="center"/>
          </w:tcPr>
          <w:p>
            <w:pPr>
              <w:pStyle w:val="单元格样式4"/>
            </w:pPr>
          </w:p>
        </w:tc>
        <w:tc>
          <w:tcPr>
            <w:tcW w:w="2551" w:type="dxa"/>
            <w:vAlign w:val="center"/>
          </w:tcPr>
          <w:p>
            <w:pPr>
              <w:pStyle w:val="单元格样式4"/>
            </w:pPr>
            <w:r>
              <w:t xml:space="preserve">1.34</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29.23</w:t>
            </w:r>
          </w:p>
        </w:tc>
        <w:tc>
          <w:tcPr>
            <w:tcW w:w="2551" w:type="dxa"/>
            <w:vAlign w:val="center"/>
          </w:tcPr>
          <w:p>
            <w:pPr>
              <w:pStyle w:val="单元格样式4"/>
            </w:pPr>
            <w:r>
              <w:t xml:space="preserve">29.23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29.23</w:t>
            </w:r>
          </w:p>
        </w:tc>
        <w:tc>
          <w:tcPr>
            <w:tcW w:w="2551" w:type="dxa"/>
            <w:vAlign w:val="center"/>
          </w:tcPr>
          <w:p>
            <w:pPr>
              <w:pStyle w:val="单元格样式4"/>
            </w:pPr>
            <w:r>
              <w:t xml:space="preserve">29.23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25.96</w:t>
            </w:r>
          </w:p>
        </w:tc>
        <w:tc>
          <w:tcPr>
            <w:tcW w:w="2381" w:type="dxa"/>
            <w:vAlign w:val="center"/>
          </w:tcPr>
          <w:p>
            <w:pPr>
              <w:pStyle w:val="单元格样式7"/>
            </w:pPr>
            <w:r>
              <w:t xml:space="preserve">25.96</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25.50</w:t>
            </w:r>
          </w:p>
        </w:tc>
        <w:tc>
          <w:tcPr>
            <w:tcW w:w="2381" w:type="dxa"/>
            <w:vAlign w:val="center"/>
          </w:tcPr>
          <w:p>
            <w:pPr>
              <w:pStyle w:val="单元格样式4"/>
            </w:pPr>
            <w:r>
              <w:t xml:space="preserve">25.50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其中：公务用车购置费</w:t>
            </w:r>
          </w:p>
        </w:tc>
        <w:tc>
          <w:tcPr>
            <w:tcW w:w="2381" w:type="dxa"/>
            <w:vAlign w:val="center"/>
          </w:tcPr>
          <w:p>
            <w:pPr>
              <w:pStyle w:val="单元格样式4"/>
            </w:pPr>
            <w:r>
              <w:t xml:space="preserve">18.00</w:t>
            </w:r>
          </w:p>
        </w:tc>
        <w:tc>
          <w:tcPr>
            <w:tcW w:w="2381" w:type="dxa"/>
            <w:vAlign w:val="center"/>
          </w:tcPr>
          <w:p>
            <w:pPr>
              <w:pStyle w:val="单元格样式4"/>
            </w:pPr>
            <w:r>
              <w:t xml:space="preserve">18.00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7.50</w:t>
            </w:r>
          </w:p>
        </w:tc>
        <w:tc>
          <w:tcPr>
            <w:tcW w:w="2381" w:type="dxa"/>
            <w:vAlign w:val="center"/>
          </w:tcPr>
          <w:p>
            <w:pPr>
              <w:pStyle w:val="单元格样式4"/>
            </w:pPr>
            <w:r>
              <w:t xml:space="preserve">7.50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0.46</w:t>
            </w:r>
          </w:p>
        </w:tc>
        <w:tc>
          <w:tcPr>
            <w:tcW w:w="2381" w:type="dxa"/>
            <w:vAlign w:val="center"/>
          </w:tcPr>
          <w:p>
            <w:pPr>
              <w:pStyle w:val="单元格样式4"/>
            </w:pPr>
            <w:r>
              <w:t xml:space="preserve">0.46</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唐山市丰南区应急管理局本级2025年单位预算信息公开情况说明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按照《中华人民共和国预算法》、《地方预决算公开操作规程》和《关于进一步推进预算公开工作的实施意见》规定，现将唐山市丰南区应急管理局本级2025年单位预算公开如下：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（一）负责全区应急管理工作，指导各级各部门应对安全生产类、自然灾害类等突发事件和综合防灾减灾救灾工作。负责全区安全生产综合监督管理和相关工商贸行业安全生产监督管理工作。</w:t>
      </w:r>
    </w:p>
    <w:p>
      <w:pPr>
        <w:pStyle w:val="插入文本样式-插入单位职责文件"/>
      </w:pPr>
      <w:r>
        <w:t xml:space="preserve">（二）拟订地方性应急管理、防震减灾、安全生产等政策规定，组织编制区应急体系建设、综合防灾减灾和安全生产规划，起草相关规范性文件，指导、监督相关规程和标准实施。</w:t>
      </w:r>
    </w:p>
    <w:p>
      <w:pPr>
        <w:pStyle w:val="插入文本样式-插入单位职责文件"/>
      </w:pPr>
      <w:r>
        <w:t xml:space="preserve">（三）指导应急预案体系建设，建立完善事故灾难和自然灾害分级应对制度，组织编制区总体应急预案和安全生产类、自然灾害类专项预案，综合协调应急预案衔接工作，组织开展预案演练，推动应急避难设施建设。</w:t>
      </w:r>
    </w:p>
    <w:p>
      <w:pPr>
        <w:pStyle w:val="插入文本样式-插入单位职责文件"/>
      </w:pPr>
      <w:r>
        <w:t xml:space="preserve">（四）牵头建立统一的全区应急管理信息系统，负责信息传输渠道的规划和布局，建立监测预警和灾情报告制度，健全自然灾害信息资源获取和共享机制，依法统一发布灾情。</w:t>
      </w:r>
    </w:p>
    <w:p>
      <w:pPr>
        <w:pStyle w:val="插入文本样式-插入单位职责文件"/>
      </w:pPr>
      <w:r>
        <w:t xml:space="preserve">（五）组织指导协调安全生产类、自然灾害类等突发事件应急救援，承担区应对相关事故灾害指挥部工作，综合研判突发事件发展态势并提出应对建议，协助区委、区政府指定的负责同志组织相关事故灾害应急处置工作。</w:t>
      </w:r>
    </w:p>
    <w:p>
      <w:pPr>
        <w:pStyle w:val="插入文本样式-插入单位职责文件"/>
      </w:pPr>
      <w:r>
        <w:t xml:space="preserve">（六）统一协调指挥各类应急专业队伍，建立应急协调联动机制，推进指挥平台对接，衔接解放军和武警部队参与应急救援工作。</w:t>
      </w:r>
    </w:p>
    <w:p>
      <w:pPr>
        <w:pStyle w:val="插入文本样式-插入单位职责文件"/>
      </w:pPr>
      <w:r>
        <w:t xml:space="preserve">（七）统筹应急救援力量建设，负责消防、森林和草原火灾扑救、抗洪抢险、地质灾害救援、生产安全事故救援等专业应急救援力量建设，管理区综合性应急救援队伍，指导各级及社会应急救援力量建设。</w:t>
      </w:r>
    </w:p>
    <w:p>
      <w:pPr>
        <w:pStyle w:val="插入文本样式-插入单位职责文件"/>
      </w:pPr>
      <w:r>
        <w:t xml:space="preserve">（八）组织指导全区防震减灾工作，负责地震监测预测预警、震害防御和地震现场应急救援工作，参与震后救援和震后重建等工作。</w:t>
      </w:r>
    </w:p>
    <w:p>
      <w:pPr>
        <w:pStyle w:val="插入文本样式-插入单位职责文件"/>
      </w:pPr>
      <w:r>
        <w:t xml:space="preserve">（九）组织协调消防工作，指导各级消防监督、火灾预防、火灾扑救等工作。</w:t>
      </w:r>
    </w:p>
    <w:p>
      <w:pPr>
        <w:pStyle w:val="插入文本样式-插入单位职责文件"/>
      </w:pPr>
      <w:r>
        <w:t xml:space="preserve">（十）指导协调森林和草原火灾、水旱灾害、地质灾害等防治工作，负责地震灾害防御工作，负责自然灾害综合监测预警工作，指导开展自然灾害综合风险评估工作。</w:t>
      </w:r>
    </w:p>
    <w:p>
      <w:pPr>
        <w:pStyle w:val="插入文本样式-插入单位职责文件"/>
      </w:pPr>
      <w:r>
        <w:t xml:space="preserve">（十一）组织协调灾害救助工作，组织指导灾情核查、损失评估、救灾捐赠工作，管理、分配区救灾款物并监督使用。</w:t>
      </w:r>
    </w:p>
    <w:p>
      <w:pPr>
        <w:pStyle w:val="插入文本样式-插入单位职责文件"/>
      </w:pPr>
      <w:r>
        <w:t xml:space="preserve">（十二）依法行使区安全生产综合监督管理职权，指导协调、监督检查区有关部门和各乡镇政府、街道办事处、经济开发区管委会安全生产工作，组织开展安全生产巡查、考核工作。</w:t>
      </w:r>
    </w:p>
    <w:p>
      <w:pPr>
        <w:pStyle w:val="插入文本样式-插入单位职责文件"/>
      </w:pPr>
      <w:r>
        <w:t xml:space="preserve">（十三）按照分级、属地原则，依法监督检查工商贸生产经营单位贯彻执行安全生产法律法规情况，及其安全生产条件和有关设备（特种设备除外）、材料、劳动防护用品的安全生产管理工作。负责监督管理工商贸企业的安全生产工作。负责危险化学品安全监督管理综合工作和烟花爆竹安全生产监督管理工作。</w:t>
      </w:r>
    </w:p>
    <w:p>
      <w:pPr>
        <w:pStyle w:val="插入文本样式-插入单位职责文件"/>
      </w:pPr>
      <w:r>
        <w:t xml:space="preserve">（十四）依法组织指导生产安全事故调查处理，监督事故查处和责任追究落实情况。组织开展自然灾害类突发事件的调查评估工作。</w:t>
      </w:r>
    </w:p>
    <w:p>
      <w:pPr>
        <w:pStyle w:val="插入文本样式-插入单位职责文件"/>
      </w:pPr>
      <w:r>
        <w:t xml:space="preserve">（十五）制定应急物资储备和应急救援装备规划并组织实施，会同区相关部门建立健全应急物资、救援装备信息平台和调拨制度，在救灾时统一调度。</w:t>
      </w:r>
    </w:p>
    <w:p>
      <w:pPr>
        <w:pStyle w:val="插入文本样式-插入单位职责文件"/>
      </w:pPr>
      <w:r>
        <w:t xml:space="preserve">（十六）负责应急管理、防震减灾、安全生产宣传教育和培训工作，组织指导应急管理、防灾减灾、安全生产的科学技术推广应用和信息化建设工作。</w:t>
      </w:r>
    </w:p>
    <w:p>
      <w:pPr>
        <w:pStyle w:val="插入文本样式-插入单位职责文件"/>
      </w:pPr>
      <w:r>
        <w:t xml:space="preserve">（十七）负责组织指导协调和监督全区安全生产行政执法工作。负责全区地震行政执法工作。管理直属执法机构对分管区域内的企业开展安全生产执法工作。</w:t>
      </w:r>
    </w:p>
    <w:p>
      <w:pPr>
        <w:pStyle w:val="插入文本样式-插入单位职责文件"/>
      </w:pPr>
      <w:r>
        <w:t xml:space="preserve">（十八）负责开展应急管理方面的国际交流与合作。</w:t>
      </w:r>
    </w:p>
    <w:p>
      <w:pPr>
        <w:pStyle w:val="插入文本样式-插入单位职责文件"/>
      </w:pPr>
      <w:r>
        <w:t xml:space="preserve">（十九）完成区委、区政府交办的其他任务。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唐山市丰南区应急管理局本级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2132.71万元，其中：一般公共预算收入2054.55万元，基金预算收入0.00万元，国有资本经营预算收入0.00万元，财政专户核拨收入0.00万元，单位资金收入0.00万元，上年结转结余78.16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丰南区应急管理局本级年度单位预算中支出预算的总体情况。2025年支出预算2132.71万元，其中基本支出1106.97万元，包括人员经费1015.98万元和日常公用经费90.99万元；项目支出1025.74万元，主要为安全生产技术服务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2025年预算收支安排2132.71万元，较2024年预算减少9.04万元，其中：基本支出增加26.85万元，主要为人员经费增加；项目支出减少35.89万元，主要为安全生产目标奖励及其他事项费用等。</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2025年，我单位机关运行经费共计安排90.99万元，主要用于日常维修、办公用房水电费、办公用房取暖费、办公用房物业管理费等日常运行支出。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25.96万元，其中因公出国（境）费0.00万元；公务用车购置及运维费25.50万元（其中：公务用车购置费为18.00万元，公务用车运维费7.50万元)；公务接待费0.46万元。与2024年相比增加18.00万元，增减变化的主要原因是公务用车购置费增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1、安全生产督导检查专家费绩效目标表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13020725P00CJJN10010K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安全生产督导检查专家费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用于支付聘请专家的劳务费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1.聘请专家开展安全生产指导服务和检查督导工作，排查隐患，提升全区安全生产水平。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反映发放劳务费人数情况</w:t>
            </w:r>
          </w:p>
        </w:tc>
        <w:tc>
          <w:tcPr>
            <w:tcW w:w="2268" w:type="dxa"/>
            <w:vAlign w:val="center"/>
          </w:tcPr>
          <w:p>
            <w:pPr>
              <w:pStyle w:val="单元格样式2"/>
            </w:pPr>
            <w:r>
              <w:t xml:space="preserve">≥4人</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劳务费发放覆盖率</w:t>
            </w:r>
          </w:p>
        </w:tc>
        <w:tc>
          <w:tcPr>
            <w:tcW w:w="5386" w:type="dxa"/>
            <w:vAlign w:val="center"/>
          </w:tcPr>
          <w:p>
            <w:pPr>
              <w:pStyle w:val="单元格样式2"/>
            </w:pPr>
            <w:r>
              <w:t xml:space="preserve">反映实际发放劳务费的覆盖程度情况，覆盖率=实发人数/应发人数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劳务费发放及时性</w:t>
            </w:r>
          </w:p>
        </w:tc>
        <w:tc>
          <w:tcPr>
            <w:tcW w:w="5386" w:type="dxa"/>
            <w:vAlign w:val="center"/>
          </w:tcPr>
          <w:p>
            <w:pPr>
              <w:pStyle w:val="单元格样式2"/>
            </w:pPr>
            <w:r>
              <w:t xml:space="preserve">反映按时足额发放劳务费的情况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劳务费标准</w:t>
            </w:r>
          </w:p>
        </w:tc>
        <w:tc>
          <w:tcPr>
            <w:tcW w:w="5386" w:type="dxa"/>
            <w:vAlign w:val="center"/>
          </w:tcPr>
          <w:p>
            <w:pPr>
              <w:pStyle w:val="单元格样式2"/>
            </w:pPr>
            <w:r>
              <w:t xml:space="preserve">反映人均每天劳务费标准情况</w:t>
            </w:r>
          </w:p>
        </w:tc>
        <w:tc>
          <w:tcPr>
            <w:tcW w:w="2268" w:type="dxa"/>
            <w:vAlign w:val="center"/>
          </w:tcPr>
          <w:p>
            <w:pPr>
              <w:pStyle w:val="单元格样式2"/>
            </w:pPr>
            <w:r>
              <w:t xml:space="preserve">500元</w:t>
            </w:r>
          </w:p>
        </w:tc>
        <w:tc>
          <w:tcPr>
            <w:tcW w:w="1276" w:type="dxa"/>
            <w:vAlign w:val="center"/>
          </w:tcPr>
          <w:p>
            <w:pPr>
              <w:pStyle w:val="单元格样式2"/>
            </w:pPr>
            <w:r>
              <w:t xml:space="preserve">历史标准、合同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安全生产稳定程度</w:t>
            </w:r>
          </w:p>
        </w:tc>
        <w:tc>
          <w:tcPr>
            <w:tcW w:w="5386" w:type="dxa"/>
            <w:vAlign w:val="center"/>
          </w:tcPr>
          <w:p>
            <w:pPr>
              <w:pStyle w:val="单元格样式2"/>
            </w:pPr>
            <w:r>
              <w:t xml:space="preserve">排查隐患，促进生产安全</w:t>
            </w:r>
          </w:p>
        </w:tc>
        <w:tc>
          <w:tcPr>
            <w:tcW w:w="2268" w:type="dxa"/>
            <w:vAlign w:val="center"/>
          </w:tcPr>
          <w:p>
            <w:pPr>
              <w:pStyle w:val="单元格样式2"/>
            </w:pPr>
            <w:r>
              <w:t xml:space="preserve">促进安全生产</w:t>
            </w:r>
            <w:r>
              <w:rPr/>
              <w:tab/>
            </w:r>
          </w:p>
        </w:tc>
        <w:tc>
          <w:tcPr>
            <w:tcW w:w="1276" w:type="dxa"/>
            <w:vAlign w:val="center"/>
          </w:tcPr>
          <w:p>
            <w:pPr>
              <w:pStyle w:val="单元格样式2"/>
            </w:pPr>
            <w:r>
              <w:t xml:space="preserve">合同、年度工作计划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2、安全生产技术服务费绩效目标表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13020725P00CJJN10006D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安全生产技术服务费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用于支付安全生产技术服务费用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1.聘请第三方机构，在全区范围内开展安全生产技术服务，坚决遏制安全生产事故的发生，加强企业事前、事中、事后安全监管，构建风险辨识管控和隐患排查双控预防体系，全面提升安全生产水平。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排查企业数量</w:t>
            </w:r>
          </w:p>
        </w:tc>
        <w:tc>
          <w:tcPr>
            <w:tcW w:w="5386" w:type="dxa"/>
            <w:vAlign w:val="center"/>
          </w:tcPr>
          <w:p>
            <w:pPr>
              <w:pStyle w:val="单元格样式2"/>
            </w:pPr>
            <w:r>
              <w:t xml:space="preserve">实际排查企业数量</w:t>
            </w:r>
          </w:p>
        </w:tc>
        <w:tc>
          <w:tcPr>
            <w:tcW w:w="2268" w:type="dxa"/>
            <w:vAlign w:val="center"/>
          </w:tcPr>
          <w:p>
            <w:pPr>
              <w:pStyle w:val="单元格样式2"/>
            </w:pPr>
            <w:r>
              <w:t xml:space="preserve">825家</w:t>
            </w:r>
          </w:p>
        </w:tc>
        <w:tc>
          <w:tcPr>
            <w:tcW w:w="1276" w:type="dxa"/>
            <w:vAlign w:val="center"/>
          </w:tcPr>
          <w:p>
            <w:pPr>
              <w:pStyle w:val="单元格样式2"/>
            </w:pPr>
            <w:r>
              <w:t xml:space="preserve">合同、企业实际生产数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安全生产服务覆盖率</w:t>
            </w:r>
          </w:p>
        </w:tc>
        <w:tc>
          <w:tcPr>
            <w:tcW w:w="5386" w:type="dxa"/>
            <w:vAlign w:val="center"/>
          </w:tcPr>
          <w:p>
            <w:pPr>
              <w:pStyle w:val="单元格样式2"/>
            </w:pPr>
            <w:r>
              <w:t xml:space="preserve">实际服务企业数量与计划数的比例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合同、验收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隐患排查完成及时率</w:t>
            </w:r>
          </w:p>
        </w:tc>
        <w:tc>
          <w:tcPr>
            <w:tcW w:w="5386" w:type="dxa"/>
            <w:vAlign w:val="center"/>
          </w:tcPr>
          <w:p>
            <w:pPr>
              <w:pStyle w:val="单元格样式2"/>
            </w:pPr>
            <w:r>
              <w:t xml:space="preserve">在规定的时限内完成隐患排查工作占合同计划内容的比例</w:t>
            </w:r>
          </w:p>
        </w:tc>
        <w:tc>
          <w:tcPr>
            <w:tcW w:w="2268" w:type="dxa"/>
            <w:vAlign w:val="center"/>
          </w:tcPr>
          <w:p>
            <w:pPr>
              <w:pStyle w:val="单元格样式2"/>
            </w:pPr>
            <w:r>
              <w:t xml:space="preserve">100%</w:t>
            </w:r>
          </w:p>
        </w:tc>
        <w:tc>
          <w:tcPr>
            <w:tcW w:w="1276" w:type="dxa"/>
            <w:vAlign w:val="center"/>
          </w:tcPr>
          <w:p>
            <w:pPr>
              <w:pStyle w:val="单元格样式2"/>
            </w:pPr>
            <w:r>
              <w:t xml:space="preserve">合同、验收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安全生产服务费用总额</w:t>
            </w:r>
          </w:p>
        </w:tc>
        <w:tc>
          <w:tcPr>
            <w:tcW w:w="5386" w:type="dxa"/>
            <w:vAlign w:val="center"/>
          </w:tcPr>
          <w:p>
            <w:pPr>
              <w:pStyle w:val="单元格样式2"/>
            </w:pPr>
            <w:r>
              <w:t xml:space="preserve">反映安全生产服务费用总量情况</w:t>
            </w:r>
          </w:p>
        </w:tc>
        <w:tc>
          <w:tcPr>
            <w:tcW w:w="2268" w:type="dxa"/>
            <w:vAlign w:val="center"/>
          </w:tcPr>
          <w:p>
            <w:pPr>
              <w:pStyle w:val="单元格样式2"/>
            </w:pPr>
            <w:r>
              <w:t xml:space="preserve">≤300万元</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安全生产稳定程度</w:t>
            </w:r>
          </w:p>
        </w:tc>
        <w:tc>
          <w:tcPr>
            <w:tcW w:w="5386" w:type="dxa"/>
            <w:vAlign w:val="center"/>
          </w:tcPr>
          <w:p>
            <w:pPr>
              <w:pStyle w:val="单元格样式2"/>
            </w:pPr>
            <w:r>
              <w:t xml:space="preserve">隐患排查，促进生产安全</w:t>
            </w:r>
          </w:p>
        </w:tc>
        <w:tc>
          <w:tcPr>
            <w:tcW w:w="2268" w:type="dxa"/>
            <w:vAlign w:val="center"/>
          </w:tcPr>
          <w:p>
            <w:pPr>
              <w:pStyle w:val="单元格样式2"/>
            </w:pPr>
            <w:r>
              <w:t xml:space="preserve">促进安全生产</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反映服务对象满意程度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3、工矿商贸领域作业场所视频全覆盖线路租赁费绩效目标表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13020725P00CJJN100071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工矿商贸领域作业场所视频全覆盖线路租赁费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用于支付工矿商贸领域作业场所视频监控线路费用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1.工矿商贸领域作业场所视频监控全覆盖建设工作完成后，可实现全区所有工矿商贸企业作业场所实时调阅和7天内回溯功能，能够有效规范各类生产经营单位作业行为，提升全区安全生产水平。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视频监控接入点位数</w:t>
            </w:r>
          </w:p>
        </w:tc>
        <w:tc>
          <w:tcPr>
            <w:tcW w:w="5386" w:type="dxa"/>
            <w:vAlign w:val="center"/>
          </w:tcPr>
          <w:p>
            <w:pPr>
              <w:pStyle w:val="单元格样式2"/>
            </w:pPr>
            <w:r>
              <w:t xml:space="preserve">实际视频监控接入点位数</w:t>
            </w:r>
          </w:p>
        </w:tc>
        <w:tc>
          <w:tcPr>
            <w:tcW w:w="2268" w:type="dxa"/>
            <w:vAlign w:val="center"/>
          </w:tcPr>
          <w:p>
            <w:pPr>
              <w:pStyle w:val="单元格样式2"/>
            </w:pPr>
            <w:r>
              <w:t xml:space="preserve">≤7750路</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视频传输视频信号稳定程</w:t>
            </w:r>
          </w:p>
        </w:tc>
        <w:tc>
          <w:tcPr>
            <w:tcW w:w="5386" w:type="dxa"/>
            <w:vAlign w:val="center"/>
          </w:tcPr>
          <w:p>
            <w:pPr>
              <w:pStyle w:val="单元格样式2"/>
            </w:pPr>
            <w:r>
              <w:t xml:space="preserve">实际传输视频信号稳定程度</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视频信号接入及时率</w:t>
            </w:r>
          </w:p>
        </w:tc>
        <w:tc>
          <w:tcPr>
            <w:tcW w:w="5386" w:type="dxa"/>
            <w:vAlign w:val="center"/>
          </w:tcPr>
          <w:p>
            <w:pPr>
              <w:pStyle w:val="单元格样式2"/>
            </w:pPr>
            <w:r>
              <w:t xml:space="preserve">按时完成视频信号接入</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视频监控接入点位成本</w:t>
            </w:r>
          </w:p>
        </w:tc>
        <w:tc>
          <w:tcPr>
            <w:tcW w:w="5386" w:type="dxa"/>
            <w:vAlign w:val="center"/>
          </w:tcPr>
          <w:p>
            <w:pPr>
              <w:pStyle w:val="单元格样式2"/>
            </w:pPr>
            <w:r>
              <w:t xml:space="preserve">视频监控接入每点位每月成本</w:t>
            </w:r>
          </w:p>
        </w:tc>
        <w:tc>
          <w:tcPr>
            <w:tcW w:w="2268" w:type="dxa"/>
            <w:vAlign w:val="center"/>
          </w:tcPr>
          <w:p>
            <w:pPr>
              <w:pStyle w:val="单元格样式2"/>
            </w:pPr>
            <w:r>
              <w:t xml:space="preserve">17.96元/月/点位</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提升全区安全生产水平</w:t>
            </w:r>
          </w:p>
        </w:tc>
        <w:tc>
          <w:tcPr>
            <w:tcW w:w="5386" w:type="dxa"/>
            <w:vAlign w:val="center"/>
          </w:tcPr>
          <w:p>
            <w:pPr>
              <w:pStyle w:val="单元格样式2"/>
            </w:pPr>
            <w:r>
              <w:t xml:space="preserve">工矿商贸企业作业场所视频监控全覆盖对我区安全生产工作的影响</w:t>
            </w:r>
          </w:p>
        </w:tc>
        <w:tc>
          <w:tcPr>
            <w:tcW w:w="2268" w:type="dxa"/>
            <w:vAlign w:val="center"/>
          </w:tcPr>
          <w:p>
            <w:pPr>
              <w:pStyle w:val="单元格样式2"/>
            </w:pPr>
            <w:r>
              <w:t xml:space="preserve">效果显著</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5386" w:type="dxa"/>
            <w:vAlign w:val="center"/>
          </w:tcPr>
          <w:p>
            <w:pPr>
              <w:pStyle w:val="单元格样式2"/>
            </w:pPr>
            <w:r>
              <w:t xml:space="preserve">使用单位满意程度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4、公务用车购置费绩效目标表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13020725P00000210006F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公务用车购置费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用于购置公务用车。</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1.购置车辆，保障省、市、区安排的安全生产执法大检查、治本攻坚三年行动、企业隐患排查、安全生产督导等各项业务活动的顺利开展，完成上级领导交办的各项执法检查工作，排查隐患，提高安全生产水平。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车辆购置数量</w:t>
            </w:r>
          </w:p>
        </w:tc>
        <w:tc>
          <w:tcPr>
            <w:tcW w:w="5386" w:type="dxa"/>
            <w:vAlign w:val="center"/>
          </w:tcPr>
          <w:p>
            <w:pPr>
              <w:pStyle w:val="单元格样式2"/>
            </w:pPr>
            <w:r>
              <w:t xml:space="preserve">反映车辆购置数量情况</w:t>
            </w:r>
          </w:p>
        </w:tc>
        <w:tc>
          <w:tcPr>
            <w:tcW w:w="2268" w:type="dxa"/>
            <w:vAlign w:val="center"/>
          </w:tcPr>
          <w:p>
            <w:pPr>
              <w:pStyle w:val="单元格样式2"/>
            </w:pPr>
            <w:r>
              <w:t xml:space="preserve">1辆</w:t>
            </w: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购置程序合规性</w:t>
            </w:r>
          </w:p>
        </w:tc>
        <w:tc>
          <w:tcPr>
            <w:tcW w:w="5386" w:type="dxa"/>
            <w:vAlign w:val="center"/>
          </w:tcPr>
          <w:p>
            <w:pPr>
              <w:pStyle w:val="单元格样式2"/>
            </w:pPr>
            <w:r>
              <w:t xml:space="preserve">反映履行政府采购程序情况</w:t>
            </w:r>
          </w:p>
        </w:tc>
        <w:tc>
          <w:tcPr>
            <w:tcW w:w="2268" w:type="dxa"/>
            <w:vAlign w:val="center"/>
          </w:tcPr>
          <w:p>
            <w:pPr>
              <w:pStyle w:val="单元格样式2"/>
            </w:pPr>
            <w:r>
              <w:t xml:space="preserve">合规</w:t>
            </w:r>
          </w:p>
        </w:tc>
        <w:tc>
          <w:tcPr>
            <w:tcW w:w="1276" w:type="dxa"/>
            <w:vAlign w:val="center"/>
          </w:tcPr>
          <w:p>
            <w:pPr>
              <w:pStyle w:val="单元格样式2"/>
            </w:pPr>
            <w:r>
              <w:t xml:space="preserve">政府采购管理文件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车辆到位及时率</w:t>
            </w:r>
          </w:p>
        </w:tc>
        <w:tc>
          <w:tcPr>
            <w:tcW w:w="5386" w:type="dxa"/>
            <w:vAlign w:val="center"/>
          </w:tcPr>
          <w:p>
            <w:pPr>
              <w:pStyle w:val="单元格样式2"/>
            </w:pPr>
            <w:r>
              <w:t xml:space="preserve">按照采购方案及时到位的车辆/采购车辆*100%</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购置总成本</w:t>
            </w:r>
          </w:p>
        </w:tc>
        <w:tc>
          <w:tcPr>
            <w:tcW w:w="5386" w:type="dxa"/>
            <w:vAlign w:val="center"/>
          </w:tcPr>
          <w:p>
            <w:pPr>
              <w:pStyle w:val="单元格样式2"/>
            </w:pPr>
            <w:r>
              <w:t xml:space="preserve">反映购置车辆总成本情况</w:t>
            </w:r>
          </w:p>
        </w:tc>
        <w:tc>
          <w:tcPr>
            <w:tcW w:w="2268" w:type="dxa"/>
            <w:vAlign w:val="center"/>
          </w:tcPr>
          <w:p>
            <w:pPr>
              <w:pStyle w:val="单元格样式2"/>
            </w:pPr>
            <w:r>
              <w:t xml:space="preserve">≤18万元</w:t>
            </w:r>
          </w:p>
        </w:tc>
        <w:tc>
          <w:tcPr>
            <w:tcW w:w="1276" w:type="dxa"/>
            <w:vAlign w:val="center"/>
          </w:tcPr>
          <w:p>
            <w:pPr>
              <w:pStyle w:val="单元格样式2"/>
            </w:pPr>
            <w:r>
              <w:t xml:space="preserve">购置计划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对保障各项业务工作正常开展，促进公共服务效率的提升或改善程度</w:t>
            </w:r>
          </w:p>
        </w:tc>
        <w:tc>
          <w:tcPr>
            <w:tcW w:w="5386" w:type="dxa"/>
            <w:vAlign w:val="center"/>
          </w:tcPr>
          <w:p>
            <w:pPr>
              <w:pStyle w:val="单元格样式2"/>
            </w:pPr>
            <w:r>
              <w:t xml:space="preserve">反映保障各项业务工作正常开展，促进行政效率的提升或改善程度情况</w:t>
            </w:r>
          </w:p>
        </w:tc>
        <w:tc>
          <w:tcPr>
            <w:tcW w:w="2268" w:type="dxa"/>
            <w:vAlign w:val="center"/>
          </w:tcPr>
          <w:p>
            <w:pPr>
              <w:pStyle w:val="单元格样式2"/>
            </w:pPr>
            <w:r>
              <w:t xml:space="preserve">明显</w:t>
            </w:r>
          </w:p>
        </w:tc>
        <w:tc>
          <w:tcPr>
            <w:tcW w:w="1276" w:type="dxa"/>
            <w:vAlign w:val="center"/>
          </w:tcPr>
          <w:p>
            <w:pPr>
              <w:pStyle w:val="单元格样式2"/>
            </w:pPr>
            <w:r>
              <w:tab/>
            </w:r>
            <w:r>
              <w:rP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5、机关运转经费绩效目标表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13020725P00000210008N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机关运转经费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用于支付维持机关运转的各项费用。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1.保证机关正常运转，保证地震工作正常开展，保证人员、设备设施能够满足业务需求。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日常使用网络专线数量</w:t>
            </w:r>
          </w:p>
        </w:tc>
        <w:tc>
          <w:tcPr>
            <w:tcW w:w="5386" w:type="dxa"/>
            <w:vAlign w:val="center"/>
          </w:tcPr>
          <w:p>
            <w:pPr>
              <w:pStyle w:val="单元格样式2"/>
            </w:pPr>
            <w:r>
              <w:t xml:space="preserve">反映日常使用网络专线数量情况</w:t>
            </w:r>
          </w:p>
        </w:tc>
        <w:tc>
          <w:tcPr>
            <w:tcW w:w="2268" w:type="dxa"/>
            <w:vAlign w:val="center"/>
          </w:tcPr>
          <w:p>
            <w:pPr>
              <w:pStyle w:val="单元格样式2"/>
            </w:pPr>
            <w:r>
              <w:t xml:space="preserve">3条</w:t>
            </w:r>
          </w:p>
        </w:tc>
        <w:tc>
          <w:tcPr>
            <w:tcW w:w="1276" w:type="dxa"/>
            <w:vAlign w:val="center"/>
          </w:tcPr>
          <w:p>
            <w:pPr>
              <w:pStyle w:val="单元格样式2"/>
            </w:pPr>
            <w:r>
              <w:t xml:space="preserve">合同</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保障工作正常开展</w:t>
            </w:r>
          </w:p>
        </w:tc>
        <w:tc>
          <w:tcPr>
            <w:tcW w:w="5386" w:type="dxa"/>
            <w:vAlign w:val="center"/>
          </w:tcPr>
          <w:p>
            <w:pPr>
              <w:pStyle w:val="单元格样式2"/>
            </w:pPr>
            <w:r>
              <w:t xml:space="preserve">反映供水供电正常，设备设施满足需要情况</w:t>
            </w:r>
          </w:p>
        </w:tc>
        <w:tc>
          <w:tcPr>
            <w:tcW w:w="2268" w:type="dxa"/>
            <w:vAlign w:val="center"/>
          </w:tcPr>
          <w:p>
            <w:pPr>
              <w:pStyle w:val="单元格样式2"/>
            </w:pPr>
            <w:r>
              <w:t xml:space="preserve">100%</w:t>
            </w:r>
          </w:p>
        </w:tc>
        <w:tc>
          <w:tcPr>
            <w:tcW w:w="1276" w:type="dxa"/>
            <w:vAlign w:val="center"/>
          </w:tcPr>
          <w:p>
            <w:pPr>
              <w:pStyle w:val="单元格样式2"/>
            </w:pPr>
            <w:r>
              <w:t xml:space="preserve">有效保障</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运转经费及时保障</w:t>
            </w:r>
          </w:p>
        </w:tc>
        <w:tc>
          <w:tcPr>
            <w:tcW w:w="5386" w:type="dxa"/>
            <w:vAlign w:val="center"/>
          </w:tcPr>
          <w:p>
            <w:pPr>
              <w:pStyle w:val="单元格样式2"/>
            </w:pPr>
            <w:r>
              <w:t xml:space="preserve">水、电、暖在规定时间内支付到位情况</w:t>
            </w:r>
          </w:p>
        </w:tc>
        <w:tc>
          <w:tcPr>
            <w:tcW w:w="2268" w:type="dxa"/>
            <w:vAlign w:val="center"/>
          </w:tcPr>
          <w:p>
            <w:pPr>
              <w:pStyle w:val="单元格样式2"/>
            </w:pPr>
            <w:r>
              <w:t xml:space="preserve">及时保障</w:t>
            </w:r>
          </w:p>
        </w:tc>
        <w:tc>
          <w:tcPr>
            <w:tcW w:w="1276" w:type="dxa"/>
            <w:vAlign w:val="center"/>
          </w:tcPr>
          <w:p>
            <w:pPr>
              <w:pStyle w:val="单元格样式2"/>
            </w:pPr>
            <w:r>
              <w:t xml:space="preserve">历史标准</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机关运转经费</w:t>
            </w:r>
          </w:p>
        </w:tc>
        <w:tc>
          <w:tcPr>
            <w:tcW w:w="5386" w:type="dxa"/>
            <w:vAlign w:val="center"/>
          </w:tcPr>
          <w:p>
            <w:pPr>
              <w:pStyle w:val="单元格样式2"/>
            </w:pPr>
            <w:r>
              <w:t xml:space="preserve">反映机关运转经费情况</w:t>
            </w:r>
          </w:p>
        </w:tc>
        <w:tc>
          <w:tcPr>
            <w:tcW w:w="2268" w:type="dxa"/>
            <w:vAlign w:val="center"/>
          </w:tcPr>
          <w:p>
            <w:pPr>
              <w:pStyle w:val="单元格样式2"/>
            </w:pPr>
            <w:r>
              <w:t xml:space="preserve">≤17.4万元</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保障机关正常运转</w:t>
            </w:r>
          </w:p>
        </w:tc>
        <w:tc>
          <w:tcPr>
            <w:tcW w:w="5386" w:type="dxa"/>
            <w:vAlign w:val="center"/>
          </w:tcPr>
          <w:p>
            <w:pPr>
              <w:pStyle w:val="单元格样式2"/>
            </w:pPr>
            <w:r>
              <w:t xml:space="preserve">反映保障机关正常运转情况</w:t>
            </w:r>
          </w:p>
        </w:tc>
        <w:tc>
          <w:tcPr>
            <w:tcW w:w="2268" w:type="dxa"/>
            <w:vAlign w:val="center"/>
          </w:tcPr>
          <w:p>
            <w:pPr>
              <w:pStyle w:val="单元格样式2"/>
            </w:pPr>
            <w:r>
              <w:t xml:space="preserve">有效保障</w:t>
            </w:r>
          </w:p>
        </w:tc>
        <w:tc>
          <w:tcPr>
            <w:tcW w:w="1276" w:type="dxa"/>
            <w:vAlign w:val="center"/>
          </w:tcPr>
          <w:p>
            <w:pPr>
              <w:pStyle w:val="单元格样式2"/>
            </w:pPr>
            <w:r>
              <w:tab/>
            </w:r>
            <w:r>
              <w:rP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反映工作人员满意程度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6、劳务派遣人员工资及保险（劳务费）绩效目标表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13020725P000022103346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劳务派遣人员工资及保险（劳务费）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用于支付劳务派遣人员的工资、保险等费用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1.每月按时发放劳务派遣人员工资，及时缴纳保险，调动职工工作积极性，保障机关正常运转。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劳务派遣人数</w:t>
            </w:r>
          </w:p>
        </w:tc>
        <w:tc>
          <w:tcPr>
            <w:tcW w:w="5386" w:type="dxa"/>
            <w:vAlign w:val="center"/>
          </w:tcPr>
          <w:p>
            <w:pPr>
              <w:pStyle w:val="单元格样式2"/>
            </w:pPr>
            <w:r>
              <w:t xml:space="preserve">反映签订劳务派遣合同人数情况</w:t>
            </w:r>
          </w:p>
        </w:tc>
        <w:tc>
          <w:tcPr>
            <w:tcW w:w="2268" w:type="dxa"/>
            <w:vAlign w:val="center"/>
          </w:tcPr>
          <w:p>
            <w:pPr>
              <w:pStyle w:val="单元格样式2"/>
            </w:pPr>
            <w:r>
              <w:t xml:space="preserve">25人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机关事业单位劳务派遣人员管理办法</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　</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≥3080元</w:t>
            </w:r>
          </w:p>
        </w:tc>
        <w:tc>
          <w:tcPr>
            <w:tcW w:w="1276" w:type="dxa"/>
            <w:vAlign w:val="center"/>
          </w:tcPr>
          <w:p>
            <w:pPr>
              <w:pStyle w:val="单元格样式2"/>
            </w:pPr>
            <w:r>
              <w:t xml:space="preserve">《关于调整最低工资标准的通知》、合同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　有效保障</w:t>
            </w:r>
          </w:p>
        </w:tc>
        <w:tc>
          <w:tcPr>
            <w:tcW w:w="1276" w:type="dxa"/>
            <w:vAlign w:val="center"/>
          </w:tcPr>
          <w:p>
            <w:pPr>
              <w:pStyle w:val="单元格样式2"/>
            </w:pPr>
            <w:r>
              <w:tab/>
            </w:r>
            <w:r>
              <w:rP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7、提前下达2025年自然灾害救助专项资金（唐财建[2024]136号）绩效目标表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13020725P00912W10003M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提前下达2025年自然灾害救助专项资金（唐财建[2024]136号）</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71.76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71.76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用于参加政策性农村住房灾害保险补助支出。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1.保障农户农民遇到理赔情况及时获得经济赔偿，减轻农户损失。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开展政策性农房保险乡镇数量</w:t>
            </w:r>
          </w:p>
        </w:tc>
        <w:tc>
          <w:tcPr>
            <w:tcW w:w="5386" w:type="dxa"/>
            <w:vAlign w:val="center"/>
          </w:tcPr>
          <w:p>
            <w:pPr>
              <w:pStyle w:val="单元格样式2"/>
            </w:pPr>
            <w:r>
              <w:t xml:space="preserve">补助政策性农房保险乡镇数量</w:t>
            </w:r>
          </w:p>
        </w:tc>
        <w:tc>
          <w:tcPr>
            <w:tcW w:w="2268" w:type="dxa"/>
            <w:vAlign w:val="center"/>
          </w:tcPr>
          <w:p>
            <w:pPr>
              <w:pStyle w:val="单元格样式2"/>
            </w:pPr>
            <w:r>
              <w:t xml:space="preserve">15个</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农房保险出险赔付率</w:t>
            </w:r>
          </w:p>
        </w:tc>
        <w:tc>
          <w:tcPr>
            <w:tcW w:w="5386" w:type="dxa"/>
            <w:vAlign w:val="center"/>
          </w:tcPr>
          <w:p>
            <w:pPr>
              <w:pStyle w:val="单元格样式2"/>
            </w:pPr>
            <w:r>
              <w:t xml:space="preserve">经鉴定符合承保理赔要求的因灾受损农户房，占后期理赔比例</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农房保险到期续保时间</w:t>
            </w:r>
          </w:p>
        </w:tc>
        <w:tc>
          <w:tcPr>
            <w:tcW w:w="5386" w:type="dxa"/>
            <w:vAlign w:val="center"/>
          </w:tcPr>
          <w:p>
            <w:pPr>
              <w:pStyle w:val="单元格样式2"/>
            </w:pPr>
            <w:r>
              <w:t xml:space="preserve">反映农房保险到期续保时间</w:t>
            </w:r>
          </w:p>
        </w:tc>
        <w:tc>
          <w:tcPr>
            <w:tcW w:w="2268" w:type="dxa"/>
            <w:vAlign w:val="center"/>
          </w:tcPr>
          <w:p>
            <w:pPr>
              <w:pStyle w:val="单元格样式2"/>
            </w:pPr>
            <w:r>
              <w:t xml:space="preserve">1个月以内</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政策性农村住房灾害保险保费标准</w:t>
            </w:r>
          </w:p>
        </w:tc>
        <w:tc>
          <w:tcPr>
            <w:tcW w:w="5386" w:type="dxa"/>
            <w:vAlign w:val="center"/>
          </w:tcPr>
          <w:p>
            <w:pPr>
              <w:pStyle w:val="单元格样式2"/>
            </w:pPr>
            <w:r>
              <w:t xml:space="preserve">反映政策性农村住房灾害保险保费标准情况</w:t>
            </w:r>
          </w:p>
        </w:tc>
        <w:tc>
          <w:tcPr>
            <w:tcW w:w="2268" w:type="dxa"/>
            <w:vAlign w:val="center"/>
          </w:tcPr>
          <w:p>
            <w:pPr>
              <w:pStyle w:val="单元格样式2"/>
            </w:pPr>
            <w:r>
              <w:t xml:space="preserve">9元/年/户</w:t>
            </w:r>
          </w:p>
        </w:tc>
        <w:tc>
          <w:tcPr>
            <w:tcW w:w="1276" w:type="dxa"/>
            <w:vAlign w:val="center"/>
          </w:tcPr>
          <w:p>
            <w:pPr>
              <w:pStyle w:val="单元格样式2"/>
            </w:pPr>
            <w:r>
              <w:t xml:space="preserve">《关于进一步加强和规范全省政策性农房保险工作的通知》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提高农户抵御灾害能力</w:t>
            </w:r>
          </w:p>
        </w:tc>
        <w:tc>
          <w:tcPr>
            <w:tcW w:w="5386" w:type="dxa"/>
            <w:vAlign w:val="center"/>
          </w:tcPr>
          <w:p>
            <w:pPr>
              <w:pStyle w:val="单元格样式2"/>
            </w:pPr>
            <w:r>
              <w:t xml:space="preserve">反映农户抵御灾害能力得到提升情况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8、退役军人公益性岗位安置费用绩效目标表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13020725P00002210332Y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退役军人公益性岗位安置费用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用于支付公益岗工资和保险费用。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1.及时发放公益岗人员工资，调动职工工作积极性，保障机关正常运转。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享受公益性岗位补贴人数</w:t>
            </w:r>
          </w:p>
        </w:tc>
        <w:tc>
          <w:tcPr>
            <w:tcW w:w="5386" w:type="dxa"/>
            <w:vAlign w:val="center"/>
          </w:tcPr>
          <w:p>
            <w:pPr>
              <w:pStyle w:val="单元格样式2"/>
            </w:pPr>
            <w:r>
              <w:t xml:space="preserve">反映签订公益性岗位合同人数情况</w:t>
            </w:r>
          </w:p>
        </w:tc>
        <w:tc>
          <w:tcPr>
            <w:tcW w:w="2268" w:type="dxa"/>
            <w:vAlign w:val="center"/>
          </w:tcPr>
          <w:p>
            <w:pPr>
              <w:pStyle w:val="单元格样式2"/>
            </w:pPr>
            <w:r>
              <w:t xml:space="preserve">18人</w:t>
            </w:r>
          </w:p>
        </w:tc>
        <w:tc>
          <w:tcPr>
            <w:tcW w:w="1276" w:type="dxa"/>
            <w:vAlign w:val="center"/>
          </w:tcPr>
          <w:p>
            <w:pPr>
              <w:pStyle w:val="单元格样式2"/>
            </w:pPr>
            <w:r>
              <w:t xml:space="preserve">合同、上年末人数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工资发放覆盖率</w:t>
            </w:r>
          </w:p>
        </w:tc>
        <w:tc>
          <w:tcPr>
            <w:tcW w:w="5386" w:type="dxa"/>
            <w:vAlign w:val="center"/>
          </w:tcPr>
          <w:p>
            <w:pPr>
              <w:pStyle w:val="单元格样式2"/>
            </w:pPr>
            <w:r>
              <w:t xml:space="preserve">反映实际发放工资的覆盖程度情况，覆盖率=实发人数/应发人数</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工资发放及时性</w:t>
            </w:r>
          </w:p>
        </w:tc>
        <w:tc>
          <w:tcPr>
            <w:tcW w:w="5386" w:type="dxa"/>
            <w:vAlign w:val="center"/>
          </w:tcPr>
          <w:p>
            <w:pPr>
              <w:pStyle w:val="单元格样式2"/>
            </w:pPr>
            <w:r>
              <w:t xml:space="preserve">反映按时足额发放工资的情况</w:t>
            </w:r>
          </w:p>
        </w:tc>
        <w:tc>
          <w:tcPr>
            <w:tcW w:w="2268" w:type="dxa"/>
            <w:vAlign w:val="center"/>
          </w:tcPr>
          <w:p>
            <w:pPr>
              <w:pStyle w:val="单元格样式2"/>
            </w:pPr>
            <w:r>
              <w:t xml:space="preserve">及时足额发放</w:t>
            </w:r>
          </w:p>
        </w:tc>
        <w:tc>
          <w:tcPr>
            <w:tcW w:w="1276" w:type="dxa"/>
            <w:vAlign w:val="center"/>
          </w:tcPr>
          <w:p>
            <w:pPr>
              <w:pStyle w:val="单元格样式2"/>
            </w:pPr>
            <w:r>
              <w:t xml:space="preserve">历史标准、合同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工资标准</w:t>
            </w:r>
          </w:p>
        </w:tc>
        <w:tc>
          <w:tcPr>
            <w:tcW w:w="5386" w:type="dxa"/>
            <w:vAlign w:val="center"/>
          </w:tcPr>
          <w:p>
            <w:pPr>
              <w:pStyle w:val="单元格样式2"/>
            </w:pPr>
            <w:r>
              <w:t xml:space="preserve">反映人均月工资标准情况</w:t>
            </w:r>
          </w:p>
        </w:tc>
        <w:tc>
          <w:tcPr>
            <w:tcW w:w="2268" w:type="dxa"/>
            <w:vAlign w:val="center"/>
          </w:tcPr>
          <w:p>
            <w:pPr>
              <w:pStyle w:val="单元格样式2"/>
            </w:pPr>
            <w:r>
              <w:t xml:space="preserve">1210元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生活水平保障程度</w:t>
            </w:r>
          </w:p>
        </w:tc>
        <w:tc>
          <w:tcPr>
            <w:tcW w:w="5386" w:type="dxa"/>
            <w:vAlign w:val="center"/>
          </w:tcPr>
          <w:p>
            <w:pPr>
              <w:pStyle w:val="单元格样式2"/>
            </w:pPr>
            <w:r>
              <w:t xml:space="preserve">反映工作人员生活水平情况</w:t>
            </w:r>
          </w:p>
        </w:tc>
        <w:tc>
          <w:tcPr>
            <w:tcW w:w="2268" w:type="dxa"/>
            <w:vAlign w:val="center"/>
          </w:tcPr>
          <w:p>
            <w:pPr>
              <w:pStyle w:val="单元格样式2"/>
            </w:pPr>
            <w:r>
              <w:t xml:space="preserve">有效保障</w:t>
            </w:r>
          </w:p>
        </w:tc>
        <w:tc>
          <w:tcPr>
            <w:tcW w:w="1276" w:type="dxa"/>
            <w:vAlign w:val="center"/>
          </w:tcPr>
          <w:p>
            <w:pPr>
              <w:pStyle w:val="单元格样式2"/>
            </w:pPr>
            <w:r>
              <w:t xml:space="preserve">历史标准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服务对象人群满意度</w:t>
            </w:r>
          </w:p>
        </w:tc>
        <w:tc>
          <w:tcPr>
            <w:tcW w:w="5386" w:type="dxa"/>
            <w:vAlign w:val="center"/>
          </w:tcPr>
          <w:p>
            <w:pPr>
              <w:pStyle w:val="单元格样式2"/>
            </w:pPr>
            <w:r>
              <w:t xml:space="preserve">反映群众对工作人员服务满意程度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9、业务工作经费绩效目标表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13020725P00694810001H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业务工作经费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用于开展业务的各项支出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w:t>
            </w:r>
          </w:p>
        </w:tc>
        <w:tc>
          <w:tcPr>
            <w:tcW w:w="2835" w:type="dxa"/>
            <w:vAlign w:val="center"/>
          </w:tcPr>
          <w:p>
            <w:pPr>
              <w:pStyle w:val="单元格样式3"/>
            </w:pPr>
            <w:r>
              <w:t xml:space="preserve">60%</w:t>
            </w:r>
          </w:p>
        </w:tc>
        <w:tc>
          <w:tcPr>
            <w:tcW w:w="2551" w:type="dxa"/>
            <w:vAlign w:val="center"/>
          </w:tcPr>
          <w:p>
            <w:pPr>
              <w:pStyle w:val="单元格样式3"/>
            </w:pPr>
            <w:r>
              <w:t xml:space="preserve">90%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1.加强防汛应急演练，加强防震减灾工作，加大安全生产投入，加大宣传教育培训力度，促进全区安全生产稳定，做好应急管理工作，保障本年内各项业务工作正常开展。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应急演练次数</w:t>
            </w:r>
          </w:p>
        </w:tc>
        <w:tc>
          <w:tcPr>
            <w:tcW w:w="5386" w:type="dxa"/>
            <w:vAlign w:val="center"/>
          </w:tcPr>
          <w:p>
            <w:pPr>
              <w:pStyle w:val="单元格样式2"/>
            </w:pPr>
            <w:r>
              <w:t xml:space="preserve">开展应急演练次数</w:t>
            </w:r>
          </w:p>
        </w:tc>
        <w:tc>
          <w:tcPr>
            <w:tcW w:w="2268" w:type="dxa"/>
            <w:vAlign w:val="center"/>
          </w:tcPr>
          <w:p>
            <w:pPr>
              <w:pStyle w:val="单元格样式2"/>
            </w:pPr>
            <w:r>
              <w:t xml:space="preserve">≥1次</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保障工作完成率</w:t>
            </w:r>
          </w:p>
        </w:tc>
        <w:tc>
          <w:tcPr>
            <w:tcW w:w="5386" w:type="dxa"/>
            <w:vAlign w:val="center"/>
          </w:tcPr>
          <w:p>
            <w:pPr>
              <w:pStyle w:val="单元格样式2"/>
            </w:pPr>
            <w:r>
              <w:t xml:space="preserve">完成的工作占计划完成工作的比例</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业务工作完成及时率</w:t>
            </w:r>
          </w:p>
        </w:tc>
        <w:tc>
          <w:tcPr>
            <w:tcW w:w="5386" w:type="dxa"/>
            <w:vAlign w:val="center"/>
          </w:tcPr>
          <w:p>
            <w:pPr>
              <w:pStyle w:val="单元格样式2"/>
            </w:pPr>
            <w:r>
              <w:t xml:space="preserve">及时完成的业务工作占计划总业务工作量的比例</w:t>
            </w:r>
          </w:p>
        </w:tc>
        <w:tc>
          <w:tcPr>
            <w:tcW w:w="2268" w:type="dxa"/>
            <w:vAlign w:val="center"/>
          </w:tcPr>
          <w:p>
            <w:pPr>
              <w:pStyle w:val="单元格样式2"/>
            </w:pPr>
            <w:r>
              <w:t xml:space="preserve">100%</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业务工作总成本</w:t>
            </w:r>
          </w:p>
        </w:tc>
        <w:tc>
          <w:tcPr>
            <w:tcW w:w="5386" w:type="dxa"/>
            <w:vAlign w:val="center"/>
          </w:tcPr>
          <w:p>
            <w:pPr>
              <w:pStyle w:val="单元格样式2"/>
            </w:pPr>
            <w:r>
              <w:t xml:space="preserve">反映业务工作费用总量情况</w:t>
            </w:r>
          </w:p>
        </w:tc>
        <w:tc>
          <w:tcPr>
            <w:tcW w:w="2268" w:type="dxa"/>
            <w:vAlign w:val="center"/>
          </w:tcPr>
          <w:p>
            <w:pPr>
              <w:pStyle w:val="单元格样式2"/>
            </w:pPr>
            <w:r>
              <w:t xml:space="preserve">≤30万元</w:t>
            </w:r>
          </w:p>
        </w:tc>
        <w:tc>
          <w:tcPr>
            <w:tcW w:w="1276" w:type="dxa"/>
            <w:vAlign w:val="center"/>
          </w:tcPr>
          <w:p>
            <w:pPr>
              <w:pStyle w:val="单元格样式2"/>
            </w:pPr>
            <w:r>
              <w:t xml:space="preserve">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vAlign w:val="center"/>
          </w:tcPr>
          <w:p>
            <w:pPr>
              <w:pStyle w:val="单元格样式2"/>
            </w:pPr>
            <w:r>
              <w:t xml:space="preserve">在全区的重要影响，得到广大受众的充分认可</w:t>
            </w:r>
          </w:p>
        </w:tc>
        <w:tc>
          <w:tcPr>
            <w:tcW w:w="2268" w:type="dxa"/>
            <w:vAlign w:val="center"/>
          </w:tcPr>
          <w:p>
            <w:pPr>
              <w:pStyle w:val="单元格样式2"/>
            </w:pPr>
            <w:r>
              <w:t xml:space="preserve">提高企业安全生产率</w:t>
            </w:r>
          </w:p>
        </w:tc>
        <w:tc>
          <w:tcPr>
            <w:tcW w:w="1276" w:type="dxa"/>
            <w:vAlign w:val="center"/>
          </w:tcPr>
          <w:p>
            <w:pPr>
              <w:pStyle w:val="单元格样式2"/>
            </w:pPr>
            <w:r>
              <w:t xml:space="preserve">单位年度目标任务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10、应急救灾物资储备经费绩效目标表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13020725P00RTB210004H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应急救灾物资储备经费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用于支付应急救灾物资采购费用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1.采购应急救灾物资，为救灾工作提供保障，提升我区灾害救助能力。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救灾物资采购计划落实率</w:t>
            </w:r>
          </w:p>
        </w:tc>
        <w:tc>
          <w:tcPr>
            <w:tcW w:w="5386" w:type="dxa"/>
            <w:vAlign w:val="center"/>
          </w:tcPr>
          <w:p>
            <w:pPr>
              <w:pStyle w:val="单元格样式2"/>
            </w:pPr>
            <w:r>
              <w:t xml:space="preserve">救灾物资采购计划落实率</w:t>
            </w:r>
          </w:p>
        </w:tc>
        <w:tc>
          <w:tcPr>
            <w:tcW w:w="2268" w:type="dxa"/>
            <w:vAlign w:val="center"/>
          </w:tcPr>
          <w:p>
            <w:pPr>
              <w:pStyle w:val="单元格样式2"/>
            </w:pPr>
            <w:r>
              <w:t xml:space="preserve">100%</w:t>
            </w: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物资质量合格率</w:t>
            </w:r>
          </w:p>
        </w:tc>
        <w:tc>
          <w:tcPr>
            <w:tcW w:w="5386" w:type="dxa"/>
            <w:vAlign w:val="center"/>
          </w:tcPr>
          <w:p>
            <w:pPr>
              <w:pStyle w:val="单元格样式2"/>
            </w:pPr>
            <w:r>
              <w:t xml:space="preserve">物资质量合格率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应急保障率</w:t>
            </w:r>
          </w:p>
        </w:tc>
        <w:tc>
          <w:tcPr>
            <w:tcW w:w="5386" w:type="dxa"/>
            <w:vAlign w:val="center"/>
          </w:tcPr>
          <w:p>
            <w:pPr>
              <w:pStyle w:val="单元格样式2"/>
            </w:pPr>
            <w:r>
              <w:t xml:space="preserve">应急保障率</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购置总成本</w:t>
            </w:r>
          </w:p>
        </w:tc>
        <w:tc>
          <w:tcPr>
            <w:tcW w:w="5386" w:type="dxa"/>
            <w:vAlign w:val="center"/>
          </w:tcPr>
          <w:p>
            <w:pPr>
              <w:pStyle w:val="单元格样式2"/>
            </w:pPr>
            <w:r>
              <w:t xml:space="preserve">反映购置货物总成本情况</w:t>
            </w:r>
          </w:p>
        </w:tc>
        <w:tc>
          <w:tcPr>
            <w:tcW w:w="2268" w:type="dxa"/>
            <w:vAlign w:val="center"/>
          </w:tcPr>
          <w:p>
            <w:pPr>
              <w:pStyle w:val="单元格样式2"/>
            </w:pPr>
            <w:r>
              <w:t xml:space="preserve">≤50万元</w:t>
            </w:r>
          </w:p>
        </w:tc>
        <w:tc>
          <w:tcPr>
            <w:tcW w:w="1276" w:type="dxa"/>
            <w:vAlign w:val="center"/>
          </w:tcPr>
          <w:p>
            <w:pPr>
              <w:pStyle w:val="单元格样式2"/>
            </w:pPr>
            <w:r>
              <w:t xml:space="preserve">购置计划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应急救灾物资储备对我区灾害救助能力的作用</w:t>
            </w:r>
          </w:p>
        </w:tc>
        <w:tc>
          <w:tcPr>
            <w:tcW w:w="5386" w:type="dxa"/>
            <w:vAlign w:val="center"/>
          </w:tcPr>
          <w:p>
            <w:pPr>
              <w:pStyle w:val="单元格样式2"/>
            </w:pPr>
            <w:r>
              <w:t xml:space="preserve">应急救灾物资储备对我区灾害救助能力的作用</w:t>
            </w:r>
          </w:p>
        </w:tc>
        <w:tc>
          <w:tcPr>
            <w:tcW w:w="2268" w:type="dxa"/>
            <w:vAlign w:val="center"/>
          </w:tcPr>
          <w:p>
            <w:pPr>
              <w:pStyle w:val="单元格样式2"/>
            </w:pPr>
            <w:r>
              <w:t xml:space="preserve">效果显著</w:t>
            </w:r>
            <w:r>
              <w:rPr/>
              <w:tab/>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11、增发2023年国债自然灾害应急能力提升工程（应急领域）县级配套绩效目标表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13020724P000008100063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增发2023年国债自然灾害应急能力提升工程（应急领域）县级配套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14.53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14.53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用于开展河北省自然灾害应急能力提升工程预警指挥项目。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1.提升自然灾害应急能力预警指挥水平，形成“统一指挥、专常兼备、反应灵敏、协调有序、运转高效”的现代应急管理指挥体系。</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重点工作完成率</w:t>
            </w:r>
          </w:p>
        </w:tc>
        <w:tc>
          <w:tcPr>
            <w:tcW w:w="5386" w:type="dxa"/>
            <w:vAlign w:val="center"/>
          </w:tcPr>
          <w:p>
            <w:pPr>
              <w:pStyle w:val="单元格样式2"/>
            </w:pPr>
            <w:r>
              <w:t xml:space="preserve">重点工作完成情况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购置设备的合格率</w:t>
            </w:r>
          </w:p>
        </w:tc>
        <w:tc>
          <w:tcPr>
            <w:tcW w:w="5386" w:type="dxa"/>
            <w:vAlign w:val="center"/>
          </w:tcPr>
          <w:p>
            <w:pPr>
              <w:pStyle w:val="单元格样式2"/>
            </w:pPr>
            <w:r>
              <w:t xml:space="preserve">符合使用标准的设备</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预警指挥通信畅通率</w:t>
            </w:r>
          </w:p>
        </w:tc>
        <w:tc>
          <w:tcPr>
            <w:tcW w:w="5386" w:type="dxa"/>
            <w:vAlign w:val="center"/>
          </w:tcPr>
          <w:p>
            <w:pPr>
              <w:pStyle w:val="单元格样式2"/>
            </w:pPr>
            <w:r>
              <w:t xml:space="preserve">预警指挥通信畅通率</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预算（成本）控制率</w:t>
            </w:r>
          </w:p>
        </w:tc>
        <w:tc>
          <w:tcPr>
            <w:tcW w:w="5386" w:type="dxa"/>
            <w:vAlign w:val="center"/>
          </w:tcPr>
          <w:p>
            <w:pPr>
              <w:pStyle w:val="单元格样式2"/>
            </w:pPr>
            <w:r>
              <w:t xml:space="preserve">预算（成本）控制率=（项目当期实际支出成本-项目当期预算）/项目当期预算*100%</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项目综合利用率</w:t>
            </w:r>
          </w:p>
        </w:tc>
        <w:tc>
          <w:tcPr>
            <w:tcW w:w="5386" w:type="dxa"/>
            <w:vAlign w:val="center"/>
          </w:tcPr>
          <w:p>
            <w:pPr>
              <w:pStyle w:val="单元格样式2"/>
            </w:pPr>
            <w:r>
              <w:t xml:space="preserve">项目综合利用情况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使用单位满意度</w:t>
            </w:r>
          </w:p>
        </w:tc>
        <w:tc>
          <w:tcPr>
            <w:tcW w:w="5386" w:type="dxa"/>
            <w:vAlign w:val="center"/>
          </w:tcPr>
          <w:p>
            <w:pPr>
              <w:pStyle w:val="单元格样式2"/>
            </w:pPr>
            <w:r>
              <w:t xml:space="preserve">使用单位满意程度</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12、增发2023年国债自然灾害应急能力提升工程（应急领域基层防灾工程项目）县级配套</w:t>
      </w: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13020724P00001010001T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增发2023年国债自然灾害应急能力提升工程（应急领域基层防灾工程项目）县级配套</w:t>
            </w:r>
            <w:r>
              <w:rPr/>
              <w:tab/>
            </w:r>
          </w:p>
          <w:p>
            <w:pPr>
              <w:pStyle w:val="单元格样式2"/>
            </w:pPr>
            <w: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63.63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63.63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用于开展河北省基层防灾工程项目。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10000%</w:t>
            </w:r>
          </w:p>
        </w:tc>
        <w:tc>
          <w:tcPr>
            <w:tcW w:w="3544" w:type="dxa"/>
            <w:gridSpan w:val="2"/>
            <w:vAlign w:val="center"/>
          </w:tcPr>
          <w:p>
            <w:pPr>
              <w:pStyle w:val="单元格样式3"/>
            </w:pPr>
            <w:r>
              <w:t xml:space="preserve">10000%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1.提高我区应对灾害风险的能力，预防和减少突发灾害造成的损害，提升我区防灾减灾水平。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设备购置数量（台/件/辆/套）</w:t>
            </w:r>
          </w:p>
        </w:tc>
        <w:tc>
          <w:tcPr>
            <w:tcW w:w="5386" w:type="dxa"/>
            <w:vAlign w:val="center"/>
          </w:tcPr>
          <w:p>
            <w:pPr>
              <w:pStyle w:val="单元格样式2"/>
            </w:pPr>
            <w:r>
              <w:t xml:space="preserve">反映购置数量完成情况</w:t>
            </w:r>
          </w:p>
        </w:tc>
        <w:tc>
          <w:tcPr>
            <w:tcW w:w="2268" w:type="dxa"/>
            <w:vAlign w:val="center"/>
          </w:tcPr>
          <w:p>
            <w:pPr>
              <w:pStyle w:val="单元格样式2"/>
            </w:pPr>
            <w:r>
              <w:t xml:space="preserve">40台/件/辆/套等</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设备质量合格率（%）</w:t>
            </w:r>
          </w:p>
        </w:tc>
        <w:tc>
          <w:tcPr>
            <w:tcW w:w="5386" w:type="dxa"/>
            <w:vAlign w:val="center"/>
          </w:tcPr>
          <w:p>
            <w:pPr>
              <w:pStyle w:val="单元格样式2"/>
            </w:pPr>
            <w:r>
              <w:t xml:space="preserve">反映购置设备质量合格情况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设备购置按时完成率</w:t>
            </w:r>
          </w:p>
        </w:tc>
        <w:tc>
          <w:tcPr>
            <w:tcW w:w="5386" w:type="dxa"/>
            <w:vAlign w:val="center"/>
          </w:tcPr>
          <w:p>
            <w:pPr>
              <w:pStyle w:val="单元格样式2"/>
            </w:pPr>
            <w:r>
              <w:t xml:space="preserve">反映按时购置设备情况</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预算（成本）控制率</w:t>
            </w:r>
          </w:p>
        </w:tc>
        <w:tc>
          <w:tcPr>
            <w:tcW w:w="5386" w:type="dxa"/>
            <w:vAlign w:val="center"/>
          </w:tcPr>
          <w:p>
            <w:pPr>
              <w:pStyle w:val="单元格样式2"/>
            </w:pPr>
            <w:r>
              <w:t xml:space="preserve">预算（成本）控制率</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功能保障实际需求程度</w:t>
            </w:r>
          </w:p>
        </w:tc>
        <w:tc>
          <w:tcPr>
            <w:tcW w:w="5386" w:type="dxa"/>
            <w:vAlign w:val="center"/>
          </w:tcPr>
          <w:p>
            <w:pPr>
              <w:pStyle w:val="单元格样式2"/>
            </w:pPr>
            <w:r>
              <w:t xml:space="preserve">反映设备功能保障水平</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受益群体满意度</w:t>
            </w:r>
          </w:p>
        </w:tc>
        <w:tc>
          <w:tcPr>
            <w:tcW w:w="5386" w:type="dxa"/>
            <w:vAlign w:val="center"/>
          </w:tcPr>
          <w:p>
            <w:pPr>
              <w:pStyle w:val="单元格样式2"/>
            </w:pPr>
            <w:r>
              <w:t xml:space="preserve">反映通过问卷调查受益群体满意情况</w:t>
            </w: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13、政策性农村住房灾害保险区级资金绩效目标表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13020725P00912W100022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政策性农村住房灾害保险区级资金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用于支付2025年农房保险区级补助费用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1.保障农户农民遇到理赔情况及时获得经济赔偿，减轻农户损失。</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开展政策性农房保险乡镇数量</w:t>
            </w:r>
          </w:p>
        </w:tc>
        <w:tc>
          <w:tcPr>
            <w:tcW w:w="5386" w:type="dxa"/>
            <w:vAlign w:val="center"/>
          </w:tcPr>
          <w:p>
            <w:pPr>
              <w:pStyle w:val="单元格样式2"/>
            </w:pPr>
            <w:r>
              <w:t xml:space="preserve">补助政策性农房保险乡镇数量</w:t>
            </w:r>
          </w:p>
        </w:tc>
        <w:tc>
          <w:tcPr>
            <w:tcW w:w="2268" w:type="dxa"/>
            <w:vAlign w:val="center"/>
          </w:tcPr>
          <w:p>
            <w:pPr>
              <w:pStyle w:val="单元格样式2"/>
            </w:pPr>
            <w:r>
              <w:t xml:space="preserve">15个</w:t>
            </w:r>
          </w:p>
        </w:tc>
        <w:tc>
          <w:tcPr>
            <w:tcW w:w="1276" w:type="dxa"/>
            <w:vAlign w:val="center"/>
          </w:tcPr>
          <w:p>
            <w:pPr>
              <w:pStyle w:val="单元格样式2"/>
            </w:pPr>
            <w:r>
              <w:t xml:space="preserve">历史标准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农房保险出险赔付率</w:t>
            </w:r>
          </w:p>
        </w:tc>
        <w:tc>
          <w:tcPr>
            <w:tcW w:w="5386" w:type="dxa"/>
            <w:vAlign w:val="center"/>
          </w:tcPr>
          <w:p>
            <w:pPr>
              <w:pStyle w:val="单元格样式2"/>
            </w:pPr>
            <w:r>
              <w:t xml:space="preserve">经鉴定符合承保理赔要求的因灾受损农户房，占后期理赔比例</w:t>
            </w:r>
          </w:p>
        </w:tc>
        <w:tc>
          <w:tcPr>
            <w:tcW w:w="2268" w:type="dxa"/>
            <w:vAlign w:val="center"/>
          </w:tcPr>
          <w:p>
            <w:pPr>
              <w:pStyle w:val="单元格样式2"/>
            </w:pPr>
            <w:r>
              <w:t xml:space="preserve">100%</w:t>
            </w:r>
          </w:p>
        </w:tc>
        <w:tc>
          <w:tcPr>
            <w:tcW w:w="1276" w:type="dxa"/>
            <w:vAlign w:val="center"/>
          </w:tcPr>
          <w:p>
            <w:pPr>
              <w:pStyle w:val="单元格样式2"/>
            </w:pPr>
            <w:r>
              <w:t xml:space="preserve">政策文件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农房保险到期续保时间</w:t>
            </w:r>
          </w:p>
        </w:tc>
        <w:tc>
          <w:tcPr>
            <w:tcW w:w="5386" w:type="dxa"/>
            <w:vAlign w:val="center"/>
          </w:tcPr>
          <w:p>
            <w:pPr>
              <w:pStyle w:val="单元格样式2"/>
            </w:pPr>
            <w:r>
              <w:t xml:space="preserve">反映农房保险到期续保时间</w:t>
            </w:r>
          </w:p>
        </w:tc>
        <w:tc>
          <w:tcPr>
            <w:tcW w:w="2268" w:type="dxa"/>
            <w:vAlign w:val="center"/>
          </w:tcPr>
          <w:p>
            <w:pPr>
              <w:pStyle w:val="单元格样式2"/>
            </w:pPr>
            <w:r>
              <w:t xml:space="preserve">1个月以内</w:t>
            </w:r>
          </w:p>
        </w:tc>
        <w:tc>
          <w:tcPr>
            <w:tcW w:w="1276" w:type="dxa"/>
            <w:vAlign w:val="center"/>
          </w:tcPr>
          <w:p>
            <w:pPr>
              <w:pStyle w:val="单元格样式2"/>
            </w:pPr>
            <w:r>
              <w:t xml:space="preserve">政策文件</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政策性农村住房灾害保险保费标准</w:t>
            </w:r>
          </w:p>
        </w:tc>
        <w:tc>
          <w:tcPr>
            <w:tcW w:w="5386" w:type="dxa"/>
            <w:vAlign w:val="center"/>
          </w:tcPr>
          <w:p>
            <w:pPr>
              <w:pStyle w:val="单元格样式2"/>
            </w:pPr>
            <w:r>
              <w:t xml:space="preserve">反映政策性农村住房灾害保险保费标准情况</w:t>
            </w:r>
          </w:p>
        </w:tc>
        <w:tc>
          <w:tcPr>
            <w:tcW w:w="2268" w:type="dxa"/>
            <w:vAlign w:val="center"/>
          </w:tcPr>
          <w:p>
            <w:pPr>
              <w:pStyle w:val="单元格样式2"/>
            </w:pPr>
            <w:r>
              <w:t xml:space="preserve">9元/年/户</w:t>
            </w:r>
          </w:p>
        </w:tc>
        <w:tc>
          <w:tcPr>
            <w:tcW w:w="1276" w:type="dxa"/>
            <w:vAlign w:val="center"/>
          </w:tcPr>
          <w:p>
            <w:pPr>
              <w:pStyle w:val="单元格样式2"/>
            </w:pPr>
            <w:r>
              <w:t xml:space="preserve">《关于进一步加强和规范全省政策性农房保险工作的通知》</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提高农户抵御灾害能力</w:t>
            </w:r>
          </w:p>
        </w:tc>
        <w:tc>
          <w:tcPr>
            <w:tcW w:w="5386" w:type="dxa"/>
            <w:vAlign w:val="center"/>
          </w:tcPr>
          <w:p>
            <w:pPr>
              <w:pStyle w:val="单元格样式2"/>
            </w:pPr>
            <w:r>
              <w:t xml:space="preserve">反映农户抵御灾害能力得到提升情况</w:t>
            </w:r>
          </w:p>
        </w:tc>
        <w:tc>
          <w:tcPr>
            <w:tcW w:w="2268" w:type="dxa"/>
            <w:vAlign w:val="center"/>
          </w:tcPr>
          <w:p>
            <w:pPr>
              <w:pStyle w:val="单元格样式2"/>
            </w:pPr>
            <w:r>
              <w:t xml:space="preserve">明显</w:t>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14、执法检查租车费绩效目标表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13020725P00000210005U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执法检查租车费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用于支付租车费用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1.租用车辆，保障省、市、区安排的安全生产执法大检查、治本攻坚三年行动、企业隐患排查、安全生产督导等各项业务活动的顺利开展，完成上级领导交办的各项执法检查工作，排查隐患，提高安全生产水平。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租赁车辆数量</w:t>
            </w:r>
          </w:p>
        </w:tc>
        <w:tc>
          <w:tcPr>
            <w:tcW w:w="5386" w:type="dxa"/>
            <w:vAlign w:val="center"/>
          </w:tcPr>
          <w:p>
            <w:pPr>
              <w:pStyle w:val="单元格样式2"/>
            </w:pPr>
            <w:r>
              <w:t xml:space="preserve">反映租赁车辆数量情况</w:t>
            </w:r>
          </w:p>
        </w:tc>
        <w:tc>
          <w:tcPr>
            <w:tcW w:w="2268" w:type="dxa"/>
            <w:vAlign w:val="center"/>
          </w:tcPr>
          <w:p>
            <w:pPr>
              <w:pStyle w:val="单元格样式2"/>
            </w:pPr>
            <w:r>
              <w:t xml:space="preserve">3辆</w:t>
            </w:r>
          </w:p>
        </w:tc>
        <w:tc>
          <w:tcPr>
            <w:tcW w:w="1276" w:type="dxa"/>
            <w:vAlign w:val="center"/>
          </w:tcPr>
          <w:p>
            <w:pPr>
              <w:pStyle w:val="单元格样式2"/>
            </w:pPr>
            <w:r>
              <w:t xml:space="preserve">租赁计划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租赁车辆利用率</w:t>
            </w:r>
          </w:p>
        </w:tc>
        <w:tc>
          <w:tcPr>
            <w:tcW w:w="5386" w:type="dxa"/>
            <w:vAlign w:val="center"/>
          </w:tcPr>
          <w:p>
            <w:pPr>
              <w:pStyle w:val="单元格样式2"/>
            </w:pPr>
            <w:r>
              <w:t xml:space="preserve">反映租赁车辆的使用情况</w:t>
            </w:r>
          </w:p>
        </w:tc>
        <w:tc>
          <w:tcPr>
            <w:tcW w:w="2268" w:type="dxa"/>
            <w:vAlign w:val="center"/>
          </w:tcPr>
          <w:p>
            <w:pPr>
              <w:pStyle w:val="单元格样式2"/>
            </w:pPr>
            <w:r>
              <w:t xml:space="preserve">100%</w:t>
            </w:r>
          </w:p>
        </w:tc>
        <w:tc>
          <w:tcPr>
            <w:tcW w:w="1276" w:type="dxa"/>
            <w:vAlign w:val="center"/>
          </w:tcPr>
          <w:p>
            <w:pPr>
              <w:pStyle w:val="单元格样式2"/>
            </w:pPr>
            <w:r>
              <w:t xml:space="preserve">历史标准</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租赁车辆到位及时性</w:t>
            </w:r>
          </w:p>
        </w:tc>
        <w:tc>
          <w:tcPr>
            <w:tcW w:w="5386" w:type="dxa"/>
            <w:vAlign w:val="center"/>
          </w:tcPr>
          <w:p>
            <w:pPr>
              <w:pStyle w:val="单元格样式2"/>
            </w:pPr>
            <w:r>
              <w:t xml:space="preserve">反映租赁车辆的到位及时性</w:t>
            </w:r>
          </w:p>
        </w:tc>
        <w:tc>
          <w:tcPr>
            <w:tcW w:w="2268" w:type="dxa"/>
            <w:vAlign w:val="center"/>
          </w:tcPr>
          <w:p>
            <w:pPr>
              <w:pStyle w:val="单元格样式2"/>
            </w:pPr>
            <w:r>
              <w:t xml:space="preserve">及时</w:t>
            </w:r>
          </w:p>
        </w:tc>
        <w:tc>
          <w:tcPr>
            <w:tcW w:w="1276" w:type="dxa"/>
            <w:vAlign w:val="center"/>
          </w:tcPr>
          <w:p>
            <w:pPr>
              <w:pStyle w:val="单元格样式2"/>
            </w:pPr>
            <w:r>
              <w:t xml:space="preserve">合同</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租赁成本</w:t>
            </w:r>
          </w:p>
        </w:tc>
        <w:tc>
          <w:tcPr>
            <w:tcW w:w="5386" w:type="dxa"/>
            <w:vAlign w:val="center"/>
          </w:tcPr>
          <w:p>
            <w:pPr>
              <w:pStyle w:val="单元格样式2"/>
            </w:pPr>
            <w:r>
              <w:t xml:space="preserve">反映租赁成本情况</w:t>
            </w:r>
          </w:p>
        </w:tc>
        <w:tc>
          <w:tcPr>
            <w:tcW w:w="2268" w:type="dxa"/>
            <w:vAlign w:val="center"/>
          </w:tcPr>
          <w:p>
            <w:pPr>
              <w:pStyle w:val="单元格样式2"/>
            </w:pPr>
            <w:r>
              <w:t xml:space="preserve">≤25万元</w:t>
            </w:r>
          </w:p>
        </w:tc>
        <w:tc>
          <w:tcPr>
            <w:tcW w:w="1276" w:type="dxa"/>
            <w:vAlign w:val="center"/>
          </w:tcPr>
          <w:p>
            <w:pPr>
              <w:pStyle w:val="单元格样式2"/>
            </w:pPr>
            <w:r>
              <w:t xml:space="preserve">合同</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提升工作效率的保障程度</w:t>
            </w:r>
          </w:p>
        </w:tc>
        <w:tc>
          <w:tcPr>
            <w:tcW w:w="5386" w:type="dxa"/>
            <w:vAlign w:val="center"/>
          </w:tcPr>
          <w:p>
            <w:pPr>
              <w:pStyle w:val="单元格样式2"/>
            </w:pPr>
            <w:r>
              <w:t xml:space="preserve">反映租赁车辆对提升工作效率的保障程度情况</w:t>
            </w:r>
          </w:p>
        </w:tc>
        <w:tc>
          <w:tcPr>
            <w:tcW w:w="2268" w:type="dxa"/>
            <w:vAlign w:val="center"/>
          </w:tcPr>
          <w:p>
            <w:pPr>
              <w:pStyle w:val="单元格样式2"/>
            </w:pPr>
            <w:r>
              <w:t xml:space="preserve">有效保障</w:t>
            </w:r>
            <w:r>
              <w:rPr/>
              <w:tab/>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反映工作人员满意程度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15、综合执法制式服装购置费绩效目标表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13020725P000002100073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综合执法制式服装购置费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用于购置综合执法制式服装和标志。</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100%</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1.统一应急管理系统综合执法制式服装和标志的质量技术标准，提高应急管理系统综合执法水平。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配备执法服装和标志人数</w:t>
            </w:r>
          </w:p>
        </w:tc>
        <w:tc>
          <w:tcPr>
            <w:tcW w:w="5386" w:type="dxa"/>
            <w:vAlign w:val="center"/>
          </w:tcPr>
          <w:p>
            <w:pPr>
              <w:pStyle w:val="单元格样式2"/>
            </w:pPr>
            <w:r>
              <w:t xml:space="preserve">配备执法服装和标志人数</w:t>
            </w:r>
          </w:p>
        </w:tc>
        <w:tc>
          <w:tcPr>
            <w:tcW w:w="2268" w:type="dxa"/>
            <w:vAlign w:val="center"/>
          </w:tcPr>
          <w:p>
            <w:pPr>
              <w:pStyle w:val="单元格样式2"/>
            </w:pPr>
            <w:r>
              <w:t xml:space="preserve">6人</w:t>
            </w:r>
          </w:p>
        </w:tc>
        <w:tc>
          <w:tcPr>
            <w:tcW w:w="1276" w:type="dxa"/>
            <w:vAlign w:val="center"/>
          </w:tcPr>
          <w:p>
            <w:pPr>
              <w:pStyle w:val="单元格样式2"/>
            </w:pPr>
            <w:r>
              <w:t xml:space="preserve">购置计划</w:t>
            </w:r>
          </w:p>
          <w:p>
            <w:pPr>
              <w:pStyle w:val="单元格样式2"/>
            </w:pP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采购服装和标志质量合格率</w:t>
            </w:r>
          </w:p>
        </w:tc>
        <w:tc>
          <w:tcPr>
            <w:tcW w:w="5386" w:type="dxa"/>
            <w:vAlign w:val="center"/>
          </w:tcPr>
          <w:p>
            <w:pPr>
              <w:pStyle w:val="单元格样式2"/>
            </w:pPr>
            <w:r>
              <w:t xml:space="preserve">采购服装和标志质量合格率</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采购完成及时率</w:t>
            </w:r>
          </w:p>
        </w:tc>
        <w:tc>
          <w:tcPr>
            <w:tcW w:w="5386" w:type="dxa"/>
            <w:vAlign w:val="center"/>
          </w:tcPr>
          <w:p>
            <w:pPr>
              <w:pStyle w:val="单元格样式2"/>
            </w:pPr>
            <w:r>
              <w:t xml:space="preserve">采购完成及时率</w:t>
            </w:r>
          </w:p>
        </w:tc>
        <w:tc>
          <w:tcPr>
            <w:tcW w:w="2268" w:type="dxa"/>
            <w:vAlign w:val="center"/>
          </w:tcPr>
          <w:p>
            <w:pPr>
              <w:pStyle w:val="单元格样式2"/>
            </w:pPr>
            <w:r>
              <w:t xml:space="preserve">100%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购置总成本</w:t>
            </w:r>
          </w:p>
        </w:tc>
        <w:tc>
          <w:tcPr>
            <w:tcW w:w="5386" w:type="dxa"/>
            <w:vAlign w:val="center"/>
          </w:tcPr>
          <w:p>
            <w:pPr>
              <w:pStyle w:val="单元格样式2"/>
            </w:pPr>
            <w:r>
              <w:t xml:space="preserve">反映购置执法服装和标志总成本情况</w:t>
            </w:r>
          </w:p>
        </w:tc>
        <w:tc>
          <w:tcPr>
            <w:tcW w:w="2268" w:type="dxa"/>
            <w:vAlign w:val="center"/>
          </w:tcPr>
          <w:p>
            <w:pPr>
              <w:pStyle w:val="单元格样式2"/>
            </w:pPr>
            <w:r>
              <w:t xml:space="preserve">≤2.42万元</w:t>
            </w:r>
          </w:p>
        </w:tc>
        <w:tc>
          <w:tcPr>
            <w:tcW w:w="1276" w:type="dxa"/>
            <w:vAlign w:val="center"/>
          </w:tcPr>
          <w:p>
            <w:pPr>
              <w:pStyle w:val="单元格样式2"/>
            </w:pPr>
            <w:r>
              <w:t xml:space="preserve">购置计划</w:t>
            </w:r>
          </w:p>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对应急管理系统执法水平提升作用</w:t>
            </w:r>
          </w:p>
        </w:tc>
        <w:tc>
          <w:tcPr>
            <w:tcW w:w="5386" w:type="dxa"/>
            <w:vAlign w:val="center"/>
          </w:tcPr>
          <w:p>
            <w:pPr>
              <w:pStyle w:val="单元格样式2"/>
            </w:pPr>
            <w:r>
              <w:t xml:space="preserve">对应急管理系统执法水平提升作用</w:t>
            </w:r>
          </w:p>
        </w:tc>
        <w:tc>
          <w:tcPr>
            <w:tcW w:w="2268" w:type="dxa"/>
            <w:vAlign w:val="center"/>
          </w:tcPr>
          <w:p>
            <w:pPr>
              <w:pStyle w:val="单元格样式2"/>
            </w:pPr>
            <w:r>
              <w:t xml:space="preserve">效果显著</w:t>
            </w:r>
            <w:r>
              <w:rPr/>
              <w:tab/>
            </w:r>
          </w:p>
        </w:tc>
        <w:tc>
          <w:tcPr>
            <w:tcW w:w="1276" w:type="dxa"/>
            <w:vAlign w:val="center"/>
          </w:tcPr>
          <w:p>
            <w:pPr>
              <w:pStyle w:val="单元格样式2"/>
            </w:pPr>
            <w:r>
              <w:t xml:space="preserve">经验标准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受益对象满意度</w:t>
            </w:r>
          </w:p>
        </w:tc>
        <w:tc>
          <w:tcPr>
            <w:tcW w:w="5386" w:type="dxa"/>
            <w:vAlign w:val="center"/>
          </w:tcPr>
          <w:p>
            <w:pPr>
              <w:pStyle w:val="单元格样式2"/>
            </w:pPr>
            <w:r>
              <w:t xml:space="preserve">反映受益对象满意程度</w:t>
            </w:r>
          </w:p>
        </w:tc>
        <w:tc>
          <w:tcPr>
            <w:tcW w:w="2268" w:type="dxa"/>
            <w:vAlign w:val="center"/>
          </w:tcPr>
          <w:p>
            <w:pPr>
              <w:pStyle w:val="单元格样式2"/>
            </w:pPr>
            <w:r>
              <w:t xml:space="preserve">≥80%</w:t>
            </w:r>
          </w:p>
        </w:tc>
        <w:tc>
          <w:tcPr>
            <w:tcW w:w="1276" w:type="dxa"/>
            <w:vAlign w:val="center"/>
          </w:tcPr>
          <w:p>
            <w:pPr>
              <w:pStyle w:val="单元格样式2"/>
            </w:pPr>
            <w:r>
              <w:t xml:space="preserve">经验标准</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435.00</w:t>
            </w:r>
          </w:p>
        </w:tc>
        <w:tc>
          <w:tcPr>
            <w:tcW w:w="964" w:type="dxa"/>
            <w:vAlign w:val="center"/>
          </w:tcPr>
          <w:p>
            <w:pPr>
              <w:pStyle w:val="单元格样式7"/>
            </w:pPr>
            <w:r>
              <w:t xml:space="preserve">435.00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435.00</w:t>
            </w:r>
          </w:p>
        </w:tc>
      </w:tr>
      <w:tr>
        <w:trPr>
          <w:cantSplit/>
          <w:trHeight w:hRule="auto" w:val="0"/>
          <w:jc w:val="center"/>
        </w:trPr>
        <w:tc>
          <w:tcPr>
            <w:tcW w:w="1701" w:type="dxa"/>
            <w:vAlign w:val="center"/>
          </w:tcPr>
          <w:p>
            <w:pPr>
              <w:pStyle w:val="单元格样式6"/>
            </w:pPr>
            <w:r>
              <w:t xml:space="preserve">唐山市丰南区应急管理局本级小计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435.00</w:t>
            </w:r>
          </w:p>
        </w:tc>
        <w:tc>
          <w:tcPr>
            <w:tcW w:w="964" w:type="dxa"/>
            <w:vAlign w:val="center"/>
          </w:tcPr>
          <w:p>
            <w:pPr>
              <w:pStyle w:val="单元格样式7"/>
            </w:pPr>
            <w:r>
              <w:t xml:space="preserve">435.00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435.00</w:t>
            </w:r>
          </w:p>
        </w:tc>
      </w:tr>
      <w:tr>
        <w:trPr>
          <w:cantSplit/>
          <w:trHeight w:hRule="auto" w:val="0"/>
          <w:jc w:val="center"/>
        </w:trPr>
        <w:tc>
          <w:tcPr>
            <w:tcW w:w="1701" w:type="dxa"/>
            <w:vAlign w:val="center"/>
          </w:tcPr>
          <w:p>
            <w:pPr>
              <w:pStyle w:val="单元格样式2"/>
            </w:pPr>
            <w:r>
              <w:t xml:space="preserve">安全生产技术服务费</w:t>
            </w:r>
          </w:p>
        </w:tc>
        <w:tc>
          <w:tcPr>
            <w:tcW w:w="964" w:type="dxa"/>
            <w:vAlign w:val="center"/>
          </w:tcPr>
          <w:p>
            <w:pPr>
              <w:pStyle w:val="单元格样式4"/>
            </w:pPr>
            <w:r>
              <w:t xml:space="preserve">300.00</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r>
              <w:t xml:space="preserve">200.00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200.00</w:t>
            </w:r>
          </w:p>
        </w:tc>
      </w:tr>
      <w:tr>
        <w:trPr>
          <w:cantSplit/>
          <w:trHeight w:hRule="auto" w:val="0"/>
          <w:jc w:val="center"/>
        </w:trPr>
        <w:tc>
          <w:tcPr>
            <w:tcW w:w="1701" w:type="dxa"/>
            <w:vAlign w:val="center"/>
          </w:tcPr>
          <w:p>
            <w:pPr>
              <w:pStyle w:val="单元格样式2"/>
            </w:pPr>
            <w:r>
              <w:t xml:space="preserve">工矿商贸领域作业场所视频全覆盖线路租赁费</w:t>
            </w:r>
          </w:p>
        </w:tc>
        <w:tc>
          <w:tcPr>
            <w:tcW w:w="964" w:type="dxa"/>
            <w:vAlign w:val="center"/>
          </w:tcPr>
          <w:p>
            <w:pPr>
              <w:pStyle w:val="单元格样式4"/>
            </w:pPr>
            <w:r>
              <w:t xml:space="preserve">167.00</w:t>
            </w:r>
          </w:p>
        </w:tc>
        <w:tc>
          <w:tcPr>
            <w:tcW w:w="1134" w:type="dxa"/>
            <w:vAlign w:val="center"/>
          </w:tcPr>
          <w:p>
            <w:pPr>
              <w:pStyle w:val="单元格样式2"/>
            </w:pPr>
            <w:r>
              <w:t xml:space="preserve">基础电信服务</w:t>
            </w:r>
          </w:p>
        </w:tc>
        <w:tc>
          <w:tcPr>
            <w:tcW w:w="1134" w:type="dxa"/>
            <w:vAlign w:val="center"/>
          </w:tcPr>
          <w:p>
            <w:pPr>
              <w:pStyle w:val="单元格样式2"/>
            </w:pPr>
            <w:r>
              <w:t xml:space="preserve">C17010100</w:t>
            </w:r>
          </w:p>
        </w:tc>
        <w:tc>
          <w:tcPr>
            <w:tcW w:w="709" w:type="dxa"/>
            <w:vAlign w:val="center"/>
          </w:tcPr>
          <w:p>
            <w:pPr>
              <w:pStyle w:val="单元格样式3"/>
            </w:pPr>
            <w:r>
              <w:t xml:space="preserve">年</w:t>
            </w:r>
          </w:p>
        </w:tc>
        <w:tc>
          <w:tcPr>
            <w:tcW w:w="850" w:type="dxa"/>
            <w:vAlign w:val="center"/>
          </w:tcPr>
          <w:p>
            <w:pPr>
              <w:pStyle w:val="单元格样式4"/>
            </w:pPr>
            <w:r>
              <w:t xml:space="preserve">1</w:t>
            </w:r>
          </w:p>
        </w:tc>
        <w:tc>
          <w:tcPr>
            <w:tcW w:w="850" w:type="dxa"/>
            <w:vAlign w:val="center"/>
          </w:tcPr>
          <w:p>
            <w:pPr>
              <w:pStyle w:val="单元格样式4"/>
            </w:pPr>
            <w:r>
              <w:t xml:space="preserve">167.00</w:t>
            </w:r>
          </w:p>
        </w:tc>
        <w:tc>
          <w:tcPr>
            <w:tcW w:w="964" w:type="dxa"/>
            <w:vAlign w:val="center"/>
          </w:tcPr>
          <w:p>
            <w:pPr>
              <w:pStyle w:val="单元格样式4"/>
            </w:pPr>
            <w:r>
              <w:t xml:space="preserve">167.00</w:t>
            </w:r>
          </w:p>
        </w:tc>
        <w:tc>
          <w:tcPr>
            <w:tcW w:w="964" w:type="dxa"/>
            <w:vAlign w:val="center"/>
          </w:tcPr>
          <w:p>
            <w:pPr>
              <w:pStyle w:val="单元格样式4"/>
            </w:pPr>
            <w:r>
              <w:t xml:space="preserve">167.00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167.00</w:t>
            </w:r>
          </w:p>
        </w:tc>
      </w:tr>
      <w:tr>
        <w:trPr>
          <w:cantSplit/>
          <w:trHeight w:hRule="auto" w:val="0"/>
          <w:jc w:val="center"/>
        </w:trPr>
        <w:tc>
          <w:tcPr>
            <w:tcW w:w="1701" w:type="dxa"/>
            <w:vAlign w:val="center"/>
          </w:tcPr>
          <w:p>
            <w:pPr>
              <w:pStyle w:val="单元格样式2"/>
            </w:pPr>
            <w:r>
              <w:t xml:space="preserve">公务用车购置费</w:t>
            </w:r>
          </w:p>
        </w:tc>
        <w:tc>
          <w:tcPr>
            <w:tcW w:w="964" w:type="dxa"/>
            <w:vAlign w:val="center"/>
          </w:tcPr>
          <w:p>
            <w:pPr>
              <w:pStyle w:val="单元格样式4"/>
            </w:pPr>
            <w:r>
              <w:t xml:space="preserve">18.00</w:t>
            </w:r>
          </w:p>
        </w:tc>
        <w:tc>
          <w:tcPr>
            <w:tcW w:w="1134" w:type="dxa"/>
            <w:vAlign w:val="center"/>
          </w:tcPr>
          <w:p>
            <w:pPr>
              <w:pStyle w:val="单元格样式2"/>
            </w:pPr>
            <w:r>
              <w:t xml:space="preserve">其他车辆</w:t>
            </w:r>
          </w:p>
        </w:tc>
        <w:tc>
          <w:tcPr>
            <w:tcW w:w="1134" w:type="dxa"/>
            <w:vAlign w:val="center"/>
          </w:tcPr>
          <w:p>
            <w:pPr>
              <w:pStyle w:val="单元格样式2"/>
            </w:pPr>
            <w:r>
              <w:t xml:space="preserve">A02039900</w:t>
            </w:r>
          </w:p>
        </w:tc>
        <w:tc>
          <w:tcPr>
            <w:tcW w:w="709" w:type="dxa"/>
            <w:vAlign w:val="center"/>
          </w:tcPr>
          <w:p>
            <w:pPr>
              <w:pStyle w:val="单元格样式3"/>
            </w:pPr>
            <w:r>
              <w:t xml:space="preserve">辆</w:t>
            </w:r>
          </w:p>
        </w:tc>
        <w:tc>
          <w:tcPr>
            <w:tcW w:w="850" w:type="dxa"/>
            <w:vAlign w:val="center"/>
          </w:tcPr>
          <w:p>
            <w:pPr>
              <w:pStyle w:val="单元格样式4"/>
            </w:pPr>
            <w:r>
              <w:t xml:space="preserve">1</w:t>
            </w:r>
          </w:p>
        </w:tc>
        <w:tc>
          <w:tcPr>
            <w:tcW w:w="850"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r>
              <w:t xml:space="preserve">18.00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18.00</w:t>
            </w:r>
          </w:p>
        </w:tc>
      </w:tr>
      <w:tr>
        <w:trPr>
          <w:cantSplit/>
          <w:trHeight w:hRule="auto" w:val="0"/>
          <w:jc w:val="center"/>
        </w:trPr>
        <w:tc>
          <w:tcPr>
            <w:tcW w:w="1701" w:type="dxa"/>
            <w:vAlign w:val="center"/>
          </w:tcPr>
          <w:p>
            <w:pPr>
              <w:pStyle w:val="单元格样式2"/>
            </w:pPr>
            <w:r>
              <w:t xml:space="preserve">应急救灾物资储备经费</w:t>
            </w:r>
          </w:p>
        </w:tc>
        <w:tc>
          <w:tcPr>
            <w:tcW w:w="964" w:type="dxa"/>
            <w:vAlign w:val="center"/>
          </w:tcPr>
          <w:p>
            <w:pPr>
              <w:pStyle w:val="单元格样式4"/>
            </w:pPr>
            <w:r>
              <w:t xml:space="preserve">50.00</w:t>
            </w:r>
          </w:p>
        </w:tc>
        <w:tc>
          <w:tcPr>
            <w:tcW w:w="1134" w:type="dxa"/>
            <w:vAlign w:val="center"/>
          </w:tcPr>
          <w:p>
            <w:pPr>
              <w:pStyle w:val="单元格样式2"/>
            </w:pPr>
            <w:r>
              <w:t xml:space="preserve">其他橡胶、塑料、玻璃和陶瓷制品</w:t>
            </w:r>
          </w:p>
        </w:tc>
        <w:tc>
          <w:tcPr>
            <w:tcW w:w="1134" w:type="dxa"/>
            <w:vAlign w:val="center"/>
          </w:tcPr>
          <w:p>
            <w:pPr>
              <w:pStyle w:val="单元格样式2"/>
            </w:pPr>
            <w:r>
              <w:t xml:space="preserve">A07099900</w:t>
            </w:r>
          </w:p>
        </w:tc>
        <w:tc>
          <w:tcPr>
            <w:tcW w:w="709" w:type="dxa"/>
            <w:vAlign w:val="center"/>
          </w:tcPr>
          <w:p>
            <w:pPr>
              <w:pStyle w:val="单元格样式3"/>
            </w:pPr>
            <w:r>
              <w:t xml:space="preserve">项</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唐山市丰南区应急管理局本级上年末固定资产金额为1360.80万元（详见下表）。本年度拟购置固定资产总额为4.50万元，已按要求列入政府采购预算，详见政府采购预算表。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429001唐山市丰南区应急管理局本级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1360.80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13745.37</w:t>
            </w:r>
          </w:p>
        </w:tc>
        <w:tc>
          <w:tcPr>
            <w:tcW w:w="2835" w:type="dxa"/>
            <w:vAlign w:val="center"/>
          </w:tcPr>
          <w:p>
            <w:pPr>
              <w:pStyle w:val="单元格样式4"/>
            </w:pPr>
            <w:r>
              <w:t xml:space="preserve">735.10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200</w:t>
            </w:r>
          </w:p>
        </w:tc>
        <w:tc>
          <w:tcPr>
            <w:tcW w:w="2835" w:type="dxa"/>
            <w:vAlign w:val="center"/>
          </w:tcPr>
          <w:p>
            <w:pPr>
              <w:pStyle w:val="单元格样式4"/>
            </w:pPr>
            <w:r>
              <w:t xml:space="preserve">22.29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44.47</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9</w:t>
            </w:r>
          </w:p>
        </w:tc>
        <w:tc>
          <w:tcPr>
            <w:tcW w:w="2835" w:type="dxa"/>
            <w:vAlign w:val="center"/>
          </w:tcPr>
          <w:p>
            <w:pPr>
              <w:pStyle w:val="单元格样式4"/>
            </w:pPr>
            <w:r>
              <w:t xml:space="preserve">255.40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511</w:t>
            </w:r>
          </w:p>
        </w:tc>
        <w:tc>
          <w:tcPr>
            <w:tcW w:w="2835" w:type="dxa"/>
            <w:vAlign w:val="center"/>
          </w:tcPr>
          <w:p>
            <w:pPr>
              <w:pStyle w:val="单元格样式4"/>
            </w:pPr>
            <w:r>
              <w:t xml:space="preserve">325.83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2025-02-07T09:54:46Z</dcterms:created>
  <dcterms:modified xsi:type="dcterms:W3CDTF">2025-02-07T09:54:46Z</dcterms:modified>
</cp:coreProperties>
</file>