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10</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15</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257.74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206.63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19.13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16.22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15.76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257.74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257.74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257.74</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257.74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257.74</w:t>
            </w:r>
          </w:p>
        </w:tc>
        <w:tc>
          <w:tcPr>
            <w:tcW w:w="1134" w:type="dxa"/>
            <w:vAlign w:val="center"/>
          </w:tcPr>
          <w:p>
            <w:pPr>
              <w:pStyle w:val="单元格样式7"/>
            </w:pPr>
            <w:r>
              <w:t xml:space="preserve">257.74</w:t>
            </w:r>
          </w:p>
        </w:tc>
        <w:tc>
          <w:tcPr>
            <w:tcW w:w="1134" w:type="dxa"/>
            <w:vAlign w:val="center"/>
          </w:tcPr>
          <w:p>
            <w:pPr>
              <w:pStyle w:val="单元格样式7"/>
            </w:pPr>
            <w:r>
              <w:t xml:space="preserve">257.74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206.63</w:t>
            </w:r>
          </w:p>
        </w:tc>
        <w:tc>
          <w:tcPr>
            <w:tcW w:w="1134" w:type="dxa"/>
            <w:vAlign w:val="center"/>
          </w:tcPr>
          <w:p>
            <w:pPr>
              <w:pStyle w:val="单元格样式4"/>
            </w:pPr>
            <w:r>
              <w:t xml:space="preserve">206.63</w:t>
            </w:r>
          </w:p>
        </w:tc>
        <w:tc>
          <w:tcPr>
            <w:tcW w:w="1134" w:type="dxa"/>
            <w:vAlign w:val="center"/>
          </w:tcPr>
          <w:p>
            <w:pPr>
              <w:pStyle w:val="单元格样式4"/>
            </w:pPr>
            <w:r>
              <w:t xml:space="preserve">206.63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r>
              <w:t xml:space="preserve">8.04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20137</w:t>
            </w:r>
          </w:p>
        </w:tc>
        <w:tc>
          <w:tcPr>
            <w:tcW w:w="1559" w:type="dxa"/>
            <w:vAlign w:val="center"/>
          </w:tcPr>
          <w:p>
            <w:pPr>
              <w:pStyle w:val="单元格样式2"/>
            </w:pPr>
            <w:r>
              <w:t xml:space="preserve">网信事务</w:t>
            </w:r>
          </w:p>
        </w:tc>
        <w:tc>
          <w:tcPr>
            <w:tcW w:w="1134" w:type="dxa"/>
            <w:vAlign w:val="center"/>
          </w:tcPr>
          <w:p>
            <w:pPr>
              <w:pStyle w:val="单元格样式4"/>
            </w:pPr>
            <w:r>
              <w:t xml:space="preserve">198.59</w:t>
            </w:r>
          </w:p>
        </w:tc>
        <w:tc>
          <w:tcPr>
            <w:tcW w:w="1134" w:type="dxa"/>
            <w:vAlign w:val="center"/>
          </w:tcPr>
          <w:p>
            <w:pPr>
              <w:pStyle w:val="单元格样式4"/>
            </w:pPr>
            <w:r>
              <w:t xml:space="preserve">198.59</w:t>
            </w:r>
          </w:p>
        </w:tc>
        <w:tc>
          <w:tcPr>
            <w:tcW w:w="1134" w:type="dxa"/>
            <w:vAlign w:val="center"/>
          </w:tcPr>
          <w:p>
            <w:pPr>
              <w:pStyle w:val="单元格样式4"/>
            </w:pPr>
            <w:r>
              <w:t xml:space="preserve">198.59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2013701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138.99</w:t>
            </w:r>
          </w:p>
        </w:tc>
        <w:tc>
          <w:tcPr>
            <w:tcW w:w="1134" w:type="dxa"/>
            <w:vAlign w:val="center"/>
          </w:tcPr>
          <w:p>
            <w:pPr>
              <w:pStyle w:val="单元格样式4"/>
            </w:pPr>
            <w:r>
              <w:t xml:space="preserve">138.99</w:t>
            </w:r>
          </w:p>
        </w:tc>
        <w:tc>
          <w:tcPr>
            <w:tcW w:w="1134" w:type="dxa"/>
            <w:vAlign w:val="center"/>
          </w:tcPr>
          <w:p>
            <w:pPr>
              <w:pStyle w:val="单元格样式4"/>
            </w:pPr>
            <w:r>
              <w:t xml:space="preserve">138.99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2013702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59.60</w:t>
            </w:r>
          </w:p>
        </w:tc>
        <w:tc>
          <w:tcPr>
            <w:tcW w:w="1134" w:type="dxa"/>
            <w:vAlign w:val="center"/>
          </w:tcPr>
          <w:p>
            <w:pPr>
              <w:pStyle w:val="单元格样式4"/>
            </w:pPr>
            <w:r>
              <w:t xml:space="preserve">59.60</w:t>
            </w:r>
          </w:p>
        </w:tc>
        <w:tc>
          <w:tcPr>
            <w:tcW w:w="1134" w:type="dxa"/>
            <w:vAlign w:val="center"/>
          </w:tcPr>
          <w:p>
            <w:pPr>
              <w:pStyle w:val="单元格样式4"/>
            </w:pPr>
            <w:r>
              <w:t xml:space="preserve">59.60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r>
              <w:t xml:space="preserve">19.13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r>
              <w:t xml:space="preserve">16.22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7.71</w:t>
            </w:r>
          </w:p>
        </w:tc>
        <w:tc>
          <w:tcPr>
            <w:tcW w:w="1134" w:type="dxa"/>
            <w:vAlign w:val="center"/>
          </w:tcPr>
          <w:p>
            <w:pPr>
              <w:pStyle w:val="单元格样式4"/>
            </w:pPr>
            <w:r>
              <w:t xml:space="preserve">7.71</w:t>
            </w:r>
          </w:p>
        </w:tc>
        <w:tc>
          <w:tcPr>
            <w:tcW w:w="1134" w:type="dxa"/>
            <w:vAlign w:val="center"/>
          </w:tcPr>
          <w:p>
            <w:pPr>
              <w:pStyle w:val="单元格样式4"/>
            </w:pPr>
            <w:r>
              <w:t xml:space="preserve">7.71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8.51</w:t>
            </w:r>
          </w:p>
        </w:tc>
        <w:tc>
          <w:tcPr>
            <w:tcW w:w="1134" w:type="dxa"/>
            <w:vAlign w:val="center"/>
          </w:tcPr>
          <w:p>
            <w:pPr>
              <w:pStyle w:val="单元格样式4"/>
            </w:pPr>
            <w:r>
              <w:t xml:space="preserve">8.51</w:t>
            </w:r>
          </w:p>
        </w:tc>
        <w:tc>
          <w:tcPr>
            <w:tcW w:w="1134" w:type="dxa"/>
            <w:vAlign w:val="center"/>
          </w:tcPr>
          <w:p>
            <w:pPr>
              <w:pStyle w:val="单元格样式4"/>
            </w:pPr>
            <w:r>
              <w:t xml:space="preserve">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r>
              <w:t xml:space="preserve">15.76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257.74</w:t>
            </w:r>
          </w:p>
        </w:tc>
        <w:tc>
          <w:tcPr>
            <w:tcW w:w="1361" w:type="dxa"/>
            <w:vAlign w:val="center"/>
          </w:tcPr>
          <w:p>
            <w:pPr>
              <w:pStyle w:val="单元格样式7"/>
            </w:pPr>
            <w:r>
              <w:t xml:space="preserve">198.14</w:t>
            </w:r>
          </w:p>
        </w:tc>
        <w:tc>
          <w:tcPr>
            <w:tcW w:w="1361" w:type="dxa"/>
            <w:vAlign w:val="center"/>
          </w:tcPr>
          <w:p>
            <w:pPr>
              <w:pStyle w:val="单元格样式7"/>
            </w:pPr>
            <w:r>
              <w:t xml:space="preserve">59.60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206.63</w:t>
            </w:r>
          </w:p>
        </w:tc>
        <w:tc>
          <w:tcPr>
            <w:tcW w:w="1361" w:type="dxa"/>
            <w:vAlign w:val="center"/>
          </w:tcPr>
          <w:p>
            <w:pPr>
              <w:pStyle w:val="单元格样式4"/>
            </w:pPr>
            <w:r>
              <w:t xml:space="preserve">147.03</w:t>
            </w: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8.04</w:t>
            </w:r>
          </w:p>
        </w:tc>
        <w:tc>
          <w:tcPr>
            <w:tcW w:w="1361" w:type="dxa"/>
            <w:vAlign w:val="center"/>
          </w:tcPr>
          <w:p>
            <w:pPr>
              <w:pStyle w:val="单元格样式4"/>
            </w:pPr>
            <w:r>
              <w:t xml:space="preserve">8.04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8.04</w:t>
            </w:r>
          </w:p>
        </w:tc>
        <w:tc>
          <w:tcPr>
            <w:tcW w:w="1361" w:type="dxa"/>
            <w:vAlign w:val="center"/>
          </w:tcPr>
          <w:p>
            <w:pPr>
              <w:pStyle w:val="单元格样式4"/>
            </w:pPr>
            <w:r>
              <w:t xml:space="preserve">8.04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20137</w:t>
            </w:r>
          </w:p>
        </w:tc>
        <w:tc>
          <w:tcPr>
            <w:tcW w:w="4535" w:type="dxa"/>
            <w:vAlign w:val="center"/>
          </w:tcPr>
          <w:p>
            <w:pPr>
              <w:pStyle w:val="单元格样式2"/>
            </w:pPr>
            <w:r>
              <w:t xml:space="preserve">网信事务</w:t>
            </w:r>
          </w:p>
        </w:tc>
        <w:tc>
          <w:tcPr>
            <w:tcW w:w="1361" w:type="dxa"/>
            <w:vAlign w:val="center"/>
          </w:tcPr>
          <w:p>
            <w:pPr>
              <w:pStyle w:val="单元格样式4"/>
            </w:pPr>
            <w:r>
              <w:t xml:space="preserve">198.59</w:t>
            </w:r>
          </w:p>
        </w:tc>
        <w:tc>
          <w:tcPr>
            <w:tcW w:w="1361" w:type="dxa"/>
            <w:vAlign w:val="center"/>
          </w:tcPr>
          <w:p>
            <w:pPr>
              <w:pStyle w:val="单元格样式4"/>
            </w:pPr>
            <w:r>
              <w:t xml:space="preserve">138.99</w:t>
            </w: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138.99</w:t>
            </w:r>
          </w:p>
        </w:tc>
        <w:tc>
          <w:tcPr>
            <w:tcW w:w="1361" w:type="dxa"/>
            <w:vAlign w:val="center"/>
          </w:tcPr>
          <w:p>
            <w:pPr>
              <w:pStyle w:val="单元格样式4"/>
            </w:pPr>
            <w:r>
              <w:t xml:space="preserve">138.99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2013702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r>
              <w:t xml:space="preserve">59.60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19.13</w:t>
            </w:r>
          </w:p>
        </w:tc>
        <w:tc>
          <w:tcPr>
            <w:tcW w:w="1361" w:type="dxa"/>
            <w:vAlign w:val="center"/>
          </w:tcPr>
          <w:p>
            <w:pPr>
              <w:pStyle w:val="单元格样式4"/>
            </w:pPr>
            <w:r>
              <w:t xml:space="preserve">19.13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19.13</w:t>
            </w:r>
          </w:p>
        </w:tc>
        <w:tc>
          <w:tcPr>
            <w:tcW w:w="1361" w:type="dxa"/>
            <w:vAlign w:val="center"/>
          </w:tcPr>
          <w:p>
            <w:pPr>
              <w:pStyle w:val="单元格样式4"/>
            </w:pPr>
            <w:r>
              <w:t xml:space="preserve">19.13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19.13</w:t>
            </w:r>
          </w:p>
        </w:tc>
        <w:tc>
          <w:tcPr>
            <w:tcW w:w="1361" w:type="dxa"/>
            <w:vAlign w:val="center"/>
          </w:tcPr>
          <w:p>
            <w:pPr>
              <w:pStyle w:val="单元格样式4"/>
            </w:pPr>
            <w:r>
              <w:t xml:space="preserve">19.13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16.22</w:t>
            </w:r>
          </w:p>
        </w:tc>
        <w:tc>
          <w:tcPr>
            <w:tcW w:w="1361" w:type="dxa"/>
            <w:vAlign w:val="center"/>
          </w:tcPr>
          <w:p>
            <w:pPr>
              <w:pStyle w:val="单元格样式4"/>
            </w:pPr>
            <w:r>
              <w:t xml:space="preserve">16.22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16.22</w:t>
            </w:r>
          </w:p>
        </w:tc>
        <w:tc>
          <w:tcPr>
            <w:tcW w:w="1361" w:type="dxa"/>
            <w:vAlign w:val="center"/>
          </w:tcPr>
          <w:p>
            <w:pPr>
              <w:pStyle w:val="单元格样式4"/>
            </w:pPr>
            <w:r>
              <w:t xml:space="preserve">16.22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7.71</w:t>
            </w:r>
          </w:p>
        </w:tc>
        <w:tc>
          <w:tcPr>
            <w:tcW w:w="1361" w:type="dxa"/>
            <w:vAlign w:val="center"/>
          </w:tcPr>
          <w:p>
            <w:pPr>
              <w:pStyle w:val="单元格样式4"/>
            </w:pPr>
            <w:r>
              <w:t xml:space="preserve">7.71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8.51</w:t>
            </w:r>
          </w:p>
        </w:tc>
        <w:tc>
          <w:tcPr>
            <w:tcW w:w="1361" w:type="dxa"/>
            <w:vAlign w:val="center"/>
          </w:tcPr>
          <w:p>
            <w:pPr>
              <w:pStyle w:val="单元格样式4"/>
            </w:pPr>
            <w:r>
              <w:t xml:space="preserve">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15.76</w:t>
            </w:r>
          </w:p>
        </w:tc>
        <w:tc>
          <w:tcPr>
            <w:tcW w:w="1361" w:type="dxa"/>
            <w:vAlign w:val="center"/>
          </w:tcPr>
          <w:p>
            <w:pPr>
              <w:pStyle w:val="单元格样式4"/>
            </w:pPr>
            <w:r>
              <w:t xml:space="preserve">15.76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15.76</w:t>
            </w:r>
          </w:p>
        </w:tc>
        <w:tc>
          <w:tcPr>
            <w:tcW w:w="1361" w:type="dxa"/>
            <w:vAlign w:val="center"/>
          </w:tcPr>
          <w:p>
            <w:pPr>
              <w:pStyle w:val="单元格样式4"/>
            </w:pPr>
            <w:r>
              <w:t xml:space="preserve">15.76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15.76</w:t>
            </w:r>
          </w:p>
        </w:tc>
        <w:tc>
          <w:tcPr>
            <w:tcW w:w="1361" w:type="dxa"/>
            <w:vAlign w:val="center"/>
          </w:tcPr>
          <w:p>
            <w:pPr>
              <w:pStyle w:val="单元格样式4"/>
            </w:pPr>
            <w:r>
              <w:t xml:space="preserve">15.76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257.74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206.63</w:t>
            </w:r>
          </w:p>
        </w:tc>
        <w:tc>
          <w:tcPr>
            <w:tcW w:w="1474" w:type="dxa"/>
            <w:vAlign w:val="center"/>
          </w:tcPr>
          <w:p>
            <w:pPr>
              <w:pStyle w:val="单元格样式4"/>
            </w:pPr>
            <w:r>
              <w:t xml:space="preserve">206.63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19.13</w:t>
            </w:r>
          </w:p>
        </w:tc>
        <w:tc>
          <w:tcPr>
            <w:tcW w:w="1474" w:type="dxa"/>
            <w:vAlign w:val="center"/>
          </w:tcPr>
          <w:p>
            <w:pPr>
              <w:pStyle w:val="单元格样式4"/>
            </w:pPr>
            <w:r>
              <w:t xml:space="preserve">19.13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16.22</w:t>
            </w:r>
          </w:p>
        </w:tc>
        <w:tc>
          <w:tcPr>
            <w:tcW w:w="1474" w:type="dxa"/>
            <w:vAlign w:val="center"/>
          </w:tcPr>
          <w:p>
            <w:pPr>
              <w:pStyle w:val="单元格样式4"/>
            </w:pPr>
            <w:r>
              <w:t xml:space="preserve">16.22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15.76</w:t>
            </w:r>
          </w:p>
        </w:tc>
        <w:tc>
          <w:tcPr>
            <w:tcW w:w="1474" w:type="dxa"/>
            <w:vAlign w:val="center"/>
          </w:tcPr>
          <w:p>
            <w:pPr>
              <w:pStyle w:val="单元格样式4"/>
            </w:pPr>
            <w:r>
              <w:t xml:space="preserve">15.76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257.74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257.74</w:t>
            </w:r>
          </w:p>
        </w:tc>
        <w:tc>
          <w:tcPr>
            <w:tcW w:w="1474" w:type="dxa"/>
            <w:vAlign w:val="center"/>
          </w:tcPr>
          <w:p>
            <w:pPr>
              <w:pStyle w:val="单元格样式7"/>
            </w:pPr>
            <w:r>
              <w:t xml:space="preserve">257.74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257.74</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257.74</w:t>
            </w:r>
          </w:p>
        </w:tc>
        <w:tc>
          <w:tcPr>
            <w:tcW w:w="1474" w:type="dxa"/>
            <w:vAlign w:val="center"/>
          </w:tcPr>
          <w:p>
            <w:pPr>
              <w:pStyle w:val="单元格样式7"/>
            </w:pPr>
            <w:r>
              <w:t xml:space="preserve">257.74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257.74</w:t>
            </w:r>
          </w:p>
        </w:tc>
        <w:tc>
          <w:tcPr>
            <w:tcW w:w="2551" w:type="dxa"/>
            <w:vAlign w:val="center"/>
          </w:tcPr>
          <w:p>
            <w:pPr>
              <w:pStyle w:val="单元格样式7"/>
            </w:pPr>
            <w:r>
              <w:t xml:space="preserve">198.14</w:t>
            </w:r>
          </w:p>
        </w:tc>
        <w:tc>
          <w:tcPr>
            <w:tcW w:w="2551" w:type="dxa"/>
            <w:vAlign w:val="center"/>
          </w:tcPr>
          <w:p>
            <w:pPr>
              <w:pStyle w:val="单元格样式7"/>
            </w:pPr>
            <w:r>
              <w:t xml:space="preserve">59.60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206.63</w:t>
            </w:r>
          </w:p>
        </w:tc>
        <w:tc>
          <w:tcPr>
            <w:tcW w:w="2551" w:type="dxa"/>
            <w:vAlign w:val="center"/>
          </w:tcPr>
          <w:p>
            <w:pPr>
              <w:pStyle w:val="单元格样式4"/>
            </w:pPr>
            <w:r>
              <w:t xml:space="preserve">147.03</w:t>
            </w:r>
          </w:p>
        </w:tc>
        <w:tc>
          <w:tcPr>
            <w:tcW w:w="2551" w:type="dxa"/>
            <w:vAlign w:val="center"/>
          </w:tcPr>
          <w:p>
            <w:pPr>
              <w:pStyle w:val="单元格样式4"/>
            </w:pPr>
            <w:r>
              <w:t xml:space="preserve">59.60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8.04</w:t>
            </w:r>
          </w:p>
        </w:tc>
        <w:tc>
          <w:tcPr>
            <w:tcW w:w="2551" w:type="dxa"/>
            <w:vAlign w:val="center"/>
          </w:tcPr>
          <w:p>
            <w:pPr>
              <w:pStyle w:val="单元格样式4"/>
            </w:pPr>
            <w:r>
              <w:t xml:space="preserve">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8.04</w:t>
            </w:r>
          </w:p>
        </w:tc>
        <w:tc>
          <w:tcPr>
            <w:tcW w:w="2551" w:type="dxa"/>
            <w:vAlign w:val="center"/>
          </w:tcPr>
          <w:p>
            <w:pPr>
              <w:pStyle w:val="单元格样式4"/>
            </w:pPr>
            <w:r>
              <w:t xml:space="preserve">8.04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20137</w:t>
            </w:r>
          </w:p>
        </w:tc>
        <w:tc>
          <w:tcPr>
            <w:tcW w:w="4535" w:type="dxa"/>
            <w:vAlign w:val="center"/>
          </w:tcPr>
          <w:p>
            <w:pPr>
              <w:pStyle w:val="单元格样式2"/>
            </w:pPr>
            <w:r>
              <w:t xml:space="preserve">网信事务</w:t>
            </w:r>
          </w:p>
        </w:tc>
        <w:tc>
          <w:tcPr>
            <w:tcW w:w="2551" w:type="dxa"/>
            <w:vAlign w:val="center"/>
          </w:tcPr>
          <w:p>
            <w:pPr>
              <w:pStyle w:val="单元格样式4"/>
            </w:pPr>
            <w:r>
              <w:t xml:space="preserve">198.59</w:t>
            </w:r>
          </w:p>
        </w:tc>
        <w:tc>
          <w:tcPr>
            <w:tcW w:w="2551" w:type="dxa"/>
            <w:vAlign w:val="center"/>
          </w:tcPr>
          <w:p>
            <w:pPr>
              <w:pStyle w:val="单元格样式4"/>
            </w:pPr>
            <w:r>
              <w:t xml:space="preserve">138.99</w:t>
            </w:r>
          </w:p>
        </w:tc>
        <w:tc>
          <w:tcPr>
            <w:tcW w:w="2551" w:type="dxa"/>
            <w:vAlign w:val="center"/>
          </w:tcPr>
          <w:p>
            <w:pPr>
              <w:pStyle w:val="单元格样式4"/>
            </w:pPr>
            <w:r>
              <w:t xml:space="preserve">59.60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2013701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138.99</w:t>
            </w:r>
          </w:p>
        </w:tc>
        <w:tc>
          <w:tcPr>
            <w:tcW w:w="2551" w:type="dxa"/>
            <w:vAlign w:val="center"/>
          </w:tcPr>
          <w:p>
            <w:pPr>
              <w:pStyle w:val="单元格样式4"/>
            </w:pPr>
            <w:r>
              <w:t xml:space="preserve">138.99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2013702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59.60</w:t>
            </w:r>
          </w:p>
        </w:tc>
        <w:tc>
          <w:tcPr>
            <w:tcW w:w="2551" w:type="dxa"/>
            <w:vAlign w:val="center"/>
          </w:tcPr>
          <w:p>
            <w:pPr>
              <w:pStyle w:val="单元格样式4"/>
            </w:pPr>
          </w:p>
        </w:tc>
        <w:tc>
          <w:tcPr>
            <w:tcW w:w="2551" w:type="dxa"/>
            <w:vAlign w:val="center"/>
          </w:tcPr>
          <w:p>
            <w:pPr>
              <w:pStyle w:val="单元格样式4"/>
            </w:pPr>
            <w:r>
              <w:t xml:space="preserve">59.60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19.13</w:t>
            </w:r>
          </w:p>
        </w:tc>
        <w:tc>
          <w:tcPr>
            <w:tcW w:w="2551" w:type="dxa"/>
            <w:vAlign w:val="center"/>
          </w:tcPr>
          <w:p>
            <w:pPr>
              <w:pStyle w:val="单元格样式4"/>
            </w:pPr>
            <w:r>
              <w:t xml:space="preserve">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19.13</w:t>
            </w:r>
          </w:p>
        </w:tc>
        <w:tc>
          <w:tcPr>
            <w:tcW w:w="2551" w:type="dxa"/>
            <w:vAlign w:val="center"/>
          </w:tcPr>
          <w:p>
            <w:pPr>
              <w:pStyle w:val="单元格样式4"/>
            </w:pPr>
            <w:r>
              <w:t xml:space="preserve">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19.13</w:t>
            </w:r>
          </w:p>
        </w:tc>
        <w:tc>
          <w:tcPr>
            <w:tcW w:w="2551" w:type="dxa"/>
            <w:vAlign w:val="center"/>
          </w:tcPr>
          <w:p>
            <w:pPr>
              <w:pStyle w:val="单元格样式4"/>
            </w:pPr>
            <w:r>
              <w:t xml:space="preserve">19.13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16.22</w:t>
            </w:r>
          </w:p>
        </w:tc>
        <w:tc>
          <w:tcPr>
            <w:tcW w:w="2551" w:type="dxa"/>
            <w:vAlign w:val="center"/>
          </w:tcPr>
          <w:p>
            <w:pPr>
              <w:pStyle w:val="单元格样式4"/>
            </w:pPr>
            <w:r>
              <w:t xml:space="preserve">16.22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16.22</w:t>
            </w:r>
          </w:p>
        </w:tc>
        <w:tc>
          <w:tcPr>
            <w:tcW w:w="2551" w:type="dxa"/>
            <w:vAlign w:val="center"/>
          </w:tcPr>
          <w:p>
            <w:pPr>
              <w:pStyle w:val="单元格样式4"/>
            </w:pPr>
            <w:r>
              <w:t xml:space="preserve">16.22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7.71</w:t>
            </w:r>
          </w:p>
        </w:tc>
        <w:tc>
          <w:tcPr>
            <w:tcW w:w="2551" w:type="dxa"/>
            <w:vAlign w:val="center"/>
          </w:tcPr>
          <w:p>
            <w:pPr>
              <w:pStyle w:val="单元格样式4"/>
            </w:pPr>
            <w:r>
              <w:t xml:space="preserve">7.71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8.51</w:t>
            </w:r>
          </w:p>
        </w:tc>
        <w:tc>
          <w:tcPr>
            <w:tcW w:w="2551" w:type="dxa"/>
            <w:vAlign w:val="center"/>
          </w:tcPr>
          <w:p>
            <w:pPr>
              <w:pStyle w:val="单元格样式4"/>
            </w:pPr>
            <w:r>
              <w:t xml:space="preserve">8.51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15.76</w:t>
            </w:r>
          </w:p>
        </w:tc>
        <w:tc>
          <w:tcPr>
            <w:tcW w:w="2551" w:type="dxa"/>
            <w:vAlign w:val="center"/>
          </w:tcPr>
          <w:p>
            <w:pPr>
              <w:pStyle w:val="单元格样式4"/>
            </w:pPr>
            <w:r>
              <w:t xml:space="preserve">15.76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198.14</w:t>
            </w:r>
          </w:p>
        </w:tc>
        <w:tc>
          <w:tcPr>
            <w:tcW w:w="2551" w:type="dxa"/>
            <w:vAlign w:val="center"/>
          </w:tcPr>
          <w:p>
            <w:pPr>
              <w:pStyle w:val="单元格样式7"/>
            </w:pPr>
            <w:r>
              <w:t xml:space="preserve">183.84</w:t>
            </w:r>
          </w:p>
        </w:tc>
        <w:tc>
          <w:tcPr>
            <w:tcW w:w="2551" w:type="dxa"/>
            <w:vAlign w:val="center"/>
          </w:tcPr>
          <w:p>
            <w:pPr>
              <w:pStyle w:val="单元格样式7"/>
            </w:pPr>
            <w:r>
              <w:t xml:space="preserve">14.30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181.57</w:t>
            </w:r>
          </w:p>
        </w:tc>
        <w:tc>
          <w:tcPr>
            <w:tcW w:w="2551" w:type="dxa"/>
            <w:vAlign w:val="center"/>
          </w:tcPr>
          <w:p>
            <w:pPr>
              <w:pStyle w:val="单元格样式4"/>
            </w:pPr>
            <w:r>
              <w:t xml:space="preserve">181.57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45.64</w:t>
            </w:r>
          </w:p>
        </w:tc>
        <w:tc>
          <w:tcPr>
            <w:tcW w:w="2551" w:type="dxa"/>
            <w:vAlign w:val="center"/>
          </w:tcPr>
          <w:p>
            <w:pPr>
              <w:pStyle w:val="单元格样式4"/>
            </w:pPr>
            <w:r>
              <w:t xml:space="preserve">45.64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30.23</w:t>
            </w:r>
          </w:p>
        </w:tc>
        <w:tc>
          <w:tcPr>
            <w:tcW w:w="2551" w:type="dxa"/>
            <w:vAlign w:val="center"/>
          </w:tcPr>
          <w:p>
            <w:pPr>
              <w:pStyle w:val="单元格样式4"/>
            </w:pPr>
            <w:r>
              <w:t xml:space="preserve">30.23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12.57</w:t>
            </w:r>
          </w:p>
        </w:tc>
        <w:tc>
          <w:tcPr>
            <w:tcW w:w="2551" w:type="dxa"/>
            <w:vAlign w:val="center"/>
          </w:tcPr>
          <w:p>
            <w:pPr>
              <w:pStyle w:val="单元格样式4"/>
            </w:pPr>
            <w:r>
              <w:t xml:space="preserve">12.57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30.79</w:t>
            </w:r>
          </w:p>
        </w:tc>
        <w:tc>
          <w:tcPr>
            <w:tcW w:w="2551" w:type="dxa"/>
            <w:vAlign w:val="center"/>
          </w:tcPr>
          <w:p>
            <w:pPr>
              <w:pStyle w:val="单元格样式4"/>
            </w:pPr>
            <w:r>
              <w:t xml:space="preserve">30.79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17.55</w:t>
            </w:r>
          </w:p>
        </w:tc>
        <w:tc>
          <w:tcPr>
            <w:tcW w:w="2551" w:type="dxa"/>
            <w:vAlign w:val="center"/>
          </w:tcPr>
          <w:p>
            <w:pPr>
              <w:pStyle w:val="单元格样式4"/>
            </w:pPr>
            <w:r>
              <w:t xml:space="preserve">17.55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7.12</w:t>
            </w:r>
          </w:p>
        </w:tc>
        <w:tc>
          <w:tcPr>
            <w:tcW w:w="2551" w:type="dxa"/>
            <w:vAlign w:val="center"/>
          </w:tcPr>
          <w:p>
            <w:pPr>
              <w:pStyle w:val="单元格样式4"/>
            </w:pPr>
            <w:r>
              <w:t xml:space="preserve">7.12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7.86</w:t>
            </w:r>
          </w:p>
        </w:tc>
        <w:tc>
          <w:tcPr>
            <w:tcW w:w="2551" w:type="dxa"/>
            <w:vAlign w:val="center"/>
          </w:tcPr>
          <w:p>
            <w:pPr>
              <w:pStyle w:val="单元格样式4"/>
            </w:pPr>
            <w:r>
              <w:t xml:space="preserve">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0.81</w:t>
            </w:r>
          </w:p>
        </w:tc>
        <w:tc>
          <w:tcPr>
            <w:tcW w:w="2551" w:type="dxa"/>
            <w:vAlign w:val="center"/>
          </w:tcPr>
          <w:p>
            <w:pPr>
              <w:pStyle w:val="单元格样式4"/>
            </w:pPr>
            <w:r>
              <w:t xml:space="preserve">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14.55</w:t>
            </w:r>
          </w:p>
        </w:tc>
        <w:tc>
          <w:tcPr>
            <w:tcW w:w="2551" w:type="dxa"/>
            <w:vAlign w:val="center"/>
          </w:tcPr>
          <w:p>
            <w:pPr>
              <w:pStyle w:val="单元格样式4"/>
            </w:pPr>
            <w:r>
              <w:t xml:space="preserve">14.55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14.45</w:t>
            </w:r>
          </w:p>
        </w:tc>
        <w:tc>
          <w:tcPr>
            <w:tcW w:w="2551" w:type="dxa"/>
            <w:vAlign w:val="center"/>
          </w:tcPr>
          <w:p>
            <w:pPr>
              <w:pStyle w:val="单元格样式4"/>
            </w:pPr>
            <w:r>
              <w:t xml:space="preserve">14.45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14.30</w:t>
            </w:r>
          </w:p>
        </w:tc>
        <w:tc>
          <w:tcPr>
            <w:tcW w:w="2551" w:type="dxa"/>
            <w:vAlign w:val="center"/>
          </w:tcPr>
          <w:p>
            <w:pPr>
              <w:pStyle w:val="单元格样式4"/>
            </w:pPr>
          </w:p>
        </w:tc>
        <w:tc>
          <w:tcPr>
            <w:tcW w:w="2551" w:type="dxa"/>
            <w:vAlign w:val="center"/>
          </w:tcPr>
          <w:p>
            <w:pPr>
              <w:pStyle w:val="单元格样式4"/>
            </w:pPr>
            <w:r>
              <w:t xml:space="preserve">14.30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3.25</w:t>
            </w:r>
          </w:p>
        </w:tc>
        <w:tc>
          <w:tcPr>
            <w:tcW w:w="2551" w:type="dxa"/>
            <w:vAlign w:val="center"/>
          </w:tcPr>
          <w:p>
            <w:pPr>
              <w:pStyle w:val="单元格样式4"/>
            </w:pPr>
          </w:p>
        </w:tc>
        <w:tc>
          <w:tcPr>
            <w:tcW w:w="2551" w:type="dxa"/>
            <w:vAlign w:val="center"/>
          </w:tcPr>
          <w:p>
            <w:pPr>
              <w:pStyle w:val="单元格样式4"/>
            </w:pPr>
            <w:r>
              <w:t xml:space="preserve">3.25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2.88</w:t>
            </w:r>
          </w:p>
        </w:tc>
        <w:tc>
          <w:tcPr>
            <w:tcW w:w="2551" w:type="dxa"/>
            <w:vAlign w:val="center"/>
          </w:tcPr>
          <w:p>
            <w:pPr>
              <w:pStyle w:val="单元格样式4"/>
            </w:pPr>
          </w:p>
        </w:tc>
        <w:tc>
          <w:tcPr>
            <w:tcW w:w="2551" w:type="dxa"/>
            <w:vAlign w:val="center"/>
          </w:tcPr>
          <w:p>
            <w:pPr>
              <w:pStyle w:val="单元格样式4"/>
            </w:pPr>
            <w:r>
              <w:t xml:space="preserve">2.88</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2.52</w:t>
            </w:r>
          </w:p>
        </w:tc>
        <w:tc>
          <w:tcPr>
            <w:tcW w:w="2551" w:type="dxa"/>
            <w:vAlign w:val="center"/>
          </w:tcPr>
          <w:p>
            <w:pPr>
              <w:pStyle w:val="单元格样式4"/>
            </w:pPr>
          </w:p>
        </w:tc>
        <w:tc>
          <w:tcPr>
            <w:tcW w:w="2551" w:type="dxa"/>
            <w:vAlign w:val="center"/>
          </w:tcPr>
          <w:p>
            <w:pPr>
              <w:pStyle w:val="单元格样式4"/>
            </w:pPr>
            <w:r>
              <w:t xml:space="preserve">2.52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1.23</w:t>
            </w:r>
          </w:p>
        </w:tc>
        <w:tc>
          <w:tcPr>
            <w:tcW w:w="2551" w:type="dxa"/>
            <w:vAlign w:val="center"/>
          </w:tcPr>
          <w:p>
            <w:pPr>
              <w:pStyle w:val="单元格样式4"/>
            </w:pPr>
          </w:p>
        </w:tc>
        <w:tc>
          <w:tcPr>
            <w:tcW w:w="2551" w:type="dxa"/>
            <w:vAlign w:val="center"/>
          </w:tcPr>
          <w:p>
            <w:pPr>
              <w:pStyle w:val="单元格样式4"/>
            </w:pPr>
            <w:r>
              <w:t xml:space="preserve">1.23</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4.12</w:t>
            </w:r>
          </w:p>
        </w:tc>
        <w:tc>
          <w:tcPr>
            <w:tcW w:w="2551" w:type="dxa"/>
            <w:vAlign w:val="center"/>
          </w:tcPr>
          <w:p>
            <w:pPr>
              <w:pStyle w:val="单元格样式4"/>
            </w:pPr>
          </w:p>
        </w:tc>
        <w:tc>
          <w:tcPr>
            <w:tcW w:w="2551" w:type="dxa"/>
            <w:vAlign w:val="center"/>
          </w:tcPr>
          <w:p>
            <w:pPr>
              <w:pStyle w:val="单元格样式4"/>
            </w:pPr>
            <w:r>
              <w:t xml:space="preserve">4.12</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2.27</w:t>
            </w:r>
          </w:p>
        </w:tc>
        <w:tc>
          <w:tcPr>
            <w:tcW w:w="2551" w:type="dxa"/>
            <w:vAlign w:val="center"/>
          </w:tcPr>
          <w:p>
            <w:pPr>
              <w:pStyle w:val="单元格样式4"/>
            </w:pPr>
            <w:r>
              <w:t xml:space="preserve">2.27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2.27</w:t>
            </w:r>
          </w:p>
        </w:tc>
        <w:tc>
          <w:tcPr>
            <w:tcW w:w="2551" w:type="dxa"/>
            <w:vAlign w:val="center"/>
          </w:tcPr>
          <w:p>
            <w:pPr>
              <w:pStyle w:val="单元格样式4"/>
            </w:pPr>
            <w:r>
              <w:t xml:space="preserve">2.27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0.30</w:t>
            </w:r>
          </w:p>
        </w:tc>
        <w:tc>
          <w:tcPr>
            <w:tcW w:w="2381" w:type="dxa"/>
            <w:vAlign w:val="center"/>
          </w:tcPr>
          <w:p>
            <w:pPr>
              <w:pStyle w:val="单元格样式7"/>
            </w:pPr>
            <w:r>
              <w:t xml:space="preserve">0.30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0.30</w:t>
            </w:r>
          </w:p>
        </w:tc>
        <w:tc>
          <w:tcPr>
            <w:tcW w:w="2381" w:type="dxa"/>
            <w:vAlign w:val="center"/>
          </w:tcPr>
          <w:p>
            <w:pPr>
              <w:pStyle w:val="单元格样式4"/>
            </w:pPr>
            <w:r>
              <w:t xml:space="preserve">0.30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中共唐山市丰南区委网络安全和信息化委员会办公室2025年部门预算信息公开情况说明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中共唐山市丰南区委网络安全和信息化委员会办公室2025年部门预算信息公开情况说明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按照《中华人民共和国预算法》、《地方预决算公开操作规程》和《关于进一步推进预算公开工作的实施意见》规定，现将中共唐山市丰南区委网络安全和信息化委员会办公室2025年部门预算公开如下：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以中央网信办和省、市网信办的精神为指导，不断调整我区网信工作的的努力方向和着力点，更全面准确的把握和推进网络宣传管理、网络安全和信息化的各项工作。以年度发展规划目标，指导全年的网信工作。 （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插入文本样式-插入预算公开部门职责文件"/>
      </w:pPr>
      <w:r>
        <w:t xml:space="preserve">（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 （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部门处置和风度网上有害信息，依照相关法律和规定查出有关违法违规行为和网站。</w:t>
      </w:r>
    </w:p>
    <w:p>
      <w:pPr>
        <w:pStyle w:val="插入文本样式-插入预算公开部门职责文件"/>
      </w:pPr>
      <w:r>
        <w:t xml:space="preserve">（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插入文本样式-插入预算公开部门职责文件"/>
      </w:pPr>
      <w:r>
        <w:t xml:space="preserve">（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插入文本样式-插入预算公开部门职责文件"/>
      </w:pPr>
      <w:r>
        <w:t xml:space="preserve">（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中共唐山市丰南区委网络安全和信息化委员会办公室本级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按照预算管理有关规定，目前部门预算的编制实行综合预算管理，即全部收入和支出都反映在预算中。中共唐山市丰南区委网络安全和信息化委员会办公室机关及所属事业单位的收支包含在部门预算中。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257.74万元，其中：一般公共预算收入257.74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唐山市丰南区委网络安全和信息化委员会办公室年度部门预算中支出预算的总体情况。2025年支出预算257.74万元，其中基本支出198.14万元，包括人员经费183.84万元和日常公用经费14.30万元；项目支出59.60万元，主要为网信系统建设及维护资金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2025年预算收支安排257.74万元，较2024年预算减少126.55万元，其中：基本支出减少34.15万元，主要为人员经费减少，日常公用经费减少；项目支出减少92.40万元，主要为网信系统建设及维护资金等。</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2025年，我部门机关运行经费共计安排14.30万元，主要用于日常维修、办公用房水电费、办公用房取暖费、办公用房物业管理费等日常运行支出。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0.30万元，其中因公出国（境）费0.00万元；公务用车购置及运维费0.00万元（其中：公务用车购置费为0.00万元，公务用车运维费0.00万元)；公务接待费0.30万元。与2024年相比增加0.00万元，增减变化的主要原因是没有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围绕区委、区政府中心工作，对全区重大活动进行集中宣传，为经济社会发展营造良好舆论氛围。不断加强互联网管理，建立健全覆盖全区、高效运转的互联网管理机制体制，规范互联网信息传播秩序。加强网上舆论引导和管控，完成区各项网络评论引导、舆情监测、网评文章创作发布、突发事件舆论引导等工作，维护全区绿色清朗的网络空间。通过提供专业、有效的网络信息服务，制作、推广有影响力的网络作品，带动我区互联网产品内容质量提升，丰富我区广大网民对优秀互联网内容的需求。进一步提高全区网信系统和各单位的舆情风险管控意识和舆情监测技能水平，推动和促进全市网络舆情监测工作顺利开展。通过技术手段进行网络安全检查，及时化解网络安全风险。</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（一）加强网络安全信息保护工作，提升态势感知、协调指挥、应急处置能力。</w:t>
      </w:r>
    </w:p>
    <w:p>
      <w:pPr>
        <w:pStyle w:val="插入文本样式-插入职责分类绩效目标文件"/>
      </w:pPr>
      <w:r>
        <w:t xml:space="preserve">绩效目标：保护网络信息安全。</w:t>
      </w:r>
    </w:p>
    <w:p>
      <w:pPr>
        <w:pStyle w:val="插入文本样式-插入职责分类绩效目标文件"/>
      </w:pPr>
      <w:r>
        <w:t xml:space="preserve">绩效指标：网络安全攻防演练、网络安全培训次数2次、检查1次、风险报告。</w:t>
      </w:r>
    </w:p>
    <w:p>
      <w:pPr>
        <w:pStyle w:val="插入文本样式-插入职责分类绩效目标文件"/>
      </w:pPr>
      <w:r>
        <w:t xml:space="preserve">（二）加强和改进网络正面宣传、维护互联网意识形态安全和行政执法。</w:t>
      </w:r>
    </w:p>
    <w:p>
      <w:pPr>
        <w:pStyle w:val="插入文本样式-插入职责分类绩效目标文件"/>
      </w:pPr>
      <w:r>
        <w:t xml:space="preserve">绩效目标：维护互联网形意识安全，加强网络基础管理和行政执法。</w:t>
      </w:r>
    </w:p>
    <w:p>
      <w:pPr>
        <w:pStyle w:val="插入文本样式-插入职责分类绩效目标文件"/>
      </w:pPr>
      <w:r>
        <w:t xml:space="preserve">绩效指标：重大事件舆论引导、舆论生态治理达到95%以上、网络执法督查。</w:t>
      </w:r>
    </w:p>
    <w:p>
      <w:pPr>
        <w:pStyle w:val="插入文本样式-插入职责分类绩效目标文件"/>
      </w:pPr>
      <w:r>
        <w:t xml:space="preserve">（三）做好网络舆情监测管控，坚决管控好政治类、煽动类有害信息。</w:t>
      </w:r>
    </w:p>
    <w:p>
      <w:pPr>
        <w:pStyle w:val="插入文本样式-插入职责分类绩效目标文件"/>
      </w:pPr>
      <w:r>
        <w:t xml:space="preserve">绩效目标：全力做好网络舆情监测监控。</w:t>
      </w:r>
    </w:p>
    <w:p>
      <w:pPr>
        <w:pStyle w:val="插入文本样式-插入职责分类绩效目标文件"/>
      </w:pPr>
      <w:r>
        <w:t xml:space="preserve">绩效指标：舆情监控覆盖范围、处置敏感舆情效率。</w:t>
      </w:r>
    </w:p>
    <w:p>
      <w:pPr>
        <w:pStyle w:val="插入文本样式-插入职责分类绩效目标文件"/>
      </w:pPr>
      <w:r>
        <w:t xml:space="preserve">（四）积极推动信息化建设发展，实现信息化惠民利民。</w:t>
      </w:r>
    </w:p>
    <w:p>
      <w:pPr>
        <w:pStyle w:val="插入文本样式-插入职责分类绩效目标文件"/>
      </w:pPr>
      <w:r>
        <w:t xml:space="preserve">绩效目标：夯实信息化发展基础，推进数字经济提速发展。</w:t>
      </w:r>
    </w:p>
    <w:p>
      <w:pPr>
        <w:pStyle w:val="插入文本样式-插入职责分类绩效目标文件"/>
      </w:pPr>
      <w:r>
        <w:t xml:space="preserve">绩效指标：维护网络政务媒体运营、加强信息化项目建设。</w:t>
      </w:r>
    </w:p>
    <w:p>
      <w:pPr>
        <w:pStyle w:val="插入文本样式-插入职责分类绩效目标文件"/>
      </w:pPr>
      <w:r>
        <w:t xml:space="preserve">（五）开展教育培训，全方位提升网信系统干部队伍素质素养。</w:t>
      </w:r>
    </w:p>
    <w:p>
      <w:pPr>
        <w:pStyle w:val="插入文本样式-插入职责分类绩效目标文件"/>
      </w:pPr>
      <w:r>
        <w:t xml:space="preserve">绩效目标：全方位提升网信干部队伍政治素养、业务能力和理论水平。</w:t>
      </w:r>
    </w:p>
    <w:p>
      <w:pPr>
        <w:pStyle w:val="插入文本样式-插入职责分类绩效目标文件"/>
      </w:pPr>
      <w:r>
        <w:t xml:space="preserve">绩效指标：组织网信系统干部开展相关领域交流与合作3次、提升干部业务素质。</w:t>
      </w:r>
    </w:p>
    <w:p>
      <w:pPr>
        <w:pStyle w:val="插入文本样式-插入职责分类绩效目标文件"/>
      </w:pPr>
      <w:r>
        <w:t xml:space="preserve">（六）确保各项业务工作谋划到位；保障机关工作正常高效运转。</w:t>
      </w:r>
    </w:p>
    <w:p>
      <w:pPr>
        <w:pStyle w:val="插入文本样式-插入职责分类绩效目标文件"/>
      </w:pPr>
      <w:r>
        <w:t xml:space="preserve">绩效目标：各项业务工作谋划到位、顺利开展；保障机关工作正常高效运转。</w:t>
      </w:r>
    </w:p>
    <w:p>
      <w:pPr>
        <w:pStyle w:val="插入文本样式-插入职责分类绩效目标文件"/>
      </w:pPr>
      <w:r>
        <w:t xml:space="preserve">绩效指标：严格财务资产管理、重点工作督查督办率100%。</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(一）建立组织机构。建立以冯立国任组长，张伟、庞勇任副组长，李京、张华实为成员的领导小组。明确责任分工，定期召开协调会议，互通部门间信息</w:t>
      </w:r>
    </w:p>
    <w:p>
      <w:pPr>
        <w:pStyle w:val="插入文本样式-插入实现年度发展规划目标的保障措施文件"/>
      </w:pPr>
      <w:r>
        <w:t xml:space="preserve">(二）完善制度建设。完善预算绩效管理制度、制定资金管理办法为全年预算绩效目标的实现奠定基础。</w:t>
      </w:r>
    </w:p>
    <w:p>
      <w:pPr>
        <w:pStyle w:val="插入文本样式-插入实现年度发展规划目标的保障措施文件"/>
      </w:pPr>
      <w:r>
        <w:t xml:space="preserve">(三）加强支出管理。优化支出结构、编细编实预算、按规定及时下达资金，确保支出进度达标。</w:t>
      </w:r>
    </w:p>
    <w:p>
      <w:pPr>
        <w:pStyle w:val="插入文本样式-插入实现年度发展规划目标的保障措施文件"/>
      </w:pPr>
      <w:r>
        <w:t xml:space="preserve">(四）加强绩效运行监控。开展绩效运行监控，发现问题及时采取措施，确保绩效目标如期保质实现。</w:t>
      </w:r>
    </w:p>
    <w:p>
      <w:pPr>
        <w:pStyle w:val="插入文本样式-插入实现年度发展规划目标的保障措施文件"/>
      </w:pPr>
      <w:r>
        <w:t xml:space="preserve">(五）做好绩效自评。按要求开展上年度部门预算绩效自评和重点评价工作，对评价中发现的问题及时整改，调整优化支出结构，提高财政资金使用效益。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(六）规范财务资产管理。完善财务管理制度，严格审批程序，加强固定资产登记、使用管理，做到支出合理，物尽其用。</w:t>
      </w:r>
    </w:p>
    <w:p>
      <w:pPr>
        <w:pStyle w:val="插入文本样式-插入实现年度发展规划目标的保障措施文件"/>
      </w:pPr>
      <w:r>
        <w:t xml:space="preserve">(七）加强内部监督。加强内部监督制度建设，对绩效 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(八）加强宣传培训调研。加强人员培训，提高本部门职工业务素质、加强调研，提出优化财政资金配置、提高资金使用效益的意见、加大宣传力度，强化预算绩效管理意识，促进预算绩效管理水平进一步提升。</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(九）建立考核评估制度。制定各项工作考核评估办法，建立考核评估指标体系，明确考核内容和考核方式。</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1、劳务派遣工资（劳务费）绩效目标表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13020725P00002210350F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劳务派遣工资（劳务费）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主要用于劳务派遣人员工资支出。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1.保证网络监控员的基本工资保障；保证网络监控员的工作效率监督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签订劳务派遣合同人数情况</w:t>
            </w:r>
          </w:p>
        </w:tc>
        <w:tc>
          <w:tcPr>
            <w:tcW w:w="2268" w:type="dxa"/>
            <w:vAlign w:val="center"/>
          </w:tcPr>
          <w:p>
            <w:pPr>
              <w:pStyle w:val="单元格样式2"/>
            </w:pPr>
            <w:r>
              <w:t xml:space="preserve">5人</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实际发放工资的覆盖情况</w:t>
            </w:r>
          </w:p>
        </w:tc>
        <w:tc>
          <w:tcPr>
            <w:tcW w:w="2268" w:type="dxa"/>
            <w:vAlign w:val="center"/>
          </w:tcPr>
          <w:p>
            <w:pPr>
              <w:pStyle w:val="单元格样式2"/>
            </w:pPr>
            <w:r>
              <w:t xml:space="preserve">5人</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发放工资总金额</w:t>
            </w:r>
          </w:p>
        </w:tc>
        <w:tc>
          <w:tcPr>
            <w:tcW w:w="5386" w:type="dxa"/>
            <w:vAlign w:val="center"/>
          </w:tcPr>
          <w:p>
            <w:pPr>
              <w:pStyle w:val="单元格样式2"/>
            </w:pPr>
            <w:r>
              <w:t xml:space="preserve">反映支付人员工资总金额情况</w:t>
            </w:r>
          </w:p>
        </w:tc>
        <w:tc>
          <w:tcPr>
            <w:tcW w:w="2268" w:type="dxa"/>
            <w:vAlign w:val="center"/>
          </w:tcPr>
          <w:p>
            <w:pPr>
              <w:pStyle w:val="单元格样式2"/>
            </w:pPr>
            <w:r>
              <w:t xml:space="preserve">≤27万</w:t>
            </w:r>
          </w:p>
        </w:tc>
        <w:tc>
          <w:tcPr>
            <w:tcW w:w="1276" w:type="dxa"/>
            <w:vAlign w:val="center"/>
          </w:tcPr>
          <w:p>
            <w:pPr>
              <w:pStyle w:val="单元格样式2"/>
            </w:pPr>
            <w:r>
              <w:t xml:space="preserve">历史标准、合同</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服务群众满意度</w:t>
            </w:r>
          </w:p>
        </w:tc>
        <w:tc>
          <w:tcPr>
            <w:tcW w:w="5386" w:type="dxa"/>
            <w:vAlign w:val="center"/>
          </w:tcPr>
          <w:p>
            <w:pPr>
              <w:pStyle w:val="单元格样式2"/>
            </w:pPr>
            <w:r>
              <w:t xml:space="preserve">服务群众满意度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2、网信系统建设及维护资金绩效目标表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13020725P002N8T10016W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网信系统建设及维护资金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资金用于网络安全检查、互联网信息内容管理、舆情监测软件的委托业务支出。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40%</w:t>
            </w:r>
          </w:p>
        </w:tc>
        <w:tc>
          <w:tcPr>
            <w:tcW w:w="2551" w:type="dxa"/>
            <w:vAlign w:val="center"/>
          </w:tcPr>
          <w:p>
            <w:pPr>
              <w:pStyle w:val="单元格样式3"/>
            </w:pPr>
            <w:r>
              <w:t xml:space="preserve">85%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1.统筹协调全区网络安全保障体系；推动全区网络社会工作和网络文明建设；提高舆情监测及管控能力，全面、妥善处置舆情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网络安全宣传次数</w:t>
            </w:r>
          </w:p>
        </w:tc>
        <w:tc>
          <w:tcPr>
            <w:tcW w:w="5386" w:type="dxa"/>
            <w:vAlign w:val="center"/>
          </w:tcPr>
          <w:p>
            <w:pPr>
              <w:pStyle w:val="单元格样式2"/>
            </w:pPr>
            <w:r>
              <w:t xml:space="preserve">组织网络安全等宣传次数</w:t>
            </w:r>
          </w:p>
        </w:tc>
        <w:tc>
          <w:tcPr>
            <w:tcW w:w="2268" w:type="dxa"/>
            <w:vAlign w:val="center"/>
          </w:tcPr>
          <w:p>
            <w:pPr>
              <w:pStyle w:val="单元格样式2"/>
            </w:pPr>
            <w:r>
              <w:t xml:space="preserve">≥3次</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资金使用合规性</w:t>
            </w:r>
          </w:p>
        </w:tc>
        <w:tc>
          <w:tcPr>
            <w:tcW w:w="5386" w:type="dxa"/>
            <w:vAlign w:val="center"/>
          </w:tcPr>
          <w:p>
            <w:pPr>
              <w:pStyle w:val="单元格样式2"/>
            </w:pPr>
            <w:r>
              <w:t xml:space="preserve">按规定使用资金情况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反映资金按合同支付情况</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成本控制情况</w:t>
            </w:r>
          </w:p>
        </w:tc>
        <w:tc>
          <w:tcPr>
            <w:tcW w:w="5386" w:type="dxa"/>
            <w:vAlign w:val="center"/>
          </w:tcPr>
          <w:p>
            <w:pPr>
              <w:pStyle w:val="单元格样式2"/>
            </w:pPr>
            <w:r>
              <w:t xml:space="preserve">运维成本控制</w:t>
            </w:r>
          </w:p>
        </w:tc>
        <w:tc>
          <w:tcPr>
            <w:tcW w:w="2268" w:type="dxa"/>
            <w:vAlign w:val="center"/>
          </w:tcPr>
          <w:p>
            <w:pPr>
              <w:pStyle w:val="单元格样式2"/>
            </w:pPr>
            <w:r>
              <w:t xml:space="preserve">有效控制</w:t>
            </w:r>
          </w:p>
        </w:tc>
        <w:tc>
          <w:tcPr>
            <w:tcW w:w="1276" w:type="dxa"/>
            <w:vAlign w:val="center"/>
          </w:tcPr>
          <w:p>
            <w:pPr>
              <w:pStyle w:val="单元格样式2"/>
            </w:pPr>
            <w:r>
              <w:t xml:space="preserve">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对改善数据资源共享机制的有效程度</w:t>
            </w:r>
          </w:p>
        </w:tc>
        <w:tc>
          <w:tcPr>
            <w:tcW w:w="5386" w:type="dxa"/>
            <w:vAlign w:val="center"/>
          </w:tcPr>
          <w:p>
            <w:pPr>
              <w:pStyle w:val="单元格样式2"/>
            </w:pPr>
            <w:r>
              <w:t xml:space="preserve">通过项目的事实对改善数据资源共享机制的影响程度</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对信息系统安全性能的改善和提升程度</w:t>
            </w:r>
          </w:p>
        </w:tc>
        <w:tc>
          <w:tcPr>
            <w:tcW w:w="5386" w:type="dxa"/>
            <w:vAlign w:val="center"/>
          </w:tcPr>
          <w:p>
            <w:pPr>
              <w:pStyle w:val="单元格样式2"/>
            </w:pPr>
            <w:r>
              <w:t xml:space="preserve">通过项目的实施对信息系统安全性能的改善或提升程度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保障系统持续稳定运行</w:t>
            </w:r>
          </w:p>
        </w:tc>
        <w:tc>
          <w:tcPr>
            <w:tcW w:w="5386" w:type="dxa"/>
            <w:vAlign w:val="center"/>
          </w:tcPr>
          <w:p>
            <w:pPr>
              <w:pStyle w:val="单元格样式2"/>
            </w:pPr>
            <w:r>
              <w:t xml:space="preserve">反映保障系统持续稳定运行情况</w:t>
            </w:r>
          </w:p>
        </w:tc>
        <w:tc>
          <w:tcPr>
            <w:tcW w:w="2268" w:type="dxa"/>
            <w:vAlign w:val="center"/>
          </w:tcPr>
          <w:p>
            <w:pPr>
              <w:pStyle w:val="单元格样式2"/>
            </w:pPr>
            <w:r>
              <w:t xml:space="preserve">稳定运行</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使用人员满意度</w:t>
            </w:r>
          </w:p>
        </w:tc>
        <w:tc>
          <w:tcPr>
            <w:tcW w:w="5386" w:type="dxa"/>
            <w:vAlign w:val="center"/>
          </w:tcPr>
          <w:p>
            <w:pPr>
              <w:pStyle w:val="单元格样式2"/>
            </w:pPr>
            <w:r>
              <w:t xml:space="preserve">反映使用人员对项目实施效果满意程度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3、网信系统人才队伍建设和培训经费绩效目标表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13020725P00486P100095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网信系统人才队伍建设和培训经费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用于网信系统人才队伍培训的相关费用支出。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40%</w:t>
            </w:r>
          </w:p>
        </w:tc>
        <w:tc>
          <w:tcPr>
            <w:tcW w:w="2551" w:type="dxa"/>
            <w:vAlign w:val="center"/>
          </w:tcPr>
          <w:p>
            <w:pPr>
              <w:pStyle w:val="单元格样式3"/>
            </w:pPr>
            <w:r>
              <w:t xml:space="preserve">85%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1.全面提升网信系统人才队伍业务素质，经费合理化支出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网评队伍、舆情队伍人员数量</w:t>
            </w:r>
          </w:p>
        </w:tc>
        <w:tc>
          <w:tcPr>
            <w:tcW w:w="5386" w:type="dxa"/>
            <w:vAlign w:val="center"/>
          </w:tcPr>
          <w:p>
            <w:pPr>
              <w:pStyle w:val="单元格样式2"/>
            </w:pPr>
            <w:r>
              <w:t xml:space="preserve">组建网评队伍、舆情队伍人员数量</w:t>
            </w:r>
          </w:p>
        </w:tc>
        <w:tc>
          <w:tcPr>
            <w:tcW w:w="2268" w:type="dxa"/>
            <w:vAlign w:val="center"/>
          </w:tcPr>
          <w:p>
            <w:pPr>
              <w:pStyle w:val="单元格样式2"/>
            </w:pPr>
            <w:r>
              <w:t xml:space="preserve">≥110人</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网评队伍、舆情队伍培训任务完成情况</w:t>
            </w:r>
          </w:p>
        </w:tc>
        <w:tc>
          <w:tcPr>
            <w:tcW w:w="5386" w:type="dxa"/>
            <w:vAlign w:val="center"/>
          </w:tcPr>
          <w:p>
            <w:pPr>
              <w:pStyle w:val="单元格样式2"/>
            </w:pPr>
            <w:r>
              <w:t xml:space="preserve">开展网评队伍、舆情队伍培训任务完成情况</w:t>
            </w:r>
          </w:p>
        </w:tc>
        <w:tc>
          <w:tcPr>
            <w:tcW w:w="2268" w:type="dxa"/>
            <w:vAlign w:val="center"/>
          </w:tcPr>
          <w:p>
            <w:pPr>
              <w:pStyle w:val="单元格样式2"/>
            </w:pPr>
            <w:r>
              <w:t xml:space="preserve">培训任务按计划完成情况</w:t>
            </w:r>
          </w:p>
        </w:tc>
        <w:tc>
          <w:tcPr>
            <w:tcW w:w="1276" w:type="dxa"/>
            <w:vAlign w:val="center"/>
          </w:tcPr>
          <w:p>
            <w:pPr>
              <w:pStyle w:val="单元格样式2"/>
            </w:pPr>
            <w:r>
              <w:t xml:space="preserve">经验标准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反映资金支出的及时程度和效率情况</w:t>
            </w:r>
          </w:p>
        </w:tc>
        <w:tc>
          <w:tcPr>
            <w:tcW w:w="2268" w:type="dxa"/>
            <w:vAlign w:val="center"/>
          </w:tcPr>
          <w:p>
            <w:pPr>
              <w:pStyle w:val="单元格样式2"/>
            </w:pPr>
            <w:r>
              <w:t xml:space="preserve">及时</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培训费及差旅费成本控制</w:t>
            </w:r>
          </w:p>
        </w:tc>
        <w:tc>
          <w:tcPr>
            <w:tcW w:w="5386" w:type="dxa"/>
            <w:vAlign w:val="center"/>
          </w:tcPr>
          <w:p>
            <w:pPr>
              <w:pStyle w:val="单元格样式2"/>
            </w:pPr>
            <w:r>
              <w:t xml:space="preserve">网信系统人才培训费及差旅费成本控制</w:t>
            </w:r>
          </w:p>
        </w:tc>
        <w:tc>
          <w:tcPr>
            <w:tcW w:w="2268" w:type="dxa"/>
            <w:vAlign w:val="center"/>
          </w:tcPr>
          <w:p>
            <w:pPr>
              <w:pStyle w:val="单元格样式2"/>
            </w:pPr>
            <w:r>
              <w:t xml:space="preserve">&lt;5万</w:t>
            </w:r>
          </w:p>
        </w:tc>
        <w:tc>
          <w:tcPr>
            <w:tcW w:w="1276" w:type="dxa"/>
            <w:vAlign w:val="center"/>
          </w:tcPr>
          <w:p>
            <w:pPr>
              <w:pStyle w:val="单元格样式2"/>
            </w:pPr>
            <w:r>
              <w:t xml:space="preserve">成本控制目标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对培训人员综合素质的改善和提升程度</w:t>
            </w:r>
          </w:p>
        </w:tc>
        <w:tc>
          <w:tcPr>
            <w:tcW w:w="5386" w:type="dxa"/>
            <w:vAlign w:val="center"/>
          </w:tcPr>
          <w:p>
            <w:pPr>
              <w:pStyle w:val="单元格样式2"/>
            </w:pPr>
            <w:r>
              <w:t xml:space="preserve">反映培训实施对培训人员综合素质的改善或提升程度</w:t>
            </w:r>
          </w:p>
        </w:tc>
        <w:tc>
          <w:tcPr>
            <w:tcW w:w="2268" w:type="dxa"/>
            <w:vAlign w:val="center"/>
          </w:tcPr>
          <w:p>
            <w:pPr>
              <w:pStyle w:val="单元格样式2"/>
            </w:pPr>
            <w:r>
              <w:t xml:space="preserve">明显</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参训学员满意度</w:t>
            </w:r>
          </w:p>
        </w:tc>
        <w:tc>
          <w:tcPr>
            <w:tcW w:w="5386" w:type="dxa"/>
            <w:vAlign w:val="center"/>
          </w:tcPr>
          <w:p>
            <w:pPr>
              <w:pStyle w:val="单元格样式2"/>
            </w:pPr>
            <w:r>
              <w:t xml:space="preserve">反映参训学院对培训效果的认可程度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中共唐山市丰南区委网络安全和信息化委员会办公室（含所属单位）上年末固定资产金额为48.74万元（详见下表）。本年度拟购置固定资产总额为0.00万元，已按要求列入政府采购预算，详见政府采购预算表。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315中共唐山市丰南区委网络安全和信息化委员会办公室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48.74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214</w:t>
            </w:r>
          </w:p>
        </w:tc>
        <w:tc>
          <w:tcPr>
            <w:tcW w:w="2835" w:type="dxa"/>
            <w:vAlign w:val="center"/>
          </w:tcPr>
          <w:p>
            <w:pPr>
              <w:pStyle w:val="单元格样式4"/>
            </w:pPr>
            <w:r>
              <w:t xml:space="preserve">48.74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2025-01-23T08:10:24Z</dcterms:created>
  <dcterms:modified xsi:type="dcterms:W3CDTF">2025-01-23T08:10:24Z</dcterms:modified>
</cp:coreProperties>
</file>