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418唐山市丰南区青年路街道办事处</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4473.70</w:t>
            </w:r>
          </w:p>
        </w:tc>
        <w:tc>
          <w:tcPr>
            <w:tcW w:w="4535" w:type="dxa"/>
            <w:vAlign w:val="center"/>
          </w:tcPr>
          <w:p>
            <w:pPr>
              <w:pStyle w:val="13"/>
            </w:pPr>
            <w:r>
              <w:t>一、一般公共服务支出</w:t>
            </w:r>
          </w:p>
        </w:tc>
        <w:tc>
          <w:tcPr>
            <w:tcW w:w="2126" w:type="dxa"/>
            <w:vAlign w:val="center"/>
          </w:tcPr>
          <w:p>
            <w:pPr>
              <w:pStyle w:val="12"/>
            </w:pPr>
            <w:r>
              <w:t>478.22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155.51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97.76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3645.01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97.20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4473.70</w:t>
            </w:r>
          </w:p>
        </w:tc>
        <w:tc>
          <w:tcPr>
            <w:tcW w:w="4535" w:type="dxa"/>
            <w:vAlign w:val="center"/>
          </w:tcPr>
          <w:p>
            <w:pPr>
              <w:pStyle w:val="15"/>
            </w:pPr>
            <w:r>
              <w:t>本年支出合计</w:t>
            </w:r>
          </w:p>
        </w:tc>
        <w:tc>
          <w:tcPr>
            <w:tcW w:w="2126" w:type="dxa"/>
            <w:vAlign w:val="center"/>
          </w:tcPr>
          <w:p>
            <w:pPr>
              <w:pStyle w:val="16"/>
            </w:pPr>
            <w:r>
              <w:t>4473.70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4473.70</w:t>
            </w:r>
          </w:p>
        </w:tc>
        <w:tc>
          <w:tcPr>
            <w:tcW w:w="4535" w:type="dxa"/>
            <w:vAlign w:val="center"/>
          </w:tcPr>
          <w:p>
            <w:pPr>
              <w:pStyle w:val="15"/>
            </w:pPr>
            <w:r>
              <w:t>支出总计</w:t>
            </w:r>
          </w:p>
        </w:tc>
        <w:tc>
          <w:tcPr>
            <w:tcW w:w="2126" w:type="dxa"/>
            <w:vAlign w:val="center"/>
          </w:tcPr>
          <w:p>
            <w:pPr>
              <w:pStyle w:val="16"/>
            </w:pPr>
            <w:r>
              <w:t>4473.70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418唐山市丰南区青年路街道办事处</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4473.70</w:t>
            </w:r>
          </w:p>
        </w:tc>
        <w:tc>
          <w:tcPr>
            <w:tcW w:w="1134" w:type="dxa"/>
            <w:vAlign w:val="center"/>
          </w:tcPr>
          <w:p>
            <w:pPr>
              <w:pStyle w:val="16"/>
            </w:pPr>
            <w:r>
              <w:t>4473.70</w:t>
            </w:r>
          </w:p>
        </w:tc>
        <w:tc>
          <w:tcPr>
            <w:tcW w:w="1134" w:type="dxa"/>
            <w:vAlign w:val="center"/>
          </w:tcPr>
          <w:p>
            <w:pPr>
              <w:pStyle w:val="16"/>
            </w:pPr>
            <w:r>
              <w:t>4473.70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478.22</w:t>
            </w:r>
          </w:p>
        </w:tc>
        <w:tc>
          <w:tcPr>
            <w:tcW w:w="1134" w:type="dxa"/>
            <w:vAlign w:val="center"/>
          </w:tcPr>
          <w:p>
            <w:pPr>
              <w:pStyle w:val="12"/>
            </w:pPr>
            <w:r>
              <w:t>478.22</w:t>
            </w:r>
          </w:p>
        </w:tc>
        <w:tc>
          <w:tcPr>
            <w:tcW w:w="1134" w:type="dxa"/>
            <w:vAlign w:val="center"/>
          </w:tcPr>
          <w:p>
            <w:pPr>
              <w:pStyle w:val="12"/>
            </w:pPr>
            <w:r>
              <w:t>478.22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20139</w:t>
            </w:r>
          </w:p>
        </w:tc>
        <w:tc>
          <w:tcPr>
            <w:tcW w:w="1559" w:type="dxa"/>
            <w:vAlign w:val="center"/>
          </w:tcPr>
          <w:p>
            <w:pPr>
              <w:pStyle w:val="13"/>
            </w:pPr>
            <w:r>
              <w:t>社会工作事务</w:t>
            </w:r>
          </w:p>
        </w:tc>
        <w:tc>
          <w:tcPr>
            <w:tcW w:w="1134" w:type="dxa"/>
            <w:vAlign w:val="center"/>
          </w:tcPr>
          <w:p>
            <w:pPr>
              <w:pStyle w:val="12"/>
            </w:pPr>
            <w:r>
              <w:t>478.22</w:t>
            </w:r>
          </w:p>
        </w:tc>
        <w:tc>
          <w:tcPr>
            <w:tcW w:w="1134" w:type="dxa"/>
            <w:vAlign w:val="center"/>
          </w:tcPr>
          <w:p>
            <w:pPr>
              <w:pStyle w:val="12"/>
            </w:pPr>
            <w:r>
              <w:t>478.22</w:t>
            </w:r>
          </w:p>
        </w:tc>
        <w:tc>
          <w:tcPr>
            <w:tcW w:w="1134" w:type="dxa"/>
            <w:vAlign w:val="center"/>
          </w:tcPr>
          <w:p>
            <w:pPr>
              <w:pStyle w:val="12"/>
            </w:pPr>
            <w:r>
              <w:t>478.22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2013999</w:t>
            </w:r>
          </w:p>
        </w:tc>
        <w:tc>
          <w:tcPr>
            <w:tcW w:w="1559" w:type="dxa"/>
            <w:vAlign w:val="center"/>
          </w:tcPr>
          <w:p>
            <w:pPr>
              <w:pStyle w:val="13"/>
            </w:pPr>
            <w:r>
              <w:t>其他社会工作事务支出</w:t>
            </w:r>
          </w:p>
        </w:tc>
        <w:tc>
          <w:tcPr>
            <w:tcW w:w="1134" w:type="dxa"/>
            <w:vAlign w:val="center"/>
          </w:tcPr>
          <w:p>
            <w:pPr>
              <w:pStyle w:val="12"/>
            </w:pPr>
            <w:r>
              <w:t>478.22</w:t>
            </w:r>
          </w:p>
        </w:tc>
        <w:tc>
          <w:tcPr>
            <w:tcW w:w="1134" w:type="dxa"/>
            <w:vAlign w:val="center"/>
          </w:tcPr>
          <w:p>
            <w:pPr>
              <w:pStyle w:val="12"/>
            </w:pPr>
            <w:r>
              <w:t>478.22</w:t>
            </w:r>
          </w:p>
        </w:tc>
        <w:tc>
          <w:tcPr>
            <w:tcW w:w="1134" w:type="dxa"/>
            <w:vAlign w:val="center"/>
          </w:tcPr>
          <w:p>
            <w:pPr>
              <w:pStyle w:val="12"/>
            </w:pPr>
            <w:r>
              <w:t>478.22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155.51</w:t>
            </w:r>
          </w:p>
        </w:tc>
        <w:tc>
          <w:tcPr>
            <w:tcW w:w="1134" w:type="dxa"/>
            <w:vAlign w:val="center"/>
          </w:tcPr>
          <w:p>
            <w:pPr>
              <w:pStyle w:val="12"/>
            </w:pPr>
            <w:r>
              <w:t>155.51</w:t>
            </w:r>
          </w:p>
        </w:tc>
        <w:tc>
          <w:tcPr>
            <w:tcW w:w="1134" w:type="dxa"/>
            <w:vAlign w:val="center"/>
          </w:tcPr>
          <w:p>
            <w:pPr>
              <w:pStyle w:val="12"/>
            </w:pPr>
            <w:r>
              <w:t>155.51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155.51</w:t>
            </w:r>
          </w:p>
        </w:tc>
        <w:tc>
          <w:tcPr>
            <w:tcW w:w="1134" w:type="dxa"/>
            <w:vAlign w:val="center"/>
          </w:tcPr>
          <w:p>
            <w:pPr>
              <w:pStyle w:val="12"/>
            </w:pPr>
            <w:r>
              <w:t>155.51</w:t>
            </w:r>
          </w:p>
        </w:tc>
        <w:tc>
          <w:tcPr>
            <w:tcW w:w="1134" w:type="dxa"/>
            <w:vAlign w:val="center"/>
          </w:tcPr>
          <w:p>
            <w:pPr>
              <w:pStyle w:val="12"/>
            </w:pPr>
            <w:r>
              <w:t>155.51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34.45</w:t>
            </w:r>
          </w:p>
        </w:tc>
        <w:tc>
          <w:tcPr>
            <w:tcW w:w="1134" w:type="dxa"/>
            <w:vAlign w:val="center"/>
          </w:tcPr>
          <w:p>
            <w:pPr>
              <w:pStyle w:val="12"/>
            </w:pPr>
            <w:r>
              <w:t>34.45</w:t>
            </w:r>
          </w:p>
        </w:tc>
        <w:tc>
          <w:tcPr>
            <w:tcW w:w="1134" w:type="dxa"/>
            <w:vAlign w:val="center"/>
          </w:tcPr>
          <w:p>
            <w:pPr>
              <w:pStyle w:val="12"/>
            </w:pPr>
            <w:r>
              <w:t>34.45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121.06</w:t>
            </w:r>
          </w:p>
        </w:tc>
        <w:tc>
          <w:tcPr>
            <w:tcW w:w="1134" w:type="dxa"/>
            <w:vAlign w:val="center"/>
          </w:tcPr>
          <w:p>
            <w:pPr>
              <w:pStyle w:val="12"/>
            </w:pPr>
            <w:r>
              <w:t>121.06</w:t>
            </w:r>
          </w:p>
        </w:tc>
        <w:tc>
          <w:tcPr>
            <w:tcW w:w="1134" w:type="dxa"/>
            <w:vAlign w:val="center"/>
          </w:tcPr>
          <w:p>
            <w:pPr>
              <w:pStyle w:val="12"/>
            </w:pPr>
            <w:r>
              <w:t>121.06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97.76</w:t>
            </w:r>
          </w:p>
        </w:tc>
        <w:tc>
          <w:tcPr>
            <w:tcW w:w="1134" w:type="dxa"/>
            <w:vAlign w:val="center"/>
          </w:tcPr>
          <w:p>
            <w:pPr>
              <w:pStyle w:val="12"/>
            </w:pPr>
            <w:r>
              <w:t>97.76</w:t>
            </w:r>
          </w:p>
        </w:tc>
        <w:tc>
          <w:tcPr>
            <w:tcW w:w="1134" w:type="dxa"/>
            <w:vAlign w:val="center"/>
          </w:tcPr>
          <w:p>
            <w:pPr>
              <w:pStyle w:val="12"/>
            </w:pPr>
            <w:r>
              <w:t>97.76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97.76</w:t>
            </w:r>
          </w:p>
        </w:tc>
        <w:tc>
          <w:tcPr>
            <w:tcW w:w="1134" w:type="dxa"/>
            <w:vAlign w:val="center"/>
          </w:tcPr>
          <w:p>
            <w:pPr>
              <w:pStyle w:val="12"/>
            </w:pPr>
            <w:r>
              <w:t>97.76</w:t>
            </w:r>
          </w:p>
        </w:tc>
        <w:tc>
          <w:tcPr>
            <w:tcW w:w="1134" w:type="dxa"/>
            <w:vAlign w:val="center"/>
          </w:tcPr>
          <w:p>
            <w:pPr>
              <w:pStyle w:val="12"/>
            </w:pPr>
            <w:r>
              <w:t>97.76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46.61</w:t>
            </w:r>
          </w:p>
        </w:tc>
        <w:tc>
          <w:tcPr>
            <w:tcW w:w="1134" w:type="dxa"/>
            <w:vAlign w:val="center"/>
          </w:tcPr>
          <w:p>
            <w:pPr>
              <w:pStyle w:val="12"/>
            </w:pPr>
            <w:r>
              <w:t>46.61</w:t>
            </w:r>
          </w:p>
        </w:tc>
        <w:tc>
          <w:tcPr>
            <w:tcW w:w="1134" w:type="dxa"/>
            <w:vAlign w:val="center"/>
          </w:tcPr>
          <w:p>
            <w:pPr>
              <w:pStyle w:val="12"/>
            </w:pPr>
            <w:r>
              <w:t>46.61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51.15</w:t>
            </w:r>
          </w:p>
        </w:tc>
        <w:tc>
          <w:tcPr>
            <w:tcW w:w="1134" w:type="dxa"/>
            <w:vAlign w:val="center"/>
          </w:tcPr>
          <w:p>
            <w:pPr>
              <w:pStyle w:val="12"/>
            </w:pPr>
            <w:r>
              <w:t>51.15</w:t>
            </w:r>
          </w:p>
        </w:tc>
        <w:tc>
          <w:tcPr>
            <w:tcW w:w="1134" w:type="dxa"/>
            <w:vAlign w:val="center"/>
          </w:tcPr>
          <w:p>
            <w:pPr>
              <w:pStyle w:val="12"/>
            </w:pPr>
            <w:r>
              <w:t>51.15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3645.01</w:t>
            </w:r>
          </w:p>
        </w:tc>
        <w:tc>
          <w:tcPr>
            <w:tcW w:w="1134" w:type="dxa"/>
            <w:vAlign w:val="center"/>
          </w:tcPr>
          <w:p>
            <w:pPr>
              <w:pStyle w:val="12"/>
            </w:pPr>
            <w:r>
              <w:t>3645.01</w:t>
            </w:r>
          </w:p>
        </w:tc>
        <w:tc>
          <w:tcPr>
            <w:tcW w:w="1134" w:type="dxa"/>
            <w:vAlign w:val="center"/>
          </w:tcPr>
          <w:p>
            <w:pPr>
              <w:pStyle w:val="12"/>
            </w:pPr>
            <w:r>
              <w:t>3645.01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3645.01</w:t>
            </w:r>
          </w:p>
        </w:tc>
        <w:tc>
          <w:tcPr>
            <w:tcW w:w="1134" w:type="dxa"/>
            <w:vAlign w:val="center"/>
          </w:tcPr>
          <w:p>
            <w:pPr>
              <w:pStyle w:val="12"/>
            </w:pPr>
            <w:r>
              <w:t>3645.01</w:t>
            </w:r>
          </w:p>
        </w:tc>
        <w:tc>
          <w:tcPr>
            <w:tcW w:w="1134" w:type="dxa"/>
            <w:vAlign w:val="center"/>
          </w:tcPr>
          <w:p>
            <w:pPr>
              <w:pStyle w:val="12"/>
            </w:pPr>
            <w:r>
              <w:t>3645.01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2120101</w:t>
            </w:r>
          </w:p>
        </w:tc>
        <w:tc>
          <w:tcPr>
            <w:tcW w:w="1559" w:type="dxa"/>
            <w:vAlign w:val="center"/>
          </w:tcPr>
          <w:p>
            <w:pPr>
              <w:pStyle w:val="13"/>
            </w:pPr>
            <w:r>
              <w:t>行政运行</w:t>
            </w:r>
          </w:p>
        </w:tc>
        <w:tc>
          <w:tcPr>
            <w:tcW w:w="1134" w:type="dxa"/>
            <w:vAlign w:val="center"/>
          </w:tcPr>
          <w:p>
            <w:pPr>
              <w:pStyle w:val="12"/>
            </w:pPr>
            <w:r>
              <w:t>918.79</w:t>
            </w:r>
          </w:p>
        </w:tc>
        <w:tc>
          <w:tcPr>
            <w:tcW w:w="1134" w:type="dxa"/>
            <w:vAlign w:val="center"/>
          </w:tcPr>
          <w:p>
            <w:pPr>
              <w:pStyle w:val="12"/>
            </w:pPr>
            <w:r>
              <w:t>918.79</w:t>
            </w:r>
          </w:p>
        </w:tc>
        <w:tc>
          <w:tcPr>
            <w:tcW w:w="1134" w:type="dxa"/>
            <w:vAlign w:val="center"/>
          </w:tcPr>
          <w:p>
            <w:pPr>
              <w:pStyle w:val="12"/>
            </w:pPr>
            <w:r>
              <w:t>918.79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2120102</w:t>
            </w:r>
          </w:p>
        </w:tc>
        <w:tc>
          <w:tcPr>
            <w:tcW w:w="1559" w:type="dxa"/>
            <w:vAlign w:val="center"/>
          </w:tcPr>
          <w:p>
            <w:pPr>
              <w:pStyle w:val="13"/>
            </w:pPr>
            <w:r>
              <w:t>一般行政管理事务</w:t>
            </w:r>
          </w:p>
        </w:tc>
        <w:tc>
          <w:tcPr>
            <w:tcW w:w="1134" w:type="dxa"/>
            <w:vAlign w:val="center"/>
          </w:tcPr>
          <w:p>
            <w:pPr>
              <w:pStyle w:val="12"/>
            </w:pPr>
            <w:r>
              <w:t>2726.22</w:t>
            </w:r>
          </w:p>
        </w:tc>
        <w:tc>
          <w:tcPr>
            <w:tcW w:w="1134" w:type="dxa"/>
            <w:vAlign w:val="center"/>
          </w:tcPr>
          <w:p>
            <w:pPr>
              <w:pStyle w:val="12"/>
            </w:pPr>
            <w:r>
              <w:t>2726.22</w:t>
            </w:r>
          </w:p>
        </w:tc>
        <w:tc>
          <w:tcPr>
            <w:tcW w:w="1134" w:type="dxa"/>
            <w:vAlign w:val="center"/>
          </w:tcPr>
          <w:p>
            <w:pPr>
              <w:pStyle w:val="12"/>
            </w:pPr>
            <w:r>
              <w:t>2726.22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97.20</w:t>
            </w:r>
          </w:p>
        </w:tc>
        <w:tc>
          <w:tcPr>
            <w:tcW w:w="1134" w:type="dxa"/>
            <w:vAlign w:val="center"/>
          </w:tcPr>
          <w:p>
            <w:pPr>
              <w:pStyle w:val="12"/>
            </w:pPr>
            <w:r>
              <w:t>97.20</w:t>
            </w:r>
          </w:p>
        </w:tc>
        <w:tc>
          <w:tcPr>
            <w:tcW w:w="1134" w:type="dxa"/>
            <w:vAlign w:val="center"/>
          </w:tcPr>
          <w:p>
            <w:pPr>
              <w:pStyle w:val="12"/>
            </w:pPr>
            <w:r>
              <w:t>97.20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97.20</w:t>
            </w:r>
          </w:p>
        </w:tc>
        <w:tc>
          <w:tcPr>
            <w:tcW w:w="1134" w:type="dxa"/>
            <w:vAlign w:val="center"/>
          </w:tcPr>
          <w:p>
            <w:pPr>
              <w:pStyle w:val="12"/>
            </w:pPr>
            <w:r>
              <w:t>97.20</w:t>
            </w:r>
          </w:p>
        </w:tc>
        <w:tc>
          <w:tcPr>
            <w:tcW w:w="1134" w:type="dxa"/>
            <w:vAlign w:val="center"/>
          </w:tcPr>
          <w:p>
            <w:pPr>
              <w:pStyle w:val="12"/>
            </w:pPr>
            <w:r>
              <w:t>97.20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97.20</w:t>
            </w:r>
          </w:p>
        </w:tc>
        <w:tc>
          <w:tcPr>
            <w:tcW w:w="1134" w:type="dxa"/>
            <w:vAlign w:val="center"/>
          </w:tcPr>
          <w:p>
            <w:pPr>
              <w:pStyle w:val="12"/>
            </w:pPr>
            <w:r>
              <w:t>97.20</w:t>
            </w:r>
          </w:p>
        </w:tc>
        <w:tc>
          <w:tcPr>
            <w:tcW w:w="1134" w:type="dxa"/>
            <w:vAlign w:val="center"/>
          </w:tcPr>
          <w:p>
            <w:pPr>
              <w:pStyle w:val="12"/>
            </w:pPr>
            <w:r>
              <w:t>97.20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418唐山市丰南区青年路街道办事处</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4473.70</w:t>
            </w:r>
          </w:p>
        </w:tc>
        <w:tc>
          <w:tcPr>
            <w:tcW w:w="1361" w:type="dxa"/>
            <w:vAlign w:val="center"/>
          </w:tcPr>
          <w:p>
            <w:pPr>
              <w:pStyle w:val="16"/>
            </w:pPr>
            <w:r>
              <w:t>1269.26</w:t>
            </w:r>
          </w:p>
        </w:tc>
        <w:tc>
          <w:tcPr>
            <w:tcW w:w="1361" w:type="dxa"/>
            <w:vAlign w:val="center"/>
          </w:tcPr>
          <w:p>
            <w:pPr>
              <w:pStyle w:val="16"/>
            </w:pPr>
            <w:r>
              <w:t>3204.44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478.22</w:t>
            </w:r>
          </w:p>
        </w:tc>
        <w:tc>
          <w:tcPr>
            <w:tcW w:w="1361" w:type="dxa"/>
            <w:vAlign w:val="center"/>
          </w:tcPr>
          <w:p>
            <w:pPr>
              <w:pStyle w:val="12"/>
            </w:pPr>
          </w:p>
        </w:tc>
        <w:tc>
          <w:tcPr>
            <w:tcW w:w="1361" w:type="dxa"/>
            <w:vAlign w:val="center"/>
          </w:tcPr>
          <w:p>
            <w:pPr>
              <w:pStyle w:val="12"/>
            </w:pPr>
            <w:r>
              <w:t>478.22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20139</w:t>
            </w:r>
          </w:p>
        </w:tc>
        <w:tc>
          <w:tcPr>
            <w:tcW w:w="4535" w:type="dxa"/>
            <w:vAlign w:val="center"/>
          </w:tcPr>
          <w:p>
            <w:pPr>
              <w:pStyle w:val="13"/>
            </w:pPr>
            <w:r>
              <w:t>社会工作事务</w:t>
            </w:r>
          </w:p>
        </w:tc>
        <w:tc>
          <w:tcPr>
            <w:tcW w:w="1361" w:type="dxa"/>
            <w:vAlign w:val="center"/>
          </w:tcPr>
          <w:p>
            <w:pPr>
              <w:pStyle w:val="12"/>
            </w:pPr>
            <w:r>
              <w:t>478.22</w:t>
            </w:r>
          </w:p>
        </w:tc>
        <w:tc>
          <w:tcPr>
            <w:tcW w:w="1361" w:type="dxa"/>
            <w:vAlign w:val="center"/>
          </w:tcPr>
          <w:p>
            <w:pPr>
              <w:pStyle w:val="12"/>
            </w:pPr>
          </w:p>
        </w:tc>
        <w:tc>
          <w:tcPr>
            <w:tcW w:w="1361" w:type="dxa"/>
            <w:vAlign w:val="center"/>
          </w:tcPr>
          <w:p>
            <w:pPr>
              <w:pStyle w:val="12"/>
            </w:pPr>
            <w:r>
              <w:t>478.22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2013999</w:t>
            </w:r>
          </w:p>
        </w:tc>
        <w:tc>
          <w:tcPr>
            <w:tcW w:w="4535" w:type="dxa"/>
            <w:vAlign w:val="center"/>
          </w:tcPr>
          <w:p>
            <w:pPr>
              <w:pStyle w:val="13"/>
            </w:pPr>
            <w:r>
              <w:t>其他社会工作事务支出</w:t>
            </w:r>
          </w:p>
        </w:tc>
        <w:tc>
          <w:tcPr>
            <w:tcW w:w="1361" w:type="dxa"/>
            <w:vAlign w:val="center"/>
          </w:tcPr>
          <w:p>
            <w:pPr>
              <w:pStyle w:val="12"/>
            </w:pPr>
            <w:r>
              <w:t>478.22</w:t>
            </w:r>
          </w:p>
        </w:tc>
        <w:tc>
          <w:tcPr>
            <w:tcW w:w="1361" w:type="dxa"/>
            <w:vAlign w:val="center"/>
          </w:tcPr>
          <w:p>
            <w:pPr>
              <w:pStyle w:val="12"/>
            </w:pPr>
          </w:p>
        </w:tc>
        <w:tc>
          <w:tcPr>
            <w:tcW w:w="1361" w:type="dxa"/>
            <w:vAlign w:val="center"/>
          </w:tcPr>
          <w:p>
            <w:pPr>
              <w:pStyle w:val="12"/>
            </w:pPr>
            <w:r>
              <w:t>478.22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155.51</w:t>
            </w:r>
          </w:p>
        </w:tc>
        <w:tc>
          <w:tcPr>
            <w:tcW w:w="1361" w:type="dxa"/>
            <w:vAlign w:val="center"/>
          </w:tcPr>
          <w:p>
            <w:pPr>
              <w:pStyle w:val="12"/>
            </w:pPr>
            <w:r>
              <w:t>155.51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155.51</w:t>
            </w:r>
          </w:p>
        </w:tc>
        <w:tc>
          <w:tcPr>
            <w:tcW w:w="1361" w:type="dxa"/>
            <w:vAlign w:val="center"/>
          </w:tcPr>
          <w:p>
            <w:pPr>
              <w:pStyle w:val="12"/>
            </w:pPr>
            <w:r>
              <w:t>155.51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34.45</w:t>
            </w:r>
          </w:p>
        </w:tc>
        <w:tc>
          <w:tcPr>
            <w:tcW w:w="1361" w:type="dxa"/>
            <w:vAlign w:val="center"/>
          </w:tcPr>
          <w:p>
            <w:pPr>
              <w:pStyle w:val="12"/>
            </w:pPr>
            <w:r>
              <w:t>34.45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121.06</w:t>
            </w:r>
          </w:p>
        </w:tc>
        <w:tc>
          <w:tcPr>
            <w:tcW w:w="1361" w:type="dxa"/>
            <w:vAlign w:val="center"/>
          </w:tcPr>
          <w:p>
            <w:pPr>
              <w:pStyle w:val="12"/>
            </w:pPr>
            <w:r>
              <w:t>121.06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97.76</w:t>
            </w:r>
          </w:p>
        </w:tc>
        <w:tc>
          <w:tcPr>
            <w:tcW w:w="1361" w:type="dxa"/>
            <w:vAlign w:val="center"/>
          </w:tcPr>
          <w:p>
            <w:pPr>
              <w:pStyle w:val="12"/>
            </w:pPr>
            <w:r>
              <w:t>97.76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97.76</w:t>
            </w:r>
          </w:p>
        </w:tc>
        <w:tc>
          <w:tcPr>
            <w:tcW w:w="1361" w:type="dxa"/>
            <w:vAlign w:val="center"/>
          </w:tcPr>
          <w:p>
            <w:pPr>
              <w:pStyle w:val="12"/>
            </w:pPr>
            <w:r>
              <w:t>97.76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46.61</w:t>
            </w:r>
          </w:p>
        </w:tc>
        <w:tc>
          <w:tcPr>
            <w:tcW w:w="1361" w:type="dxa"/>
            <w:vAlign w:val="center"/>
          </w:tcPr>
          <w:p>
            <w:pPr>
              <w:pStyle w:val="12"/>
            </w:pPr>
            <w:r>
              <w:t>46.61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51.15</w:t>
            </w:r>
          </w:p>
        </w:tc>
        <w:tc>
          <w:tcPr>
            <w:tcW w:w="1361" w:type="dxa"/>
            <w:vAlign w:val="center"/>
          </w:tcPr>
          <w:p>
            <w:pPr>
              <w:pStyle w:val="12"/>
            </w:pPr>
            <w:r>
              <w:t>51.15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3645.01</w:t>
            </w:r>
          </w:p>
        </w:tc>
        <w:tc>
          <w:tcPr>
            <w:tcW w:w="1361" w:type="dxa"/>
            <w:vAlign w:val="center"/>
          </w:tcPr>
          <w:p>
            <w:pPr>
              <w:pStyle w:val="12"/>
            </w:pPr>
            <w:r>
              <w:t>918.79</w:t>
            </w:r>
          </w:p>
        </w:tc>
        <w:tc>
          <w:tcPr>
            <w:tcW w:w="1361" w:type="dxa"/>
            <w:vAlign w:val="center"/>
          </w:tcPr>
          <w:p>
            <w:pPr>
              <w:pStyle w:val="12"/>
            </w:pPr>
            <w:r>
              <w:t>2726.22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3645.01</w:t>
            </w:r>
          </w:p>
        </w:tc>
        <w:tc>
          <w:tcPr>
            <w:tcW w:w="1361" w:type="dxa"/>
            <w:vAlign w:val="center"/>
          </w:tcPr>
          <w:p>
            <w:pPr>
              <w:pStyle w:val="12"/>
            </w:pPr>
            <w:r>
              <w:t>918.79</w:t>
            </w:r>
          </w:p>
        </w:tc>
        <w:tc>
          <w:tcPr>
            <w:tcW w:w="1361" w:type="dxa"/>
            <w:vAlign w:val="center"/>
          </w:tcPr>
          <w:p>
            <w:pPr>
              <w:pStyle w:val="12"/>
            </w:pPr>
            <w:r>
              <w:t>2726.22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2120101</w:t>
            </w:r>
          </w:p>
        </w:tc>
        <w:tc>
          <w:tcPr>
            <w:tcW w:w="4535" w:type="dxa"/>
            <w:vAlign w:val="center"/>
          </w:tcPr>
          <w:p>
            <w:pPr>
              <w:pStyle w:val="13"/>
            </w:pPr>
            <w:r>
              <w:t>行政运行</w:t>
            </w:r>
          </w:p>
        </w:tc>
        <w:tc>
          <w:tcPr>
            <w:tcW w:w="1361" w:type="dxa"/>
            <w:vAlign w:val="center"/>
          </w:tcPr>
          <w:p>
            <w:pPr>
              <w:pStyle w:val="12"/>
            </w:pPr>
            <w:r>
              <w:t>918.79</w:t>
            </w:r>
          </w:p>
        </w:tc>
        <w:tc>
          <w:tcPr>
            <w:tcW w:w="1361" w:type="dxa"/>
            <w:vAlign w:val="center"/>
          </w:tcPr>
          <w:p>
            <w:pPr>
              <w:pStyle w:val="12"/>
            </w:pPr>
            <w:r>
              <w:t>918.79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2120102</w:t>
            </w:r>
          </w:p>
        </w:tc>
        <w:tc>
          <w:tcPr>
            <w:tcW w:w="4535" w:type="dxa"/>
            <w:vAlign w:val="center"/>
          </w:tcPr>
          <w:p>
            <w:pPr>
              <w:pStyle w:val="13"/>
            </w:pPr>
            <w:r>
              <w:t>一般行政管理事务</w:t>
            </w:r>
          </w:p>
        </w:tc>
        <w:tc>
          <w:tcPr>
            <w:tcW w:w="1361" w:type="dxa"/>
            <w:vAlign w:val="center"/>
          </w:tcPr>
          <w:p>
            <w:pPr>
              <w:pStyle w:val="12"/>
            </w:pPr>
            <w:r>
              <w:t>2726.22</w:t>
            </w:r>
          </w:p>
        </w:tc>
        <w:tc>
          <w:tcPr>
            <w:tcW w:w="1361" w:type="dxa"/>
            <w:vAlign w:val="center"/>
          </w:tcPr>
          <w:p>
            <w:pPr>
              <w:pStyle w:val="12"/>
            </w:pPr>
          </w:p>
        </w:tc>
        <w:tc>
          <w:tcPr>
            <w:tcW w:w="1361" w:type="dxa"/>
            <w:vAlign w:val="center"/>
          </w:tcPr>
          <w:p>
            <w:pPr>
              <w:pStyle w:val="12"/>
            </w:pPr>
            <w:r>
              <w:t>2726.22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97.20</w:t>
            </w:r>
          </w:p>
        </w:tc>
        <w:tc>
          <w:tcPr>
            <w:tcW w:w="1361" w:type="dxa"/>
            <w:vAlign w:val="center"/>
          </w:tcPr>
          <w:p>
            <w:pPr>
              <w:pStyle w:val="12"/>
            </w:pPr>
            <w:r>
              <w:t>97.20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97.20</w:t>
            </w:r>
          </w:p>
        </w:tc>
        <w:tc>
          <w:tcPr>
            <w:tcW w:w="1361" w:type="dxa"/>
            <w:vAlign w:val="center"/>
          </w:tcPr>
          <w:p>
            <w:pPr>
              <w:pStyle w:val="12"/>
            </w:pPr>
            <w:r>
              <w:t>97.20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97.20</w:t>
            </w:r>
          </w:p>
        </w:tc>
        <w:tc>
          <w:tcPr>
            <w:tcW w:w="1361" w:type="dxa"/>
            <w:vAlign w:val="center"/>
          </w:tcPr>
          <w:p>
            <w:pPr>
              <w:pStyle w:val="12"/>
            </w:pPr>
            <w:r>
              <w:t>97.20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418唐山市丰南区青年路街道办事处</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4473.70</w:t>
            </w:r>
          </w:p>
        </w:tc>
        <w:tc>
          <w:tcPr>
            <w:tcW w:w="3402" w:type="dxa"/>
            <w:vAlign w:val="center"/>
          </w:tcPr>
          <w:p>
            <w:pPr>
              <w:pStyle w:val="13"/>
            </w:pPr>
            <w:r>
              <w:t>一、一般公共服务支出</w:t>
            </w:r>
          </w:p>
        </w:tc>
        <w:tc>
          <w:tcPr>
            <w:tcW w:w="1474" w:type="dxa"/>
            <w:vAlign w:val="center"/>
          </w:tcPr>
          <w:p>
            <w:pPr>
              <w:pStyle w:val="12"/>
            </w:pPr>
            <w:r>
              <w:t>478.22</w:t>
            </w:r>
          </w:p>
        </w:tc>
        <w:tc>
          <w:tcPr>
            <w:tcW w:w="1474" w:type="dxa"/>
            <w:vAlign w:val="center"/>
          </w:tcPr>
          <w:p>
            <w:pPr>
              <w:pStyle w:val="12"/>
            </w:pPr>
            <w:r>
              <w:t>478.22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155.51</w:t>
            </w:r>
          </w:p>
        </w:tc>
        <w:tc>
          <w:tcPr>
            <w:tcW w:w="1474" w:type="dxa"/>
            <w:vAlign w:val="center"/>
          </w:tcPr>
          <w:p>
            <w:pPr>
              <w:pStyle w:val="12"/>
            </w:pPr>
            <w:r>
              <w:t>155.51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97.76</w:t>
            </w:r>
          </w:p>
        </w:tc>
        <w:tc>
          <w:tcPr>
            <w:tcW w:w="1474" w:type="dxa"/>
            <w:vAlign w:val="center"/>
          </w:tcPr>
          <w:p>
            <w:pPr>
              <w:pStyle w:val="12"/>
            </w:pPr>
            <w:r>
              <w:t>97.76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3645.01</w:t>
            </w:r>
          </w:p>
        </w:tc>
        <w:tc>
          <w:tcPr>
            <w:tcW w:w="1474" w:type="dxa"/>
            <w:vAlign w:val="center"/>
          </w:tcPr>
          <w:p>
            <w:pPr>
              <w:pStyle w:val="12"/>
            </w:pPr>
            <w:r>
              <w:t>3645.01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97.20</w:t>
            </w:r>
          </w:p>
        </w:tc>
        <w:tc>
          <w:tcPr>
            <w:tcW w:w="1474" w:type="dxa"/>
            <w:vAlign w:val="center"/>
          </w:tcPr>
          <w:p>
            <w:pPr>
              <w:pStyle w:val="12"/>
            </w:pPr>
            <w:r>
              <w:t>97.20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4473.70</w:t>
            </w:r>
          </w:p>
        </w:tc>
        <w:tc>
          <w:tcPr>
            <w:tcW w:w="3402" w:type="dxa"/>
            <w:vAlign w:val="center"/>
          </w:tcPr>
          <w:p>
            <w:pPr>
              <w:pStyle w:val="15"/>
            </w:pPr>
            <w:r>
              <w:t>本年支出合计</w:t>
            </w:r>
          </w:p>
        </w:tc>
        <w:tc>
          <w:tcPr>
            <w:tcW w:w="1474" w:type="dxa"/>
            <w:vAlign w:val="center"/>
          </w:tcPr>
          <w:p>
            <w:pPr>
              <w:pStyle w:val="16"/>
            </w:pPr>
            <w:r>
              <w:t>4473.70</w:t>
            </w:r>
          </w:p>
        </w:tc>
        <w:tc>
          <w:tcPr>
            <w:tcW w:w="1474" w:type="dxa"/>
            <w:vAlign w:val="center"/>
          </w:tcPr>
          <w:p>
            <w:pPr>
              <w:pStyle w:val="16"/>
            </w:pPr>
            <w:r>
              <w:t>4473.70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4473.70</w:t>
            </w:r>
          </w:p>
        </w:tc>
        <w:tc>
          <w:tcPr>
            <w:tcW w:w="3402" w:type="dxa"/>
            <w:vAlign w:val="center"/>
          </w:tcPr>
          <w:p>
            <w:pPr>
              <w:pStyle w:val="15"/>
            </w:pPr>
            <w:r>
              <w:t>支出总计</w:t>
            </w:r>
          </w:p>
        </w:tc>
        <w:tc>
          <w:tcPr>
            <w:tcW w:w="1474" w:type="dxa"/>
            <w:vAlign w:val="center"/>
          </w:tcPr>
          <w:p>
            <w:pPr>
              <w:pStyle w:val="16"/>
            </w:pPr>
            <w:r>
              <w:t>4473.70</w:t>
            </w:r>
          </w:p>
        </w:tc>
        <w:tc>
          <w:tcPr>
            <w:tcW w:w="1474" w:type="dxa"/>
            <w:vAlign w:val="center"/>
          </w:tcPr>
          <w:p>
            <w:pPr>
              <w:pStyle w:val="16"/>
            </w:pPr>
            <w:r>
              <w:t>4473.70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418唐山市丰南区青年路街道办事处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4473.70</w:t>
            </w:r>
          </w:p>
        </w:tc>
        <w:tc>
          <w:tcPr>
            <w:tcW w:w="2551" w:type="dxa"/>
            <w:vAlign w:val="center"/>
          </w:tcPr>
          <w:p>
            <w:pPr>
              <w:pStyle w:val="16"/>
            </w:pPr>
            <w:r>
              <w:t>1269.26</w:t>
            </w:r>
          </w:p>
        </w:tc>
        <w:tc>
          <w:tcPr>
            <w:tcW w:w="2551" w:type="dxa"/>
            <w:vAlign w:val="center"/>
          </w:tcPr>
          <w:p>
            <w:pPr>
              <w:pStyle w:val="16"/>
            </w:pPr>
            <w:r>
              <w:t>3204.44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478.22</w:t>
            </w:r>
          </w:p>
        </w:tc>
        <w:tc>
          <w:tcPr>
            <w:tcW w:w="2551" w:type="dxa"/>
            <w:vAlign w:val="center"/>
          </w:tcPr>
          <w:p>
            <w:pPr>
              <w:pStyle w:val="12"/>
            </w:pPr>
          </w:p>
        </w:tc>
        <w:tc>
          <w:tcPr>
            <w:tcW w:w="2551" w:type="dxa"/>
            <w:vAlign w:val="center"/>
          </w:tcPr>
          <w:p>
            <w:pPr>
              <w:pStyle w:val="12"/>
            </w:pPr>
            <w:r>
              <w:t>478.22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20139</w:t>
            </w:r>
          </w:p>
        </w:tc>
        <w:tc>
          <w:tcPr>
            <w:tcW w:w="4535" w:type="dxa"/>
            <w:vAlign w:val="center"/>
          </w:tcPr>
          <w:p>
            <w:pPr>
              <w:pStyle w:val="13"/>
            </w:pPr>
            <w:r>
              <w:t>社会工作事务</w:t>
            </w:r>
          </w:p>
        </w:tc>
        <w:tc>
          <w:tcPr>
            <w:tcW w:w="2551" w:type="dxa"/>
            <w:vAlign w:val="center"/>
          </w:tcPr>
          <w:p>
            <w:pPr>
              <w:pStyle w:val="12"/>
            </w:pPr>
            <w:r>
              <w:t>478.22</w:t>
            </w:r>
          </w:p>
        </w:tc>
        <w:tc>
          <w:tcPr>
            <w:tcW w:w="2551" w:type="dxa"/>
            <w:vAlign w:val="center"/>
          </w:tcPr>
          <w:p>
            <w:pPr>
              <w:pStyle w:val="12"/>
            </w:pPr>
          </w:p>
        </w:tc>
        <w:tc>
          <w:tcPr>
            <w:tcW w:w="2551" w:type="dxa"/>
            <w:vAlign w:val="center"/>
          </w:tcPr>
          <w:p>
            <w:pPr>
              <w:pStyle w:val="12"/>
            </w:pPr>
            <w:r>
              <w:t>478.22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2013999</w:t>
            </w:r>
          </w:p>
        </w:tc>
        <w:tc>
          <w:tcPr>
            <w:tcW w:w="4535" w:type="dxa"/>
            <w:vAlign w:val="center"/>
          </w:tcPr>
          <w:p>
            <w:pPr>
              <w:pStyle w:val="13"/>
            </w:pPr>
            <w:r>
              <w:t>其他社会工作事务支出</w:t>
            </w:r>
          </w:p>
        </w:tc>
        <w:tc>
          <w:tcPr>
            <w:tcW w:w="2551" w:type="dxa"/>
            <w:vAlign w:val="center"/>
          </w:tcPr>
          <w:p>
            <w:pPr>
              <w:pStyle w:val="12"/>
            </w:pPr>
            <w:r>
              <w:t>478.22</w:t>
            </w:r>
          </w:p>
        </w:tc>
        <w:tc>
          <w:tcPr>
            <w:tcW w:w="2551" w:type="dxa"/>
            <w:vAlign w:val="center"/>
          </w:tcPr>
          <w:p>
            <w:pPr>
              <w:pStyle w:val="12"/>
            </w:pPr>
          </w:p>
        </w:tc>
        <w:tc>
          <w:tcPr>
            <w:tcW w:w="2551" w:type="dxa"/>
            <w:vAlign w:val="center"/>
          </w:tcPr>
          <w:p>
            <w:pPr>
              <w:pStyle w:val="12"/>
            </w:pPr>
            <w:r>
              <w:t>478.22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155.51</w:t>
            </w:r>
          </w:p>
        </w:tc>
        <w:tc>
          <w:tcPr>
            <w:tcW w:w="2551" w:type="dxa"/>
            <w:vAlign w:val="center"/>
          </w:tcPr>
          <w:p>
            <w:pPr>
              <w:pStyle w:val="12"/>
            </w:pPr>
            <w:r>
              <w:t>155.51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155.51</w:t>
            </w:r>
          </w:p>
        </w:tc>
        <w:tc>
          <w:tcPr>
            <w:tcW w:w="2551" w:type="dxa"/>
            <w:vAlign w:val="center"/>
          </w:tcPr>
          <w:p>
            <w:pPr>
              <w:pStyle w:val="12"/>
            </w:pPr>
            <w:r>
              <w:t>155.51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34.45</w:t>
            </w:r>
          </w:p>
        </w:tc>
        <w:tc>
          <w:tcPr>
            <w:tcW w:w="2551" w:type="dxa"/>
            <w:vAlign w:val="center"/>
          </w:tcPr>
          <w:p>
            <w:pPr>
              <w:pStyle w:val="12"/>
            </w:pPr>
            <w:r>
              <w:t>34.45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121.06</w:t>
            </w:r>
          </w:p>
        </w:tc>
        <w:tc>
          <w:tcPr>
            <w:tcW w:w="2551" w:type="dxa"/>
            <w:vAlign w:val="center"/>
          </w:tcPr>
          <w:p>
            <w:pPr>
              <w:pStyle w:val="12"/>
            </w:pPr>
            <w:r>
              <w:t>121.06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97.76</w:t>
            </w:r>
          </w:p>
        </w:tc>
        <w:tc>
          <w:tcPr>
            <w:tcW w:w="2551" w:type="dxa"/>
            <w:vAlign w:val="center"/>
          </w:tcPr>
          <w:p>
            <w:pPr>
              <w:pStyle w:val="12"/>
            </w:pPr>
            <w:r>
              <w:t>97.76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97.76</w:t>
            </w:r>
          </w:p>
        </w:tc>
        <w:tc>
          <w:tcPr>
            <w:tcW w:w="2551" w:type="dxa"/>
            <w:vAlign w:val="center"/>
          </w:tcPr>
          <w:p>
            <w:pPr>
              <w:pStyle w:val="12"/>
            </w:pPr>
            <w:r>
              <w:t>97.76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46.61</w:t>
            </w:r>
          </w:p>
        </w:tc>
        <w:tc>
          <w:tcPr>
            <w:tcW w:w="2551" w:type="dxa"/>
            <w:vAlign w:val="center"/>
          </w:tcPr>
          <w:p>
            <w:pPr>
              <w:pStyle w:val="12"/>
            </w:pPr>
            <w:r>
              <w:t>46.61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51.15</w:t>
            </w:r>
          </w:p>
        </w:tc>
        <w:tc>
          <w:tcPr>
            <w:tcW w:w="2551" w:type="dxa"/>
            <w:vAlign w:val="center"/>
          </w:tcPr>
          <w:p>
            <w:pPr>
              <w:pStyle w:val="12"/>
            </w:pPr>
            <w:r>
              <w:t>51.15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3645.01</w:t>
            </w:r>
          </w:p>
        </w:tc>
        <w:tc>
          <w:tcPr>
            <w:tcW w:w="2551" w:type="dxa"/>
            <w:vAlign w:val="center"/>
          </w:tcPr>
          <w:p>
            <w:pPr>
              <w:pStyle w:val="12"/>
            </w:pPr>
            <w:r>
              <w:t>918.79</w:t>
            </w:r>
          </w:p>
        </w:tc>
        <w:tc>
          <w:tcPr>
            <w:tcW w:w="2551" w:type="dxa"/>
            <w:vAlign w:val="center"/>
          </w:tcPr>
          <w:p>
            <w:pPr>
              <w:pStyle w:val="12"/>
            </w:pPr>
            <w:r>
              <w:t>2726.22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3645.01</w:t>
            </w:r>
          </w:p>
        </w:tc>
        <w:tc>
          <w:tcPr>
            <w:tcW w:w="2551" w:type="dxa"/>
            <w:vAlign w:val="center"/>
          </w:tcPr>
          <w:p>
            <w:pPr>
              <w:pStyle w:val="12"/>
            </w:pPr>
            <w:r>
              <w:t>918.79</w:t>
            </w:r>
          </w:p>
        </w:tc>
        <w:tc>
          <w:tcPr>
            <w:tcW w:w="2551" w:type="dxa"/>
            <w:vAlign w:val="center"/>
          </w:tcPr>
          <w:p>
            <w:pPr>
              <w:pStyle w:val="12"/>
            </w:pPr>
            <w:r>
              <w:t>2726.22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2120101</w:t>
            </w:r>
          </w:p>
        </w:tc>
        <w:tc>
          <w:tcPr>
            <w:tcW w:w="4535" w:type="dxa"/>
            <w:vAlign w:val="center"/>
          </w:tcPr>
          <w:p>
            <w:pPr>
              <w:pStyle w:val="13"/>
            </w:pPr>
            <w:r>
              <w:t>行政运行</w:t>
            </w:r>
          </w:p>
        </w:tc>
        <w:tc>
          <w:tcPr>
            <w:tcW w:w="2551" w:type="dxa"/>
            <w:vAlign w:val="center"/>
          </w:tcPr>
          <w:p>
            <w:pPr>
              <w:pStyle w:val="12"/>
            </w:pPr>
            <w:r>
              <w:t>918.79</w:t>
            </w:r>
          </w:p>
        </w:tc>
        <w:tc>
          <w:tcPr>
            <w:tcW w:w="2551" w:type="dxa"/>
            <w:vAlign w:val="center"/>
          </w:tcPr>
          <w:p>
            <w:pPr>
              <w:pStyle w:val="12"/>
            </w:pPr>
            <w:r>
              <w:t>918.79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2120102</w:t>
            </w:r>
          </w:p>
        </w:tc>
        <w:tc>
          <w:tcPr>
            <w:tcW w:w="4535" w:type="dxa"/>
            <w:vAlign w:val="center"/>
          </w:tcPr>
          <w:p>
            <w:pPr>
              <w:pStyle w:val="13"/>
            </w:pPr>
            <w:r>
              <w:t>一般行政管理事务</w:t>
            </w:r>
          </w:p>
        </w:tc>
        <w:tc>
          <w:tcPr>
            <w:tcW w:w="2551" w:type="dxa"/>
            <w:vAlign w:val="center"/>
          </w:tcPr>
          <w:p>
            <w:pPr>
              <w:pStyle w:val="12"/>
            </w:pPr>
            <w:r>
              <w:t>2726.22</w:t>
            </w:r>
          </w:p>
        </w:tc>
        <w:tc>
          <w:tcPr>
            <w:tcW w:w="2551" w:type="dxa"/>
            <w:vAlign w:val="center"/>
          </w:tcPr>
          <w:p>
            <w:pPr>
              <w:pStyle w:val="12"/>
            </w:pPr>
          </w:p>
        </w:tc>
        <w:tc>
          <w:tcPr>
            <w:tcW w:w="2551" w:type="dxa"/>
            <w:vAlign w:val="center"/>
          </w:tcPr>
          <w:p>
            <w:pPr>
              <w:pStyle w:val="12"/>
            </w:pPr>
            <w:r>
              <w:t>2726.22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97.20</w:t>
            </w:r>
          </w:p>
        </w:tc>
        <w:tc>
          <w:tcPr>
            <w:tcW w:w="2551" w:type="dxa"/>
            <w:vAlign w:val="center"/>
          </w:tcPr>
          <w:p>
            <w:pPr>
              <w:pStyle w:val="12"/>
            </w:pPr>
            <w:r>
              <w:t>97.20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97.20</w:t>
            </w:r>
          </w:p>
        </w:tc>
        <w:tc>
          <w:tcPr>
            <w:tcW w:w="2551" w:type="dxa"/>
            <w:vAlign w:val="center"/>
          </w:tcPr>
          <w:p>
            <w:pPr>
              <w:pStyle w:val="12"/>
            </w:pPr>
            <w:r>
              <w:t>97.20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97.20</w:t>
            </w:r>
          </w:p>
        </w:tc>
        <w:tc>
          <w:tcPr>
            <w:tcW w:w="2551" w:type="dxa"/>
            <w:vAlign w:val="center"/>
          </w:tcPr>
          <w:p>
            <w:pPr>
              <w:pStyle w:val="12"/>
            </w:pPr>
            <w:r>
              <w:t>97.20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418唐山市丰南区青年路街道办事处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1269.26</w:t>
            </w:r>
          </w:p>
        </w:tc>
        <w:tc>
          <w:tcPr>
            <w:tcW w:w="2551" w:type="dxa"/>
            <w:vAlign w:val="center"/>
          </w:tcPr>
          <w:p>
            <w:pPr>
              <w:pStyle w:val="16"/>
            </w:pPr>
            <w:r>
              <w:t>1179.84</w:t>
            </w:r>
          </w:p>
        </w:tc>
        <w:tc>
          <w:tcPr>
            <w:tcW w:w="2551" w:type="dxa"/>
            <w:vAlign w:val="center"/>
          </w:tcPr>
          <w:p>
            <w:pPr>
              <w:pStyle w:val="16"/>
            </w:pPr>
            <w:r>
              <w:t>89.42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1145.39</w:t>
            </w:r>
          </w:p>
        </w:tc>
        <w:tc>
          <w:tcPr>
            <w:tcW w:w="2551" w:type="dxa"/>
            <w:vAlign w:val="center"/>
          </w:tcPr>
          <w:p>
            <w:pPr>
              <w:pStyle w:val="12"/>
            </w:pPr>
            <w:r>
              <w:t>1145.39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319.54</w:t>
            </w:r>
          </w:p>
        </w:tc>
        <w:tc>
          <w:tcPr>
            <w:tcW w:w="2551" w:type="dxa"/>
            <w:vAlign w:val="center"/>
          </w:tcPr>
          <w:p>
            <w:pPr>
              <w:pStyle w:val="12"/>
            </w:pPr>
            <w:r>
              <w:t>319.54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130.13</w:t>
            </w:r>
          </w:p>
        </w:tc>
        <w:tc>
          <w:tcPr>
            <w:tcW w:w="2551" w:type="dxa"/>
            <w:vAlign w:val="center"/>
          </w:tcPr>
          <w:p>
            <w:pPr>
              <w:pStyle w:val="12"/>
            </w:pPr>
            <w:r>
              <w:t>130.13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42.01</w:t>
            </w:r>
          </w:p>
        </w:tc>
        <w:tc>
          <w:tcPr>
            <w:tcW w:w="2551" w:type="dxa"/>
            <w:vAlign w:val="center"/>
          </w:tcPr>
          <w:p>
            <w:pPr>
              <w:pStyle w:val="12"/>
            </w:pPr>
            <w:r>
              <w:t>42.01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287.47</w:t>
            </w:r>
          </w:p>
        </w:tc>
        <w:tc>
          <w:tcPr>
            <w:tcW w:w="2551" w:type="dxa"/>
            <w:vAlign w:val="center"/>
          </w:tcPr>
          <w:p>
            <w:pPr>
              <w:pStyle w:val="12"/>
            </w:pPr>
            <w:r>
              <w:t>287.47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114.73</w:t>
            </w:r>
          </w:p>
        </w:tc>
        <w:tc>
          <w:tcPr>
            <w:tcW w:w="2551" w:type="dxa"/>
            <w:vAlign w:val="center"/>
          </w:tcPr>
          <w:p>
            <w:pPr>
              <w:pStyle w:val="12"/>
            </w:pPr>
            <w:r>
              <w:t>114.73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44.19</w:t>
            </w:r>
          </w:p>
        </w:tc>
        <w:tc>
          <w:tcPr>
            <w:tcW w:w="2551" w:type="dxa"/>
            <w:vAlign w:val="center"/>
          </w:tcPr>
          <w:p>
            <w:pPr>
              <w:pStyle w:val="12"/>
            </w:pPr>
            <w:r>
              <w:t>44.19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48.48</w:t>
            </w:r>
          </w:p>
        </w:tc>
        <w:tc>
          <w:tcPr>
            <w:tcW w:w="2551" w:type="dxa"/>
            <w:vAlign w:val="center"/>
          </w:tcPr>
          <w:p>
            <w:pPr>
              <w:pStyle w:val="12"/>
            </w:pPr>
            <w:r>
              <w:t>48.48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7.12</w:t>
            </w:r>
          </w:p>
        </w:tc>
        <w:tc>
          <w:tcPr>
            <w:tcW w:w="2551" w:type="dxa"/>
            <w:vAlign w:val="center"/>
          </w:tcPr>
          <w:p>
            <w:pPr>
              <w:pStyle w:val="12"/>
            </w:pPr>
            <w:r>
              <w:t>7.12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92.45</w:t>
            </w:r>
          </w:p>
        </w:tc>
        <w:tc>
          <w:tcPr>
            <w:tcW w:w="2551" w:type="dxa"/>
            <w:vAlign w:val="center"/>
          </w:tcPr>
          <w:p>
            <w:pPr>
              <w:pStyle w:val="12"/>
            </w:pPr>
            <w:r>
              <w:t>92.45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59.27</w:t>
            </w:r>
          </w:p>
        </w:tc>
        <w:tc>
          <w:tcPr>
            <w:tcW w:w="2551" w:type="dxa"/>
            <w:vAlign w:val="center"/>
          </w:tcPr>
          <w:p>
            <w:pPr>
              <w:pStyle w:val="12"/>
            </w:pPr>
            <w:r>
              <w:t>59.27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89.42</w:t>
            </w:r>
          </w:p>
        </w:tc>
        <w:tc>
          <w:tcPr>
            <w:tcW w:w="2551" w:type="dxa"/>
            <w:vAlign w:val="center"/>
          </w:tcPr>
          <w:p>
            <w:pPr>
              <w:pStyle w:val="12"/>
            </w:pPr>
          </w:p>
        </w:tc>
        <w:tc>
          <w:tcPr>
            <w:tcW w:w="2551" w:type="dxa"/>
            <w:vAlign w:val="center"/>
          </w:tcPr>
          <w:p>
            <w:pPr>
              <w:pStyle w:val="12"/>
            </w:pPr>
            <w:r>
              <w:t>89.42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6.30</w:t>
            </w:r>
          </w:p>
        </w:tc>
        <w:tc>
          <w:tcPr>
            <w:tcW w:w="2551" w:type="dxa"/>
            <w:vAlign w:val="center"/>
          </w:tcPr>
          <w:p>
            <w:pPr>
              <w:pStyle w:val="12"/>
            </w:pPr>
          </w:p>
        </w:tc>
        <w:tc>
          <w:tcPr>
            <w:tcW w:w="2551" w:type="dxa"/>
            <w:vAlign w:val="center"/>
          </w:tcPr>
          <w:p>
            <w:pPr>
              <w:pStyle w:val="12"/>
            </w:pPr>
            <w:r>
              <w:t>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1.55</w:t>
            </w:r>
          </w:p>
        </w:tc>
        <w:tc>
          <w:tcPr>
            <w:tcW w:w="2551" w:type="dxa"/>
            <w:vAlign w:val="center"/>
          </w:tcPr>
          <w:p>
            <w:pPr>
              <w:pStyle w:val="12"/>
            </w:pPr>
          </w:p>
        </w:tc>
        <w:tc>
          <w:tcPr>
            <w:tcW w:w="2551" w:type="dxa"/>
            <w:vAlign w:val="center"/>
          </w:tcPr>
          <w:p>
            <w:pPr>
              <w:pStyle w:val="12"/>
            </w:pPr>
            <w:r>
              <w:t>1.55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11.77</w:t>
            </w:r>
          </w:p>
        </w:tc>
        <w:tc>
          <w:tcPr>
            <w:tcW w:w="2551" w:type="dxa"/>
            <w:vAlign w:val="center"/>
          </w:tcPr>
          <w:p>
            <w:pPr>
              <w:pStyle w:val="12"/>
            </w:pPr>
          </w:p>
        </w:tc>
        <w:tc>
          <w:tcPr>
            <w:tcW w:w="2551" w:type="dxa"/>
            <w:vAlign w:val="center"/>
          </w:tcPr>
          <w:p>
            <w:pPr>
              <w:pStyle w:val="12"/>
            </w:pPr>
            <w:r>
              <w:t>11.77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19.46</w:t>
            </w:r>
          </w:p>
        </w:tc>
        <w:tc>
          <w:tcPr>
            <w:tcW w:w="2551" w:type="dxa"/>
            <w:vAlign w:val="center"/>
          </w:tcPr>
          <w:p>
            <w:pPr>
              <w:pStyle w:val="12"/>
            </w:pPr>
          </w:p>
        </w:tc>
        <w:tc>
          <w:tcPr>
            <w:tcW w:w="2551" w:type="dxa"/>
            <w:vAlign w:val="center"/>
          </w:tcPr>
          <w:p>
            <w:pPr>
              <w:pStyle w:val="12"/>
            </w:pPr>
            <w:r>
              <w:t>19.46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15.49</w:t>
            </w:r>
          </w:p>
        </w:tc>
        <w:tc>
          <w:tcPr>
            <w:tcW w:w="2551" w:type="dxa"/>
            <w:vAlign w:val="center"/>
          </w:tcPr>
          <w:p>
            <w:pPr>
              <w:pStyle w:val="12"/>
            </w:pPr>
          </w:p>
        </w:tc>
        <w:tc>
          <w:tcPr>
            <w:tcW w:w="2551" w:type="dxa"/>
            <w:vAlign w:val="center"/>
          </w:tcPr>
          <w:p>
            <w:pPr>
              <w:pStyle w:val="12"/>
            </w:pPr>
            <w:r>
              <w:t>15.49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8.41</w:t>
            </w:r>
          </w:p>
        </w:tc>
        <w:tc>
          <w:tcPr>
            <w:tcW w:w="2551" w:type="dxa"/>
            <w:vAlign w:val="center"/>
          </w:tcPr>
          <w:p>
            <w:pPr>
              <w:pStyle w:val="12"/>
            </w:pPr>
          </w:p>
        </w:tc>
        <w:tc>
          <w:tcPr>
            <w:tcW w:w="2551" w:type="dxa"/>
            <w:vAlign w:val="center"/>
          </w:tcPr>
          <w:p>
            <w:pPr>
              <w:pStyle w:val="12"/>
            </w:pPr>
            <w:r>
              <w:t>8.41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14.34</w:t>
            </w:r>
          </w:p>
        </w:tc>
        <w:tc>
          <w:tcPr>
            <w:tcW w:w="2551" w:type="dxa"/>
            <w:vAlign w:val="center"/>
          </w:tcPr>
          <w:p>
            <w:pPr>
              <w:pStyle w:val="12"/>
            </w:pPr>
          </w:p>
        </w:tc>
        <w:tc>
          <w:tcPr>
            <w:tcW w:w="2551" w:type="dxa"/>
            <w:vAlign w:val="center"/>
          </w:tcPr>
          <w:p>
            <w:pPr>
              <w:pStyle w:val="12"/>
            </w:pPr>
            <w:r>
              <w:t>14.34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34.45</w:t>
            </w:r>
          </w:p>
        </w:tc>
        <w:tc>
          <w:tcPr>
            <w:tcW w:w="2551" w:type="dxa"/>
            <w:vAlign w:val="center"/>
          </w:tcPr>
          <w:p>
            <w:pPr>
              <w:pStyle w:val="12"/>
            </w:pPr>
            <w:r>
              <w:t>34.45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34.45</w:t>
            </w:r>
          </w:p>
        </w:tc>
        <w:tc>
          <w:tcPr>
            <w:tcW w:w="2551" w:type="dxa"/>
            <w:vAlign w:val="center"/>
          </w:tcPr>
          <w:p>
            <w:pPr>
              <w:pStyle w:val="12"/>
            </w:pPr>
            <w:r>
              <w:t>34.45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418唐山市丰南区青年路街道办事处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418唐山市丰南区青年路街道办事处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418唐山市丰南区青年路街道办事处</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唐山市丰南区青年路街道办事处2025年部门预算信息公开情况说明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唐山市丰南区青年路街道办事处2025年部门预算信息公开情况说明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按照《中华人民共和国预算法》、《地方预决算公开操作规程》和《关于进一步推进预算公开工作的实施意见》规定，现将唐山市丰南区青年路街道办事处2025年部门预算公开如下：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（一）宣传贯彻执行党的路线方针政策和党中央、上级党组织的决议。贯彻执行法律、法规、规章和上级人民代表大会及其常务委员会决议及上级政府的决定、命令，依法管理辖区公共事务。</w:t>
      </w:r>
    </w:p>
    <w:p>
      <w:pPr>
        <w:pStyle w:val="18"/>
      </w:pPr>
      <w:r>
        <w:t xml:space="preserve">（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 </w:t>
      </w:r>
    </w:p>
    <w:p>
      <w:pPr>
        <w:pStyle w:val="18"/>
      </w:pPr>
      <w:r>
        <w:t xml:space="preserve">（三）负责办理上级人大常委会交办的监督、选举以及其他工作，做好人大代表工作，联系选民、反映群众意见和要求。 </w:t>
      </w:r>
    </w:p>
    <w:p>
      <w:pPr>
        <w:pStyle w:val="18"/>
      </w:pPr>
      <w:r>
        <w:t xml:space="preserve">（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 </w:t>
      </w:r>
    </w:p>
    <w:p>
      <w:pPr>
        <w:pStyle w:val="18"/>
      </w:pPr>
      <w:r>
        <w:t xml:space="preserve">（五）街道党工委领导群团组织，加强指导和规范，支持和保证群团组织依照国家法律法规以及各自章程履行职责。坚持党管武装的根本原则和制度，协调各方力量，对街道人民武装工作实行统一领导。 </w:t>
      </w:r>
    </w:p>
    <w:p>
      <w:pPr>
        <w:pStyle w:val="18"/>
      </w:pPr>
      <w:r>
        <w:t xml:space="preserve">（六）指导居民委员会等基层群众性自治组织建设，健全自治平台。组织动员社区居民、单位和社会力量参与社区治理，整合辖区内社会力量，形成社区共治合力，为社区发展服务。对社区工作者队伍进行教育管理。 </w:t>
      </w:r>
    </w:p>
    <w:p>
      <w:pPr>
        <w:pStyle w:val="18"/>
      </w:pPr>
      <w:r>
        <w:t>（七）按照管理权限，对街道机关及所属单位干部进行教育、培训、选拔、考核和监督，对上级政府职能部门派出机构的工作考核和主要负责同志任免提出意见。</w:t>
      </w:r>
    </w:p>
    <w:p>
      <w:pPr>
        <w:pStyle w:val="18"/>
      </w:pPr>
      <w:r>
        <w:t xml:space="preserve">（八）组织维护辖区安全稳定，协调推动社会治安综合治理, 做好应急管理、民族宗教工作，承担民兵预备役、征兵、退役军人服务、拥军优属、防范邪教等工作。 </w:t>
      </w:r>
    </w:p>
    <w:p>
      <w:pPr>
        <w:pStyle w:val="18"/>
      </w:pPr>
      <w:r>
        <w:t xml:space="preserve">（九）组织开展群众性文化、体育、科普活动，开展法治宣传和社会公德教育，推动社区公益事业发展。维护老年人、妇女、未成年人、残疾人等合法权益。 </w:t>
      </w:r>
    </w:p>
    <w:p>
      <w:pPr>
        <w:pStyle w:val="18"/>
      </w:pPr>
      <w:r>
        <w:t xml:space="preserve">（十）参与辖区设施规划、建设和验收，综合管理、统筹调度和考核督办涉及辖区的公共事务，按照有关规定统筹使用下沉到街道社区的人财物等资源。 </w:t>
      </w:r>
    </w:p>
    <w:p>
      <w:pPr>
        <w:pStyle w:val="18"/>
      </w:pPr>
      <w:r>
        <w:t>（十一）承办上级党委、人大、政府交办的其他事项。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唐山市丰南区青年路街道办事处本级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按照预算管理有关规定，目前部门预算的编制实行综合预算管理，即全部收入和支出都反映在预算中。唐山市丰南区青年路街道办事处机关及所属事业单位的收支包含在部门预算中。</w:t>
      </w:r>
    </w:p>
    <w:p>
      <w:pPr>
        <w:pStyle w:val="19"/>
      </w:pPr>
      <w:r>
        <w:t>1、收入说明</w:t>
      </w:r>
    </w:p>
    <w:p>
      <w:pPr>
        <w:pStyle w:val="19"/>
      </w:pPr>
      <w:r>
        <w:t>反映本部门当年全部收入。2025年预算收入4473.70万元，其中：一般公共预算收入4473.70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丰南区青年路街道办事处年度部门预算中支出预算的总体情况。2025年支出预算4473.70万元，其中基本支出1269.26万元，包括人员经费1179.84万元和日常公用经费89.42万元；项目支出3204.44万元，主要为社区工作者薪酬等。</w:t>
      </w:r>
    </w:p>
    <w:p>
      <w:pPr>
        <w:pStyle w:val="19"/>
      </w:pPr>
      <w:r>
        <w:t>3、比上年增减情况</w:t>
      </w:r>
    </w:p>
    <w:p>
      <w:pPr>
        <w:pStyle w:val="19"/>
      </w:pPr>
      <w:r>
        <w:t>2025年预算收支安排4473.70万元，较2024年预算增加291.13万元，其中：基本支出增加21.70万元，主要为人员经费增加；项目支出增加269.43万元，主要为社区工作者薪酬等。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 2025年，我单位机关运行经费共计安排89.42万元，主要用于日常维修、办公用房水电费、办公用房取暖费、 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减少2.50万元，增减变化的主要原因是公务用车运维费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紧紧围绕习近平总书记在二十大报告中提出的“增进民生福祉，提高人民生活品质”目标，把群众呼声作为“第一信号”，把群众需求作为“第一要素”，把群众利益作为“第一考虑”，把群众满意作为“第一标准”，采取更多惠民生、暖民心举措，不断实现人民对美好生活的向往。</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1、保障日常工作顺利开展和机关事务的基本运转。</w:t>
      </w:r>
    </w:p>
    <w:p>
      <w:pPr>
        <w:pStyle w:val="23"/>
      </w:pPr>
      <w:r>
        <w:t>（1）绩效目标：确保机关各项工作正常运转。</w:t>
      </w:r>
    </w:p>
    <w:p>
      <w:pPr>
        <w:pStyle w:val="23"/>
      </w:pPr>
      <w:r>
        <w:t>绩效指标：工作完成率，指标值为＞90%。</w:t>
      </w:r>
    </w:p>
    <w:p>
      <w:pPr>
        <w:pStyle w:val="23"/>
      </w:pPr>
      <w:r>
        <w:t>（2）绩效目标： 完成区妇联交办的各项工作任务。</w:t>
      </w:r>
    </w:p>
    <w:p>
      <w:pPr>
        <w:pStyle w:val="23"/>
      </w:pPr>
      <w:r>
        <w:t>绩效指标：工作完成率，指标值为＞90%。</w:t>
      </w:r>
    </w:p>
    <w:p>
      <w:pPr>
        <w:pStyle w:val="23"/>
      </w:pPr>
      <w:r>
        <w:t>（3）绩效目标： 完成街道党工委和上级团组织交办的各项工作。</w:t>
      </w:r>
    </w:p>
    <w:p>
      <w:pPr>
        <w:pStyle w:val="23"/>
      </w:pPr>
      <w:r>
        <w:t>绩效指标：工作完成率，指标值为＞90%。</w:t>
      </w:r>
    </w:p>
    <w:p>
      <w:pPr>
        <w:pStyle w:val="23"/>
      </w:pPr>
      <w:r>
        <w:t>（4）绩效目标：增进职工、社区、街道间联系，增强组织凝聚力和职工的向心力。</w:t>
      </w:r>
    </w:p>
    <w:p>
      <w:pPr>
        <w:pStyle w:val="23"/>
      </w:pPr>
      <w:r>
        <w:t>绩效指标：职工满意度，指标值为＞90%。</w:t>
      </w:r>
    </w:p>
    <w:p>
      <w:pPr>
        <w:pStyle w:val="23"/>
      </w:pPr>
      <w:r>
        <w:t>（5）绩效目标：完成资产管理各项工作。</w:t>
      </w:r>
    </w:p>
    <w:p>
      <w:pPr>
        <w:pStyle w:val="23"/>
      </w:pPr>
      <w:r>
        <w:t>绩效指标：工作完成率，指标值为＞90%。</w:t>
      </w:r>
    </w:p>
    <w:p>
      <w:pPr>
        <w:pStyle w:val="23"/>
      </w:pPr>
      <w:r>
        <w:t>（6）绩效目标：完成市级、区级党建示范点建设任务，率先建成幸福家园全域示范街道。</w:t>
      </w:r>
    </w:p>
    <w:p>
      <w:pPr>
        <w:pStyle w:val="23"/>
      </w:pPr>
      <w:r>
        <w:t>绩效指标：工作完成率，指标值为＞90%。</w:t>
      </w:r>
    </w:p>
    <w:p>
      <w:pPr>
        <w:pStyle w:val="23"/>
      </w:pPr>
      <w:r>
        <w:t>（7）绩效目标：发展党员，培养人才，选优配强基层组织队伍。</w:t>
      </w:r>
    </w:p>
    <w:p>
      <w:pPr>
        <w:pStyle w:val="23"/>
      </w:pPr>
      <w:r>
        <w:t>绩效指标：干部培训完成次数，指标值为3次。</w:t>
      </w:r>
    </w:p>
    <w:p>
      <w:pPr>
        <w:pStyle w:val="23"/>
      </w:pPr>
      <w:r>
        <w:t>（8）绩效目标：宣传国防法规政策。</w:t>
      </w:r>
    </w:p>
    <w:p>
      <w:pPr>
        <w:pStyle w:val="23"/>
      </w:pPr>
      <w:r>
        <w:t>绩效指标：国防知识及相关法律法规知晓率，指标值为＞80%。</w:t>
      </w:r>
    </w:p>
    <w:p>
      <w:pPr>
        <w:pStyle w:val="23"/>
      </w:pPr>
      <w:r>
        <w:t>（9）绩效目标：提高党员干部拒腐防变能力，减少违法违纪案件发生。</w:t>
      </w:r>
    </w:p>
    <w:p>
      <w:pPr>
        <w:pStyle w:val="23"/>
      </w:pPr>
      <w:r>
        <w:t>绩效指标：年度内违法违纪案件发生数量，指标值为＜5次。</w:t>
      </w:r>
    </w:p>
    <w:p>
      <w:pPr>
        <w:pStyle w:val="23"/>
      </w:pPr>
      <w:r>
        <w:t>（10）绩效目标：提高居民的整体素质。</w:t>
      </w:r>
    </w:p>
    <w:p>
      <w:pPr>
        <w:pStyle w:val="23"/>
      </w:pPr>
      <w:r>
        <w:t>绩效指标：提升辖区居民文明素质程度，指标值为明显提升。</w:t>
      </w:r>
    </w:p>
    <w:p>
      <w:pPr>
        <w:pStyle w:val="23"/>
      </w:pPr>
      <w:r>
        <w:t>2、繁荣群众文化生活，创建安全文明社区，确保社会综合治理各项工作顺利完成，维护社会的和谐和稳定。</w:t>
      </w:r>
    </w:p>
    <w:p>
      <w:pPr>
        <w:pStyle w:val="23"/>
      </w:pPr>
      <w:r>
        <w:t>（11）绩效目标：文体队扶持。</w:t>
      </w:r>
    </w:p>
    <w:p>
      <w:pPr>
        <w:pStyle w:val="23"/>
      </w:pPr>
      <w:r>
        <w:t>绩效指标：文艺品牌团队数量，指标值为≥4个。</w:t>
      </w:r>
    </w:p>
    <w:p>
      <w:pPr>
        <w:pStyle w:val="23"/>
      </w:pPr>
      <w:r>
        <w:t>（12）绩效目标：信访案件稳控到位，及时办理，无非法访和越级访。</w:t>
      </w:r>
    </w:p>
    <w:p>
      <w:pPr>
        <w:pStyle w:val="23"/>
      </w:pPr>
      <w:r>
        <w:t>绩效指标：信访事项办理率，指标值为＞70%。</w:t>
      </w:r>
    </w:p>
    <w:p>
      <w:pPr>
        <w:pStyle w:val="23"/>
      </w:pPr>
      <w:r>
        <w:t>（13）绩效目标：扫黑除恶宣传活动到位。</w:t>
      </w:r>
    </w:p>
    <w:p>
      <w:pPr>
        <w:pStyle w:val="23"/>
      </w:pPr>
      <w:r>
        <w:t>绩效指标：宣传活动区域覆盖率，指标值为＞70%。</w:t>
      </w:r>
    </w:p>
    <w:p>
      <w:pPr>
        <w:pStyle w:val="23"/>
      </w:pPr>
      <w:r>
        <w:t>（14）绩效目标：基层平安创建。</w:t>
      </w:r>
    </w:p>
    <w:p>
      <w:pPr>
        <w:pStyle w:val="23"/>
      </w:pPr>
      <w:r>
        <w:t>绩效指标：“八无”社区创建完成率，指标值为＞40%。</w:t>
      </w:r>
    </w:p>
    <w:p>
      <w:pPr>
        <w:pStyle w:val="23"/>
      </w:pPr>
      <w:r>
        <w:t>（15）绩效目标：组织抵制毒品、参与禁毒等主题宣传教育活动。</w:t>
      </w:r>
    </w:p>
    <w:p>
      <w:pPr>
        <w:pStyle w:val="23"/>
      </w:pPr>
      <w:r>
        <w:t>绩效指标：对禁毒人员的宣教效果，指标值为效果明显。</w:t>
      </w:r>
    </w:p>
    <w:p>
      <w:pPr>
        <w:pStyle w:val="23"/>
      </w:pPr>
      <w:r>
        <w:t>（16）绩效目标：综治智能化建设。</w:t>
      </w:r>
    </w:p>
    <w:p>
      <w:pPr>
        <w:pStyle w:val="23"/>
      </w:pPr>
      <w:r>
        <w:t>绩效指标：街居两级综治中心建成率，指标值为＞80%。</w:t>
      </w:r>
    </w:p>
    <w:p>
      <w:pPr>
        <w:pStyle w:val="23"/>
      </w:pPr>
      <w:r>
        <w:t>（17）绩效目标：促进失业人员再就业。</w:t>
      </w:r>
    </w:p>
    <w:p>
      <w:pPr>
        <w:pStyle w:val="23"/>
      </w:pPr>
      <w:r>
        <w:t>绩效指标：实现就业率，指标值为＞70%。</w:t>
      </w:r>
    </w:p>
    <w:p>
      <w:pPr>
        <w:pStyle w:val="23"/>
      </w:pPr>
      <w:r>
        <w:t>（18）绩效目标：积极开展弱势群体各项社会救助工作。</w:t>
      </w:r>
    </w:p>
    <w:p>
      <w:pPr>
        <w:pStyle w:val="23"/>
      </w:pPr>
      <w:r>
        <w:t>绩效指标：城乡居民低保保障率，指标值为＞90%。</w:t>
      </w:r>
    </w:p>
    <w:p>
      <w:pPr>
        <w:pStyle w:val="23"/>
      </w:pPr>
      <w:r>
        <w:t>（19）绩效目标：不断提高普法宣传和法制教育工作的质量和实效，提高广大群众遵纪守法和依法维权的自觉性。</w:t>
      </w:r>
    </w:p>
    <w:p>
      <w:pPr>
        <w:pStyle w:val="23"/>
      </w:pPr>
      <w:r>
        <w:t>绩效指标：法律服务群众满意度，指标值为＞80%。</w:t>
      </w:r>
    </w:p>
    <w:p>
      <w:pPr>
        <w:pStyle w:val="23"/>
      </w:pPr>
      <w:r>
        <w:t>（20）绩效目标：打造公平公正的社会环境。</w:t>
      </w:r>
    </w:p>
    <w:p>
      <w:pPr>
        <w:pStyle w:val="23"/>
      </w:pPr>
      <w:r>
        <w:t>绩效指标：文明规范执法，指标值为=100%。</w:t>
      </w:r>
    </w:p>
    <w:p>
      <w:pPr>
        <w:pStyle w:val="23"/>
      </w:pPr>
      <w:r>
        <w:t>（21）绩效目标：协助做好退役军人政策落实情况，优抚服务工作到位。</w:t>
      </w:r>
    </w:p>
    <w:p>
      <w:pPr>
        <w:pStyle w:val="23"/>
      </w:pPr>
      <w:r>
        <w:t>绩效指标：优抚服务完成率，指标值为=100%。</w:t>
      </w:r>
    </w:p>
    <w:p>
      <w:pPr>
        <w:pStyle w:val="23"/>
      </w:pPr>
      <w:r>
        <w:t>3、协调、强化公共功能，实现城市功能完善、运转高效、环境优美、结构合理、社会文明的现代化目标。保证城市的长期、稳定、协调发展和良性运行。保证城市发展计划的实施，促进社会与居民的健康发展。</w:t>
      </w:r>
    </w:p>
    <w:p>
      <w:pPr>
        <w:pStyle w:val="23"/>
      </w:pPr>
      <w:r>
        <w:t>（22）绩效目标：做好国家级文明城市及其他重大活动的迎创工作。</w:t>
      </w:r>
    </w:p>
    <w:p>
      <w:pPr>
        <w:pStyle w:val="23"/>
      </w:pPr>
      <w:r>
        <w:t>绩效指标：评审标准达标率，指标值为=100%。</w:t>
      </w:r>
    </w:p>
    <w:p>
      <w:pPr>
        <w:pStyle w:val="23"/>
      </w:pPr>
      <w:r>
        <w:t>（23）绩效目标：督导检查街道辖区内环保工作，发现、纠正、督促消除各类破坏生态环境事件发生。</w:t>
      </w:r>
    </w:p>
    <w:p>
      <w:pPr>
        <w:pStyle w:val="23"/>
      </w:pPr>
      <w:r>
        <w:t>绩效指标：检查覆盖率，指标值为＞70%。</w:t>
      </w:r>
    </w:p>
    <w:p>
      <w:pPr>
        <w:pStyle w:val="23"/>
      </w:pPr>
      <w:r>
        <w:t>（24）绩效目标：开展健康知识宣传、垃圾分类宣传等活动提高居民环境保护意识。</w:t>
      </w:r>
    </w:p>
    <w:p>
      <w:pPr>
        <w:pStyle w:val="23"/>
      </w:pPr>
      <w:r>
        <w:t>绩效指标：宣传活动开展数量，指标值为＞4次。</w:t>
      </w:r>
    </w:p>
    <w:p>
      <w:pPr>
        <w:pStyle w:val="23"/>
      </w:pPr>
      <w:r>
        <w:t>（25）绩效目标：做好防汛工作，保证辖区安全度过汛期。</w:t>
      </w:r>
    </w:p>
    <w:p>
      <w:pPr>
        <w:pStyle w:val="23"/>
      </w:pPr>
      <w:r>
        <w:t>绩效指标：辖区安全度过汛期未发生事故，指标值为0。</w:t>
      </w:r>
    </w:p>
    <w:p>
      <w:pPr>
        <w:pStyle w:val="23"/>
      </w:pPr>
      <w:r>
        <w:t>（26）绩效目标：做好安全隐患排查整改等工作，保障辖区居民生命财产安全和社会稳定。</w:t>
      </w:r>
    </w:p>
    <w:p>
      <w:pPr>
        <w:pStyle w:val="23"/>
      </w:pPr>
      <w:r>
        <w:t>绩效指标：安全隐患排查覆盖率，指标值为＞70%。</w:t>
      </w:r>
    </w:p>
    <w:p>
      <w:pPr>
        <w:pStyle w:val="23"/>
      </w:pPr>
      <w:r>
        <w:t>（27）绩效目标：切实做好食品药品安全协助工作，保障辖区居民身体健康和生命安全。</w:t>
      </w:r>
    </w:p>
    <w:p>
      <w:pPr>
        <w:pStyle w:val="23"/>
      </w:pPr>
      <w:r>
        <w:t>绩效指标：食药安全事故发生率降低幅度，指标值为＞30%。</w:t>
      </w:r>
    </w:p>
    <w:p>
      <w:pPr>
        <w:pStyle w:val="23"/>
      </w:pPr>
      <w:r>
        <w:t>（28）绩效目标：建立健全计生家庭户奖励扶助体系，推动特扶家庭帮扶工作全面开展。</w:t>
      </w:r>
    </w:p>
    <w:p>
      <w:pPr>
        <w:pStyle w:val="23"/>
      </w:pPr>
      <w:r>
        <w:t>绩效指标：计划生育家庭特别扶助政策落实率，指标值为100%。</w:t>
      </w:r>
    </w:p>
    <w:p>
      <w:pPr>
        <w:pStyle w:val="23"/>
      </w:pPr>
      <w:r>
        <w:t>（29）绩效目标：为居民提供证照办理服务更加快捷高效。</w:t>
      </w:r>
    </w:p>
    <w:p>
      <w:pPr>
        <w:pStyle w:val="23"/>
      </w:pPr>
      <w:r>
        <w:t>绩效指标：市场准入审批群众满意度，指标值为＞70%。</w:t>
      </w:r>
    </w:p>
    <w:p>
      <w:pPr>
        <w:pStyle w:val="23"/>
      </w:pPr>
      <w:r>
        <w:t>4、面向社区居民，提供便民、利民服务。</w:t>
      </w:r>
    </w:p>
    <w:p>
      <w:pPr>
        <w:pStyle w:val="23"/>
      </w:pPr>
      <w:r>
        <w:t>（30）绩效目标：提高街道社区居民管理信息化、数字化水平。</w:t>
      </w:r>
    </w:p>
    <w:p>
      <w:pPr>
        <w:pStyle w:val="23"/>
      </w:pPr>
      <w:r>
        <w:t>绩效指标：保障现有网格化系统功能完善及正常运行率，指标值为＞80%。</w:t>
      </w:r>
    </w:p>
    <w:p>
      <w:pPr>
        <w:pStyle w:val="23"/>
      </w:pPr>
      <w:r>
        <w:t>（31）绩效目标：提高社区工作人员专业化、职业化水平，提升服务能力。</w:t>
      </w:r>
    </w:p>
    <w:p>
      <w:pPr>
        <w:pStyle w:val="23"/>
      </w:pPr>
      <w:r>
        <w:t>绩效指标：培训次数，指标值为＞6次。</w:t>
      </w:r>
    </w:p>
    <w:p>
      <w:pPr>
        <w:pStyle w:val="23"/>
      </w:pPr>
      <w:r>
        <w:t>（32）绩效目标：发展社区公益事业和社区福利事业，切实为广大群众做好事、做实事。</w:t>
      </w:r>
    </w:p>
    <w:p>
      <w:pPr>
        <w:pStyle w:val="23"/>
      </w:pPr>
      <w:r>
        <w:t>绩效指标：社区居民满意率，指标值为≥70%。</w:t>
      </w:r>
    </w:p>
    <w:p>
      <w:pPr>
        <w:pStyle w:val="23"/>
      </w:pPr>
      <w:r>
        <w:t>（33）绩效目标：及时全面、保质保量完成各项统计调查任务。</w:t>
      </w:r>
    </w:p>
    <w:p>
      <w:pPr>
        <w:pStyle w:val="23"/>
      </w:pPr>
      <w:r>
        <w:t>绩效指标：统计数据收集准确性，指标值为＞95%。</w:t>
      </w:r>
    </w:p>
    <w:p>
      <w:pPr>
        <w:pStyle w:val="23"/>
      </w:pPr>
      <w:r>
        <w:t>5、加强代表之家、联络站建设，为代表履职搭建平台。</w:t>
      </w:r>
    </w:p>
    <w:p>
      <w:pPr>
        <w:pStyle w:val="23"/>
      </w:pPr>
      <w:r>
        <w:t>（34）绩效目标：为代表履职搭建平台，发挥人大代表的桥梁纽带作用，集中反映民意，促进依法履职，高标准建设“五星级”代表之家、联络站。</w:t>
      </w:r>
    </w:p>
    <w:p>
      <w:pPr>
        <w:pStyle w:val="23"/>
      </w:pPr>
      <w:r>
        <w:t>绩效指标：家站建设打造提升数，指标值为≥1个。</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rPr>
          <w:rFonts w:hint="eastAsia"/>
          <w:lang w:val="en-US" w:eastAsia="zh-CN"/>
        </w:rPr>
        <w:t>1、</w:t>
      </w:r>
      <w:r>
        <w:t>完善制度建设。根据本部门实际工作部署情况，制定预算资金绩效管理制度、财政资金管理办法等，为全年预算绩效目标的实现奠定制度基础。</w:t>
      </w:r>
    </w:p>
    <w:p>
      <w:pPr>
        <w:pStyle w:val="24"/>
      </w:pPr>
      <w:r>
        <w:rPr>
          <w:rFonts w:hint="eastAsia"/>
          <w:lang w:val="en-US" w:eastAsia="zh-CN"/>
        </w:rPr>
        <w:t>2、</w:t>
      </w:r>
      <w:r>
        <w:t>加强支出管理。采取优化支出结构、编细编实预算、加快履行资金支出手续、尽快启动项目、及时支付资金、按规定及时下达资金等多种措施，确保支出进度达标</w:t>
      </w:r>
    </w:p>
    <w:p>
      <w:pPr>
        <w:pStyle w:val="24"/>
      </w:pPr>
      <w:r>
        <w:rPr>
          <w:rFonts w:hint="eastAsia"/>
          <w:lang w:val="en-US" w:eastAsia="zh-CN"/>
        </w:rPr>
        <w:t>3、</w:t>
      </w:r>
      <w:r>
        <w:t>加强绩效运行监控。按上级要求，积极开展绩效运行监控，发现问题及时采取措施，确保绩效目标如期保质实现。</w:t>
      </w:r>
    </w:p>
    <w:p>
      <w:pPr>
        <w:pStyle w:val="24"/>
      </w:pPr>
      <w:r>
        <w:rPr>
          <w:rFonts w:hint="eastAsia"/>
          <w:lang w:val="en-US" w:eastAsia="zh-CN"/>
        </w:rPr>
        <w:t>4、</w:t>
      </w:r>
      <w:r>
        <w:t>做好绩效自评。按要求开展上年度部门预算绩效自评和重点评价工作，对评价中发现的问题及时整改，调整优化支出结构，提高财政资金使用效益。</w:t>
      </w:r>
    </w:p>
    <w:p>
      <w:pPr>
        <w:pStyle w:val="24"/>
      </w:pPr>
      <w:r>
        <w:rPr>
          <w:rFonts w:hint="eastAsia"/>
          <w:lang w:val="en-US" w:eastAsia="zh-CN"/>
        </w:rPr>
        <w:t>5、</w:t>
      </w:r>
      <w:r>
        <w:t>规范财务资产管理。积极完善财务管理制度，严格审批程序，加强固定资产登记、使用和报废处置管理，做到支出合理，物尽其用。</w:t>
      </w:r>
    </w:p>
    <w:p>
      <w:pPr>
        <w:pStyle w:val="24"/>
      </w:pPr>
      <w:r>
        <w:rPr>
          <w:rFonts w:hint="eastAsia"/>
          <w:lang w:val="en-US" w:eastAsia="zh-CN"/>
        </w:rPr>
        <w:t>6、</w:t>
      </w:r>
      <w: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rPr>
          <w:rFonts w:hint="eastAsia"/>
          <w:lang w:val="en-US" w:eastAsia="zh-CN"/>
        </w:rPr>
        <w:t>7、</w:t>
      </w:r>
      <w:r>
        <w:t>加强宣传培训调研等。加强人员培训，提高本部门职工业务素质；加强调研，提出优化财政资金配置、提高资金使用效益的意见建议；加大宣传力度，强化预算绩效管理意识，促进预算绩效管理水平进一步提升。</w:t>
      </w:r>
    </w:p>
    <w:p>
      <w:pPr>
        <w:spacing w:before="10" w:after="10" w:line="360" w:lineRule="auto"/>
        <w:ind w:firstLine="640"/>
        <w:jc w:val="left"/>
        <w:outlineLvl w:val="2"/>
        <w:rPr>
          <w:rFonts w:hint="default" w:ascii="黑体" w:hAnsi="黑体" w:eastAsia="黑体" w:cs="黑体"/>
          <w:color w:val="000000"/>
          <w:sz w:val="32"/>
          <w:lang w:val="en-US" w:eastAsia="zh-CN"/>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firstLineChars="20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bookmarkStart w:id="20" w:name="_GoBack"/>
      <w:bookmarkEnd w:id="20"/>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1、2025年城市社区工作者薪酬经费市级补助资金（唐财行[2024]25号）绩效目标表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13020725P00002210383X</w:t>
            </w:r>
          </w:p>
        </w:tc>
        <w:tc>
          <w:tcPr>
            <w:tcW w:w="2835" w:type="dxa"/>
            <w:vAlign w:val="center"/>
          </w:tcPr>
          <w:p>
            <w:pPr>
              <w:pStyle w:val="11"/>
            </w:pPr>
            <w:r>
              <w:t>项目名称</w:t>
            </w:r>
          </w:p>
        </w:tc>
        <w:tc>
          <w:tcPr>
            <w:tcW w:w="6095" w:type="dxa"/>
            <w:gridSpan w:val="3"/>
            <w:vAlign w:val="center"/>
          </w:tcPr>
          <w:p>
            <w:pPr>
              <w:pStyle w:val="13"/>
            </w:pPr>
            <w:r>
              <w:t>2025年城市社区工作者薪酬经费市级补助资金（唐财行[2024]25号）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478.22</w:t>
            </w:r>
          </w:p>
        </w:tc>
        <w:tc>
          <w:tcPr>
            <w:tcW w:w="2835" w:type="dxa"/>
            <w:vAlign w:val="center"/>
          </w:tcPr>
          <w:p>
            <w:pPr>
              <w:pStyle w:val="11"/>
            </w:pPr>
            <w:r>
              <w:t>其中：财政    资金</w:t>
            </w:r>
          </w:p>
        </w:tc>
        <w:tc>
          <w:tcPr>
            <w:tcW w:w="2551" w:type="dxa"/>
            <w:vAlign w:val="center"/>
          </w:tcPr>
          <w:p>
            <w:pPr>
              <w:pStyle w:val="13"/>
            </w:pPr>
            <w:r>
              <w:t>478.22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用于支付工资、社会保险费和住房公积金。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1.按政策落实社区工作者各种待遇并按时足额发放薪酬，激励社区工作者积极履行社区管理、服务居民、组织活动等职能，保障街道社区工作的正常开展。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社区工作者人数</w:t>
            </w:r>
          </w:p>
        </w:tc>
        <w:tc>
          <w:tcPr>
            <w:tcW w:w="5386" w:type="dxa"/>
            <w:vAlign w:val="center"/>
          </w:tcPr>
          <w:p>
            <w:pPr>
              <w:pStyle w:val="13"/>
            </w:pPr>
            <w:r>
              <w:t>反映社区配备社区工作者人数情况</w:t>
            </w:r>
          </w:p>
        </w:tc>
        <w:tc>
          <w:tcPr>
            <w:tcW w:w="2268" w:type="dxa"/>
            <w:vAlign w:val="center"/>
          </w:tcPr>
          <w:p>
            <w:pPr>
              <w:pStyle w:val="13"/>
            </w:pPr>
            <w:r>
              <w:t>≤195人</w:t>
            </w:r>
          </w:p>
        </w:tc>
        <w:tc>
          <w:tcPr>
            <w:tcW w:w="1276" w:type="dxa"/>
            <w:vAlign w:val="center"/>
          </w:tcPr>
          <w:p>
            <w:pPr>
              <w:pStyle w:val="13"/>
            </w:pPr>
            <w:r>
              <w:t>合同、上年末人数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反映实际发放工资的覆盖程度情况，覆盖率=实发人数/应发人数</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发放工资总金额</w:t>
            </w:r>
          </w:p>
        </w:tc>
        <w:tc>
          <w:tcPr>
            <w:tcW w:w="5386" w:type="dxa"/>
            <w:vAlign w:val="center"/>
          </w:tcPr>
          <w:p>
            <w:pPr>
              <w:pStyle w:val="13"/>
            </w:pPr>
            <w:r>
              <w:t>反映支付人员工资总金额情况</w:t>
            </w:r>
          </w:p>
        </w:tc>
        <w:tc>
          <w:tcPr>
            <w:tcW w:w="2268" w:type="dxa"/>
            <w:vAlign w:val="center"/>
          </w:tcPr>
          <w:p>
            <w:pPr>
              <w:pStyle w:val="13"/>
            </w:pPr>
            <w:r>
              <w:t>&lt;478.23万元</w:t>
            </w:r>
          </w:p>
        </w:tc>
        <w:tc>
          <w:tcPr>
            <w:tcW w:w="1276" w:type="dxa"/>
            <w:vAlign w:val="center"/>
          </w:tcPr>
          <w:p>
            <w:pPr>
              <w:pStyle w:val="13"/>
            </w:pPr>
            <w:r>
              <w:t>根据《社区工作者薪酬管理办法》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2、基层武装部工作经费绩效目标表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13020725P008R8J10035A</w:t>
            </w:r>
          </w:p>
        </w:tc>
        <w:tc>
          <w:tcPr>
            <w:tcW w:w="2835" w:type="dxa"/>
            <w:vAlign w:val="center"/>
          </w:tcPr>
          <w:p>
            <w:pPr>
              <w:pStyle w:val="11"/>
            </w:pPr>
            <w:r>
              <w:t>项目名称</w:t>
            </w:r>
          </w:p>
        </w:tc>
        <w:tc>
          <w:tcPr>
            <w:tcW w:w="6095" w:type="dxa"/>
            <w:gridSpan w:val="3"/>
            <w:vAlign w:val="center"/>
          </w:tcPr>
          <w:p>
            <w:pPr>
              <w:pStyle w:val="13"/>
            </w:pPr>
            <w:r>
              <w:t>基层武装部工作经费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用于提升基层武装部门软硬件建设及征兵、民兵建设、国防动员等工作经费。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1.不断提高基层人武部正规化建设水平，充分保障基层武装各项工作高效、有序开展并取得预期成效。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资金到位情况</w:t>
            </w:r>
          </w:p>
        </w:tc>
        <w:tc>
          <w:tcPr>
            <w:tcW w:w="2268" w:type="dxa"/>
            <w:vAlign w:val="center"/>
          </w:tcPr>
          <w:p>
            <w:pPr>
              <w:pStyle w:val="13"/>
            </w:pPr>
            <w:r>
              <w:t>100%</w:t>
            </w:r>
          </w:p>
        </w:tc>
        <w:tc>
          <w:tcPr>
            <w:tcW w:w="1276" w:type="dxa"/>
            <w:vAlign w:val="center"/>
          </w:tcPr>
          <w:p>
            <w:pPr>
              <w:pStyle w:val="13"/>
            </w:pPr>
            <w:r>
              <w:t>丰武[2023]20号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购置质量合格率</w:t>
            </w:r>
          </w:p>
        </w:tc>
        <w:tc>
          <w:tcPr>
            <w:tcW w:w="5386" w:type="dxa"/>
            <w:vAlign w:val="center"/>
          </w:tcPr>
          <w:p>
            <w:pPr>
              <w:pStyle w:val="13"/>
            </w:pPr>
            <w:r>
              <w:t>购置质量合格的数量占购置总数量的比率</w:t>
            </w:r>
          </w:p>
        </w:tc>
        <w:tc>
          <w:tcPr>
            <w:tcW w:w="2268" w:type="dxa"/>
            <w:vAlign w:val="center"/>
          </w:tcPr>
          <w:p>
            <w:pPr>
              <w:pStyle w:val="13"/>
            </w:pPr>
            <w:r>
              <w:t>100%</w:t>
            </w:r>
          </w:p>
        </w:tc>
        <w:tc>
          <w:tcPr>
            <w:tcW w:w="1276" w:type="dxa"/>
            <w:vAlign w:val="center"/>
          </w:tcPr>
          <w:p>
            <w:pPr>
              <w:pStyle w:val="13"/>
            </w:pPr>
            <w:r>
              <w:t>丰武[2023]20号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工作完成及时率</w:t>
            </w:r>
          </w:p>
        </w:tc>
        <w:tc>
          <w:tcPr>
            <w:tcW w:w="2268" w:type="dxa"/>
            <w:vAlign w:val="center"/>
          </w:tcPr>
          <w:p>
            <w:pPr>
              <w:pStyle w:val="13"/>
            </w:pPr>
            <w:r>
              <w:t>100%</w:t>
            </w:r>
          </w:p>
        </w:tc>
        <w:tc>
          <w:tcPr>
            <w:tcW w:w="1276" w:type="dxa"/>
            <w:vAlign w:val="center"/>
          </w:tcPr>
          <w:p>
            <w:pPr>
              <w:pStyle w:val="13"/>
            </w:pPr>
            <w:r>
              <w:t>丰武[2023]20号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丰武[2023]20号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提高专项工作效率</w:t>
            </w:r>
          </w:p>
        </w:tc>
        <w:tc>
          <w:tcPr>
            <w:tcW w:w="5386" w:type="dxa"/>
            <w:vAlign w:val="center"/>
          </w:tcPr>
          <w:p>
            <w:pPr>
              <w:pStyle w:val="13"/>
            </w:pPr>
            <w:r>
              <w:t>提高专项工作效率</w:t>
            </w:r>
          </w:p>
        </w:tc>
        <w:tc>
          <w:tcPr>
            <w:tcW w:w="2268" w:type="dxa"/>
            <w:vAlign w:val="center"/>
          </w:tcPr>
          <w:p>
            <w:pPr>
              <w:pStyle w:val="13"/>
            </w:pPr>
            <w:r>
              <w:t>明显提升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服务对象满意率</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3、劳务派遣人员经费（劳务费）绩效目标表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13020725P00002210338L</w:t>
            </w:r>
          </w:p>
        </w:tc>
        <w:tc>
          <w:tcPr>
            <w:tcW w:w="2835" w:type="dxa"/>
            <w:vAlign w:val="center"/>
          </w:tcPr>
          <w:p>
            <w:pPr>
              <w:pStyle w:val="11"/>
            </w:pPr>
            <w:r>
              <w:t>项目名称</w:t>
            </w:r>
          </w:p>
        </w:tc>
        <w:tc>
          <w:tcPr>
            <w:tcW w:w="6095" w:type="dxa"/>
            <w:gridSpan w:val="3"/>
            <w:vAlign w:val="center"/>
          </w:tcPr>
          <w:p>
            <w:pPr>
              <w:pStyle w:val="13"/>
            </w:pPr>
            <w:r>
              <w:t>劳务派遣人员经费（劳务费）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117.87</w:t>
            </w:r>
          </w:p>
        </w:tc>
        <w:tc>
          <w:tcPr>
            <w:tcW w:w="2835" w:type="dxa"/>
            <w:vAlign w:val="center"/>
          </w:tcPr>
          <w:p>
            <w:pPr>
              <w:pStyle w:val="11"/>
            </w:pPr>
            <w:r>
              <w:t>其中：财政    资金</w:t>
            </w:r>
          </w:p>
        </w:tc>
        <w:tc>
          <w:tcPr>
            <w:tcW w:w="2551" w:type="dxa"/>
            <w:vAlign w:val="center"/>
          </w:tcPr>
          <w:p>
            <w:pPr>
              <w:pStyle w:val="13"/>
            </w:pPr>
            <w:r>
              <w:t>117.87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向劳务派遣公司支付工资、社会保险费及管理费。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1.落实劳务派遣人员的工资保险待遇，调动工作积极性，保障街道社区工作的正常开展。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反映签订劳务派遣合同人数情况</w:t>
            </w:r>
          </w:p>
        </w:tc>
        <w:tc>
          <w:tcPr>
            <w:tcW w:w="2268" w:type="dxa"/>
            <w:vAlign w:val="center"/>
          </w:tcPr>
          <w:p>
            <w:pPr>
              <w:pStyle w:val="13"/>
            </w:pPr>
            <w:r>
              <w:t>≤22人</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反映实际发放工资的覆盖程度情况，覆盖率=实发人数/应发人数</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反映人均月工资标准情况</w:t>
            </w:r>
          </w:p>
        </w:tc>
        <w:tc>
          <w:tcPr>
            <w:tcW w:w="2268" w:type="dxa"/>
            <w:vAlign w:val="center"/>
          </w:tcPr>
          <w:p>
            <w:pPr>
              <w:pStyle w:val="13"/>
            </w:pPr>
            <w:r>
              <w:t>≥3080元/月</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4、劳务外包经费绩效目标表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13020725P008R8J10039Q</w:t>
            </w:r>
          </w:p>
        </w:tc>
        <w:tc>
          <w:tcPr>
            <w:tcW w:w="2835" w:type="dxa"/>
            <w:vAlign w:val="center"/>
          </w:tcPr>
          <w:p>
            <w:pPr>
              <w:pStyle w:val="11"/>
            </w:pPr>
            <w:r>
              <w:t>项目名称</w:t>
            </w:r>
          </w:p>
        </w:tc>
        <w:tc>
          <w:tcPr>
            <w:tcW w:w="6095" w:type="dxa"/>
            <w:gridSpan w:val="3"/>
            <w:vAlign w:val="center"/>
          </w:tcPr>
          <w:p>
            <w:pPr>
              <w:pStyle w:val="13"/>
            </w:pPr>
            <w:r>
              <w:t>劳务外包经费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424.87</w:t>
            </w:r>
          </w:p>
        </w:tc>
        <w:tc>
          <w:tcPr>
            <w:tcW w:w="2835" w:type="dxa"/>
            <w:vAlign w:val="center"/>
          </w:tcPr>
          <w:p>
            <w:pPr>
              <w:pStyle w:val="11"/>
            </w:pPr>
            <w:r>
              <w:t>其中：财政    资金</w:t>
            </w:r>
          </w:p>
        </w:tc>
        <w:tc>
          <w:tcPr>
            <w:tcW w:w="2551" w:type="dxa"/>
            <w:vAlign w:val="center"/>
          </w:tcPr>
          <w:p>
            <w:pPr>
              <w:pStyle w:val="13"/>
            </w:pPr>
            <w:r>
              <w:t>424.87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用于支付劳务外包费及招标代理费。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1.落实劳务外包人员的工资保险待遇，调动工作积极性，缓解街道及社区繁重的工作任务压力，保障街道社区工作的正常开展。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劳务外包人员数量</w:t>
            </w:r>
          </w:p>
        </w:tc>
        <w:tc>
          <w:tcPr>
            <w:tcW w:w="5386" w:type="dxa"/>
            <w:vAlign w:val="center"/>
          </w:tcPr>
          <w:p>
            <w:pPr>
              <w:pStyle w:val="13"/>
            </w:pPr>
            <w:r>
              <w:t>劳务外包人员数量</w:t>
            </w:r>
          </w:p>
        </w:tc>
        <w:tc>
          <w:tcPr>
            <w:tcW w:w="2268" w:type="dxa"/>
            <w:vAlign w:val="center"/>
          </w:tcPr>
          <w:p>
            <w:pPr>
              <w:pStyle w:val="13"/>
            </w:pPr>
            <w:r>
              <w:t>≤69人</w:t>
            </w:r>
          </w:p>
        </w:tc>
        <w:tc>
          <w:tcPr>
            <w:tcW w:w="1276" w:type="dxa"/>
            <w:vAlign w:val="center"/>
          </w:tcPr>
          <w:p>
            <w:pPr>
              <w:pStyle w:val="13"/>
            </w:pPr>
            <w:r>
              <w:t>根据青街办呈[2022]39号领导批复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考核合格率</w:t>
            </w:r>
          </w:p>
        </w:tc>
        <w:tc>
          <w:tcPr>
            <w:tcW w:w="5386" w:type="dxa"/>
            <w:vAlign w:val="center"/>
          </w:tcPr>
          <w:p>
            <w:pPr>
              <w:pStyle w:val="13"/>
            </w:pPr>
            <w:r>
              <w:t>考核合格的比例</w:t>
            </w:r>
          </w:p>
        </w:tc>
        <w:tc>
          <w:tcPr>
            <w:tcW w:w="2268" w:type="dxa"/>
            <w:vAlign w:val="center"/>
          </w:tcPr>
          <w:p>
            <w:pPr>
              <w:pStyle w:val="13"/>
            </w:pPr>
            <w:r>
              <w:t>≥95%</w:t>
            </w:r>
          </w:p>
        </w:tc>
        <w:tc>
          <w:tcPr>
            <w:tcW w:w="1276" w:type="dxa"/>
            <w:vAlign w:val="center"/>
          </w:tcPr>
          <w:p>
            <w:pPr>
              <w:pStyle w:val="13"/>
            </w:pPr>
            <w:r>
              <w:t>工作计划、劳务外包人员考核办法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费用支付完成时限</w:t>
            </w:r>
          </w:p>
        </w:tc>
        <w:tc>
          <w:tcPr>
            <w:tcW w:w="5386" w:type="dxa"/>
            <w:vAlign w:val="center"/>
          </w:tcPr>
          <w:p>
            <w:pPr>
              <w:pStyle w:val="13"/>
            </w:pPr>
            <w:r>
              <w:t>费用支付完成时限</w:t>
            </w:r>
          </w:p>
        </w:tc>
        <w:tc>
          <w:tcPr>
            <w:tcW w:w="2268" w:type="dxa"/>
            <w:vAlign w:val="center"/>
          </w:tcPr>
          <w:p>
            <w:pPr>
              <w:pStyle w:val="13"/>
            </w:pPr>
            <w:r>
              <w:t>每月30日之前</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劳务外包总成本</w:t>
            </w:r>
          </w:p>
        </w:tc>
        <w:tc>
          <w:tcPr>
            <w:tcW w:w="5386" w:type="dxa"/>
            <w:vAlign w:val="center"/>
          </w:tcPr>
          <w:p>
            <w:pPr>
              <w:pStyle w:val="13"/>
            </w:pPr>
            <w:r>
              <w:t>反映劳务外包总成本情况</w:t>
            </w:r>
          </w:p>
        </w:tc>
        <w:tc>
          <w:tcPr>
            <w:tcW w:w="2268" w:type="dxa"/>
            <w:vAlign w:val="center"/>
          </w:tcPr>
          <w:p>
            <w:pPr>
              <w:pStyle w:val="13"/>
            </w:pPr>
            <w:r>
              <w:t>≤424.87万元</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缓解街道及社区繁重的工作任务压力</w:t>
            </w:r>
          </w:p>
        </w:tc>
        <w:tc>
          <w:tcPr>
            <w:tcW w:w="5386" w:type="dxa"/>
            <w:vAlign w:val="center"/>
          </w:tcPr>
          <w:p>
            <w:pPr>
              <w:pStyle w:val="13"/>
            </w:pPr>
            <w:r>
              <w:t>缓解街道及社区繁重的工作任务压力</w:t>
            </w:r>
          </w:p>
        </w:tc>
        <w:tc>
          <w:tcPr>
            <w:tcW w:w="2268" w:type="dxa"/>
            <w:vAlign w:val="center"/>
          </w:tcPr>
          <w:p>
            <w:pPr>
              <w:pStyle w:val="13"/>
            </w:pPr>
            <w:r>
              <w:t>一定程度上缓解工作任务压力</w:t>
            </w:r>
          </w:p>
        </w:tc>
        <w:tc>
          <w:tcPr>
            <w:tcW w:w="1276" w:type="dxa"/>
            <w:vAlign w:val="center"/>
          </w:tcPr>
          <w:p>
            <w:pPr>
              <w:pStyle w:val="13"/>
            </w:pPr>
            <w:r>
              <w:t>根据青街办呈[2022]39号领导批复批复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人员素质满意率</w:t>
            </w:r>
          </w:p>
        </w:tc>
        <w:tc>
          <w:tcPr>
            <w:tcW w:w="5386" w:type="dxa"/>
            <w:vAlign w:val="center"/>
          </w:tcPr>
          <w:p>
            <w:pPr>
              <w:pStyle w:val="13"/>
            </w:pPr>
            <w:r>
              <w:t>对劳务外包人员素质满意的比例</w:t>
            </w:r>
          </w:p>
        </w:tc>
        <w:tc>
          <w:tcPr>
            <w:tcW w:w="2268" w:type="dxa"/>
            <w:vAlign w:val="center"/>
          </w:tcPr>
          <w:p>
            <w:pPr>
              <w:pStyle w:val="13"/>
            </w:pPr>
            <w:r>
              <w:t>≥75%</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5、社区工作者体检费绩效目标表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13020725P008R8J10034N</w:t>
            </w:r>
          </w:p>
        </w:tc>
        <w:tc>
          <w:tcPr>
            <w:tcW w:w="2835" w:type="dxa"/>
            <w:vAlign w:val="center"/>
          </w:tcPr>
          <w:p>
            <w:pPr>
              <w:pStyle w:val="11"/>
            </w:pPr>
            <w:r>
              <w:t>项目名称</w:t>
            </w:r>
          </w:p>
        </w:tc>
        <w:tc>
          <w:tcPr>
            <w:tcW w:w="6095" w:type="dxa"/>
            <w:gridSpan w:val="3"/>
            <w:vAlign w:val="center"/>
          </w:tcPr>
          <w:p>
            <w:pPr>
              <w:pStyle w:val="13"/>
            </w:pPr>
            <w:r>
              <w:t>社区工作者体检费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17.55</w:t>
            </w:r>
          </w:p>
        </w:tc>
        <w:tc>
          <w:tcPr>
            <w:tcW w:w="2835" w:type="dxa"/>
            <w:vAlign w:val="center"/>
          </w:tcPr>
          <w:p>
            <w:pPr>
              <w:pStyle w:val="11"/>
            </w:pPr>
            <w:r>
              <w:t>其中：财政    资金</w:t>
            </w:r>
          </w:p>
        </w:tc>
        <w:tc>
          <w:tcPr>
            <w:tcW w:w="2551" w:type="dxa"/>
            <w:vAlign w:val="center"/>
          </w:tcPr>
          <w:p>
            <w:pPr>
              <w:pStyle w:val="13"/>
            </w:pPr>
            <w:r>
              <w:t>17.55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用于支付员额制社区工作者体检费用。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1.确保体检费预算涵盖每个社区工作者，费用标准符合相关规定，且不与其它社区事务的资金需求造成冲突。保障社区工作者身体健康、提升工作效率和服务质量，让社区工作顺利开展。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体检人员数量</w:t>
            </w:r>
          </w:p>
        </w:tc>
        <w:tc>
          <w:tcPr>
            <w:tcW w:w="5386" w:type="dxa"/>
            <w:vAlign w:val="center"/>
          </w:tcPr>
          <w:p>
            <w:pPr>
              <w:pStyle w:val="13"/>
            </w:pPr>
            <w:r>
              <w:t>参加体检人员数量</w:t>
            </w:r>
          </w:p>
        </w:tc>
        <w:tc>
          <w:tcPr>
            <w:tcW w:w="2268" w:type="dxa"/>
            <w:vAlign w:val="center"/>
          </w:tcPr>
          <w:p>
            <w:pPr>
              <w:pStyle w:val="13"/>
            </w:pPr>
            <w:r>
              <w:t>≤195人</w:t>
            </w:r>
          </w:p>
        </w:tc>
        <w:tc>
          <w:tcPr>
            <w:tcW w:w="1276" w:type="dxa"/>
            <w:vAlign w:val="center"/>
          </w:tcPr>
          <w:p>
            <w:pPr>
              <w:pStyle w:val="13"/>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体检费用合规性</w:t>
            </w:r>
          </w:p>
        </w:tc>
        <w:tc>
          <w:tcPr>
            <w:tcW w:w="5386" w:type="dxa"/>
            <w:vAlign w:val="center"/>
          </w:tcPr>
          <w:p>
            <w:pPr>
              <w:pStyle w:val="13"/>
            </w:pPr>
            <w:r>
              <w:t>反映体检费用符合相关规定情况</w:t>
            </w:r>
          </w:p>
        </w:tc>
        <w:tc>
          <w:tcPr>
            <w:tcW w:w="2268" w:type="dxa"/>
            <w:vAlign w:val="center"/>
          </w:tcPr>
          <w:p>
            <w:pPr>
              <w:pStyle w:val="13"/>
            </w:pPr>
            <w:r>
              <w:t>100%</w:t>
            </w:r>
          </w:p>
        </w:tc>
        <w:tc>
          <w:tcPr>
            <w:tcW w:w="1276" w:type="dxa"/>
            <w:vAlign w:val="center"/>
          </w:tcPr>
          <w:p>
            <w:pPr>
              <w:pStyle w:val="13"/>
            </w:pPr>
            <w:r>
              <w:t>《河北省社区工作者管理办法(试行)》及丰南区医保局规定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体检工作及时完成</w:t>
            </w:r>
          </w:p>
        </w:tc>
        <w:tc>
          <w:tcPr>
            <w:tcW w:w="5386" w:type="dxa"/>
            <w:vAlign w:val="center"/>
          </w:tcPr>
          <w:p>
            <w:pPr>
              <w:pStyle w:val="13"/>
            </w:pPr>
            <w:r>
              <w:t>是否及时组织社区工作者的体检工作</w:t>
            </w:r>
          </w:p>
        </w:tc>
        <w:tc>
          <w:tcPr>
            <w:tcW w:w="2268" w:type="dxa"/>
            <w:vAlign w:val="center"/>
          </w:tcPr>
          <w:p>
            <w:pPr>
              <w:pStyle w:val="13"/>
            </w:pPr>
            <w:r>
              <w:t>是</w:t>
            </w:r>
          </w:p>
        </w:tc>
        <w:tc>
          <w:tcPr>
            <w:tcW w:w="1276" w:type="dxa"/>
            <w:vAlign w:val="center"/>
          </w:tcPr>
          <w:p>
            <w:pPr>
              <w:pStyle w:val="13"/>
            </w:pPr>
            <w:r>
              <w:t>《河北省社区工作者管理办法(试行)》及工作计划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人均体检费标准</w:t>
            </w:r>
          </w:p>
        </w:tc>
        <w:tc>
          <w:tcPr>
            <w:tcW w:w="5386" w:type="dxa"/>
            <w:vAlign w:val="center"/>
          </w:tcPr>
          <w:p>
            <w:pPr>
              <w:pStyle w:val="13"/>
            </w:pPr>
            <w:r>
              <w:t>人均体检费标准</w:t>
            </w:r>
          </w:p>
        </w:tc>
        <w:tc>
          <w:tcPr>
            <w:tcW w:w="2268" w:type="dxa"/>
            <w:vAlign w:val="center"/>
          </w:tcPr>
          <w:p>
            <w:pPr>
              <w:pStyle w:val="13"/>
            </w:pPr>
            <w:r>
              <w:t>≤900元/人</w:t>
            </w:r>
          </w:p>
        </w:tc>
        <w:tc>
          <w:tcPr>
            <w:tcW w:w="1276" w:type="dxa"/>
            <w:vAlign w:val="center"/>
          </w:tcPr>
          <w:p>
            <w:pPr>
              <w:pStyle w:val="13"/>
            </w:pPr>
            <w:r>
              <w:t>《河北省社区工作者管理办法(试行)》以及经验标准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保障社区工作顺利开展</w:t>
            </w:r>
          </w:p>
        </w:tc>
        <w:tc>
          <w:tcPr>
            <w:tcW w:w="5386" w:type="dxa"/>
            <w:vAlign w:val="center"/>
          </w:tcPr>
          <w:p>
            <w:pPr>
              <w:pStyle w:val="13"/>
            </w:pPr>
            <w:r>
              <w:t>保障社区工作顺利开展</w:t>
            </w:r>
          </w:p>
        </w:tc>
        <w:tc>
          <w:tcPr>
            <w:tcW w:w="2268" w:type="dxa"/>
            <w:vAlign w:val="center"/>
          </w:tcPr>
          <w:p>
            <w:pPr>
              <w:pStyle w:val="13"/>
            </w:pPr>
            <w:r>
              <w:t>社区工作顺利开展</w:t>
            </w:r>
          </w:p>
        </w:tc>
        <w:tc>
          <w:tcPr>
            <w:tcW w:w="1276" w:type="dxa"/>
            <w:vAlign w:val="center"/>
          </w:tcPr>
          <w:p>
            <w:pPr>
              <w:pStyle w:val="13"/>
            </w:pPr>
            <w:r>
              <w:t>《河北省社区工作者管理办法(试行)》以及经验标准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6、社区工作者薪酬绩效目标表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13020725P000022103398</w:t>
            </w:r>
          </w:p>
        </w:tc>
        <w:tc>
          <w:tcPr>
            <w:tcW w:w="2835" w:type="dxa"/>
            <w:vAlign w:val="center"/>
          </w:tcPr>
          <w:p>
            <w:pPr>
              <w:pStyle w:val="11"/>
            </w:pPr>
            <w:r>
              <w:t>项目名称</w:t>
            </w:r>
          </w:p>
        </w:tc>
        <w:tc>
          <w:tcPr>
            <w:tcW w:w="6095" w:type="dxa"/>
            <w:gridSpan w:val="3"/>
            <w:vAlign w:val="center"/>
          </w:tcPr>
          <w:p>
            <w:pPr>
              <w:pStyle w:val="13"/>
            </w:pPr>
            <w:r>
              <w:t>社区工作者薪酬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1316.72</w:t>
            </w:r>
          </w:p>
        </w:tc>
        <w:tc>
          <w:tcPr>
            <w:tcW w:w="2835" w:type="dxa"/>
            <w:vAlign w:val="center"/>
          </w:tcPr>
          <w:p>
            <w:pPr>
              <w:pStyle w:val="11"/>
            </w:pPr>
            <w:r>
              <w:t>其中：财政    资金</w:t>
            </w:r>
          </w:p>
        </w:tc>
        <w:tc>
          <w:tcPr>
            <w:tcW w:w="2551" w:type="dxa"/>
            <w:vAlign w:val="center"/>
          </w:tcPr>
          <w:p>
            <w:pPr>
              <w:pStyle w:val="13"/>
            </w:pPr>
            <w:r>
              <w:t>1316.72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用于支付工资、社会保险费和住房公积金。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1.按政策落实社区工作者各种待遇并按时足额发放薪酬，激励社区工作者积极履行社区管理、服务居民、组织活动等职能，保障街道社区工作的正常开展。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社区工作者人数</w:t>
            </w:r>
          </w:p>
        </w:tc>
        <w:tc>
          <w:tcPr>
            <w:tcW w:w="5386" w:type="dxa"/>
            <w:vAlign w:val="center"/>
          </w:tcPr>
          <w:p>
            <w:pPr>
              <w:pStyle w:val="13"/>
            </w:pPr>
            <w:r>
              <w:t>反映社区配备社区工作者人数情况</w:t>
            </w:r>
          </w:p>
        </w:tc>
        <w:tc>
          <w:tcPr>
            <w:tcW w:w="2268" w:type="dxa"/>
            <w:vAlign w:val="center"/>
          </w:tcPr>
          <w:p>
            <w:pPr>
              <w:pStyle w:val="13"/>
            </w:pPr>
            <w:r>
              <w:t>≤195人</w:t>
            </w:r>
          </w:p>
        </w:tc>
        <w:tc>
          <w:tcPr>
            <w:tcW w:w="1276" w:type="dxa"/>
            <w:vAlign w:val="center"/>
          </w:tcPr>
          <w:p>
            <w:pPr>
              <w:pStyle w:val="13"/>
            </w:pPr>
            <w:r>
              <w:t>合同、上年末人数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反映实际发放工资的覆盖程度情况，覆盖率=实发人数/应发人数</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发放工资总金额</w:t>
            </w:r>
          </w:p>
        </w:tc>
        <w:tc>
          <w:tcPr>
            <w:tcW w:w="5386" w:type="dxa"/>
            <w:vAlign w:val="center"/>
          </w:tcPr>
          <w:p>
            <w:pPr>
              <w:pStyle w:val="13"/>
            </w:pPr>
            <w:r>
              <w:t>反映支付人员工资总金额情况</w:t>
            </w:r>
          </w:p>
        </w:tc>
        <w:tc>
          <w:tcPr>
            <w:tcW w:w="2268" w:type="dxa"/>
            <w:vAlign w:val="center"/>
          </w:tcPr>
          <w:p>
            <w:pPr>
              <w:pStyle w:val="13"/>
            </w:pPr>
            <w:r>
              <w:t>≤1316.72万元</w:t>
            </w:r>
          </w:p>
        </w:tc>
        <w:tc>
          <w:tcPr>
            <w:tcW w:w="1276" w:type="dxa"/>
            <w:vAlign w:val="center"/>
          </w:tcPr>
          <w:p>
            <w:pPr>
              <w:pStyle w:val="13"/>
            </w:pPr>
            <w:r>
              <w:t>根据《社区工作者薪酬管理办法》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7、特扶家庭慰问经费绩效目标表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13020725P0042T8100138</w:t>
            </w:r>
          </w:p>
        </w:tc>
        <w:tc>
          <w:tcPr>
            <w:tcW w:w="2835" w:type="dxa"/>
            <w:vAlign w:val="center"/>
          </w:tcPr>
          <w:p>
            <w:pPr>
              <w:pStyle w:val="11"/>
            </w:pPr>
            <w:r>
              <w:t>项目名称</w:t>
            </w:r>
          </w:p>
        </w:tc>
        <w:tc>
          <w:tcPr>
            <w:tcW w:w="6095" w:type="dxa"/>
            <w:gridSpan w:val="3"/>
            <w:vAlign w:val="center"/>
          </w:tcPr>
          <w:p>
            <w:pPr>
              <w:pStyle w:val="13"/>
            </w:pPr>
            <w:r>
              <w:t>特扶家庭慰问经费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为我单位辖区内失独、残独家庭购买慰问品。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1.按卫健局制定标准，节前慰问我单位辖区失独、残独家庭，完成工作任务，维护社会稳定。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慰问对象户数</w:t>
            </w:r>
          </w:p>
        </w:tc>
        <w:tc>
          <w:tcPr>
            <w:tcW w:w="5386" w:type="dxa"/>
            <w:vAlign w:val="center"/>
          </w:tcPr>
          <w:p>
            <w:pPr>
              <w:pStyle w:val="13"/>
            </w:pPr>
            <w:r>
              <w:t>慰问对象户数</w:t>
            </w:r>
          </w:p>
        </w:tc>
        <w:tc>
          <w:tcPr>
            <w:tcW w:w="2268" w:type="dxa"/>
            <w:vAlign w:val="center"/>
          </w:tcPr>
          <w:p>
            <w:pPr>
              <w:pStyle w:val="13"/>
            </w:pPr>
            <w:r>
              <w:t>≥47户</w:t>
            </w:r>
          </w:p>
        </w:tc>
        <w:tc>
          <w:tcPr>
            <w:tcW w:w="1276" w:type="dxa"/>
            <w:vAlign w:val="center"/>
          </w:tcPr>
          <w:p>
            <w:pPr>
              <w:pStyle w:val="13"/>
            </w:pPr>
            <w:r>
              <w:t>根据卫健局发放文件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慰问对象合规性</w:t>
            </w:r>
          </w:p>
        </w:tc>
        <w:tc>
          <w:tcPr>
            <w:tcW w:w="5386" w:type="dxa"/>
            <w:vAlign w:val="center"/>
          </w:tcPr>
          <w:p>
            <w:pPr>
              <w:pStyle w:val="13"/>
            </w:pPr>
            <w:r>
              <w:t>反映慰问对象符合相关规定、档案资料齐全情况</w:t>
            </w:r>
          </w:p>
        </w:tc>
        <w:tc>
          <w:tcPr>
            <w:tcW w:w="2268" w:type="dxa"/>
            <w:vAlign w:val="center"/>
          </w:tcPr>
          <w:p>
            <w:pPr>
              <w:pStyle w:val="13"/>
            </w:pPr>
            <w:r>
              <w:t>100%</w:t>
            </w:r>
          </w:p>
        </w:tc>
        <w:tc>
          <w:tcPr>
            <w:tcW w:w="1276" w:type="dxa"/>
            <w:vAlign w:val="center"/>
          </w:tcPr>
          <w:p>
            <w:pPr>
              <w:pStyle w:val="13"/>
            </w:pPr>
            <w:r>
              <w:t>根据卫健局发放文件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慰问及时率</w:t>
            </w:r>
          </w:p>
        </w:tc>
        <w:tc>
          <w:tcPr>
            <w:tcW w:w="5386" w:type="dxa"/>
            <w:vAlign w:val="center"/>
          </w:tcPr>
          <w:p>
            <w:pPr>
              <w:pStyle w:val="13"/>
            </w:pPr>
            <w:r>
              <w:t>及时慰问我单位辖区失独家庭的比例</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不超卫健局制定标准</w:t>
            </w:r>
          </w:p>
        </w:tc>
        <w:tc>
          <w:tcPr>
            <w:tcW w:w="5386" w:type="dxa"/>
            <w:vAlign w:val="center"/>
          </w:tcPr>
          <w:p>
            <w:pPr>
              <w:pStyle w:val="13"/>
            </w:pPr>
            <w:r>
              <w:t>不超卫健局制定标准</w:t>
            </w:r>
          </w:p>
        </w:tc>
        <w:tc>
          <w:tcPr>
            <w:tcW w:w="2268" w:type="dxa"/>
            <w:vAlign w:val="center"/>
          </w:tcPr>
          <w:p>
            <w:pPr>
              <w:pStyle w:val="13"/>
            </w:pPr>
            <w:r>
              <w:t>不超卫健局制定标准</w:t>
            </w:r>
          </w:p>
        </w:tc>
        <w:tc>
          <w:tcPr>
            <w:tcW w:w="1276" w:type="dxa"/>
            <w:vAlign w:val="center"/>
          </w:tcPr>
          <w:p>
            <w:pPr>
              <w:pStyle w:val="13"/>
            </w:pPr>
            <w:r>
              <w:t>根据卫健局发放文件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反映保障困难群体生活，维护社会稳定情况</w:t>
            </w:r>
          </w:p>
        </w:tc>
        <w:tc>
          <w:tcPr>
            <w:tcW w:w="2268" w:type="dxa"/>
            <w:vAlign w:val="center"/>
          </w:tcPr>
          <w:p>
            <w:pPr>
              <w:pStyle w:val="13"/>
            </w:pPr>
            <w:r>
              <w:t>有效维护</w:t>
            </w:r>
          </w:p>
        </w:tc>
        <w:tc>
          <w:tcPr>
            <w:tcW w:w="1276" w:type="dxa"/>
            <w:vAlign w:val="center"/>
          </w:tcPr>
          <w:p>
            <w:pPr>
              <w:pStyle w:val="13"/>
            </w:pPr>
            <w:r>
              <w:t>根据卫健局发放文件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被慰问人员满意率</w:t>
            </w:r>
          </w:p>
        </w:tc>
        <w:tc>
          <w:tcPr>
            <w:tcW w:w="5386" w:type="dxa"/>
            <w:vAlign w:val="center"/>
          </w:tcPr>
          <w:p>
            <w:pPr>
              <w:pStyle w:val="13"/>
            </w:pPr>
            <w:r>
              <w:t>被慰问人员满意率</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8、退役军人公益性岗位安置费用绩效目标表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13020725P00002210335R</w:t>
            </w:r>
          </w:p>
        </w:tc>
        <w:tc>
          <w:tcPr>
            <w:tcW w:w="2835" w:type="dxa"/>
            <w:vAlign w:val="center"/>
          </w:tcPr>
          <w:p>
            <w:pPr>
              <w:pStyle w:val="11"/>
            </w:pPr>
            <w:r>
              <w:t>项目名称</w:t>
            </w:r>
          </w:p>
        </w:tc>
        <w:tc>
          <w:tcPr>
            <w:tcW w:w="6095" w:type="dxa"/>
            <w:gridSpan w:val="3"/>
            <w:vAlign w:val="center"/>
          </w:tcPr>
          <w:p>
            <w:pPr>
              <w:pStyle w:val="13"/>
            </w:pPr>
            <w:r>
              <w:t>退役军人公益性岗位安置费用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585.83</w:t>
            </w:r>
          </w:p>
        </w:tc>
        <w:tc>
          <w:tcPr>
            <w:tcW w:w="2835" w:type="dxa"/>
            <w:vAlign w:val="center"/>
          </w:tcPr>
          <w:p>
            <w:pPr>
              <w:pStyle w:val="11"/>
            </w:pPr>
            <w:r>
              <w:t>其中：财政    资金</w:t>
            </w:r>
          </w:p>
        </w:tc>
        <w:tc>
          <w:tcPr>
            <w:tcW w:w="2551" w:type="dxa"/>
            <w:vAlign w:val="center"/>
          </w:tcPr>
          <w:p>
            <w:pPr>
              <w:pStyle w:val="13"/>
            </w:pPr>
            <w:r>
              <w:t>585.83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支付工资和社会保险费。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1.落实退役军人公益性岗位人员的工资及保险待遇，调动工作人员积极性，保障工作的顺利开展。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享受公益性岗位补贴人数</w:t>
            </w:r>
          </w:p>
        </w:tc>
        <w:tc>
          <w:tcPr>
            <w:tcW w:w="5386" w:type="dxa"/>
            <w:vAlign w:val="center"/>
          </w:tcPr>
          <w:p>
            <w:pPr>
              <w:pStyle w:val="13"/>
            </w:pPr>
            <w:r>
              <w:t>反映签订公益性岗位合同人数情况</w:t>
            </w:r>
          </w:p>
        </w:tc>
        <w:tc>
          <w:tcPr>
            <w:tcW w:w="2268" w:type="dxa"/>
            <w:vAlign w:val="center"/>
          </w:tcPr>
          <w:p>
            <w:pPr>
              <w:pStyle w:val="13"/>
            </w:pPr>
            <w:r>
              <w:t>≥140人</w:t>
            </w:r>
          </w:p>
        </w:tc>
        <w:tc>
          <w:tcPr>
            <w:tcW w:w="1276" w:type="dxa"/>
            <w:vAlign w:val="center"/>
          </w:tcPr>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反映实际发放工资的覆盖程度情况，覆盖率=实发人数/应发人数</w:t>
            </w:r>
          </w:p>
        </w:tc>
        <w:tc>
          <w:tcPr>
            <w:tcW w:w="2268" w:type="dxa"/>
            <w:vAlign w:val="center"/>
          </w:tcPr>
          <w:p>
            <w:pPr>
              <w:pStyle w:val="13"/>
            </w:pPr>
            <w:r>
              <w:t>100%</w:t>
            </w:r>
          </w:p>
        </w:tc>
        <w:tc>
          <w:tcPr>
            <w:tcW w:w="1276" w:type="dxa"/>
            <w:vAlign w:val="center"/>
          </w:tcPr>
          <w:p>
            <w:pPr>
              <w:pStyle w:val="13"/>
            </w:pPr>
            <w:r>
              <w:t>退役军人帮扶岗位协议书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反映人均月工资标准情况</w:t>
            </w:r>
          </w:p>
        </w:tc>
        <w:tc>
          <w:tcPr>
            <w:tcW w:w="2268" w:type="dxa"/>
            <w:vAlign w:val="center"/>
          </w:tcPr>
          <w:p>
            <w:pPr>
              <w:pStyle w:val="13"/>
            </w:pPr>
            <w:r>
              <w:t>≥2200元/月</w:t>
            </w:r>
          </w:p>
        </w:tc>
        <w:tc>
          <w:tcPr>
            <w:tcW w:w="1276" w:type="dxa"/>
            <w:vAlign w:val="center"/>
          </w:tcPr>
          <w:p>
            <w:pPr>
              <w:pStyle w:val="13"/>
            </w:pPr>
            <w:r>
              <w:t>退役军人帮扶岗位协议书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稳定就业人数</w:t>
            </w:r>
          </w:p>
        </w:tc>
        <w:tc>
          <w:tcPr>
            <w:tcW w:w="5386" w:type="dxa"/>
            <w:vAlign w:val="center"/>
          </w:tcPr>
          <w:p>
            <w:pPr>
              <w:pStyle w:val="13"/>
            </w:pPr>
            <w:r>
              <w:t>反映稳定就业人员情况</w:t>
            </w:r>
          </w:p>
        </w:tc>
        <w:tc>
          <w:tcPr>
            <w:tcW w:w="2268" w:type="dxa"/>
            <w:vAlign w:val="center"/>
          </w:tcPr>
          <w:p>
            <w:pPr>
              <w:pStyle w:val="13"/>
            </w:pPr>
            <w:r>
              <w:t>140人</w:t>
            </w:r>
          </w:p>
        </w:tc>
        <w:tc>
          <w:tcPr>
            <w:tcW w:w="1276" w:type="dxa"/>
            <w:vAlign w:val="center"/>
          </w:tcPr>
          <w:p>
            <w:pPr>
              <w:pStyle w:val="13"/>
            </w:pPr>
            <w:r>
              <w:t>根据《关于解决公益性岗位安置的请示》（丰人社呈字[2017]12号）领导批示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9、卫健小组长经费绩效目标表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13020725P00002210340K</w:t>
            </w:r>
          </w:p>
        </w:tc>
        <w:tc>
          <w:tcPr>
            <w:tcW w:w="2835" w:type="dxa"/>
            <w:vAlign w:val="center"/>
          </w:tcPr>
          <w:p>
            <w:pPr>
              <w:pStyle w:val="11"/>
            </w:pPr>
            <w:r>
              <w:t>项目名称</w:t>
            </w:r>
          </w:p>
        </w:tc>
        <w:tc>
          <w:tcPr>
            <w:tcW w:w="6095" w:type="dxa"/>
            <w:gridSpan w:val="3"/>
            <w:vAlign w:val="center"/>
          </w:tcPr>
          <w:p>
            <w:pPr>
              <w:pStyle w:val="13"/>
            </w:pPr>
            <w:r>
              <w:t>卫健小组长经费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176.88</w:t>
            </w:r>
          </w:p>
        </w:tc>
        <w:tc>
          <w:tcPr>
            <w:tcW w:w="2835" w:type="dxa"/>
            <w:vAlign w:val="center"/>
          </w:tcPr>
          <w:p>
            <w:pPr>
              <w:pStyle w:val="11"/>
            </w:pPr>
            <w:r>
              <w:t>其中：财政    资金</w:t>
            </w:r>
          </w:p>
        </w:tc>
        <w:tc>
          <w:tcPr>
            <w:tcW w:w="2551" w:type="dxa"/>
            <w:vAlign w:val="center"/>
          </w:tcPr>
          <w:p>
            <w:pPr>
              <w:pStyle w:val="13"/>
            </w:pPr>
            <w:r>
              <w:t>176.88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为卫健小组长发放工资。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1.按时足额、准确发放工资，提高工作人员的工作积极性。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反映发放工资人数情况</w:t>
            </w:r>
          </w:p>
        </w:tc>
        <w:tc>
          <w:tcPr>
            <w:tcW w:w="2268" w:type="dxa"/>
            <w:vAlign w:val="center"/>
          </w:tcPr>
          <w:p>
            <w:pPr>
              <w:pStyle w:val="13"/>
            </w:pPr>
            <w:r>
              <w:t>≤134人</w:t>
            </w:r>
          </w:p>
        </w:tc>
        <w:tc>
          <w:tcPr>
            <w:tcW w:w="1276" w:type="dxa"/>
            <w:vAlign w:val="center"/>
          </w:tcPr>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反映实际发放工资的覆盖程度情况，覆盖率=实发人数/应发人数</w:t>
            </w:r>
          </w:p>
        </w:tc>
        <w:tc>
          <w:tcPr>
            <w:tcW w:w="2268" w:type="dxa"/>
            <w:vAlign w:val="center"/>
          </w:tcPr>
          <w:p>
            <w:pPr>
              <w:pStyle w:val="13"/>
            </w:pPr>
            <w:r>
              <w:t>100%</w:t>
            </w:r>
          </w:p>
        </w:tc>
        <w:tc>
          <w:tcPr>
            <w:tcW w:w="1276" w:type="dxa"/>
            <w:vAlign w:val="center"/>
          </w:tcPr>
          <w:p>
            <w:pPr>
              <w:pStyle w:val="13"/>
            </w:pPr>
            <w:r>
              <w:t>根据《胥各庄街道办事处关于小区卫生清扫、绿化养护费用及计生工作预算请示》领导批复（2011年11月19日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反映人均月工资标准情况</w:t>
            </w:r>
          </w:p>
        </w:tc>
        <w:tc>
          <w:tcPr>
            <w:tcW w:w="2268" w:type="dxa"/>
            <w:vAlign w:val="center"/>
          </w:tcPr>
          <w:p>
            <w:pPr>
              <w:pStyle w:val="13"/>
            </w:pPr>
            <w:r>
              <w:t>1100元/月</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10、信访救助资金绩效目标表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13020725P008NP010021Y</w:t>
            </w:r>
          </w:p>
        </w:tc>
        <w:tc>
          <w:tcPr>
            <w:tcW w:w="2835" w:type="dxa"/>
            <w:vAlign w:val="center"/>
          </w:tcPr>
          <w:p>
            <w:pPr>
              <w:pStyle w:val="11"/>
            </w:pPr>
            <w:r>
              <w:t>项目名称</w:t>
            </w:r>
          </w:p>
        </w:tc>
        <w:tc>
          <w:tcPr>
            <w:tcW w:w="6095" w:type="dxa"/>
            <w:gridSpan w:val="3"/>
            <w:vAlign w:val="center"/>
          </w:tcPr>
          <w:p>
            <w:pPr>
              <w:pStyle w:val="13"/>
            </w:pPr>
            <w:r>
              <w:t>信访救助资金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主要用于缴纳郑红元养老、医疗（含生育）保险，直到正常退休；报销郑红元因烧伤产生的医药费在报销后剩余需个人承担的费用以及去外地治疗期间产生的差旅费。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60%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1.信访救助人郑红元息诉罢访，维护社会稳定。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跟踪回访次数</w:t>
            </w:r>
          </w:p>
        </w:tc>
        <w:tc>
          <w:tcPr>
            <w:tcW w:w="5386" w:type="dxa"/>
            <w:vAlign w:val="center"/>
          </w:tcPr>
          <w:p>
            <w:pPr>
              <w:pStyle w:val="13"/>
            </w:pPr>
            <w:r>
              <w:t>对信访人进行跟踪回访的次数</w:t>
            </w:r>
          </w:p>
        </w:tc>
        <w:tc>
          <w:tcPr>
            <w:tcW w:w="2268" w:type="dxa"/>
            <w:vAlign w:val="center"/>
          </w:tcPr>
          <w:p>
            <w:pPr>
              <w:pStyle w:val="13"/>
            </w:pPr>
            <w:r>
              <w:t>≥1次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资金足额拨付率</w:t>
            </w:r>
          </w:p>
        </w:tc>
        <w:tc>
          <w:tcPr>
            <w:tcW w:w="5386" w:type="dxa"/>
            <w:vAlign w:val="center"/>
          </w:tcPr>
          <w:p>
            <w:pPr>
              <w:pStyle w:val="13"/>
            </w:pPr>
            <w:r>
              <w:t>反映信访救助资金拨付的情况</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救助资金及时性</w:t>
            </w:r>
          </w:p>
        </w:tc>
        <w:tc>
          <w:tcPr>
            <w:tcW w:w="5386" w:type="dxa"/>
            <w:vAlign w:val="center"/>
          </w:tcPr>
          <w:p>
            <w:pPr>
              <w:pStyle w:val="13"/>
            </w:pPr>
            <w:r>
              <w:t>是否及时发放救助金</w:t>
            </w:r>
          </w:p>
        </w:tc>
        <w:tc>
          <w:tcPr>
            <w:tcW w:w="2268" w:type="dxa"/>
            <w:vAlign w:val="center"/>
          </w:tcPr>
          <w:p>
            <w:pPr>
              <w:pStyle w:val="13"/>
            </w:pPr>
            <w:r>
              <w:t>及时</w:t>
            </w:r>
          </w:p>
        </w:tc>
        <w:tc>
          <w:tcPr>
            <w:tcW w:w="1276" w:type="dxa"/>
            <w:vAlign w:val="center"/>
          </w:tcPr>
          <w:p>
            <w:pPr>
              <w:pStyle w:val="13"/>
            </w:pPr>
            <w:r>
              <w:t>[2017]18号区信访工作联席会议调度重点信访事项会议纪要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信访救助费用总额</w:t>
            </w:r>
          </w:p>
        </w:tc>
        <w:tc>
          <w:tcPr>
            <w:tcW w:w="5386" w:type="dxa"/>
            <w:vAlign w:val="center"/>
          </w:tcPr>
          <w:p>
            <w:pPr>
              <w:pStyle w:val="13"/>
            </w:pPr>
            <w:r>
              <w:t>反映信访救助费用总量情况</w:t>
            </w:r>
          </w:p>
        </w:tc>
        <w:tc>
          <w:tcPr>
            <w:tcW w:w="2268" w:type="dxa"/>
            <w:vAlign w:val="center"/>
          </w:tcPr>
          <w:p>
            <w:pPr>
              <w:pStyle w:val="13"/>
            </w:pPr>
            <w:r>
              <w:t>≤10万元</w:t>
            </w:r>
          </w:p>
        </w:tc>
        <w:tc>
          <w:tcPr>
            <w:tcW w:w="1276" w:type="dxa"/>
            <w:vAlign w:val="center"/>
          </w:tcPr>
          <w:p>
            <w:pPr>
              <w:pStyle w:val="13"/>
            </w:pPr>
            <w:r>
              <w:t>经验标准、[2017]18号区信访工作联席会议调度重点信访事项会议纪要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信访救助人息诉罢访情况</w:t>
            </w:r>
          </w:p>
        </w:tc>
        <w:tc>
          <w:tcPr>
            <w:tcW w:w="5386" w:type="dxa"/>
            <w:vAlign w:val="center"/>
          </w:tcPr>
          <w:p>
            <w:pPr>
              <w:pStyle w:val="13"/>
            </w:pPr>
            <w:r>
              <w:t>信访救助人是否息诉罢访</w:t>
            </w:r>
          </w:p>
        </w:tc>
        <w:tc>
          <w:tcPr>
            <w:tcW w:w="2268" w:type="dxa"/>
            <w:vAlign w:val="center"/>
          </w:tcPr>
          <w:p>
            <w:pPr>
              <w:pStyle w:val="13"/>
            </w:pPr>
            <w:r>
              <w:t>是</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救助人满意度</w:t>
            </w:r>
          </w:p>
        </w:tc>
        <w:tc>
          <w:tcPr>
            <w:tcW w:w="5386" w:type="dxa"/>
            <w:vAlign w:val="center"/>
          </w:tcPr>
          <w:p>
            <w:pPr>
              <w:pStyle w:val="13"/>
            </w:pPr>
            <w:r>
              <w:t>救助人对此项工作满意程度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11、信访维稳工作经费绩效目标表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13020725P008NP010020B</w:t>
            </w:r>
          </w:p>
        </w:tc>
        <w:tc>
          <w:tcPr>
            <w:tcW w:w="2835" w:type="dxa"/>
            <w:vAlign w:val="center"/>
          </w:tcPr>
          <w:p>
            <w:pPr>
              <w:pStyle w:val="11"/>
            </w:pPr>
            <w:r>
              <w:t>项目名称</w:t>
            </w:r>
          </w:p>
        </w:tc>
        <w:tc>
          <w:tcPr>
            <w:tcW w:w="6095" w:type="dxa"/>
            <w:gridSpan w:val="3"/>
            <w:vAlign w:val="center"/>
          </w:tcPr>
          <w:p>
            <w:pPr>
              <w:pStyle w:val="13"/>
            </w:pPr>
            <w:r>
              <w:t>信访维稳工作经费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积极宣传党的政策及相关法律，确保各敏感期及日常信访稳定，无非访、越级访及进京访发生；及时化解信访案件，陪访到位、劝返及时，切实做好信访人的稳控工作。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1.积极宣传党的政策及相关法律，确保各敏感期及日常信访稳定，无非访、越级访及进京访发生；及时化解信访案件，陪访到位、劝返及时，切实做好信访人的稳控工作。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不稳定群体或人员排查率</w:t>
            </w:r>
          </w:p>
        </w:tc>
        <w:tc>
          <w:tcPr>
            <w:tcW w:w="5386" w:type="dxa"/>
            <w:vAlign w:val="center"/>
          </w:tcPr>
          <w:p>
            <w:pPr>
              <w:pStyle w:val="13"/>
            </w:pPr>
            <w:r>
              <w:t>矛盾纠纷排查数量与矛盾纠纷总量的比例</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不稳定群体或人员受理率</w:t>
            </w:r>
          </w:p>
        </w:tc>
        <w:tc>
          <w:tcPr>
            <w:tcW w:w="5386" w:type="dxa"/>
            <w:vAlign w:val="center"/>
          </w:tcPr>
          <w:p>
            <w:pPr>
              <w:pStyle w:val="13"/>
            </w:pPr>
            <w:r>
              <w:t>受理矛盾纠纷的比例</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及时解决信访问题</w:t>
            </w:r>
          </w:p>
        </w:tc>
        <w:tc>
          <w:tcPr>
            <w:tcW w:w="5386" w:type="dxa"/>
            <w:vAlign w:val="center"/>
          </w:tcPr>
          <w:p>
            <w:pPr>
              <w:pStyle w:val="13"/>
            </w:pPr>
            <w:r>
              <w:t>是否及时解决上访人反映问题</w:t>
            </w:r>
          </w:p>
        </w:tc>
        <w:tc>
          <w:tcPr>
            <w:tcW w:w="2268" w:type="dxa"/>
            <w:vAlign w:val="center"/>
          </w:tcPr>
          <w:p>
            <w:pPr>
              <w:pStyle w:val="13"/>
            </w:pPr>
            <w:r>
              <w:t>是</w:t>
            </w:r>
          </w:p>
        </w:tc>
        <w:tc>
          <w:tcPr>
            <w:tcW w:w="1276" w:type="dxa"/>
            <w:vAlign w:val="center"/>
          </w:tcPr>
          <w:p>
            <w:pPr>
              <w:pStyle w:val="13"/>
            </w:pPr>
            <w:r>
              <w:t>工作台账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预算执行偏差率</w:t>
            </w:r>
          </w:p>
        </w:tc>
        <w:tc>
          <w:tcPr>
            <w:tcW w:w="5386" w:type="dxa"/>
            <w:vAlign w:val="center"/>
          </w:tcPr>
          <w:p>
            <w:pPr>
              <w:pStyle w:val="13"/>
            </w:pPr>
            <w:r>
              <w:t>（实际支出-预算支出）/预算支出*100%</w:t>
            </w:r>
          </w:p>
        </w:tc>
        <w:tc>
          <w:tcPr>
            <w:tcW w:w="2268" w:type="dxa"/>
            <w:vAlign w:val="center"/>
          </w:tcPr>
          <w:p>
            <w:pPr>
              <w:pStyle w:val="13"/>
            </w:pPr>
            <w:r>
              <w:t>≤10%</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不稳定群体调解率</w:t>
            </w:r>
          </w:p>
        </w:tc>
        <w:tc>
          <w:tcPr>
            <w:tcW w:w="5386" w:type="dxa"/>
            <w:vAlign w:val="center"/>
          </w:tcPr>
          <w:p>
            <w:pPr>
              <w:pStyle w:val="13"/>
            </w:pPr>
            <w:r>
              <w:t>已调解的数量占全部不稳定群体的比例</w:t>
            </w:r>
          </w:p>
        </w:tc>
        <w:tc>
          <w:tcPr>
            <w:tcW w:w="2268" w:type="dxa"/>
            <w:vAlign w:val="center"/>
          </w:tcPr>
          <w:p>
            <w:pPr>
              <w:pStyle w:val="13"/>
            </w:pPr>
            <w:r>
              <w:t>≥80%</w:t>
            </w:r>
          </w:p>
        </w:tc>
        <w:tc>
          <w:tcPr>
            <w:tcW w:w="1276" w:type="dxa"/>
            <w:vAlign w:val="center"/>
          </w:tcPr>
          <w:p>
            <w:pPr>
              <w:pStyle w:val="13"/>
            </w:pPr>
            <w:r>
              <w:t>工作档案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信访群众满意率</w:t>
            </w:r>
          </w:p>
        </w:tc>
        <w:tc>
          <w:tcPr>
            <w:tcW w:w="5386" w:type="dxa"/>
            <w:vAlign w:val="center"/>
          </w:tcPr>
          <w:p>
            <w:pPr>
              <w:pStyle w:val="13"/>
            </w:pPr>
            <w:r>
              <w:t>反映信访群众满意的比例</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12、业务工作经费绩效目标表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13020725P008R8J10032F</w:t>
            </w:r>
          </w:p>
        </w:tc>
        <w:tc>
          <w:tcPr>
            <w:tcW w:w="2835" w:type="dxa"/>
            <w:vAlign w:val="center"/>
          </w:tcPr>
          <w:p>
            <w:pPr>
              <w:pStyle w:val="11"/>
            </w:pPr>
            <w:r>
              <w:t>项目名称</w:t>
            </w:r>
          </w:p>
        </w:tc>
        <w:tc>
          <w:tcPr>
            <w:tcW w:w="6095" w:type="dxa"/>
            <w:gridSpan w:val="3"/>
            <w:vAlign w:val="center"/>
          </w:tcPr>
          <w:p>
            <w:pPr>
              <w:pStyle w:val="13"/>
            </w:pPr>
            <w:r>
              <w:t>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w:t>
            </w:r>
          </w:p>
        </w:tc>
        <w:tc>
          <w:tcPr>
            <w:tcW w:w="2835" w:type="dxa"/>
            <w:vAlign w:val="center"/>
          </w:tcPr>
          <w:p>
            <w:pPr>
              <w:pStyle w:val="11"/>
            </w:pPr>
            <w:r>
              <w:t>其中：财政    资金</w:t>
            </w:r>
          </w:p>
        </w:tc>
        <w:tc>
          <w:tcPr>
            <w:tcW w:w="2551" w:type="dxa"/>
            <w:vAlign w:val="center"/>
          </w:tcPr>
          <w:p>
            <w:pPr>
              <w:pStyle w:val="13"/>
            </w:pPr>
            <w:r>
              <w:t>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各业务科室购买办公用品以及宣传和阵地建设。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1.按各业务科室相关政策文件安排资金满足日常工作、活动需要，以便更好的完成上级工作任务和工作目标，保障机关正常运转，打造良好的社会环境。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业务工作资金到位的比例</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合规</w:t>
            </w:r>
          </w:p>
        </w:tc>
        <w:tc>
          <w:tcPr>
            <w:tcW w:w="1276" w:type="dxa"/>
            <w:vAlign w:val="center"/>
          </w:tcPr>
          <w:p>
            <w:pPr>
              <w:pStyle w:val="13"/>
            </w:pPr>
            <w:r>
              <w:t>各业务科室相关政策文件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各项工作任务完成及时性</w:t>
            </w:r>
          </w:p>
        </w:tc>
        <w:tc>
          <w:tcPr>
            <w:tcW w:w="5386" w:type="dxa"/>
            <w:vAlign w:val="center"/>
          </w:tcPr>
          <w:p>
            <w:pPr>
              <w:pStyle w:val="13"/>
            </w:pPr>
            <w:r>
              <w:t>反映各业务科室工作完成及时情况</w:t>
            </w:r>
          </w:p>
        </w:tc>
        <w:tc>
          <w:tcPr>
            <w:tcW w:w="2268" w:type="dxa"/>
            <w:vAlign w:val="center"/>
          </w:tcPr>
          <w:p>
            <w:pPr>
              <w:pStyle w:val="13"/>
            </w:pPr>
            <w:r>
              <w:t>及时</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业务工作经费控制情况</w:t>
            </w:r>
          </w:p>
        </w:tc>
        <w:tc>
          <w:tcPr>
            <w:tcW w:w="5386" w:type="dxa"/>
            <w:vAlign w:val="center"/>
          </w:tcPr>
          <w:p>
            <w:pPr>
              <w:pStyle w:val="13"/>
            </w:pPr>
            <w:r>
              <w:t>业务工作经费低于上年</w:t>
            </w:r>
          </w:p>
        </w:tc>
        <w:tc>
          <w:tcPr>
            <w:tcW w:w="2268" w:type="dxa"/>
            <w:vAlign w:val="center"/>
          </w:tcPr>
          <w:p>
            <w:pPr>
              <w:pStyle w:val="13"/>
            </w:pPr>
            <w:r>
              <w:t>有效控制</w:t>
            </w:r>
          </w:p>
          <w:p>
            <w:pPr>
              <w:pStyle w:val="13"/>
            </w:pP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保障机关正常运转</w:t>
            </w:r>
          </w:p>
        </w:tc>
        <w:tc>
          <w:tcPr>
            <w:tcW w:w="5386" w:type="dxa"/>
            <w:vAlign w:val="center"/>
          </w:tcPr>
          <w:p>
            <w:pPr>
              <w:pStyle w:val="13"/>
            </w:pPr>
            <w:r>
              <w:t>反映保障机关正常运转情况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反映工作人员满意程度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13、值班值守应急指挥系统及各业务端口费用绩效目标表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13020725P008R8J100385</w:t>
            </w:r>
          </w:p>
        </w:tc>
        <w:tc>
          <w:tcPr>
            <w:tcW w:w="2835" w:type="dxa"/>
            <w:vAlign w:val="center"/>
          </w:tcPr>
          <w:p>
            <w:pPr>
              <w:pStyle w:val="11"/>
            </w:pPr>
            <w:r>
              <w:t>项目名称</w:t>
            </w:r>
          </w:p>
        </w:tc>
        <w:tc>
          <w:tcPr>
            <w:tcW w:w="6095" w:type="dxa"/>
            <w:gridSpan w:val="3"/>
            <w:vAlign w:val="center"/>
          </w:tcPr>
          <w:p>
            <w:pPr>
              <w:pStyle w:val="13"/>
            </w:pPr>
            <w:r>
              <w:t>值班值守应急指挥系统及各业务端口费用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w:t>
            </w:r>
          </w:p>
        </w:tc>
        <w:tc>
          <w:tcPr>
            <w:tcW w:w="2835" w:type="dxa"/>
            <w:vAlign w:val="center"/>
          </w:tcPr>
          <w:p>
            <w:pPr>
              <w:pStyle w:val="11"/>
            </w:pPr>
            <w:r>
              <w:t>其中：财政    资金</w:t>
            </w:r>
          </w:p>
        </w:tc>
        <w:tc>
          <w:tcPr>
            <w:tcW w:w="2551" w:type="dxa"/>
            <w:vAlign w:val="center"/>
          </w:tcPr>
          <w:p>
            <w:pPr>
              <w:pStyle w:val="13"/>
            </w:pPr>
            <w:r>
              <w:t>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用于支付值班值守应急系统年服务费，环保部门小鱼视频服务费用，计划生育系统服务费及各业务端口服务费用。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90%</w:t>
            </w:r>
          </w:p>
        </w:tc>
        <w:tc>
          <w:tcPr>
            <w:tcW w:w="2551" w:type="dxa"/>
            <w:vAlign w:val="center"/>
          </w:tcPr>
          <w:p>
            <w:pPr>
              <w:pStyle w:val="14"/>
            </w:pPr>
            <w:r>
              <w:t>100%</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1.完成上级工作安排，维持日常工作运转，提高处理应急事件的反应能力，缩短应急事件响应时间，实现高效的值班值守与应急指挥。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安装应急值守指挥调度系统</w:t>
            </w:r>
          </w:p>
        </w:tc>
        <w:tc>
          <w:tcPr>
            <w:tcW w:w="5386" w:type="dxa"/>
            <w:vAlign w:val="center"/>
          </w:tcPr>
          <w:p>
            <w:pPr>
              <w:pStyle w:val="13"/>
            </w:pPr>
            <w:r>
              <w:t>是否安装应急值守指挥调度系统</w:t>
            </w:r>
          </w:p>
        </w:tc>
        <w:tc>
          <w:tcPr>
            <w:tcW w:w="2268" w:type="dxa"/>
            <w:vAlign w:val="center"/>
          </w:tcPr>
          <w:p>
            <w:pPr>
              <w:pStyle w:val="13"/>
            </w:pPr>
            <w:r>
              <w:t>是</w:t>
            </w:r>
          </w:p>
        </w:tc>
        <w:tc>
          <w:tcPr>
            <w:tcW w:w="1276" w:type="dxa"/>
            <w:vAlign w:val="center"/>
          </w:tcPr>
          <w:p>
            <w:pPr>
              <w:pStyle w:val="13"/>
            </w:pPr>
            <w:r>
              <w:t>根据唐传办[2021]56号文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设备有效运转率</w:t>
            </w:r>
          </w:p>
        </w:tc>
        <w:tc>
          <w:tcPr>
            <w:tcW w:w="5386" w:type="dxa"/>
            <w:vAlign w:val="center"/>
          </w:tcPr>
          <w:p>
            <w:pPr>
              <w:pStyle w:val="13"/>
            </w:pPr>
            <w:r>
              <w:t>应急值守指挥调度系统各项设备有效运转率</w:t>
            </w:r>
          </w:p>
        </w:tc>
        <w:tc>
          <w:tcPr>
            <w:tcW w:w="2268" w:type="dxa"/>
            <w:vAlign w:val="center"/>
          </w:tcPr>
          <w:p>
            <w:pPr>
              <w:pStyle w:val="13"/>
            </w:pPr>
            <w:r>
              <w:t>≥80%</w:t>
            </w:r>
          </w:p>
        </w:tc>
        <w:tc>
          <w:tcPr>
            <w:tcW w:w="1276" w:type="dxa"/>
            <w:vAlign w:val="center"/>
          </w:tcPr>
          <w:p>
            <w:pPr>
              <w:pStyle w:val="13"/>
            </w:pPr>
            <w:r>
              <w:t>根据唐传办[2021]56号文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突发事件应急响应及时率</w:t>
            </w:r>
          </w:p>
        </w:tc>
        <w:tc>
          <w:tcPr>
            <w:tcW w:w="5386" w:type="dxa"/>
            <w:vAlign w:val="center"/>
          </w:tcPr>
          <w:p>
            <w:pPr>
              <w:pStyle w:val="13"/>
            </w:pPr>
            <w:r>
              <w:t>突发事件应急响应及时率</w:t>
            </w:r>
          </w:p>
        </w:tc>
        <w:tc>
          <w:tcPr>
            <w:tcW w:w="2268" w:type="dxa"/>
            <w:vAlign w:val="center"/>
          </w:tcPr>
          <w:p>
            <w:pPr>
              <w:pStyle w:val="13"/>
            </w:pPr>
            <w:r>
              <w:t>≥80%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服务费用标准</w:t>
            </w:r>
          </w:p>
        </w:tc>
        <w:tc>
          <w:tcPr>
            <w:tcW w:w="5386" w:type="dxa"/>
            <w:vAlign w:val="center"/>
          </w:tcPr>
          <w:p>
            <w:pPr>
              <w:pStyle w:val="13"/>
            </w:pPr>
            <w:r>
              <w:t>每年服务费标准</w:t>
            </w:r>
          </w:p>
        </w:tc>
        <w:tc>
          <w:tcPr>
            <w:tcW w:w="2268" w:type="dxa"/>
            <w:vAlign w:val="center"/>
          </w:tcPr>
          <w:p>
            <w:pPr>
              <w:pStyle w:val="13"/>
            </w:pPr>
            <w:r>
              <w:t>≤1.5万元/年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提高处理应急事件的反应能力</w:t>
            </w:r>
          </w:p>
        </w:tc>
        <w:tc>
          <w:tcPr>
            <w:tcW w:w="5386" w:type="dxa"/>
            <w:vAlign w:val="center"/>
          </w:tcPr>
          <w:p>
            <w:pPr>
              <w:pStyle w:val="13"/>
            </w:pPr>
            <w:r>
              <w:t>提高处理应急事件的反应能力</w:t>
            </w:r>
          </w:p>
        </w:tc>
        <w:tc>
          <w:tcPr>
            <w:tcW w:w="2268" w:type="dxa"/>
            <w:vAlign w:val="center"/>
          </w:tcPr>
          <w:p>
            <w:pPr>
              <w:pStyle w:val="13"/>
            </w:pPr>
            <w:r>
              <w:t>明显提高</w:t>
            </w:r>
          </w:p>
        </w:tc>
        <w:tc>
          <w:tcPr>
            <w:tcW w:w="1276" w:type="dxa"/>
            <w:vAlign w:val="center"/>
          </w:tcPr>
          <w:p>
            <w:pPr>
              <w:pStyle w:val="13"/>
            </w:pPr>
            <w:r>
              <w:t>根据唐传办[2021]56号文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使用部门满意度</w:t>
            </w:r>
          </w:p>
        </w:tc>
        <w:tc>
          <w:tcPr>
            <w:tcW w:w="5386" w:type="dxa"/>
            <w:vAlign w:val="center"/>
          </w:tcPr>
          <w:p>
            <w:pPr>
              <w:pStyle w:val="13"/>
            </w:pPr>
            <w:r>
              <w:t>使用部门满意的比例</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418唐山市丰南区青年路街道办事处</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319.00</w:t>
            </w:r>
          </w:p>
        </w:tc>
        <w:tc>
          <w:tcPr>
            <w:tcW w:w="964" w:type="dxa"/>
            <w:vAlign w:val="center"/>
          </w:tcPr>
          <w:p>
            <w:pPr>
              <w:pStyle w:val="16"/>
            </w:pPr>
            <w:r>
              <w:t>319.00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319.00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唐山市丰南区青年路街道办事处本级小计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319.00</w:t>
            </w:r>
          </w:p>
        </w:tc>
        <w:tc>
          <w:tcPr>
            <w:tcW w:w="964" w:type="dxa"/>
            <w:vAlign w:val="center"/>
          </w:tcPr>
          <w:p>
            <w:pPr>
              <w:pStyle w:val="16"/>
            </w:pPr>
            <w:r>
              <w:t>319.00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319.00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劳务外包经费</w:t>
            </w:r>
          </w:p>
        </w:tc>
        <w:tc>
          <w:tcPr>
            <w:tcW w:w="964" w:type="dxa"/>
            <w:vAlign w:val="center"/>
          </w:tcPr>
          <w:p>
            <w:pPr>
              <w:pStyle w:val="12"/>
            </w:pPr>
            <w:r>
              <w:t>424.87</w:t>
            </w:r>
          </w:p>
        </w:tc>
        <w:tc>
          <w:tcPr>
            <w:tcW w:w="1134" w:type="dxa"/>
            <w:vAlign w:val="center"/>
          </w:tcPr>
          <w:p>
            <w:pPr>
              <w:pStyle w:val="13"/>
            </w:pPr>
            <w:r>
              <w:t>其他社会治理服务</w:t>
            </w:r>
          </w:p>
        </w:tc>
        <w:tc>
          <w:tcPr>
            <w:tcW w:w="1134" w:type="dxa"/>
            <w:vAlign w:val="center"/>
          </w:tcPr>
          <w:p>
            <w:pPr>
              <w:pStyle w:val="13"/>
            </w:pPr>
            <w:r>
              <w:t>C05029900</w:t>
            </w:r>
          </w:p>
        </w:tc>
        <w:tc>
          <w:tcPr>
            <w:tcW w:w="709" w:type="dxa"/>
            <w:vAlign w:val="center"/>
          </w:tcPr>
          <w:p>
            <w:pPr>
              <w:pStyle w:val="14"/>
            </w:pPr>
            <w:r>
              <w:t>笔</w:t>
            </w:r>
          </w:p>
        </w:tc>
        <w:tc>
          <w:tcPr>
            <w:tcW w:w="850" w:type="dxa"/>
            <w:vAlign w:val="center"/>
          </w:tcPr>
          <w:p>
            <w:pPr>
              <w:pStyle w:val="12"/>
            </w:pPr>
            <w:r>
              <w:t>1</w:t>
            </w:r>
          </w:p>
        </w:tc>
        <w:tc>
          <w:tcPr>
            <w:tcW w:w="850" w:type="dxa"/>
            <w:vAlign w:val="center"/>
          </w:tcPr>
          <w:p>
            <w:pPr>
              <w:pStyle w:val="12"/>
            </w:pPr>
            <w:r>
              <w:t>319.00</w:t>
            </w:r>
          </w:p>
        </w:tc>
        <w:tc>
          <w:tcPr>
            <w:tcW w:w="964" w:type="dxa"/>
            <w:vAlign w:val="center"/>
          </w:tcPr>
          <w:p>
            <w:pPr>
              <w:pStyle w:val="12"/>
            </w:pPr>
            <w:r>
              <w:t>319.00</w:t>
            </w:r>
          </w:p>
        </w:tc>
        <w:tc>
          <w:tcPr>
            <w:tcW w:w="964" w:type="dxa"/>
            <w:vAlign w:val="center"/>
          </w:tcPr>
          <w:p>
            <w:pPr>
              <w:pStyle w:val="12"/>
            </w:pPr>
            <w:r>
              <w:t>319.00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319.00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唐山市丰南区青年路街道办事处（含所属单位）上年末固定资产金额为2898.77万元（详见下表）。本年度拟购置固定资产总额为0.00万元，已按要求列入政府采购预算，详见政府采购预算表。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418唐山市丰南区青年路街道办事处</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2898.77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10303.51</w:t>
            </w:r>
          </w:p>
        </w:tc>
        <w:tc>
          <w:tcPr>
            <w:tcW w:w="2835" w:type="dxa"/>
            <w:vAlign w:val="center"/>
          </w:tcPr>
          <w:p>
            <w:pPr>
              <w:pStyle w:val="12"/>
            </w:pPr>
            <w:r>
              <w:t>2129.82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769.98</w:t>
            </w:r>
          </w:p>
        </w:tc>
        <w:tc>
          <w:tcPr>
            <w:tcW w:w="2835" w:type="dxa"/>
            <w:vAlign w:val="center"/>
          </w:tcPr>
          <w:p>
            <w:pPr>
              <w:pStyle w:val="12"/>
            </w:pPr>
            <w:r>
              <w:t>507.25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1</w:t>
            </w:r>
          </w:p>
        </w:tc>
        <w:tc>
          <w:tcPr>
            <w:tcW w:w="2835" w:type="dxa"/>
            <w:vAlign w:val="center"/>
          </w:tcPr>
          <w:p>
            <w:pPr>
              <w:pStyle w:val="12"/>
            </w:pPr>
            <w:r>
              <w:t>60.10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18957</w:t>
            </w:r>
          </w:p>
        </w:tc>
        <w:tc>
          <w:tcPr>
            <w:tcW w:w="2835" w:type="dxa"/>
            <w:vAlign w:val="center"/>
          </w:tcPr>
          <w:p>
            <w:pPr>
              <w:pStyle w:val="12"/>
            </w:pPr>
            <w:r>
              <w:t>708.85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ljZThlYmZlZDE1NGU3ODUxN2M1YTYzNjkyNjRlNTAifQ=="/>
  </w:docVars>
  <w:rsids>
    <w:rsidRoot w:val="00000000"/>
    <w:rsid w:val="21044073"/>
    <w:rsid w:val="27475974"/>
    <w:rsid w:val="2EC650F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42</Pages>
  <TotalTime>7</TotalTime>
  <ScaleCrop>false</ScaleCrop>
  <LinksUpToDate>false</LinksUpToDate>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2025-02-07T13:54:00Z</dcterms:created>
  <dc:creator>Administrator</dc:creator>
  <cp:lastModifiedBy>Administrator</cp:lastModifiedBy>
  <dcterms:modified xsi:type="dcterms:W3CDTF">2025-02-07T06:08:45Z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D2AEF7794B614D94AAC997FA1EF7265D_12</vt:lpwstr>
  </property>
</Properties>
</file>