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_Toc18689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_Toc18689 </w:instrText>
      </w:r>
      <w:r>
        <w:fldChar w:fldCharType="separate"/>
      </w:r>
      <w:r>
        <w:t>1</w:t>
      </w:r>
      <w:r>
        <w:fldChar w:fldCharType="end"/>
      </w:r>
      <w:r>
        <w:fldChar w:fldCharType="end"/>
      </w:r>
    </w:p>
    <w:p>
      <w:pPr>
        <w:pStyle w:val="4"/>
        <w:tabs>
          <w:tab w:val="right" w:leader="dot" w:pos="14572"/>
        </w:tabs>
      </w:pPr>
      <w:r>
        <w:fldChar w:fldCharType="begin"/>
      </w:r>
      <w:r>
        <w:instrText xml:space="preserve"> HYPERLINK \l _Toc23015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_Toc23015 </w:instrText>
      </w:r>
      <w:r>
        <w:fldChar w:fldCharType="separate"/>
      </w:r>
      <w:r>
        <w:t>3</w:t>
      </w:r>
      <w:r>
        <w:fldChar w:fldCharType="end"/>
      </w:r>
      <w:r>
        <w:fldChar w:fldCharType="end"/>
      </w:r>
    </w:p>
    <w:p>
      <w:pPr>
        <w:pStyle w:val="4"/>
        <w:tabs>
          <w:tab w:val="right" w:leader="dot" w:pos="14572"/>
        </w:tabs>
      </w:pPr>
      <w:r>
        <w:fldChar w:fldCharType="begin"/>
      </w:r>
      <w:r>
        <w:instrText xml:space="preserve"> HYPERLINK \l _Toc718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_Toc718 </w:instrText>
      </w:r>
      <w:r>
        <w:fldChar w:fldCharType="separate"/>
      </w:r>
      <w:r>
        <w:t>5</w:t>
      </w:r>
      <w:r>
        <w:fldChar w:fldCharType="end"/>
      </w:r>
      <w:r>
        <w:fldChar w:fldCharType="end"/>
      </w:r>
    </w:p>
    <w:p>
      <w:pPr>
        <w:pStyle w:val="4"/>
        <w:tabs>
          <w:tab w:val="right" w:leader="dot" w:pos="14572"/>
        </w:tabs>
      </w:pPr>
      <w:r>
        <w:fldChar w:fldCharType="begin"/>
      </w:r>
      <w:r>
        <w:instrText xml:space="preserve"> HYPERLINK \l _Toc7809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_Toc7809 </w:instrText>
      </w:r>
      <w:r>
        <w:fldChar w:fldCharType="separate"/>
      </w:r>
      <w:r>
        <w:t>7</w:t>
      </w:r>
      <w:r>
        <w:fldChar w:fldCharType="end"/>
      </w:r>
      <w:r>
        <w:fldChar w:fldCharType="end"/>
      </w:r>
    </w:p>
    <w:p>
      <w:pPr>
        <w:pStyle w:val="4"/>
        <w:tabs>
          <w:tab w:val="right" w:leader="dot" w:pos="14572"/>
        </w:tabs>
      </w:pPr>
      <w:r>
        <w:fldChar w:fldCharType="begin"/>
      </w:r>
      <w:r>
        <w:instrText xml:space="preserve"> HYPERLINK \l _Toc19620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_Toc19620 </w:instrText>
      </w:r>
      <w:r>
        <w:fldChar w:fldCharType="separate"/>
      </w:r>
      <w:r>
        <w:t>10</w:t>
      </w:r>
      <w:r>
        <w:fldChar w:fldCharType="end"/>
      </w:r>
      <w:r>
        <w:fldChar w:fldCharType="end"/>
      </w:r>
    </w:p>
    <w:p>
      <w:pPr>
        <w:pStyle w:val="4"/>
        <w:tabs>
          <w:tab w:val="right" w:leader="dot" w:pos="14572"/>
        </w:tabs>
      </w:pPr>
      <w:r>
        <w:fldChar w:fldCharType="begin"/>
      </w:r>
      <w:r>
        <w:instrText xml:space="preserve"> HYPERLINK \l _Toc12597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_Toc12597 </w:instrText>
      </w:r>
      <w:r>
        <w:fldChar w:fldCharType="separate"/>
      </w:r>
      <w:r>
        <w:t>11</w:t>
      </w:r>
      <w:r>
        <w:fldChar w:fldCharType="end"/>
      </w:r>
      <w:r>
        <w:fldChar w:fldCharType="end"/>
      </w:r>
    </w:p>
    <w:p>
      <w:pPr>
        <w:pStyle w:val="4"/>
        <w:tabs>
          <w:tab w:val="right" w:leader="dot" w:pos="14572"/>
        </w:tabs>
      </w:pPr>
      <w:r>
        <w:fldChar w:fldCharType="begin"/>
      </w:r>
      <w:r>
        <w:instrText xml:space="preserve"> HYPERLINK \l _Toc7813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_Toc7813 </w:instrText>
      </w:r>
      <w:r>
        <w:fldChar w:fldCharType="separate"/>
      </w:r>
      <w:r>
        <w:t>13</w:t>
      </w:r>
      <w:r>
        <w:fldChar w:fldCharType="end"/>
      </w:r>
      <w:r>
        <w:fldChar w:fldCharType="end"/>
      </w:r>
    </w:p>
    <w:p>
      <w:pPr>
        <w:pStyle w:val="4"/>
        <w:tabs>
          <w:tab w:val="right" w:leader="dot" w:pos="14572"/>
        </w:tabs>
      </w:pPr>
      <w:r>
        <w:fldChar w:fldCharType="begin"/>
      </w:r>
      <w:r>
        <w:instrText xml:space="preserve"> HYPERLINK \l _Toc3513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_Toc3513 </w:instrText>
      </w:r>
      <w:r>
        <w:fldChar w:fldCharType="separate"/>
      </w:r>
      <w:r>
        <w:t>14</w:t>
      </w:r>
      <w:r>
        <w:fldChar w:fldCharType="end"/>
      </w:r>
      <w:r>
        <w:fldChar w:fldCharType="end"/>
      </w:r>
    </w:p>
    <w:p>
      <w:pPr>
        <w:pStyle w:val="4"/>
        <w:tabs>
          <w:tab w:val="right" w:leader="dot" w:pos="14572"/>
        </w:tabs>
      </w:pPr>
      <w:r>
        <w:fldChar w:fldCharType="begin"/>
      </w:r>
      <w:r>
        <w:instrText xml:space="preserve"> HYPERLINK \l _Toc16933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_Toc16933 </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_Toc29343 </w:instrText>
      </w:r>
      <w:r>
        <w:fldChar w:fldCharType="separate"/>
      </w:r>
      <w:r>
        <w:rPr>
          <w:rFonts w:ascii="黑体" w:hAnsi="黑体" w:eastAsia="黑体" w:cs="黑体"/>
        </w:rPr>
        <w:t>一、部门职责及机构设置情况</w:t>
      </w:r>
      <w:r>
        <w:tab/>
      </w:r>
      <w:r>
        <w:fldChar w:fldCharType="begin"/>
      </w:r>
      <w:r>
        <w:instrText xml:space="preserve"> PAGEREF _Toc29343 </w:instrText>
      </w:r>
      <w:r>
        <w:fldChar w:fldCharType="separate"/>
      </w:r>
      <w:r>
        <w:t>16</w:t>
      </w:r>
      <w:r>
        <w:fldChar w:fldCharType="end"/>
      </w:r>
      <w:r>
        <w:fldChar w:fldCharType="end"/>
      </w:r>
    </w:p>
    <w:p>
      <w:pPr>
        <w:pStyle w:val="2"/>
        <w:tabs>
          <w:tab w:val="right" w:leader="dot" w:pos="14572"/>
        </w:tabs>
      </w:pPr>
      <w:r>
        <w:fldChar w:fldCharType="begin"/>
      </w:r>
      <w:r>
        <w:instrText xml:space="preserve"> HYPERLINK \l _Toc25388 </w:instrText>
      </w:r>
      <w:r>
        <w:fldChar w:fldCharType="separate"/>
      </w:r>
      <w:r>
        <w:rPr>
          <w:rFonts w:ascii="黑体" w:hAnsi="黑体" w:eastAsia="黑体" w:cs="黑体"/>
        </w:rPr>
        <w:t>二、部门预算安排的总体情况</w:t>
      </w:r>
      <w:r>
        <w:tab/>
      </w:r>
      <w:r>
        <w:fldChar w:fldCharType="begin"/>
      </w:r>
      <w:r>
        <w:instrText xml:space="preserve"> PAGEREF _Toc25388 </w:instrText>
      </w:r>
      <w:r>
        <w:fldChar w:fldCharType="separate"/>
      </w:r>
      <w:r>
        <w:t>16</w:t>
      </w:r>
      <w:r>
        <w:fldChar w:fldCharType="end"/>
      </w:r>
      <w:r>
        <w:fldChar w:fldCharType="end"/>
      </w:r>
    </w:p>
    <w:p>
      <w:pPr>
        <w:pStyle w:val="2"/>
        <w:tabs>
          <w:tab w:val="right" w:leader="dot" w:pos="14572"/>
        </w:tabs>
      </w:pPr>
      <w:r>
        <w:fldChar w:fldCharType="begin"/>
      </w:r>
      <w:r>
        <w:instrText xml:space="preserve"> HYPERLINK \l _Toc8220 </w:instrText>
      </w:r>
      <w:r>
        <w:fldChar w:fldCharType="separate"/>
      </w:r>
      <w:r>
        <w:rPr>
          <w:rFonts w:ascii="黑体" w:hAnsi="黑体" w:eastAsia="黑体" w:cs="黑体"/>
        </w:rPr>
        <w:t>三、机关运行经费安排情况</w:t>
      </w:r>
      <w:r>
        <w:tab/>
      </w:r>
      <w:r>
        <w:fldChar w:fldCharType="begin"/>
      </w:r>
      <w:r>
        <w:instrText xml:space="preserve"> PAGEREF _Toc8220 </w:instrText>
      </w:r>
      <w:r>
        <w:fldChar w:fldCharType="separate"/>
      </w:r>
      <w:r>
        <w:t>17</w:t>
      </w:r>
      <w:r>
        <w:fldChar w:fldCharType="end"/>
      </w:r>
      <w:r>
        <w:fldChar w:fldCharType="end"/>
      </w:r>
    </w:p>
    <w:p>
      <w:pPr>
        <w:pStyle w:val="2"/>
        <w:tabs>
          <w:tab w:val="right" w:leader="dot" w:pos="14572"/>
        </w:tabs>
      </w:pPr>
      <w:r>
        <w:fldChar w:fldCharType="begin"/>
      </w:r>
      <w:r>
        <w:instrText xml:space="preserve"> HYPERLINK \l _Toc30962 </w:instrText>
      </w:r>
      <w:r>
        <w:fldChar w:fldCharType="separate"/>
      </w:r>
      <w:r>
        <w:rPr>
          <w:rFonts w:ascii="黑体" w:hAnsi="黑体" w:eastAsia="黑体" w:cs="黑体"/>
        </w:rPr>
        <w:t>四、财政拨款“三公”经费预算情况及增减变化原因</w:t>
      </w:r>
      <w:r>
        <w:tab/>
      </w:r>
      <w:r>
        <w:fldChar w:fldCharType="begin"/>
      </w:r>
      <w:r>
        <w:instrText xml:space="preserve"> PAGEREF _Toc30962 </w:instrText>
      </w:r>
      <w:r>
        <w:fldChar w:fldCharType="separate"/>
      </w:r>
      <w:r>
        <w:t>17</w:t>
      </w:r>
      <w:r>
        <w:fldChar w:fldCharType="end"/>
      </w:r>
      <w:r>
        <w:fldChar w:fldCharType="end"/>
      </w:r>
    </w:p>
    <w:p>
      <w:pPr>
        <w:pStyle w:val="2"/>
        <w:tabs>
          <w:tab w:val="right" w:leader="dot" w:pos="14572"/>
        </w:tabs>
      </w:pPr>
      <w:r>
        <w:fldChar w:fldCharType="begin"/>
      </w:r>
      <w:r>
        <w:instrText xml:space="preserve"> HYPERLINK \l _Toc19753 </w:instrText>
      </w:r>
      <w:r>
        <w:fldChar w:fldCharType="separate"/>
      </w:r>
      <w:r>
        <w:rPr>
          <w:rFonts w:ascii="黑体" w:hAnsi="黑体" w:eastAsia="黑体" w:cs="黑体"/>
        </w:rPr>
        <w:t>五、部门整体绩效目标</w:t>
      </w:r>
      <w:r>
        <w:tab/>
      </w:r>
      <w:r>
        <w:fldChar w:fldCharType="begin"/>
      </w:r>
      <w:r>
        <w:instrText xml:space="preserve"> PAGEREF _Toc19753 </w:instrText>
      </w:r>
      <w:r>
        <w:fldChar w:fldCharType="separate"/>
      </w:r>
      <w:r>
        <w:t>18</w:t>
      </w:r>
      <w:r>
        <w:fldChar w:fldCharType="end"/>
      </w:r>
      <w:r>
        <w:fldChar w:fldCharType="end"/>
      </w:r>
    </w:p>
    <w:p>
      <w:pPr>
        <w:pStyle w:val="2"/>
        <w:tabs>
          <w:tab w:val="right" w:leader="dot" w:pos="14572"/>
        </w:tabs>
      </w:pPr>
      <w:r>
        <w:fldChar w:fldCharType="begin"/>
      </w:r>
      <w:r>
        <w:instrText xml:space="preserve"> HYPERLINK \l _Toc19274 </w:instrText>
      </w:r>
      <w:r>
        <w:fldChar w:fldCharType="separate"/>
      </w:r>
      <w:r>
        <w:rPr>
          <w:rFonts w:ascii="黑体" w:hAnsi="黑体" w:eastAsia="黑体" w:cs="黑体"/>
        </w:rPr>
        <w:t>六、部门主管专项资金预算安排情况及绩效目标</w:t>
      </w:r>
      <w:r>
        <w:tab/>
      </w:r>
      <w:r>
        <w:fldChar w:fldCharType="begin"/>
      </w:r>
      <w:r>
        <w:instrText xml:space="preserve"> PAGEREF _Toc19274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_Toc23498 </w:instrText>
      </w:r>
      <w:r>
        <w:fldChar w:fldCharType="separate"/>
      </w:r>
      <w:r>
        <w:rPr>
          <w:rFonts w:ascii="黑体" w:hAnsi="黑体" w:eastAsia="黑体" w:cs="黑体"/>
        </w:rPr>
        <w:t>七、部门项目预算安排情况及绩效目标</w:t>
      </w:r>
      <w:r>
        <w:tab/>
      </w:r>
      <w:r>
        <w:fldChar w:fldCharType="begin"/>
      </w:r>
      <w:r>
        <w:instrText xml:space="preserve"> PAGEREF _Toc23498 </w:instrText>
      </w:r>
      <w:r>
        <w:fldChar w:fldCharType="separate"/>
      </w:r>
      <w:r>
        <w:t>22</w:t>
      </w:r>
      <w:r>
        <w:fldChar w:fldCharType="end"/>
      </w:r>
      <w:r>
        <w:fldChar w:fldCharType="end"/>
      </w:r>
    </w:p>
    <w:p>
      <w:pPr>
        <w:pStyle w:val="2"/>
        <w:tabs>
          <w:tab w:val="right" w:leader="dot" w:pos="14572"/>
        </w:tabs>
      </w:pPr>
      <w:r>
        <w:fldChar w:fldCharType="begin"/>
      </w:r>
      <w:r>
        <w:instrText xml:space="preserve"> HYPERLINK \l _Toc22550 </w:instrText>
      </w:r>
      <w:r>
        <w:fldChar w:fldCharType="separate"/>
      </w:r>
      <w:r>
        <w:rPr>
          <w:rFonts w:ascii="黑体" w:hAnsi="黑体" w:eastAsia="黑体" w:cs="黑体"/>
        </w:rPr>
        <w:t>八、政府采购预算情况</w:t>
      </w:r>
      <w:r>
        <w:tab/>
      </w:r>
      <w:r>
        <w:fldChar w:fldCharType="begin"/>
      </w:r>
      <w:r>
        <w:instrText xml:space="preserve"> PAGEREF _Toc22550 </w:instrText>
      </w:r>
      <w:r>
        <w:fldChar w:fldCharType="separate"/>
      </w:r>
      <w:r>
        <w:t>24</w:t>
      </w:r>
      <w:r>
        <w:fldChar w:fldCharType="end"/>
      </w:r>
      <w:r>
        <w:fldChar w:fldCharType="end"/>
      </w:r>
    </w:p>
    <w:p>
      <w:pPr>
        <w:pStyle w:val="2"/>
        <w:tabs>
          <w:tab w:val="right" w:leader="dot" w:pos="14572"/>
        </w:tabs>
      </w:pPr>
      <w:r>
        <w:fldChar w:fldCharType="begin"/>
      </w:r>
      <w:r>
        <w:instrText xml:space="preserve"> HYPERLINK \l _Toc11897 </w:instrText>
      </w:r>
      <w:r>
        <w:fldChar w:fldCharType="separate"/>
      </w:r>
      <w:r>
        <w:rPr>
          <w:rFonts w:ascii="黑体" w:hAnsi="黑体" w:eastAsia="黑体" w:cs="黑体"/>
        </w:rPr>
        <w:t>九、国有资产信息</w:t>
      </w:r>
      <w:r>
        <w:tab/>
      </w:r>
      <w:r>
        <w:fldChar w:fldCharType="begin"/>
      </w:r>
      <w:r>
        <w:instrText xml:space="preserve"> PAGEREF _Toc11897 </w:instrText>
      </w:r>
      <w:r>
        <w:fldChar w:fldCharType="separate"/>
      </w:r>
      <w:r>
        <w:t>24</w:t>
      </w:r>
      <w:r>
        <w:fldChar w:fldCharType="end"/>
      </w:r>
      <w:r>
        <w:fldChar w:fldCharType="end"/>
      </w:r>
    </w:p>
    <w:p>
      <w:pPr>
        <w:pStyle w:val="2"/>
        <w:tabs>
          <w:tab w:val="right" w:leader="dot" w:pos="14572"/>
        </w:tabs>
      </w:pPr>
      <w:r>
        <w:fldChar w:fldCharType="begin"/>
      </w:r>
      <w:r>
        <w:instrText xml:space="preserve"> HYPERLINK \l _Toc2922 </w:instrText>
      </w:r>
      <w:r>
        <w:fldChar w:fldCharType="separate"/>
      </w:r>
      <w:r>
        <w:rPr>
          <w:rFonts w:ascii="黑体" w:hAnsi="黑体" w:eastAsia="黑体" w:cs="黑体"/>
        </w:rPr>
        <w:t>十、名词解释</w:t>
      </w:r>
      <w:r>
        <w:tab/>
      </w:r>
      <w:r>
        <w:fldChar w:fldCharType="begin"/>
      </w:r>
      <w:r>
        <w:instrText xml:space="preserve"> PAGEREF _Toc2922 </w:instrText>
      </w:r>
      <w:r>
        <w:fldChar w:fldCharType="separate"/>
      </w:r>
      <w:r>
        <w:t>25</w:t>
      </w:r>
      <w:r>
        <w:fldChar w:fldCharType="end"/>
      </w:r>
      <w:r>
        <w:fldChar w:fldCharType="end"/>
      </w:r>
    </w:p>
    <w:p>
      <w:pPr>
        <w:pStyle w:val="2"/>
        <w:tabs>
          <w:tab w:val="right" w:leader="dot" w:pos="14572"/>
        </w:tabs>
      </w:pPr>
      <w:r>
        <w:fldChar w:fldCharType="begin"/>
      </w:r>
      <w:r>
        <w:instrText xml:space="preserve"> HYPERLINK \l _Toc20093 </w:instrText>
      </w:r>
      <w:r>
        <w:fldChar w:fldCharType="separate"/>
      </w:r>
      <w:r>
        <w:rPr>
          <w:rFonts w:ascii="黑体" w:hAnsi="黑体" w:eastAsia="黑体" w:cs="黑体"/>
        </w:rPr>
        <w:t>十一、其他需要说明的事项</w:t>
      </w:r>
      <w:r>
        <w:tab/>
      </w:r>
      <w:r>
        <w:fldChar w:fldCharType="begin"/>
      </w:r>
      <w:r>
        <w:instrText xml:space="preserve"> PAGEREF _Toc20093 </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18689"/>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233.30</w:t>
            </w:r>
          </w:p>
        </w:tc>
        <w:tc>
          <w:tcPr>
            <w:tcW w:w="4535" w:type="dxa"/>
            <w:vAlign w:val="center"/>
          </w:tcPr>
          <w:p>
            <w:pPr>
              <w:pStyle w:val="13"/>
            </w:pPr>
            <w:r>
              <w:t>一、一般公共服务支出</w:t>
            </w:r>
          </w:p>
        </w:tc>
        <w:tc>
          <w:tcPr>
            <w:tcW w:w="2126" w:type="dxa"/>
            <w:vAlign w:val="center"/>
          </w:tcPr>
          <w:p>
            <w:pPr>
              <w:pStyle w:val="12"/>
            </w:pPr>
            <w:r>
              <w:t>191.48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233.30</w:t>
            </w:r>
          </w:p>
        </w:tc>
        <w:tc>
          <w:tcPr>
            <w:tcW w:w="4535" w:type="dxa"/>
            <w:vAlign w:val="center"/>
          </w:tcPr>
          <w:p>
            <w:pPr>
              <w:pStyle w:val="15"/>
            </w:pPr>
            <w:r>
              <w:t>本年支出合计</w:t>
            </w:r>
          </w:p>
        </w:tc>
        <w:tc>
          <w:tcPr>
            <w:tcW w:w="2126" w:type="dxa"/>
            <w:vAlign w:val="center"/>
          </w:tcPr>
          <w:p>
            <w:pPr>
              <w:pStyle w:val="16"/>
            </w:pPr>
            <w:r>
              <w:t>233.30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233.30</w:t>
            </w:r>
          </w:p>
        </w:tc>
        <w:tc>
          <w:tcPr>
            <w:tcW w:w="4535" w:type="dxa"/>
            <w:vAlign w:val="center"/>
          </w:tcPr>
          <w:p>
            <w:pPr>
              <w:pStyle w:val="15"/>
            </w:pPr>
            <w:r>
              <w:t>支出总计</w:t>
            </w:r>
          </w:p>
        </w:tc>
        <w:tc>
          <w:tcPr>
            <w:tcW w:w="2126" w:type="dxa"/>
            <w:vAlign w:val="center"/>
          </w:tcPr>
          <w:p>
            <w:pPr>
              <w:pStyle w:val="16"/>
            </w:pPr>
            <w:r>
              <w:t>233.30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23015"/>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233.30</w:t>
            </w:r>
          </w:p>
        </w:tc>
        <w:tc>
          <w:tcPr>
            <w:tcW w:w="1134" w:type="dxa"/>
            <w:vAlign w:val="center"/>
          </w:tcPr>
          <w:p>
            <w:pPr>
              <w:pStyle w:val="16"/>
            </w:pPr>
            <w:r>
              <w:t>233.30</w:t>
            </w:r>
          </w:p>
        </w:tc>
        <w:tc>
          <w:tcPr>
            <w:tcW w:w="1134" w:type="dxa"/>
            <w:vAlign w:val="center"/>
          </w:tcPr>
          <w:p>
            <w:pPr>
              <w:pStyle w:val="16"/>
            </w:pPr>
            <w:r>
              <w:t>233.30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191.48</w:t>
            </w:r>
          </w:p>
        </w:tc>
        <w:tc>
          <w:tcPr>
            <w:tcW w:w="1134" w:type="dxa"/>
            <w:vAlign w:val="center"/>
          </w:tcPr>
          <w:p>
            <w:pPr>
              <w:pStyle w:val="12"/>
            </w:pPr>
            <w:r>
              <w:t>191.48</w:t>
            </w:r>
          </w:p>
        </w:tc>
        <w:tc>
          <w:tcPr>
            <w:tcW w:w="1134" w:type="dxa"/>
            <w:vAlign w:val="center"/>
          </w:tcPr>
          <w:p>
            <w:pPr>
              <w:pStyle w:val="12"/>
            </w:pPr>
            <w:r>
              <w:t>191.48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191.48</w:t>
            </w:r>
          </w:p>
        </w:tc>
        <w:tc>
          <w:tcPr>
            <w:tcW w:w="1134" w:type="dxa"/>
            <w:vAlign w:val="center"/>
          </w:tcPr>
          <w:p>
            <w:pPr>
              <w:pStyle w:val="12"/>
            </w:pPr>
            <w:r>
              <w:t>191.48</w:t>
            </w:r>
          </w:p>
        </w:tc>
        <w:tc>
          <w:tcPr>
            <w:tcW w:w="1134" w:type="dxa"/>
            <w:vAlign w:val="center"/>
          </w:tcPr>
          <w:p>
            <w:pPr>
              <w:pStyle w:val="12"/>
            </w:pPr>
            <w:r>
              <w:t>191.48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2013901</w:t>
            </w:r>
          </w:p>
        </w:tc>
        <w:tc>
          <w:tcPr>
            <w:tcW w:w="1559" w:type="dxa"/>
            <w:vAlign w:val="center"/>
          </w:tcPr>
          <w:p>
            <w:pPr>
              <w:pStyle w:val="13"/>
            </w:pPr>
            <w:r>
              <w:t>行政运行</w:t>
            </w:r>
          </w:p>
        </w:tc>
        <w:tc>
          <w:tcPr>
            <w:tcW w:w="1134" w:type="dxa"/>
            <w:vAlign w:val="center"/>
          </w:tcPr>
          <w:p>
            <w:pPr>
              <w:pStyle w:val="12"/>
            </w:pPr>
            <w:r>
              <w:t>123.48</w:t>
            </w:r>
          </w:p>
        </w:tc>
        <w:tc>
          <w:tcPr>
            <w:tcW w:w="1134" w:type="dxa"/>
            <w:vAlign w:val="center"/>
          </w:tcPr>
          <w:p>
            <w:pPr>
              <w:pStyle w:val="12"/>
            </w:pPr>
            <w:r>
              <w:t>123.48</w:t>
            </w:r>
          </w:p>
        </w:tc>
        <w:tc>
          <w:tcPr>
            <w:tcW w:w="1134" w:type="dxa"/>
            <w:vAlign w:val="center"/>
          </w:tcPr>
          <w:p>
            <w:pPr>
              <w:pStyle w:val="12"/>
            </w:pPr>
            <w:r>
              <w:t>123.48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2013902</w:t>
            </w:r>
          </w:p>
        </w:tc>
        <w:tc>
          <w:tcPr>
            <w:tcW w:w="1559" w:type="dxa"/>
            <w:vAlign w:val="center"/>
          </w:tcPr>
          <w:p>
            <w:pPr>
              <w:pStyle w:val="13"/>
            </w:pPr>
            <w:r>
              <w:t>一般行政管理事务</w:t>
            </w:r>
          </w:p>
        </w:tc>
        <w:tc>
          <w:tcPr>
            <w:tcW w:w="1134" w:type="dxa"/>
            <w:vAlign w:val="center"/>
          </w:tcPr>
          <w:p>
            <w:pPr>
              <w:pStyle w:val="12"/>
            </w:pPr>
            <w:r>
              <w:t>68.00</w:t>
            </w:r>
          </w:p>
        </w:tc>
        <w:tc>
          <w:tcPr>
            <w:tcW w:w="1134" w:type="dxa"/>
            <w:vAlign w:val="center"/>
          </w:tcPr>
          <w:p>
            <w:pPr>
              <w:pStyle w:val="12"/>
            </w:pPr>
            <w:r>
              <w:t>68.00</w:t>
            </w:r>
          </w:p>
        </w:tc>
        <w:tc>
          <w:tcPr>
            <w:tcW w:w="1134" w:type="dxa"/>
            <w:vAlign w:val="center"/>
          </w:tcPr>
          <w:p>
            <w:pPr>
              <w:pStyle w:val="12"/>
            </w:pPr>
            <w:r>
              <w:t>68.00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15.64</w:t>
            </w:r>
          </w:p>
        </w:tc>
        <w:tc>
          <w:tcPr>
            <w:tcW w:w="1134" w:type="dxa"/>
            <w:vAlign w:val="center"/>
          </w:tcPr>
          <w:p>
            <w:pPr>
              <w:pStyle w:val="12"/>
            </w:pPr>
            <w:r>
              <w:t>15.64</w:t>
            </w:r>
          </w:p>
        </w:tc>
        <w:tc>
          <w:tcPr>
            <w:tcW w:w="1134" w:type="dxa"/>
            <w:vAlign w:val="center"/>
          </w:tcPr>
          <w:p>
            <w:pPr>
              <w:pStyle w:val="12"/>
            </w:pPr>
            <w:r>
              <w:t>15.64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15.64</w:t>
            </w:r>
          </w:p>
        </w:tc>
        <w:tc>
          <w:tcPr>
            <w:tcW w:w="1134" w:type="dxa"/>
            <w:vAlign w:val="center"/>
          </w:tcPr>
          <w:p>
            <w:pPr>
              <w:pStyle w:val="12"/>
            </w:pPr>
            <w:r>
              <w:t>15.64</w:t>
            </w:r>
          </w:p>
        </w:tc>
        <w:tc>
          <w:tcPr>
            <w:tcW w:w="1134" w:type="dxa"/>
            <w:vAlign w:val="center"/>
          </w:tcPr>
          <w:p>
            <w:pPr>
              <w:pStyle w:val="12"/>
            </w:pPr>
            <w:r>
              <w:t>15.64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15.64</w:t>
            </w:r>
          </w:p>
        </w:tc>
        <w:tc>
          <w:tcPr>
            <w:tcW w:w="1134" w:type="dxa"/>
            <w:vAlign w:val="center"/>
          </w:tcPr>
          <w:p>
            <w:pPr>
              <w:pStyle w:val="12"/>
            </w:pPr>
            <w:r>
              <w:t>15.64</w:t>
            </w:r>
          </w:p>
        </w:tc>
        <w:tc>
          <w:tcPr>
            <w:tcW w:w="1134" w:type="dxa"/>
            <w:vAlign w:val="center"/>
          </w:tcPr>
          <w:p>
            <w:pPr>
              <w:pStyle w:val="12"/>
            </w:pPr>
            <w:r>
              <w:t>15.64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13.68</w:t>
            </w:r>
          </w:p>
        </w:tc>
        <w:tc>
          <w:tcPr>
            <w:tcW w:w="1134" w:type="dxa"/>
            <w:vAlign w:val="center"/>
          </w:tcPr>
          <w:p>
            <w:pPr>
              <w:pStyle w:val="12"/>
            </w:pPr>
            <w:r>
              <w:t>13.68</w:t>
            </w:r>
          </w:p>
        </w:tc>
        <w:tc>
          <w:tcPr>
            <w:tcW w:w="1134" w:type="dxa"/>
            <w:vAlign w:val="center"/>
          </w:tcPr>
          <w:p>
            <w:pPr>
              <w:pStyle w:val="12"/>
            </w:pPr>
            <w:r>
              <w:t>13.68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13.68</w:t>
            </w:r>
          </w:p>
        </w:tc>
        <w:tc>
          <w:tcPr>
            <w:tcW w:w="1134" w:type="dxa"/>
            <w:vAlign w:val="center"/>
          </w:tcPr>
          <w:p>
            <w:pPr>
              <w:pStyle w:val="12"/>
            </w:pPr>
            <w:r>
              <w:t>13.68</w:t>
            </w:r>
          </w:p>
        </w:tc>
        <w:tc>
          <w:tcPr>
            <w:tcW w:w="1134" w:type="dxa"/>
            <w:vAlign w:val="center"/>
          </w:tcPr>
          <w:p>
            <w:pPr>
              <w:pStyle w:val="12"/>
            </w:pPr>
            <w:r>
              <w:t>13.68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7.17</w:t>
            </w:r>
          </w:p>
        </w:tc>
        <w:tc>
          <w:tcPr>
            <w:tcW w:w="1134" w:type="dxa"/>
            <w:vAlign w:val="center"/>
          </w:tcPr>
          <w:p>
            <w:pPr>
              <w:pStyle w:val="12"/>
            </w:pPr>
            <w:r>
              <w:t>7.17</w:t>
            </w:r>
          </w:p>
        </w:tc>
        <w:tc>
          <w:tcPr>
            <w:tcW w:w="1134" w:type="dxa"/>
            <w:vAlign w:val="center"/>
          </w:tcPr>
          <w:p>
            <w:pPr>
              <w:pStyle w:val="12"/>
            </w:pPr>
            <w:r>
              <w:t>7.17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718"/>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233.30</w:t>
            </w:r>
          </w:p>
        </w:tc>
        <w:tc>
          <w:tcPr>
            <w:tcW w:w="1361" w:type="dxa"/>
            <w:vAlign w:val="center"/>
          </w:tcPr>
          <w:p>
            <w:pPr>
              <w:pStyle w:val="16"/>
            </w:pPr>
            <w:r>
              <w:t>165.30</w:t>
            </w:r>
          </w:p>
        </w:tc>
        <w:tc>
          <w:tcPr>
            <w:tcW w:w="1361" w:type="dxa"/>
            <w:vAlign w:val="center"/>
          </w:tcPr>
          <w:p>
            <w:pPr>
              <w:pStyle w:val="16"/>
            </w:pPr>
            <w:r>
              <w:t>68.00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191.48</w:t>
            </w:r>
          </w:p>
        </w:tc>
        <w:tc>
          <w:tcPr>
            <w:tcW w:w="1361" w:type="dxa"/>
            <w:vAlign w:val="center"/>
          </w:tcPr>
          <w:p>
            <w:pPr>
              <w:pStyle w:val="12"/>
            </w:pPr>
            <w:r>
              <w:t>123.48</w:t>
            </w:r>
          </w:p>
        </w:tc>
        <w:tc>
          <w:tcPr>
            <w:tcW w:w="1361" w:type="dxa"/>
            <w:vAlign w:val="center"/>
          </w:tcPr>
          <w:p>
            <w:pPr>
              <w:pStyle w:val="12"/>
            </w:pPr>
            <w:r>
              <w:t>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191.48</w:t>
            </w:r>
          </w:p>
        </w:tc>
        <w:tc>
          <w:tcPr>
            <w:tcW w:w="1361" w:type="dxa"/>
            <w:vAlign w:val="center"/>
          </w:tcPr>
          <w:p>
            <w:pPr>
              <w:pStyle w:val="12"/>
            </w:pPr>
            <w:r>
              <w:t>123.48</w:t>
            </w:r>
          </w:p>
        </w:tc>
        <w:tc>
          <w:tcPr>
            <w:tcW w:w="1361" w:type="dxa"/>
            <w:vAlign w:val="center"/>
          </w:tcPr>
          <w:p>
            <w:pPr>
              <w:pStyle w:val="12"/>
            </w:pPr>
            <w:r>
              <w:t>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2013901</w:t>
            </w:r>
          </w:p>
        </w:tc>
        <w:tc>
          <w:tcPr>
            <w:tcW w:w="4535" w:type="dxa"/>
            <w:vAlign w:val="center"/>
          </w:tcPr>
          <w:p>
            <w:pPr>
              <w:pStyle w:val="13"/>
            </w:pPr>
            <w:r>
              <w:t>行政运行</w:t>
            </w:r>
          </w:p>
        </w:tc>
        <w:tc>
          <w:tcPr>
            <w:tcW w:w="1361" w:type="dxa"/>
            <w:vAlign w:val="center"/>
          </w:tcPr>
          <w:p>
            <w:pPr>
              <w:pStyle w:val="12"/>
            </w:pPr>
            <w:r>
              <w:t>123.48</w:t>
            </w:r>
          </w:p>
        </w:tc>
        <w:tc>
          <w:tcPr>
            <w:tcW w:w="1361" w:type="dxa"/>
            <w:vAlign w:val="center"/>
          </w:tcPr>
          <w:p>
            <w:pPr>
              <w:pStyle w:val="12"/>
            </w:pPr>
            <w:r>
              <w:t>123.48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2013902</w:t>
            </w:r>
          </w:p>
        </w:tc>
        <w:tc>
          <w:tcPr>
            <w:tcW w:w="4535" w:type="dxa"/>
            <w:vAlign w:val="center"/>
          </w:tcPr>
          <w:p>
            <w:pPr>
              <w:pStyle w:val="13"/>
            </w:pPr>
            <w:r>
              <w:t>一般行政管理事务</w:t>
            </w:r>
          </w:p>
        </w:tc>
        <w:tc>
          <w:tcPr>
            <w:tcW w:w="1361" w:type="dxa"/>
            <w:vAlign w:val="center"/>
          </w:tcPr>
          <w:p>
            <w:pPr>
              <w:pStyle w:val="12"/>
            </w:pPr>
            <w:r>
              <w:t>68.00</w:t>
            </w:r>
          </w:p>
        </w:tc>
        <w:tc>
          <w:tcPr>
            <w:tcW w:w="1361" w:type="dxa"/>
            <w:vAlign w:val="center"/>
          </w:tcPr>
          <w:p>
            <w:pPr>
              <w:pStyle w:val="12"/>
            </w:pPr>
          </w:p>
        </w:tc>
        <w:tc>
          <w:tcPr>
            <w:tcW w:w="1361" w:type="dxa"/>
            <w:vAlign w:val="center"/>
          </w:tcPr>
          <w:p>
            <w:pPr>
              <w:pStyle w:val="12"/>
            </w:pPr>
            <w:r>
              <w:t>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15.64</w:t>
            </w:r>
          </w:p>
        </w:tc>
        <w:tc>
          <w:tcPr>
            <w:tcW w:w="1361" w:type="dxa"/>
            <w:vAlign w:val="center"/>
          </w:tcPr>
          <w:p>
            <w:pPr>
              <w:pStyle w:val="12"/>
            </w:pPr>
            <w:r>
              <w:t>15.64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15.64</w:t>
            </w:r>
          </w:p>
        </w:tc>
        <w:tc>
          <w:tcPr>
            <w:tcW w:w="1361" w:type="dxa"/>
            <w:vAlign w:val="center"/>
          </w:tcPr>
          <w:p>
            <w:pPr>
              <w:pStyle w:val="12"/>
            </w:pPr>
            <w:r>
              <w:t>15.64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15.64</w:t>
            </w:r>
          </w:p>
        </w:tc>
        <w:tc>
          <w:tcPr>
            <w:tcW w:w="1361" w:type="dxa"/>
            <w:vAlign w:val="center"/>
          </w:tcPr>
          <w:p>
            <w:pPr>
              <w:pStyle w:val="12"/>
            </w:pPr>
            <w:r>
              <w:t>15.64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13.68</w:t>
            </w:r>
          </w:p>
        </w:tc>
        <w:tc>
          <w:tcPr>
            <w:tcW w:w="1361" w:type="dxa"/>
            <w:vAlign w:val="center"/>
          </w:tcPr>
          <w:p>
            <w:pPr>
              <w:pStyle w:val="12"/>
            </w:pPr>
            <w:r>
              <w:t>13.68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13.68</w:t>
            </w:r>
          </w:p>
        </w:tc>
        <w:tc>
          <w:tcPr>
            <w:tcW w:w="1361" w:type="dxa"/>
            <w:vAlign w:val="center"/>
          </w:tcPr>
          <w:p>
            <w:pPr>
              <w:pStyle w:val="12"/>
            </w:pPr>
            <w:r>
              <w:t>13.68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6.51</w:t>
            </w:r>
          </w:p>
        </w:tc>
        <w:tc>
          <w:tcPr>
            <w:tcW w:w="1361" w:type="dxa"/>
            <w:vAlign w:val="center"/>
          </w:tcPr>
          <w:p>
            <w:pPr>
              <w:pStyle w:val="12"/>
            </w:pPr>
            <w:r>
              <w:t>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7.17</w:t>
            </w:r>
          </w:p>
        </w:tc>
        <w:tc>
          <w:tcPr>
            <w:tcW w:w="1361" w:type="dxa"/>
            <w:vAlign w:val="center"/>
          </w:tcPr>
          <w:p>
            <w:pPr>
              <w:pStyle w:val="12"/>
            </w:pPr>
            <w:r>
              <w:t>7.17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12.50</w:t>
            </w: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12.50</w:t>
            </w: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12.50</w:t>
            </w: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7809"/>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233.30</w:t>
            </w:r>
          </w:p>
        </w:tc>
        <w:tc>
          <w:tcPr>
            <w:tcW w:w="3402" w:type="dxa"/>
            <w:vAlign w:val="center"/>
          </w:tcPr>
          <w:p>
            <w:pPr>
              <w:pStyle w:val="13"/>
            </w:pPr>
            <w:r>
              <w:t>一、一般公共服务支出</w:t>
            </w:r>
          </w:p>
        </w:tc>
        <w:tc>
          <w:tcPr>
            <w:tcW w:w="1474" w:type="dxa"/>
            <w:vAlign w:val="center"/>
          </w:tcPr>
          <w:p>
            <w:pPr>
              <w:pStyle w:val="12"/>
            </w:pPr>
            <w:r>
              <w:t>191.48</w:t>
            </w:r>
          </w:p>
        </w:tc>
        <w:tc>
          <w:tcPr>
            <w:tcW w:w="1474" w:type="dxa"/>
            <w:vAlign w:val="center"/>
          </w:tcPr>
          <w:p>
            <w:pPr>
              <w:pStyle w:val="12"/>
            </w:pPr>
            <w:r>
              <w:t>191.48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15.64</w:t>
            </w:r>
          </w:p>
        </w:tc>
        <w:tc>
          <w:tcPr>
            <w:tcW w:w="1474" w:type="dxa"/>
            <w:vAlign w:val="center"/>
          </w:tcPr>
          <w:p>
            <w:pPr>
              <w:pStyle w:val="12"/>
            </w:pPr>
            <w:r>
              <w:t>15.64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13.68</w:t>
            </w:r>
          </w:p>
        </w:tc>
        <w:tc>
          <w:tcPr>
            <w:tcW w:w="1474" w:type="dxa"/>
            <w:vAlign w:val="center"/>
          </w:tcPr>
          <w:p>
            <w:pPr>
              <w:pStyle w:val="12"/>
            </w:pPr>
            <w:r>
              <w:t>13.68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12.50</w:t>
            </w:r>
          </w:p>
        </w:tc>
        <w:tc>
          <w:tcPr>
            <w:tcW w:w="1474" w:type="dxa"/>
            <w:vAlign w:val="center"/>
          </w:tcPr>
          <w:p>
            <w:pPr>
              <w:pStyle w:val="12"/>
            </w:pPr>
            <w:r>
              <w:t>12.50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233.30</w:t>
            </w:r>
          </w:p>
        </w:tc>
        <w:tc>
          <w:tcPr>
            <w:tcW w:w="3402" w:type="dxa"/>
            <w:vAlign w:val="center"/>
          </w:tcPr>
          <w:p>
            <w:pPr>
              <w:pStyle w:val="15"/>
            </w:pPr>
            <w:r>
              <w:t>本年支出合计</w:t>
            </w:r>
          </w:p>
        </w:tc>
        <w:tc>
          <w:tcPr>
            <w:tcW w:w="1474" w:type="dxa"/>
            <w:vAlign w:val="center"/>
          </w:tcPr>
          <w:p>
            <w:pPr>
              <w:pStyle w:val="16"/>
            </w:pPr>
            <w:r>
              <w:t>233.30</w:t>
            </w:r>
          </w:p>
        </w:tc>
        <w:tc>
          <w:tcPr>
            <w:tcW w:w="1474" w:type="dxa"/>
            <w:vAlign w:val="center"/>
          </w:tcPr>
          <w:p>
            <w:pPr>
              <w:pStyle w:val="16"/>
            </w:pPr>
            <w:r>
              <w:t>233.30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233.30</w:t>
            </w:r>
          </w:p>
        </w:tc>
        <w:tc>
          <w:tcPr>
            <w:tcW w:w="3402" w:type="dxa"/>
            <w:vAlign w:val="center"/>
          </w:tcPr>
          <w:p>
            <w:pPr>
              <w:pStyle w:val="15"/>
            </w:pPr>
            <w:r>
              <w:t>支出总计</w:t>
            </w:r>
          </w:p>
        </w:tc>
        <w:tc>
          <w:tcPr>
            <w:tcW w:w="1474" w:type="dxa"/>
            <w:vAlign w:val="center"/>
          </w:tcPr>
          <w:p>
            <w:pPr>
              <w:pStyle w:val="16"/>
            </w:pPr>
            <w:r>
              <w:t>233.30</w:t>
            </w:r>
          </w:p>
        </w:tc>
        <w:tc>
          <w:tcPr>
            <w:tcW w:w="1474" w:type="dxa"/>
            <w:vAlign w:val="center"/>
          </w:tcPr>
          <w:p>
            <w:pPr>
              <w:pStyle w:val="16"/>
            </w:pPr>
            <w:r>
              <w:t>233.30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19620"/>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233.30</w:t>
            </w:r>
          </w:p>
        </w:tc>
        <w:tc>
          <w:tcPr>
            <w:tcW w:w="2551" w:type="dxa"/>
            <w:vAlign w:val="center"/>
          </w:tcPr>
          <w:p>
            <w:pPr>
              <w:pStyle w:val="16"/>
            </w:pPr>
            <w:r>
              <w:t>165.30</w:t>
            </w:r>
          </w:p>
        </w:tc>
        <w:tc>
          <w:tcPr>
            <w:tcW w:w="2551" w:type="dxa"/>
            <w:vAlign w:val="center"/>
          </w:tcPr>
          <w:p>
            <w:pPr>
              <w:pStyle w:val="16"/>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191.48</w:t>
            </w:r>
          </w:p>
        </w:tc>
        <w:tc>
          <w:tcPr>
            <w:tcW w:w="2551" w:type="dxa"/>
            <w:vAlign w:val="center"/>
          </w:tcPr>
          <w:p>
            <w:pPr>
              <w:pStyle w:val="12"/>
            </w:pPr>
            <w:r>
              <w:t>123.48</w:t>
            </w:r>
          </w:p>
        </w:tc>
        <w:tc>
          <w:tcPr>
            <w:tcW w:w="2551" w:type="dxa"/>
            <w:vAlign w:val="center"/>
          </w:tcPr>
          <w:p>
            <w:pPr>
              <w:pStyle w:val="12"/>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191.48</w:t>
            </w:r>
          </w:p>
        </w:tc>
        <w:tc>
          <w:tcPr>
            <w:tcW w:w="2551" w:type="dxa"/>
            <w:vAlign w:val="center"/>
          </w:tcPr>
          <w:p>
            <w:pPr>
              <w:pStyle w:val="12"/>
            </w:pPr>
            <w:r>
              <w:t>123.48</w:t>
            </w:r>
          </w:p>
        </w:tc>
        <w:tc>
          <w:tcPr>
            <w:tcW w:w="2551" w:type="dxa"/>
            <w:vAlign w:val="center"/>
          </w:tcPr>
          <w:p>
            <w:pPr>
              <w:pStyle w:val="12"/>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2013901</w:t>
            </w:r>
          </w:p>
        </w:tc>
        <w:tc>
          <w:tcPr>
            <w:tcW w:w="4535" w:type="dxa"/>
            <w:vAlign w:val="center"/>
          </w:tcPr>
          <w:p>
            <w:pPr>
              <w:pStyle w:val="13"/>
            </w:pPr>
            <w:r>
              <w:t>行政运行</w:t>
            </w:r>
          </w:p>
        </w:tc>
        <w:tc>
          <w:tcPr>
            <w:tcW w:w="2551" w:type="dxa"/>
            <w:vAlign w:val="center"/>
          </w:tcPr>
          <w:p>
            <w:pPr>
              <w:pStyle w:val="12"/>
            </w:pPr>
            <w:r>
              <w:t>123.48</w:t>
            </w:r>
          </w:p>
        </w:tc>
        <w:tc>
          <w:tcPr>
            <w:tcW w:w="2551" w:type="dxa"/>
            <w:vAlign w:val="center"/>
          </w:tcPr>
          <w:p>
            <w:pPr>
              <w:pStyle w:val="12"/>
            </w:pPr>
            <w:r>
              <w:t>123.48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2013902</w:t>
            </w:r>
          </w:p>
        </w:tc>
        <w:tc>
          <w:tcPr>
            <w:tcW w:w="4535" w:type="dxa"/>
            <w:vAlign w:val="center"/>
          </w:tcPr>
          <w:p>
            <w:pPr>
              <w:pStyle w:val="13"/>
            </w:pPr>
            <w:r>
              <w:t>一般行政管理事务</w:t>
            </w:r>
          </w:p>
        </w:tc>
        <w:tc>
          <w:tcPr>
            <w:tcW w:w="2551" w:type="dxa"/>
            <w:vAlign w:val="center"/>
          </w:tcPr>
          <w:p>
            <w:pPr>
              <w:pStyle w:val="12"/>
            </w:pPr>
            <w:r>
              <w:t>68.00</w:t>
            </w:r>
          </w:p>
        </w:tc>
        <w:tc>
          <w:tcPr>
            <w:tcW w:w="2551" w:type="dxa"/>
            <w:vAlign w:val="center"/>
          </w:tcPr>
          <w:p>
            <w:pPr>
              <w:pStyle w:val="12"/>
            </w:pPr>
          </w:p>
        </w:tc>
        <w:tc>
          <w:tcPr>
            <w:tcW w:w="2551" w:type="dxa"/>
            <w:vAlign w:val="center"/>
          </w:tcPr>
          <w:p>
            <w:pPr>
              <w:pStyle w:val="12"/>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15.64</w:t>
            </w:r>
          </w:p>
        </w:tc>
        <w:tc>
          <w:tcPr>
            <w:tcW w:w="2551" w:type="dxa"/>
            <w:vAlign w:val="center"/>
          </w:tcPr>
          <w:p>
            <w:pPr>
              <w:pStyle w:val="12"/>
            </w:pPr>
            <w:r>
              <w:t>15.64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15.64</w:t>
            </w:r>
          </w:p>
        </w:tc>
        <w:tc>
          <w:tcPr>
            <w:tcW w:w="2551" w:type="dxa"/>
            <w:vAlign w:val="center"/>
          </w:tcPr>
          <w:p>
            <w:pPr>
              <w:pStyle w:val="12"/>
            </w:pPr>
            <w:r>
              <w:t>15.64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15.64</w:t>
            </w:r>
          </w:p>
        </w:tc>
        <w:tc>
          <w:tcPr>
            <w:tcW w:w="2551" w:type="dxa"/>
            <w:vAlign w:val="center"/>
          </w:tcPr>
          <w:p>
            <w:pPr>
              <w:pStyle w:val="12"/>
            </w:pPr>
            <w:r>
              <w:t>15.64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13.68</w:t>
            </w:r>
          </w:p>
        </w:tc>
        <w:tc>
          <w:tcPr>
            <w:tcW w:w="2551" w:type="dxa"/>
            <w:vAlign w:val="center"/>
          </w:tcPr>
          <w:p>
            <w:pPr>
              <w:pStyle w:val="12"/>
            </w:pPr>
            <w:r>
              <w:t>13.68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13.68</w:t>
            </w:r>
          </w:p>
        </w:tc>
        <w:tc>
          <w:tcPr>
            <w:tcW w:w="2551" w:type="dxa"/>
            <w:vAlign w:val="center"/>
          </w:tcPr>
          <w:p>
            <w:pPr>
              <w:pStyle w:val="12"/>
            </w:pPr>
            <w:r>
              <w:t>13.68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7.17</w:t>
            </w:r>
          </w:p>
        </w:tc>
        <w:tc>
          <w:tcPr>
            <w:tcW w:w="2551" w:type="dxa"/>
            <w:vAlign w:val="center"/>
          </w:tcPr>
          <w:p>
            <w:pPr>
              <w:pStyle w:val="12"/>
            </w:pPr>
            <w:r>
              <w:t>7.17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12.50</w:t>
            </w:r>
          </w:p>
        </w:tc>
        <w:tc>
          <w:tcPr>
            <w:tcW w:w="2551" w:type="dxa"/>
            <w:vAlign w:val="center"/>
          </w:tcPr>
          <w:p>
            <w:pPr>
              <w:pStyle w:val="12"/>
            </w:pPr>
            <w:r>
              <w:t>12.50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12.50</w:t>
            </w:r>
          </w:p>
        </w:tc>
        <w:tc>
          <w:tcPr>
            <w:tcW w:w="2551" w:type="dxa"/>
            <w:vAlign w:val="center"/>
          </w:tcPr>
          <w:p>
            <w:pPr>
              <w:pStyle w:val="12"/>
            </w:pPr>
            <w:r>
              <w:t>12.50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12.50</w:t>
            </w:r>
          </w:p>
        </w:tc>
        <w:tc>
          <w:tcPr>
            <w:tcW w:w="2551" w:type="dxa"/>
            <w:vAlign w:val="center"/>
          </w:tcPr>
          <w:p>
            <w:pPr>
              <w:pStyle w:val="12"/>
            </w:pPr>
            <w:r>
              <w:t>12.50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12597"/>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165.30</w:t>
            </w:r>
          </w:p>
        </w:tc>
        <w:tc>
          <w:tcPr>
            <w:tcW w:w="2551" w:type="dxa"/>
            <w:vAlign w:val="center"/>
          </w:tcPr>
          <w:p>
            <w:pPr>
              <w:pStyle w:val="16"/>
            </w:pPr>
            <w:r>
              <w:t>148.76</w:t>
            </w:r>
          </w:p>
        </w:tc>
        <w:tc>
          <w:tcPr>
            <w:tcW w:w="2551" w:type="dxa"/>
            <w:vAlign w:val="center"/>
          </w:tcPr>
          <w:p>
            <w:pPr>
              <w:pStyle w:val="16"/>
            </w:pPr>
            <w:r>
              <w:t>16.54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148.76</w:t>
            </w:r>
          </w:p>
        </w:tc>
        <w:tc>
          <w:tcPr>
            <w:tcW w:w="2551" w:type="dxa"/>
            <w:vAlign w:val="center"/>
          </w:tcPr>
          <w:p>
            <w:pPr>
              <w:pStyle w:val="12"/>
            </w:pPr>
            <w:r>
              <w:t>148.76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37.26</w:t>
            </w:r>
          </w:p>
        </w:tc>
        <w:tc>
          <w:tcPr>
            <w:tcW w:w="2551" w:type="dxa"/>
            <w:vAlign w:val="center"/>
          </w:tcPr>
          <w:p>
            <w:pPr>
              <w:pStyle w:val="12"/>
            </w:pPr>
            <w:r>
              <w:t>37.26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34.19</w:t>
            </w:r>
          </w:p>
        </w:tc>
        <w:tc>
          <w:tcPr>
            <w:tcW w:w="2551" w:type="dxa"/>
            <w:vAlign w:val="center"/>
          </w:tcPr>
          <w:p>
            <w:pPr>
              <w:pStyle w:val="12"/>
            </w:pPr>
            <w:r>
              <w:t>34.19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15.67</w:t>
            </w:r>
          </w:p>
        </w:tc>
        <w:tc>
          <w:tcPr>
            <w:tcW w:w="2551" w:type="dxa"/>
            <w:vAlign w:val="center"/>
          </w:tcPr>
          <w:p>
            <w:pPr>
              <w:pStyle w:val="12"/>
            </w:pPr>
            <w:r>
              <w:t>15.67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9.86</w:t>
            </w:r>
          </w:p>
        </w:tc>
        <w:tc>
          <w:tcPr>
            <w:tcW w:w="2551" w:type="dxa"/>
            <w:vAlign w:val="center"/>
          </w:tcPr>
          <w:p>
            <w:pPr>
              <w:pStyle w:val="12"/>
            </w:pPr>
            <w:r>
              <w:t>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14.26</w:t>
            </w:r>
          </w:p>
        </w:tc>
        <w:tc>
          <w:tcPr>
            <w:tcW w:w="2551" w:type="dxa"/>
            <w:vAlign w:val="center"/>
          </w:tcPr>
          <w:p>
            <w:pPr>
              <w:pStyle w:val="12"/>
            </w:pPr>
            <w:r>
              <w:t>14.26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5.92</w:t>
            </w:r>
          </w:p>
        </w:tc>
        <w:tc>
          <w:tcPr>
            <w:tcW w:w="2551" w:type="dxa"/>
            <w:vAlign w:val="center"/>
          </w:tcPr>
          <w:p>
            <w:pPr>
              <w:pStyle w:val="12"/>
            </w:pPr>
            <w:r>
              <w:t>5.92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0.49</w:t>
            </w:r>
          </w:p>
        </w:tc>
        <w:tc>
          <w:tcPr>
            <w:tcW w:w="2551" w:type="dxa"/>
            <w:vAlign w:val="center"/>
          </w:tcPr>
          <w:p>
            <w:pPr>
              <w:pStyle w:val="12"/>
            </w:pPr>
            <w:r>
              <w:t>0.49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11.37</w:t>
            </w:r>
          </w:p>
        </w:tc>
        <w:tc>
          <w:tcPr>
            <w:tcW w:w="2551" w:type="dxa"/>
            <w:vAlign w:val="center"/>
          </w:tcPr>
          <w:p>
            <w:pPr>
              <w:pStyle w:val="12"/>
            </w:pPr>
            <w:r>
              <w:t>11.37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13.21</w:t>
            </w:r>
          </w:p>
        </w:tc>
        <w:tc>
          <w:tcPr>
            <w:tcW w:w="2551" w:type="dxa"/>
            <w:vAlign w:val="center"/>
          </w:tcPr>
          <w:p>
            <w:pPr>
              <w:pStyle w:val="12"/>
            </w:pPr>
            <w:r>
              <w:t>13.21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16.54</w:t>
            </w:r>
          </w:p>
        </w:tc>
        <w:tc>
          <w:tcPr>
            <w:tcW w:w="2551" w:type="dxa"/>
            <w:vAlign w:val="center"/>
          </w:tcPr>
          <w:p>
            <w:pPr>
              <w:pStyle w:val="12"/>
            </w:pPr>
          </w:p>
        </w:tc>
        <w:tc>
          <w:tcPr>
            <w:tcW w:w="2551" w:type="dxa"/>
            <w:vAlign w:val="center"/>
          </w:tcPr>
          <w:p>
            <w:pPr>
              <w:pStyle w:val="12"/>
            </w:pPr>
            <w:r>
              <w:t>16.54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2.15</w:t>
            </w:r>
          </w:p>
        </w:tc>
        <w:tc>
          <w:tcPr>
            <w:tcW w:w="2551" w:type="dxa"/>
            <w:vAlign w:val="center"/>
          </w:tcPr>
          <w:p>
            <w:pPr>
              <w:pStyle w:val="12"/>
            </w:pPr>
          </w:p>
        </w:tc>
        <w:tc>
          <w:tcPr>
            <w:tcW w:w="2551" w:type="dxa"/>
            <w:vAlign w:val="center"/>
          </w:tcPr>
          <w:p>
            <w:pPr>
              <w:pStyle w:val="12"/>
            </w:pPr>
            <w: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4.25</w:t>
            </w:r>
          </w:p>
        </w:tc>
        <w:tc>
          <w:tcPr>
            <w:tcW w:w="2551" w:type="dxa"/>
            <w:vAlign w:val="center"/>
          </w:tcPr>
          <w:p>
            <w:pPr>
              <w:pStyle w:val="12"/>
            </w:pPr>
          </w:p>
        </w:tc>
        <w:tc>
          <w:tcPr>
            <w:tcW w:w="2551" w:type="dxa"/>
            <w:vAlign w:val="center"/>
          </w:tcPr>
          <w:p>
            <w:pPr>
              <w:pStyle w:val="12"/>
            </w:pPr>
            <w:r>
              <w:t>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1.92</w:t>
            </w:r>
          </w:p>
        </w:tc>
        <w:tc>
          <w:tcPr>
            <w:tcW w:w="2551" w:type="dxa"/>
            <w:vAlign w:val="center"/>
          </w:tcPr>
          <w:p>
            <w:pPr>
              <w:pStyle w:val="12"/>
            </w:pPr>
          </w:p>
        </w:tc>
        <w:tc>
          <w:tcPr>
            <w:tcW w:w="2551" w:type="dxa"/>
            <w:vAlign w:val="center"/>
          </w:tcPr>
          <w:p>
            <w:pPr>
              <w:pStyle w:val="12"/>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1.03</w:t>
            </w:r>
          </w:p>
        </w:tc>
        <w:tc>
          <w:tcPr>
            <w:tcW w:w="2551" w:type="dxa"/>
            <w:vAlign w:val="center"/>
          </w:tcPr>
          <w:p>
            <w:pPr>
              <w:pStyle w:val="12"/>
            </w:pPr>
          </w:p>
        </w:tc>
        <w:tc>
          <w:tcPr>
            <w:tcW w:w="2551" w:type="dxa"/>
            <w:vAlign w:val="center"/>
          </w:tcPr>
          <w:p>
            <w:pPr>
              <w:pStyle w:val="12"/>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4.69</w:t>
            </w:r>
          </w:p>
        </w:tc>
        <w:tc>
          <w:tcPr>
            <w:tcW w:w="2551" w:type="dxa"/>
            <w:vAlign w:val="center"/>
          </w:tcPr>
          <w:p>
            <w:pPr>
              <w:pStyle w:val="12"/>
            </w:pPr>
          </w:p>
        </w:tc>
        <w:tc>
          <w:tcPr>
            <w:tcW w:w="2551" w:type="dxa"/>
            <w:vAlign w:val="center"/>
          </w:tcPr>
          <w:p>
            <w:pPr>
              <w:pStyle w:val="12"/>
            </w:pPr>
            <w:r>
              <w:t>4.69</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7813"/>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3513"/>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16933"/>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20.50</w:t>
            </w:r>
          </w:p>
        </w:tc>
        <w:tc>
          <w:tcPr>
            <w:tcW w:w="2381" w:type="dxa"/>
            <w:vAlign w:val="center"/>
          </w:tcPr>
          <w:p>
            <w:pPr>
              <w:pStyle w:val="16"/>
            </w:pPr>
            <w:r>
              <w:t>20.50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20.50</w:t>
            </w:r>
          </w:p>
        </w:tc>
        <w:tc>
          <w:tcPr>
            <w:tcW w:w="2381" w:type="dxa"/>
            <w:vAlign w:val="center"/>
          </w:tcPr>
          <w:p>
            <w:pPr>
              <w:pStyle w:val="12"/>
            </w:pPr>
            <w:r>
              <w:t>20.50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中共唐山市丰南区委社会工作部2025年部门预算信息公开情况说明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中共唐山市丰南区委社会工作部2025年部门预算信息公开情况说明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按照《中华人民共和国预算法》、《地方预决算公开操作规程》和《关于进一步推进预算公开工作的实施意见》规定，现将中共唐山市丰南区委社会工作部2025年部门预算公开如下：</w:t>
      </w:r>
    </w:p>
    <w:p>
      <w:pPr>
        <w:spacing w:before="10" w:after="10" w:line="360" w:lineRule="auto"/>
        <w:ind w:firstLine="640"/>
        <w:jc w:val="left"/>
        <w:outlineLvl w:val="2"/>
      </w:pPr>
      <w:bookmarkStart w:id="9" w:name="_Toc29343"/>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（一）、承担两新工委日常工作。</w:t>
      </w:r>
    </w:p>
    <w:p>
      <w:pPr>
        <w:pStyle w:val="18"/>
      </w:pPr>
      <w:r>
        <w:t>（二）、推进党建引领基层治理和基层政权建设。</w:t>
      </w:r>
    </w:p>
    <w:p>
      <w:pPr>
        <w:pStyle w:val="18"/>
      </w:pPr>
      <w:r>
        <w:t>（三）、志愿服务工作，组织开展全区志愿服务工作。</w:t>
      </w:r>
    </w:p>
    <w:p>
      <w:pPr>
        <w:pStyle w:val="18"/>
      </w:pPr>
      <w:r>
        <w:t>（四）、统筹指导信访工作，采纳群众诉求，促进社会和谐稳定，解决群众反映的热点、难点问题。通过采纳合理化建议，提升我们依法执政水平。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中共唐山市丰南区委社会工作部</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25388"/>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按照预算管理有关规定，目前部门预算的编制实行综合预算管理，即全部收入和支出都反映在预算中。中共唐山市丰南区委社会工作部机关及所属事业单位的收支包含在部门预算中。</w:t>
      </w:r>
    </w:p>
    <w:p>
      <w:pPr>
        <w:pStyle w:val="19"/>
      </w:pPr>
      <w:r>
        <w:t>1、收入说明</w:t>
      </w:r>
    </w:p>
    <w:p>
      <w:pPr>
        <w:pStyle w:val="19"/>
      </w:pPr>
      <w:r>
        <w:t>反映本部门当年全部收入。2025年预算收入233.30万元，其中：一般公共预算收入233.30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唐山市丰南区委社会工作部年度部门预算中支出预算的总体情况。2025年支出预算233.30万元，其中基本支出165.30万元，包括人员经费148.76万元和日常公用经费16.54万元；项目支出68.00万元，主要为业务工作经费等。</w:t>
      </w:r>
    </w:p>
    <w:p>
      <w:pPr>
        <w:pStyle w:val="19"/>
      </w:pPr>
      <w:r>
        <w:t>3、比上年增减情况</w:t>
      </w:r>
    </w:p>
    <w:p>
      <w:pPr>
        <w:pStyle w:val="19"/>
      </w:pPr>
      <w:r>
        <w:t>2025年预算收支安排233.30万元，较2024年预算增加233.30万元，其中：基本支出增加165.30万元，主要为人员经费增加，日常公用经费增加；项目支出增加68.00万元，主要为业务工作经费等。</w:t>
      </w:r>
    </w:p>
    <w:p>
      <w:pPr>
        <w:spacing w:before="10" w:after="10" w:line="360" w:lineRule="auto"/>
        <w:ind w:firstLine="640"/>
        <w:jc w:val="left"/>
        <w:outlineLvl w:val="2"/>
      </w:pPr>
      <w:bookmarkStart w:id="11" w:name="_Toc8220"/>
      <w:r>
        <w:rPr>
          <w:rFonts w:ascii="黑体" w:hAnsi="黑体" w:eastAsia="黑体" w:cs="黑体"/>
          <w:color w:val="000000"/>
          <w:sz w:val="32"/>
        </w:rPr>
        <w:t>三、机关运行经费安排情况</w:t>
      </w:r>
      <w:bookmarkEnd w:id="11"/>
    </w:p>
    <w:p>
      <w:pPr>
        <w:pStyle w:val="20"/>
      </w:pPr>
      <w:r>
        <w:t>2025年，我部门机关运行经费共计安排16.54万元，主要用于日常维修、办公用房水电费、办公用房取暖费、办公用房物业管理费等日常运行支出。</w:t>
      </w:r>
    </w:p>
    <w:p>
      <w:pPr>
        <w:spacing w:before="10" w:after="10" w:line="360" w:lineRule="auto"/>
        <w:ind w:firstLine="640"/>
        <w:jc w:val="left"/>
        <w:outlineLvl w:val="2"/>
      </w:pPr>
      <w:bookmarkStart w:id="12" w:name="_Toc30962"/>
      <w:r>
        <w:rPr>
          <w:rFonts w:ascii="黑体" w:hAnsi="黑体" w:eastAsia="黑体" w:cs="黑体"/>
          <w:color w:val="000000"/>
          <w:sz w:val="32"/>
        </w:rPr>
        <w:t>四、财政拨款“三公”经费预算情况及增减变化原因</w:t>
      </w:r>
      <w:bookmarkEnd w:id="12"/>
    </w:p>
    <w:p>
      <w:pPr>
        <w:pStyle w:val="21"/>
      </w:pPr>
      <w:r>
        <w:t>2025年，我单位财政拨款“三公”经费预算安排20.50万元，其中因公出国（境）费0.00万元；公务用车购置及运维费20.50万元（其中：公务用车购置费为18.00万元，公务用车运维费2.50万元)；公务接待费0.00万元。与2024年相比增加20.50万元，增减变化的主要原因是公务用车购置费增加，公务用车运维费增加。</w:t>
      </w:r>
    </w:p>
    <w:p>
      <w:pPr>
        <w:spacing w:before="10" w:after="10" w:line="360" w:lineRule="auto"/>
        <w:ind w:firstLine="640"/>
        <w:jc w:val="left"/>
        <w:outlineLvl w:val="2"/>
      </w:pPr>
      <w:bookmarkStart w:id="13" w:name="_Toc19753"/>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区委社会工作部将继续深入学习贯彻习近平总书记关于社会工作的重要指示，深入贯彻落实中央、省、市、区会议精神，在区委、区政府的正确领导下，坚持党建引领，统筹推进两企三新、基层政权、凝聚服务群众等各项工作创新发展。对全区两企三新党建工作进行管理，提高两企三新领域党建覆盖率，确保“两个覆盖”质量；加强跨部门协同联动，保障新就业群体权益，及时化解新兴领域风险隐患；保障基层政权平稳运行，统筹推进基层政权减负赋能，推动基层村(居)民公约修订工作，树立文明新风。 建强我区志愿服务队伍，保障“幸福唐山”积分兑换体系运转，为我区社会治理注入志愿服务力量。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（一）两新工委日常活动</w:t>
      </w:r>
    </w:p>
    <w:p>
      <w:pPr>
        <w:pStyle w:val="23"/>
      </w:pPr>
      <w:r>
        <w:t>绩效目标：推进党组织建设和党的工作“两个覆盖”，坚持抓基础，促提升，强示范，不断释放“两企三新”新动能。</w:t>
      </w:r>
    </w:p>
    <w:p>
      <w:pPr>
        <w:pStyle w:val="23"/>
      </w:pPr>
      <w:r>
        <w:t>绩效指标：</w:t>
      </w:r>
    </w:p>
    <w:p>
      <w:pPr>
        <w:pStyle w:val="23"/>
      </w:pPr>
      <w:r>
        <w:t>1两个覆盖率：反应全区“两企三新”党组织和党的工作覆盖程度，指标值≧95%。</w:t>
      </w:r>
    </w:p>
    <w:p>
      <w:pPr>
        <w:pStyle w:val="23"/>
      </w:pPr>
      <w:r>
        <w:t>2示范创建率：反应全区“两企三新”党建示范点创建率，指标值≧30%。</w:t>
      </w:r>
    </w:p>
    <w:p>
      <w:pPr>
        <w:pStyle w:val="23"/>
      </w:pPr>
      <w:r>
        <w:t>3党组织活动：开展“三会一课”等组织生活规范率，指标值≧95%。</w:t>
      </w:r>
    </w:p>
    <w:p>
      <w:pPr>
        <w:pStyle w:val="23"/>
      </w:pPr>
      <w:r>
        <w:t>（二）基层治理</w:t>
      </w:r>
    </w:p>
    <w:p>
      <w:pPr>
        <w:pStyle w:val="23"/>
      </w:pPr>
      <w:r>
        <w:t>绩效目标：完善党建引领基层治理机制，切实为基层减负赋能，抓实基层治理和基层政权。</w:t>
      </w:r>
    </w:p>
    <w:p>
      <w:pPr>
        <w:pStyle w:val="23"/>
      </w:pPr>
      <w:r>
        <w:t>绩效指标：</w:t>
      </w:r>
    </w:p>
    <w:p>
      <w:pPr>
        <w:pStyle w:val="23"/>
      </w:pPr>
      <w:r>
        <w:t>1基层治理工作完成率：推动村（居）委会和村（居）务补选工作完成率，指标值≧95%。</w:t>
      </w:r>
    </w:p>
    <w:p>
      <w:pPr>
        <w:pStyle w:val="23"/>
      </w:pPr>
      <w:r>
        <w:t>2举行基层减负活动次数，指标值4次。</w:t>
      </w:r>
    </w:p>
    <w:p>
      <w:pPr>
        <w:pStyle w:val="23"/>
      </w:pPr>
      <w:r>
        <w:t>3为移风易俗附效：推动整治农村陈规陋习行动次数，指标值4次。</w:t>
      </w:r>
    </w:p>
    <w:p>
      <w:pPr>
        <w:pStyle w:val="23"/>
      </w:pPr>
      <w:r>
        <w:t>（三）志愿服务工作</w:t>
      </w:r>
    </w:p>
    <w:p>
      <w:pPr>
        <w:pStyle w:val="23"/>
      </w:pPr>
      <w:r>
        <w:t>绩效目标：保障全区志愿服务工作正常运转，做好规划安排，业务宣传等工作。</w:t>
      </w:r>
    </w:p>
    <w:p>
      <w:pPr>
        <w:pStyle w:val="23"/>
      </w:pPr>
      <w:r>
        <w:t>绩效指标：</w:t>
      </w:r>
    </w:p>
    <w:p>
      <w:pPr>
        <w:pStyle w:val="23"/>
      </w:pPr>
      <w:r>
        <w:t>1社会满意度，社会公众或服务对象对本部门主要职能工作开展情况的满意程度，通过问卷调查等方式取得，指标值≧95%。</w:t>
      </w:r>
    </w:p>
    <w:p>
      <w:pPr>
        <w:pStyle w:val="23"/>
      </w:pPr>
      <w:r>
        <w:t>2工作完成及时率(%)，评价社会工作完成的及时程度，指标值≧95%。</w:t>
      </w:r>
    </w:p>
    <w:p>
      <w:pPr>
        <w:pStyle w:val="23"/>
      </w:pPr>
      <w:r>
        <w:t>3志愿服务工作保障率(%)，志愿服务工作保障情况，指标值≧95%。</w:t>
      </w:r>
    </w:p>
    <w:p>
      <w:pPr>
        <w:pStyle w:val="23"/>
      </w:pPr>
      <w:r>
        <w:t>4志愿者的满意程度，志愿者对本部门主要职能工作开展情况的满意程度，通过问卷调查等方式取得，指标值≧95%。</w:t>
      </w:r>
    </w:p>
    <w:p>
      <w:pPr>
        <w:pStyle w:val="23"/>
      </w:pPr>
      <w:r>
        <w:t>（四）统筹指导信访工作</w:t>
      </w:r>
    </w:p>
    <w:p>
      <w:pPr>
        <w:pStyle w:val="23"/>
      </w:pPr>
      <w:r>
        <w:t>绩效目标：做好人们建议征集工作，解决群众诉求，维持社会稳定。</w:t>
      </w:r>
    </w:p>
    <w:p>
      <w:pPr>
        <w:pStyle w:val="23"/>
      </w:pPr>
      <w:r>
        <w:t>绩效指标：</w:t>
      </w:r>
    </w:p>
    <w:p>
      <w:pPr>
        <w:pStyle w:val="23"/>
      </w:pPr>
      <w:r>
        <w:t>1群众满意度，志愿者对本部门主要职能工作开展情况的满意程度，通过问卷调查等方式取得，指标值≧95%。</w:t>
      </w:r>
    </w:p>
    <w:p>
      <w:pPr>
        <w:pStyle w:val="23"/>
      </w:pPr>
      <w:r>
        <w:t>2志愿服务工作保障率(%)，反应人民建议征集工作保障情况，指标值≧95%。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19274"/>
      <w:r>
        <w:rPr>
          <w:rFonts w:ascii="黑体" w:hAnsi="黑体" w:eastAsia="黑体" w:cs="黑体"/>
          <w:color w:val="000000"/>
          <w:sz w:val="32"/>
        </w:rPr>
        <w:t>六、部门主管专项资金预算安排情况及绩效目标</w:t>
      </w:r>
      <w:bookmarkEnd w:id="14"/>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1370"/>
        </w:tabs>
        <w:bidi w:val="0"/>
        <w:jc w:val="left"/>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eastAsia="宋体"/>
          <w:lang w:val="en-US" w:eastAsia="zh-CN"/>
        </w:rPr>
        <w:tab/>
      </w:r>
      <w:bookmarkStart w:id="20" w:name="_GoBack"/>
      <w:r>
        <w:rPr>
          <w:rFonts w:hint="eastAsia" w:ascii="Times New Roman" w:hAnsi="Times New Roman" w:eastAsia="方正仿宋_GBK" w:cs="Times New Roman"/>
          <w:sz w:val="28"/>
          <w:szCs w:val="24"/>
          <w:lang w:val="en-US" w:eastAsia="zh-CN" w:bidi="ar-SA"/>
        </w:rPr>
        <w:t>无</w:t>
      </w:r>
    </w:p>
    <w:bookmarkEnd w:id="20"/>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23498"/>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1、公务用车购置经费绩效目标表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13020725P000013100045</w:t>
            </w:r>
          </w:p>
        </w:tc>
        <w:tc>
          <w:tcPr>
            <w:tcW w:w="2835" w:type="dxa"/>
            <w:vAlign w:val="center"/>
          </w:tcPr>
          <w:p>
            <w:pPr>
              <w:pStyle w:val="11"/>
            </w:pPr>
            <w:r>
              <w:t>项目名称</w:t>
            </w:r>
          </w:p>
        </w:tc>
        <w:tc>
          <w:tcPr>
            <w:tcW w:w="6095" w:type="dxa"/>
            <w:gridSpan w:val="3"/>
            <w:vAlign w:val="center"/>
          </w:tcPr>
          <w:p>
            <w:pPr>
              <w:pStyle w:val="13"/>
            </w:pPr>
            <w:r>
              <w:t>公务用车购置经费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购置公务用车1辆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1.购置公务用车一辆，用于深入各乡镇街道、重点村居和“两企三新”基层党组织等基层一线进行实地督查指导，推进工作落实，保障各项工作有效开展。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单位购置成本（元/台、件、辆、</w:t>
            </w:r>
          </w:p>
        </w:tc>
        <w:tc>
          <w:tcPr>
            <w:tcW w:w="5386" w:type="dxa"/>
            <w:vAlign w:val="center"/>
          </w:tcPr>
          <w:p>
            <w:pPr>
              <w:pStyle w:val="13"/>
            </w:pPr>
            <w:r>
              <w:t>购置总成本/购置数量</w:t>
            </w:r>
          </w:p>
        </w:tc>
        <w:tc>
          <w:tcPr>
            <w:tcW w:w="2268" w:type="dxa"/>
            <w:vAlign w:val="center"/>
          </w:tcPr>
          <w:p>
            <w:pPr>
              <w:pStyle w:val="13"/>
            </w:pPr>
            <w:r>
              <w:t>≤18万元/辆</w:t>
            </w:r>
          </w:p>
        </w:tc>
        <w:tc>
          <w:tcPr>
            <w:tcW w:w="1276" w:type="dxa"/>
            <w:vAlign w:val="center"/>
          </w:tcPr>
          <w:p>
            <w:pPr>
              <w:pStyle w:val="13"/>
            </w:pPr>
            <w:r>
              <w:t>资产配置标准文件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购置程序合规性</w:t>
            </w:r>
          </w:p>
        </w:tc>
        <w:tc>
          <w:tcPr>
            <w:tcW w:w="5386" w:type="dxa"/>
            <w:vAlign w:val="center"/>
          </w:tcPr>
          <w:p>
            <w:pPr>
              <w:pStyle w:val="13"/>
            </w:pPr>
            <w:r>
              <w:t>反应履行政府采购程序情况</w:t>
            </w:r>
          </w:p>
        </w:tc>
        <w:tc>
          <w:tcPr>
            <w:tcW w:w="2268" w:type="dxa"/>
            <w:vAlign w:val="center"/>
          </w:tcPr>
          <w:p>
            <w:pPr>
              <w:pStyle w:val="13"/>
            </w:pPr>
            <w:r>
              <w:t>合规</w:t>
            </w:r>
          </w:p>
        </w:tc>
        <w:tc>
          <w:tcPr>
            <w:tcW w:w="1276" w:type="dxa"/>
            <w:vAlign w:val="center"/>
          </w:tcPr>
          <w:p>
            <w:pPr>
              <w:pStyle w:val="13"/>
            </w:pPr>
            <w:r>
              <w:t>政府采购管理文件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购置计划执行率</w:t>
            </w:r>
          </w:p>
        </w:tc>
        <w:tc>
          <w:tcPr>
            <w:tcW w:w="5386" w:type="dxa"/>
            <w:vAlign w:val="center"/>
          </w:tcPr>
          <w:p>
            <w:pPr>
              <w:pStyle w:val="13"/>
            </w:pPr>
            <w:r>
              <w:t>按照计划购买的货物/计划购买货物*100%</w:t>
            </w:r>
          </w:p>
        </w:tc>
        <w:tc>
          <w:tcPr>
            <w:tcW w:w="2268" w:type="dxa"/>
            <w:vAlign w:val="center"/>
          </w:tcPr>
          <w:p>
            <w:pPr>
              <w:pStyle w:val="13"/>
            </w:pPr>
            <w:r>
              <w:t>100%</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车辆购置数量</w:t>
            </w:r>
          </w:p>
        </w:tc>
        <w:tc>
          <w:tcPr>
            <w:tcW w:w="5386" w:type="dxa"/>
            <w:vAlign w:val="center"/>
          </w:tcPr>
          <w:p>
            <w:pPr>
              <w:pStyle w:val="13"/>
            </w:pPr>
            <w:r>
              <w:t>反应车辆购置数量情况</w:t>
            </w:r>
          </w:p>
        </w:tc>
        <w:tc>
          <w:tcPr>
            <w:tcW w:w="2268" w:type="dxa"/>
            <w:vAlign w:val="center"/>
          </w:tcPr>
          <w:p>
            <w:pPr>
              <w:pStyle w:val="13"/>
            </w:pPr>
            <w:r>
              <w:t>1辆</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为社会工作提供保障</w:t>
            </w:r>
          </w:p>
        </w:tc>
        <w:tc>
          <w:tcPr>
            <w:tcW w:w="5386" w:type="dxa"/>
            <w:vAlign w:val="center"/>
          </w:tcPr>
          <w:p>
            <w:pPr>
              <w:pStyle w:val="13"/>
            </w:pPr>
            <w:r>
              <w:t>为社会工作提供保障</w:t>
            </w:r>
          </w:p>
        </w:tc>
        <w:tc>
          <w:tcPr>
            <w:tcW w:w="2268" w:type="dxa"/>
            <w:vAlign w:val="center"/>
          </w:tcPr>
          <w:p>
            <w:pPr>
              <w:pStyle w:val="13"/>
            </w:pPr>
            <w:r>
              <w:t>有效保障</w:t>
            </w:r>
          </w:p>
        </w:tc>
        <w:tc>
          <w:tcPr>
            <w:tcW w:w="1276" w:type="dxa"/>
            <w:vAlign w:val="center"/>
          </w:tcPr>
          <w:p>
            <w:pPr>
              <w:pStyle w:val="13"/>
            </w:pPr>
            <w:r>
              <w:t>社会工作内容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单位内部使用者满意度</w:t>
            </w:r>
          </w:p>
        </w:tc>
        <w:tc>
          <w:tcPr>
            <w:tcW w:w="5386" w:type="dxa"/>
            <w:vAlign w:val="center"/>
          </w:tcPr>
          <w:p>
            <w:pPr>
              <w:pStyle w:val="13"/>
            </w:pPr>
            <w:r>
              <w:t>单位内部使用者满意度</w:t>
            </w:r>
          </w:p>
        </w:tc>
        <w:tc>
          <w:tcPr>
            <w:tcW w:w="2268" w:type="dxa"/>
            <w:vAlign w:val="center"/>
          </w:tcPr>
          <w:p>
            <w:pPr>
              <w:pStyle w:val="13"/>
            </w:pPr>
            <w:r>
              <w:t>100%</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2、业务工作经费绩效目标表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13020725P00001310003H</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为保障区委社会工作部发挥各项功能，完成各项工作。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1.推进党组织建设和当地工作“两个覆盖”，坚持抓基础，促提升，强示范，不断释放“两企三新”新功能。完善党建引领基层治理机制，切实推动社会工作部各项工作顺利开展。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示范创建率</w:t>
            </w:r>
          </w:p>
        </w:tc>
        <w:tc>
          <w:tcPr>
            <w:tcW w:w="5386" w:type="dxa"/>
            <w:vAlign w:val="center"/>
          </w:tcPr>
          <w:p>
            <w:pPr>
              <w:pStyle w:val="13"/>
            </w:pPr>
            <w:r>
              <w:t>反应全区“两企三新”党建示范点创建率</w:t>
            </w:r>
          </w:p>
        </w:tc>
        <w:tc>
          <w:tcPr>
            <w:tcW w:w="2268" w:type="dxa"/>
            <w:vAlign w:val="center"/>
          </w:tcPr>
          <w:p>
            <w:pPr>
              <w:pStyle w:val="13"/>
            </w:pPr>
            <w:r>
              <w:t>≥30%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新就业群体就业服务保障经费利用率</w:t>
            </w:r>
          </w:p>
        </w:tc>
        <w:tc>
          <w:tcPr>
            <w:tcW w:w="5386" w:type="dxa"/>
            <w:vAlign w:val="center"/>
          </w:tcPr>
          <w:p>
            <w:pPr>
              <w:pStyle w:val="13"/>
            </w:pPr>
            <w:r>
              <w:t>反应对新就业群体就业服务保障经费的资金利用率</w:t>
            </w:r>
          </w:p>
        </w:tc>
        <w:tc>
          <w:tcPr>
            <w:tcW w:w="2268" w:type="dxa"/>
            <w:vAlign w:val="center"/>
          </w:tcPr>
          <w:p>
            <w:pPr>
              <w:pStyle w:val="13"/>
            </w:pPr>
            <w:r>
              <w:t>≥95%</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w:t>
            </w:r>
          </w:p>
        </w:tc>
        <w:tc>
          <w:tcPr>
            <w:tcW w:w="5386" w:type="dxa"/>
            <w:vAlign w:val="center"/>
          </w:tcPr>
          <w:p>
            <w:pPr>
              <w:pStyle w:val="13"/>
            </w:pPr>
            <w:r>
              <w:t>按照工作计划完成社会工作各项任务</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预算内完成任务</w:t>
            </w:r>
          </w:p>
        </w:tc>
        <w:tc>
          <w:tcPr>
            <w:tcW w:w="5386" w:type="dxa"/>
            <w:vAlign w:val="center"/>
          </w:tcPr>
          <w:p>
            <w:pPr>
              <w:pStyle w:val="13"/>
            </w:pPr>
            <w:r>
              <w:t>项目执行实际花费资金占预算资金比重</w:t>
            </w:r>
          </w:p>
        </w:tc>
        <w:tc>
          <w:tcPr>
            <w:tcW w:w="2268" w:type="dxa"/>
            <w:vAlign w:val="center"/>
          </w:tcPr>
          <w:p>
            <w:pPr>
              <w:pStyle w:val="13"/>
            </w:pPr>
            <w:r>
              <w:t>≤100%</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为志愿服务工作提供保障</w:t>
            </w:r>
          </w:p>
        </w:tc>
        <w:tc>
          <w:tcPr>
            <w:tcW w:w="5386" w:type="dxa"/>
            <w:vAlign w:val="center"/>
          </w:tcPr>
          <w:p>
            <w:pPr>
              <w:pStyle w:val="13"/>
            </w:pPr>
            <w:r>
              <w:t>为志愿服务工作提供保障</w:t>
            </w:r>
          </w:p>
        </w:tc>
        <w:tc>
          <w:tcPr>
            <w:tcW w:w="2268" w:type="dxa"/>
            <w:vAlign w:val="center"/>
          </w:tcPr>
          <w:p>
            <w:pPr>
              <w:pStyle w:val="13"/>
            </w:pPr>
            <w:r>
              <w:t>有效保障</w:t>
            </w:r>
          </w:p>
        </w:tc>
        <w:tc>
          <w:tcPr>
            <w:tcW w:w="1276" w:type="dxa"/>
            <w:vAlign w:val="center"/>
          </w:tcPr>
          <w:p>
            <w:pPr>
              <w:pStyle w:val="13"/>
            </w:pPr>
            <w:r>
              <w:t>社会工作内容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社会公众或服务对象对部门主要职能工作开展情况的满意程度，一般采用调查问卷、访谈等方式</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22550"/>
      <w:r>
        <w:rPr>
          <w:rFonts w:ascii="黑体" w:hAnsi="黑体" w:eastAsia="黑体" w:cs="黑体"/>
          <w:color w:val="000000"/>
          <w:sz w:val="32"/>
        </w:rPr>
        <w:t>八、政府采购预算情况</w:t>
      </w:r>
      <w:bookmarkEnd w:id="16"/>
    </w:p>
    <w:p>
      <w:pPr>
        <w:tabs>
          <w:tab w:val="left" w:pos="1115"/>
        </w:tabs>
        <w:spacing w:before="0" w:after="0" w:line="240" w:lineRule="auto"/>
        <w:ind w:firstLine="0"/>
        <w:jc w:val="left"/>
        <w:outlineLvl w:val="9"/>
        <w:rPr>
          <w:rFonts w:hint="default" w:ascii="Times New Roman" w:hAnsi="Times New Roman" w:eastAsia="方正仿宋_GBK" w:cs="Times New Roman"/>
          <w:b w:val="0"/>
          <w:color w:val="000000"/>
          <w:sz w:val="28"/>
          <w:lang w:val="en-US" w:eastAsia="zh-CN"/>
        </w:rPr>
      </w:pPr>
      <w:r>
        <w:rPr>
          <w:rFonts w:hint="eastAsia" w:ascii="方正小标宋_GBK" w:hAnsi="方正小标宋_GBK" w:eastAsia="方正小标宋_GBK" w:cs="方正小标宋_GBK"/>
          <w:color w:val="000000"/>
          <w:sz w:val="36"/>
          <w:lang w:eastAsia="zh-CN"/>
        </w:rPr>
        <w:tab/>
      </w:r>
      <w:r>
        <w:rPr>
          <w:rFonts w:hint="eastAsia" w:ascii="Times New Roman" w:hAnsi="Times New Roman" w:eastAsia="方正仿宋_GBK" w:cs="Times New Roman"/>
          <w:b w:val="0"/>
          <w:color w:val="000000"/>
          <w:sz w:val="28"/>
          <w:lang w:val="en-US" w:eastAsia="zh-CN"/>
        </w:rPr>
        <w:t>2025年，中共唐山市</w:t>
      </w:r>
      <w:r>
        <w:rPr>
          <w:rFonts w:hint="eastAsia" w:eastAsia="方正仿宋_GBK" w:cs="Times New Roman"/>
          <w:b w:val="0"/>
          <w:color w:val="000000"/>
          <w:sz w:val="28"/>
          <w:lang w:val="en-US" w:eastAsia="zh-CN"/>
        </w:rPr>
        <w:t>丰南</w:t>
      </w:r>
      <w:r>
        <w:rPr>
          <w:rFonts w:hint="eastAsia" w:ascii="Times New Roman" w:hAnsi="Times New Roman" w:eastAsia="方正仿宋_GBK" w:cs="Times New Roman"/>
          <w:b w:val="0"/>
          <w:color w:val="000000"/>
          <w:sz w:val="28"/>
          <w:lang w:val="en-US" w:eastAsia="zh-CN"/>
        </w:rPr>
        <w:t>区委社会工作部安排政府采购预算0.00万元，内容具体见下表：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11897"/>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中共唐山市丰南区委社会工作部（含所属单位）上年末固定资产金额为20.46万元（详见下表）。本年度拟购置固定资产总额为18.00万元，已按要求列入政府采购预算，详见政府采购预算表。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335中共唐山市丰南区委社会工作部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124</w:t>
            </w:r>
          </w:p>
        </w:tc>
        <w:tc>
          <w:tcPr>
            <w:tcW w:w="2835" w:type="dxa"/>
            <w:vAlign w:val="center"/>
          </w:tcPr>
          <w:p>
            <w:pPr>
              <w:pStyle w:val="12"/>
            </w:pPr>
            <w:r>
              <w:t>20.46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2922"/>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20093"/>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55A7"/>
    <w:rsid w:val="05394BC7"/>
    <w:rsid w:val="08D3333F"/>
    <w:rsid w:val="08E874BD"/>
    <w:rsid w:val="09044B8F"/>
    <w:rsid w:val="091E063F"/>
    <w:rsid w:val="093609D7"/>
    <w:rsid w:val="0D725E65"/>
    <w:rsid w:val="0E7904F2"/>
    <w:rsid w:val="0F5B77EE"/>
    <w:rsid w:val="12A8342D"/>
    <w:rsid w:val="13E91D81"/>
    <w:rsid w:val="13EE74BE"/>
    <w:rsid w:val="15055A79"/>
    <w:rsid w:val="15A37193"/>
    <w:rsid w:val="19CB72E5"/>
    <w:rsid w:val="1A867155"/>
    <w:rsid w:val="1B491969"/>
    <w:rsid w:val="1BCD6836"/>
    <w:rsid w:val="1CFD160F"/>
    <w:rsid w:val="1EBA0E66"/>
    <w:rsid w:val="2019165C"/>
    <w:rsid w:val="204376C8"/>
    <w:rsid w:val="21027C48"/>
    <w:rsid w:val="22B428EC"/>
    <w:rsid w:val="243554CA"/>
    <w:rsid w:val="253172F7"/>
    <w:rsid w:val="25E95659"/>
    <w:rsid w:val="2A106F3F"/>
    <w:rsid w:val="2A706E8D"/>
    <w:rsid w:val="2CC6046E"/>
    <w:rsid w:val="2E6C42A6"/>
    <w:rsid w:val="2F33015D"/>
    <w:rsid w:val="2F3A068C"/>
    <w:rsid w:val="2F6C0101"/>
    <w:rsid w:val="31557741"/>
    <w:rsid w:val="33A32D06"/>
    <w:rsid w:val="358D4A27"/>
    <w:rsid w:val="35937CE2"/>
    <w:rsid w:val="36160F7D"/>
    <w:rsid w:val="3AFD26AD"/>
    <w:rsid w:val="3B2D3AF6"/>
    <w:rsid w:val="3B7562A4"/>
    <w:rsid w:val="3EEA0D21"/>
    <w:rsid w:val="3FE439E3"/>
    <w:rsid w:val="40CA35E9"/>
    <w:rsid w:val="42087622"/>
    <w:rsid w:val="43525BD1"/>
    <w:rsid w:val="43675A78"/>
    <w:rsid w:val="43A232A1"/>
    <w:rsid w:val="43ED5A4A"/>
    <w:rsid w:val="44515037"/>
    <w:rsid w:val="45362979"/>
    <w:rsid w:val="487A08AF"/>
    <w:rsid w:val="49276968"/>
    <w:rsid w:val="4AD304D0"/>
    <w:rsid w:val="4B354538"/>
    <w:rsid w:val="4CEE79B2"/>
    <w:rsid w:val="4D9A52E7"/>
    <w:rsid w:val="4E251E19"/>
    <w:rsid w:val="4F11679F"/>
    <w:rsid w:val="505A11E0"/>
    <w:rsid w:val="55466B3F"/>
    <w:rsid w:val="57280A8C"/>
    <w:rsid w:val="57445223"/>
    <w:rsid w:val="57DB4A7F"/>
    <w:rsid w:val="594707B2"/>
    <w:rsid w:val="596B320D"/>
    <w:rsid w:val="5983213D"/>
    <w:rsid w:val="59C56724"/>
    <w:rsid w:val="5AB2538C"/>
    <w:rsid w:val="5B74279F"/>
    <w:rsid w:val="5CDF6FE0"/>
    <w:rsid w:val="5E8558B1"/>
    <w:rsid w:val="6215199E"/>
    <w:rsid w:val="63BA7CB7"/>
    <w:rsid w:val="644B4A83"/>
    <w:rsid w:val="6A1675C8"/>
    <w:rsid w:val="6B342ED7"/>
    <w:rsid w:val="6E50272B"/>
    <w:rsid w:val="709D407A"/>
    <w:rsid w:val="71104270"/>
    <w:rsid w:val="7137211F"/>
    <w:rsid w:val="71497D29"/>
    <w:rsid w:val="721962BA"/>
    <w:rsid w:val="76871B6C"/>
    <w:rsid w:val="79BF4F31"/>
    <w:rsid w:val="7AB94131"/>
    <w:rsid w:val="7C010B21"/>
    <w:rsid w:val="7DC62EDB"/>
    <w:rsid w:val="7E2B02AC"/>
    <w:rsid w:val="7E7A12F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9</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2025-01-22T15:37:00Z</dcterms:created>
  <dc:creator>Administrator</dc:creator>
  <cp:lastModifiedBy>Administrator</cp:lastModifiedBy>
  <dcterms:modified xsi:type="dcterms:W3CDTF">2025-02-07T06:49:33Z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