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72"/>
        </w:tabs>
      </w:pPr>
      <w:r>
        <w:fldChar w:fldCharType="begin"/>
      </w:r>
      <w:r>
        <w:instrText xml:space="preserve">TOC \o "4-4" \h \z \u</w:instrText>
      </w:r>
      <w:r>
        <w:fldChar w:fldCharType="separate"/>
      </w:r>
      <w:r>
        <w:fldChar w:fldCharType="begin"/>
      </w:r>
      <w:r>
        <w:instrText xml:space="preserve"> HYPERLINK \l _Toc18621 </w:instrText>
      </w:r>
      <w:r>
        <w:fldChar w:fldCharType="separate"/>
      </w:r>
      <w:r>
        <w:rPr>
          <w:rFonts w:ascii="方正小标宋_GBK" w:hAnsi="方正小标宋_GBK" w:eastAsia="方正小标宋_GBK" w:cs="方正小标宋_GBK"/>
        </w:rPr>
        <w:t>一、中共唐山市丰南区委社会工作部收支预算</w:t>
      </w:r>
      <w:r>
        <w:tab/>
      </w:r>
      <w:r>
        <w:fldChar w:fldCharType="begin"/>
      </w:r>
      <w:r>
        <w:instrText xml:space="preserve"> PAGEREF _Toc18621 </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18621"/>
      <w:r>
        <w:rPr>
          <w:rFonts w:ascii="方正小标宋_GBK" w:hAnsi="方正小标宋_GBK" w:eastAsia="方正小标宋_GBK" w:cs="方正小标宋_GBK"/>
          <w:b w:val="0"/>
          <w:color w:val="000000"/>
          <w:sz w:val="44"/>
        </w:rPr>
        <w:t>一、中共唐山市丰南区委社会工作部收支预算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233.30</w:t>
            </w:r>
          </w:p>
        </w:tc>
        <w:tc>
          <w:tcPr>
            <w:tcW w:w="4535" w:type="dxa"/>
            <w:vAlign w:val="center"/>
          </w:tcPr>
          <w:p>
            <w:pPr>
              <w:pStyle w:val="12"/>
            </w:pPr>
            <w:r>
              <w:t>一、一般公共服务支出</w:t>
            </w:r>
          </w:p>
        </w:tc>
        <w:tc>
          <w:tcPr>
            <w:tcW w:w="2126" w:type="dxa"/>
            <w:vAlign w:val="center"/>
          </w:tcPr>
          <w:p>
            <w:pPr>
              <w:pStyle w:val="11"/>
            </w:pPr>
            <w:r>
              <w:t>191.48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233.30</w:t>
            </w:r>
          </w:p>
        </w:tc>
        <w:tc>
          <w:tcPr>
            <w:tcW w:w="4535" w:type="dxa"/>
            <w:vAlign w:val="center"/>
          </w:tcPr>
          <w:p>
            <w:pPr>
              <w:pStyle w:val="14"/>
            </w:pPr>
            <w:r>
              <w:t>本年支出合计</w:t>
            </w:r>
          </w:p>
        </w:tc>
        <w:tc>
          <w:tcPr>
            <w:tcW w:w="2126" w:type="dxa"/>
            <w:vAlign w:val="center"/>
          </w:tcPr>
          <w:p>
            <w:pPr>
              <w:pStyle w:val="15"/>
            </w:pPr>
            <w:r>
              <w:t>233.30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233.30</w:t>
            </w:r>
          </w:p>
        </w:tc>
        <w:tc>
          <w:tcPr>
            <w:tcW w:w="4535" w:type="dxa"/>
            <w:vAlign w:val="center"/>
          </w:tcPr>
          <w:p>
            <w:pPr>
              <w:pStyle w:val="14"/>
            </w:pPr>
            <w:r>
              <w:t>支出总计</w:t>
            </w:r>
          </w:p>
        </w:tc>
        <w:tc>
          <w:tcPr>
            <w:tcW w:w="2126" w:type="dxa"/>
            <w:vAlign w:val="center"/>
          </w:tcPr>
          <w:p>
            <w:pPr>
              <w:pStyle w:val="15"/>
            </w:pPr>
            <w:r>
              <w:t>233.30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233.30</w:t>
            </w:r>
          </w:p>
        </w:tc>
        <w:tc>
          <w:tcPr>
            <w:tcW w:w="1134" w:type="dxa"/>
            <w:vAlign w:val="center"/>
          </w:tcPr>
          <w:p>
            <w:pPr>
              <w:pStyle w:val="15"/>
            </w:pPr>
            <w:r>
              <w:t>233.30</w:t>
            </w:r>
          </w:p>
        </w:tc>
        <w:tc>
          <w:tcPr>
            <w:tcW w:w="1134" w:type="dxa"/>
            <w:vAlign w:val="center"/>
          </w:tcPr>
          <w:p>
            <w:pPr>
              <w:pStyle w:val="15"/>
            </w:pPr>
            <w:r>
              <w:t>233.30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191.48</w:t>
            </w:r>
          </w:p>
        </w:tc>
        <w:tc>
          <w:tcPr>
            <w:tcW w:w="1134" w:type="dxa"/>
            <w:vAlign w:val="center"/>
          </w:tcPr>
          <w:p>
            <w:pPr>
              <w:pStyle w:val="11"/>
            </w:pPr>
            <w:r>
              <w:t>191.48</w:t>
            </w:r>
          </w:p>
        </w:tc>
        <w:tc>
          <w:tcPr>
            <w:tcW w:w="1134" w:type="dxa"/>
            <w:vAlign w:val="center"/>
          </w:tcPr>
          <w:p>
            <w:pPr>
              <w:pStyle w:val="11"/>
            </w:pPr>
            <w:r>
              <w:t>191.48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191.48</w:t>
            </w:r>
          </w:p>
        </w:tc>
        <w:tc>
          <w:tcPr>
            <w:tcW w:w="1134" w:type="dxa"/>
            <w:vAlign w:val="center"/>
          </w:tcPr>
          <w:p>
            <w:pPr>
              <w:pStyle w:val="11"/>
            </w:pPr>
            <w:r>
              <w:t>191.48</w:t>
            </w:r>
          </w:p>
        </w:tc>
        <w:tc>
          <w:tcPr>
            <w:tcW w:w="1134" w:type="dxa"/>
            <w:vAlign w:val="center"/>
          </w:tcPr>
          <w:p>
            <w:pPr>
              <w:pStyle w:val="11"/>
            </w:pPr>
            <w:r>
              <w:t>191.48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2013901</w:t>
            </w:r>
          </w:p>
        </w:tc>
        <w:tc>
          <w:tcPr>
            <w:tcW w:w="1559" w:type="dxa"/>
            <w:vAlign w:val="center"/>
          </w:tcPr>
          <w:p>
            <w:pPr>
              <w:pStyle w:val="12"/>
            </w:pPr>
            <w:r>
              <w:t>行政运行</w:t>
            </w:r>
          </w:p>
        </w:tc>
        <w:tc>
          <w:tcPr>
            <w:tcW w:w="1134" w:type="dxa"/>
            <w:vAlign w:val="center"/>
          </w:tcPr>
          <w:p>
            <w:pPr>
              <w:pStyle w:val="11"/>
            </w:pPr>
            <w:r>
              <w:t>123.48</w:t>
            </w:r>
          </w:p>
        </w:tc>
        <w:tc>
          <w:tcPr>
            <w:tcW w:w="1134" w:type="dxa"/>
            <w:vAlign w:val="center"/>
          </w:tcPr>
          <w:p>
            <w:pPr>
              <w:pStyle w:val="11"/>
            </w:pPr>
            <w:r>
              <w:t>123.48</w:t>
            </w:r>
          </w:p>
        </w:tc>
        <w:tc>
          <w:tcPr>
            <w:tcW w:w="1134" w:type="dxa"/>
            <w:vAlign w:val="center"/>
          </w:tcPr>
          <w:p>
            <w:pPr>
              <w:pStyle w:val="11"/>
            </w:pPr>
            <w:r>
              <w:t>123.48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2013902</w:t>
            </w:r>
          </w:p>
        </w:tc>
        <w:tc>
          <w:tcPr>
            <w:tcW w:w="1559" w:type="dxa"/>
            <w:vAlign w:val="center"/>
          </w:tcPr>
          <w:p>
            <w:pPr>
              <w:pStyle w:val="12"/>
            </w:pPr>
            <w:r>
              <w:t>一般行政管理事务</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r>
              <w:t>68.00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r>
              <w:t>15.64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r>
              <w:t>13.68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r>
              <w:t>12.50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233.30</w:t>
            </w:r>
          </w:p>
        </w:tc>
        <w:tc>
          <w:tcPr>
            <w:tcW w:w="1361" w:type="dxa"/>
            <w:vAlign w:val="center"/>
          </w:tcPr>
          <w:p>
            <w:pPr>
              <w:pStyle w:val="15"/>
            </w:pPr>
            <w:r>
              <w:t>165.30</w:t>
            </w:r>
          </w:p>
        </w:tc>
        <w:tc>
          <w:tcPr>
            <w:tcW w:w="1361" w:type="dxa"/>
            <w:vAlign w:val="center"/>
          </w:tcPr>
          <w:p>
            <w:pPr>
              <w:pStyle w:val="15"/>
            </w:pPr>
            <w:r>
              <w:t>68.00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191.48</w:t>
            </w:r>
          </w:p>
        </w:tc>
        <w:tc>
          <w:tcPr>
            <w:tcW w:w="1361" w:type="dxa"/>
            <w:vAlign w:val="center"/>
          </w:tcPr>
          <w:p>
            <w:pPr>
              <w:pStyle w:val="11"/>
            </w:pPr>
            <w:r>
              <w:t>123.48</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191.48</w:t>
            </w:r>
          </w:p>
        </w:tc>
        <w:tc>
          <w:tcPr>
            <w:tcW w:w="1361" w:type="dxa"/>
            <w:vAlign w:val="center"/>
          </w:tcPr>
          <w:p>
            <w:pPr>
              <w:pStyle w:val="11"/>
            </w:pPr>
            <w:r>
              <w:t>123.48</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2013901</w:t>
            </w:r>
          </w:p>
        </w:tc>
        <w:tc>
          <w:tcPr>
            <w:tcW w:w="4535" w:type="dxa"/>
            <w:vAlign w:val="center"/>
          </w:tcPr>
          <w:p>
            <w:pPr>
              <w:pStyle w:val="12"/>
            </w:pPr>
            <w:r>
              <w:t>行政运行</w:t>
            </w:r>
          </w:p>
        </w:tc>
        <w:tc>
          <w:tcPr>
            <w:tcW w:w="1361" w:type="dxa"/>
            <w:vAlign w:val="center"/>
          </w:tcPr>
          <w:p>
            <w:pPr>
              <w:pStyle w:val="11"/>
            </w:pPr>
            <w:r>
              <w:t>123.48</w:t>
            </w:r>
          </w:p>
        </w:tc>
        <w:tc>
          <w:tcPr>
            <w:tcW w:w="1361" w:type="dxa"/>
            <w:vAlign w:val="center"/>
          </w:tcPr>
          <w:p>
            <w:pPr>
              <w:pStyle w:val="11"/>
            </w:pPr>
            <w:r>
              <w:t>123.48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2013902</w:t>
            </w:r>
          </w:p>
        </w:tc>
        <w:tc>
          <w:tcPr>
            <w:tcW w:w="4535" w:type="dxa"/>
            <w:vAlign w:val="center"/>
          </w:tcPr>
          <w:p>
            <w:pPr>
              <w:pStyle w:val="12"/>
            </w:pPr>
            <w:r>
              <w:t>一般行政管理事务</w:t>
            </w: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r>
              <w:t>68.00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15.64</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15.64</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15.64</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13.68</w:t>
            </w:r>
          </w:p>
        </w:tc>
        <w:tc>
          <w:tcPr>
            <w:tcW w:w="1361" w:type="dxa"/>
            <w:vAlign w:val="center"/>
          </w:tcPr>
          <w:p>
            <w:pPr>
              <w:pStyle w:val="11"/>
            </w:pPr>
            <w:r>
              <w:t>13.68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13.68</w:t>
            </w:r>
          </w:p>
        </w:tc>
        <w:tc>
          <w:tcPr>
            <w:tcW w:w="1361" w:type="dxa"/>
            <w:vAlign w:val="center"/>
          </w:tcPr>
          <w:p>
            <w:pPr>
              <w:pStyle w:val="11"/>
            </w:pPr>
            <w:r>
              <w:t>13.68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12.50</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12.50</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12.50</w:t>
            </w:r>
          </w:p>
        </w:tc>
        <w:tc>
          <w:tcPr>
            <w:tcW w:w="1361" w:type="dxa"/>
            <w:vAlign w:val="center"/>
          </w:tcPr>
          <w:p>
            <w:pPr>
              <w:pStyle w:val="11"/>
            </w:pPr>
            <w:r>
              <w:t>12.50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233.30</w:t>
            </w:r>
          </w:p>
        </w:tc>
        <w:tc>
          <w:tcPr>
            <w:tcW w:w="3402" w:type="dxa"/>
            <w:vAlign w:val="center"/>
          </w:tcPr>
          <w:p>
            <w:pPr>
              <w:pStyle w:val="12"/>
            </w:pPr>
            <w:r>
              <w:t>一、一般公共服务支出</w:t>
            </w:r>
          </w:p>
        </w:tc>
        <w:tc>
          <w:tcPr>
            <w:tcW w:w="1474" w:type="dxa"/>
            <w:vAlign w:val="center"/>
          </w:tcPr>
          <w:p>
            <w:pPr>
              <w:pStyle w:val="11"/>
            </w:pPr>
            <w:r>
              <w:t>191.48</w:t>
            </w:r>
          </w:p>
        </w:tc>
        <w:tc>
          <w:tcPr>
            <w:tcW w:w="1474" w:type="dxa"/>
            <w:vAlign w:val="center"/>
          </w:tcPr>
          <w:p>
            <w:pPr>
              <w:pStyle w:val="11"/>
            </w:pPr>
            <w:r>
              <w:t>191.48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15.64</w:t>
            </w:r>
          </w:p>
        </w:tc>
        <w:tc>
          <w:tcPr>
            <w:tcW w:w="1474" w:type="dxa"/>
            <w:vAlign w:val="center"/>
          </w:tcPr>
          <w:p>
            <w:pPr>
              <w:pStyle w:val="11"/>
            </w:pPr>
            <w:r>
              <w:t>15.64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13.68</w:t>
            </w:r>
          </w:p>
        </w:tc>
        <w:tc>
          <w:tcPr>
            <w:tcW w:w="1474" w:type="dxa"/>
            <w:vAlign w:val="center"/>
          </w:tcPr>
          <w:p>
            <w:pPr>
              <w:pStyle w:val="11"/>
            </w:pPr>
            <w:r>
              <w:t>13.68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12.50</w:t>
            </w:r>
          </w:p>
        </w:tc>
        <w:tc>
          <w:tcPr>
            <w:tcW w:w="1474" w:type="dxa"/>
            <w:vAlign w:val="center"/>
          </w:tcPr>
          <w:p>
            <w:pPr>
              <w:pStyle w:val="11"/>
            </w:pPr>
            <w:r>
              <w:t>12.50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233.30</w:t>
            </w:r>
          </w:p>
        </w:tc>
        <w:tc>
          <w:tcPr>
            <w:tcW w:w="3402" w:type="dxa"/>
            <w:vAlign w:val="center"/>
          </w:tcPr>
          <w:p>
            <w:pPr>
              <w:pStyle w:val="14"/>
            </w:pPr>
            <w:r>
              <w:t>本年支出合计</w:t>
            </w:r>
          </w:p>
        </w:tc>
        <w:tc>
          <w:tcPr>
            <w:tcW w:w="1474" w:type="dxa"/>
            <w:vAlign w:val="center"/>
          </w:tcPr>
          <w:p>
            <w:pPr>
              <w:pStyle w:val="15"/>
            </w:pPr>
            <w:r>
              <w:t>233.30</w:t>
            </w:r>
          </w:p>
        </w:tc>
        <w:tc>
          <w:tcPr>
            <w:tcW w:w="1474" w:type="dxa"/>
            <w:vAlign w:val="center"/>
          </w:tcPr>
          <w:p>
            <w:pPr>
              <w:pStyle w:val="15"/>
            </w:pPr>
            <w:r>
              <w:t>233.30</w:t>
            </w: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233.30</w:t>
            </w:r>
          </w:p>
        </w:tc>
        <w:tc>
          <w:tcPr>
            <w:tcW w:w="3402" w:type="dxa"/>
            <w:vAlign w:val="center"/>
          </w:tcPr>
          <w:p>
            <w:pPr>
              <w:pStyle w:val="14"/>
            </w:pPr>
            <w:r>
              <w:t>支出总计</w:t>
            </w:r>
          </w:p>
        </w:tc>
        <w:tc>
          <w:tcPr>
            <w:tcW w:w="1474" w:type="dxa"/>
            <w:vAlign w:val="center"/>
          </w:tcPr>
          <w:p>
            <w:pPr>
              <w:pStyle w:val="15"/>
            </w:pPr>
            <w:r>
              <w:t>233.30</w:t>
            </w:r>
          </w:p>
        </w:tc>
        <w:tc>
          <w:tcPr>
            <w:tcW w:w="1474" w:type="dxa"/>
            <w:vAlign w:val="center"/>
          </w:tcPr>
          <w:p>
            <w:pPr>
              <w:pStyle w:val="15"/>
            </w:pPr>
            <w:r>
              <w:t>233.30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233.30</w:t>
            </w:r>
          </w:p>
        </w:tc>
        <w:tc>
          <w:tcPr>
            <w:tcW w:w="2551" w:type="dxa"/>
            <w:vAlign w:val="center"/>
          </w:tcPr>
          <w:p>
            <w:pPr>
              <w:pStyle w:val="15"/>
            </w:pPr>
            <w:r>
              <w:t>165.30</w:t>
            </w:r>
          </w:p>
        </w:tc>
        <w:tc>
          <w:tcPr>
            <w:tcW w:w="2551" w:type="dxa"/>
            <w:vAlign w:val="center"/>
          </w:tcPr>
          <w:p>
            <w:pPr>
              <w:pStyle w:val="15"/>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191.48</w:t>
            </w:r>
          </w:p>
        </w:tc>
        <w:tc>
          <w:tcPr>
            <w:tcW w:w="2551" w:type="dxa"/>
            <w:vAlign w:val="center"/>
          </w:tcPr>
          <w:p>
            <w:pPr>
              <w:pStyle w:val="11"/>
            </w:pPr>
            <w:r>
              <w:t>123.48</w:t>
            </w:r>
          </w:p>
        </w:tc>
        <w:tc>
          <w:tcPr>
            <w:tcW w:w="2551" w:type="dxa"/>
            <w:vAlign w:val="center"/>
          </w:tcPr>
          <w:p>
            <w:pPr>
              <w:pStyle w:val="11"/>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191.48</w:t>
            </w:r>
          </w:p>
        </w:tc>
        <w:tc>
          <w:tcPr>
            <w:tcW w:w="2551" w:type="dxa"/>
            <w:vAlign w:val="center"/>
          </w:tcPr>
          <w:p>
            <w:pPr>
              <w:pStyle w:val="11"/>
            </w:pPr>
            <w:r>
              <w:t>123.48</w:t>
            </w:r>
          </w:p>
        </w:tc>
        <w:tc>
          <w:tcPr>
            <w:tcW w:w="2551" w:type="dxa"/>
            <w:vAlign w:val="center"/>
          </w:tcPr>
          <w:p>
            <w:pPr>
              <w:pStyle w:val="11"/>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2013901</w:t>
            </w:r>
          </w:p>
        </w:tc>
        <w:tc>
          <w:tcPr>
            <w:tcW w:w="4535" w:type="dxa"/>
            <w:vAlign w:val="center"/>
          </w:tcPr>
          <w:p>
            <w:pPr>
              <w:pStyle w:val="12"/>
            </w:pPr>
            <w:r>
              <w:t>行政运行</w:t>
            </w:r>
          </w:p>
        </w:tc>
        <w:tc>
          <w:tcPr>
            <w:tcW w:w="2551" w:type="dxa"/>
            <w:vAlign w:val="center"/>
          </w:tcPr>
          <w:p>
            <w:pPr>
              <w:pStyle w:val="11"/>
            </w:pPr>
            <w:r>
              <w:t>123.48</w:t>
            </w:r>
          </w:p>
        </w:tc>
        <w:tc>
          <w:tcPr>
            <w:tcW w:w="2551" w:type="dxa"/>
            <w:vAlign w:val="center"/>
          </w:tcPr>
          <w:p>
            <w:pPr>
              <w:pStyle w:val="11"/>
            </w:pPr>
            <w:r>
              <w:t>123.48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2013902</w:t>
            </w:r>
          </w:p>
        </w:tc>
        <w:tc>
          <w:tcPr>
            <w:tcW w:w="4535" w:type="dxa"/>
            <w:vAlign w:val="center"/>
          </w:tcPr>
          <w:p>
            <w:pPr>
              <w:pStyle w:val="12"/>
            </w:pPr>
            <w:r>
              <w:t>一般行政管理事务</w:t>
            </w:r>
          </w:p>
        </w:tc>
        <w:tc>
          <w:tcPr>
            <w:tcW w:w="2551" w:type="dxa"/>
            <w:vAlign w:val="center"/>
          </w:tcPr>
          <w:p>
            <w:pPr>
              <w:pStyle w:val="11"/>
            </w:pPr>
            <w:r>
              <w:t>68.00</w:t>
            </w:r>
          </w:p>
        </w:tc>
        <w:tc>
          <w:tcPr>
            <w:tcW w:w="2551" w:type="dxa"/>
            <w:vAlign w:val="center"/>
          </w:tcPr>
          <w:p>
            <w:pPr>
              <w:pStyle w:val="11"/>
            </w:pPr>
          </w:p>
        </w:tc>
        <w:tc>
          <w:tcPr>
            <w:tcW w:w="2551" w:type="dxa"/>
            <w:vAlign w:val="center"/>
          </w:tcPr>
          <w:p>
            <w:pPr>
              <w:pStyle w:val="11"/>
            </w:pPr>
            <w:r>
              <w:t>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15.64</w:t>
            </w:r>
          </w:p>
        </w:tc>
        <w:tc>
          <w:tcPr>
            <w:tcW w:w="2551" w:type="dxa"/>
            <w:vAlign w:val="center"/>
          </w:tcPr>
          <w:p>
            <w:pPr>
              <w:pStyle w:val="11"/>
            </w:pPr>
            <w:r>
              <w:t>15.64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15.64</w:t>
            </w:r>
          </w:p>
        </w:tc>
        <w:tc>
          <w:tcPr>
            <w:tcW w:w="2551" w:type="dxa"/>
            <w:vAlign w:val="center"/>
          </w:tcPr>
          <w:p>
            <w:pPr>
              <w:pStyle w:val="11"/>
            </w:pPr>
            <w:r>
              <w:t>15.64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15.64</w:t>
            </w:r>
          </w:p>
        </w:tc>
        <w:tc>
          <w:tcPr>
            <w:tcW w:w="2551" w:type="dxa"/>
            <w:vAlign w:val="center"/>
          </w:tcPr>
          <w:p>
            <w:pPr>
              <w:pStyle w:val="11"/>
            </w:pPr>
            <w:r>
              <w:t>15.64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13.68</w:t>
            </w:r>
          </w:p>
        </w:tc>
        <w:tc>
          <w:tcPr>
            <w:tcW w:w="2551" w:type="dxa"/>
            <w:vAlign w:val="center"/>
          </w:tcPr>
          <w:p>
            <w:pPr>
              <w:pStyle w:val="11"/>
            </w:pPr>
            <w:r>
              <w:t>13.68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13.68</w:t>
            </w:r>
          </w:p>
        </w:tc>
        <w:tc>
          <w:tcPr>
            <w:tcW w:w="2551" w:type="dxa"/>
            <w:vAlign w:val="center"/>
          </w:tcPr>
          <w:p>
            <w:pPr>
              <w:pStyle w:val="11"/>
            </w:pPr>
            <w:r>
              <w:t>13.68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12.50</w:t>
            </w:r>
          </w:p>
        </w:tc>
        <w:tc>
          <w:tcPr>
            <w:tcW w:w="2551" w:type="dxa"/>
            <w:vAlign w:val="center"/>
          </w:tcPr>
          <w:p>
            <w:pPr>
              <w:pStyle w:val="11"/>
            </w:pPr>
            <w:r>
              <w:t>12.50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12.50</w:t>
            </w:r>
          </w:p>
        </w:tc>
        <w:tc>
          <w:tcPr>
            <w:tcW w:w="2551" w:type="dxa"/>
            <w:vAlign w:val="center"/>
          </w:tcPr>
          <w:p>
            <w:pPr>
              <w:pStyle w:val="11"/>
            </w:pPr>
            <w:r>
              <w:t>12.50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12.50</w:t>
            </w:r>
          </w:p>
        </w:tc>
        <w:tc>
          <w:tcPr>
            <w:tcW w:w="2551" w:type="dxa"/>
            <w:vAlign w:val="center"/>
          </w:tcPr>
          <w:p>
            <w:pPr>
              <w:pStyle w:val="11"/>
            </w:pPr>
            <w:r>
              <w:t>12.50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165.30</w:t>
            </w:r>
          </w:p>
        </w:tc>
        <w:tc>
          <w:tcPr>
            <w:tcW w:w="2551" w:type="dxa"/>
            <w:vAlign w:val="center"/>
          </w:tcPr>
          <w:p>
            <w:pPr>
              <w:pStyle w:val="15"/>
            </w:pPr>
            <w:r>
              <w:t>148.76</w:t>
            </w:r>
          </w:p>
        </w:tc>
        <w:tc>
          <w:tcPr>
            <w:tcW w:w="2551" w:type="dxa"/>
            <w:vAlign w:val="center"/>
          </w:tcPr>
          <w:p>
            <w:pPr>
              <w:pStyle w:val="15"/>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148.76</w:t>
            </w:r>
          </w:p>
        </w:tc>
        <w:tc>
          <w:tcPr>
            <w:tcW w:w="2551" w:type="dxa"/>
            <w:vAlign w:val="center"/>
          </w:tcPr>
          <w:p>
            <w:pPr>
              <w:pStyle w:val="11"/>
            </w:pPr>
            <w:r>
              <w:t>148.76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37.26</w:t>
            </w:r>
          </w:p>
        </w:tc>
        <w:tc>
          <w:tcPr>
            <w:tcW w:w="2551" w:type="dxa"/>
            <w:vAlign w:val="center"/>
          </w:tcPr>
          <w:p>
            <w:pPr>
              <w:pStyle w:val="11"/>
            </w:pPr>
            <w:r>
              <w:t>37.26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34.19</w:t>
            </w:r>
          </w:p>
        </w:tc>
        <w:tc>
          <w:tcPr>
            <w:tcW w:w="2551" w:type="dxa"/>
            <w:vAlign w:val="center"/>
          </w:tcPr>
          <w:p>
            <w:pPr>
              <w:pStyle w:val="11"/>
            </w:pPr>
            <w:r>
              <w:t>34.19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15.67</w:t>
            </w:r>
          </w:p>
        </w:tc>
        <w:tc>
          <w:tcPr>
            <w:tcW w:w="2551" w:type="dxa"/>
            <w:vAlign w:val="center"/>
          </w:tcPr>
          <w:p>
            <w:pPr>
              <w:pStyle w:val="11"/>
            </w:pPr>
            <w:r>
              <w:t>15.67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14.26</w:t>
            </w:r>
          </w:p>
        </w:tc>
        <w:tc>
          <w:tcPr>
            <w:tcW w:w="2551" w:type="dxa"/>
            <w:vAlign w:val="center"/>
          </w:tcPr>
          <w:p>
            <w:pPr>
              <w:pStyle w:val="11"/>
            </w:pPr>
            <w:r>
              <w:t>14.26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5.92</w:t>
            </w:r>
          </w:p>
        </w:tc>
        <w:tc>
          <w:tcPr>
            <w:tcW w:w="2551" w:type="dxa"/>
            <w:vAlign w:val="center"/>
          </w:tcPr>
          <w:p>
            <w:pPr>
              <w:pStyle w:val="11"/>
            </w:pPr>
            <w:r>
              <w:t>5.92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13.21</w:t>
            </w:r>
          </w:p>
        </w:tc>
        <w:tc>
          <w:tcPr>
            <w:tcW w:w="2551" w:type="dxa"/>
            <w:vAlign w:val="center"/>
          </w:tcPr>
          <w:p>
            <w:pPr>
              <w:pStyle w:val="11"/>
            </w:pPr>
            <w:r>
              <w:t>13.21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16.54</w:t>
            </w:r>
          </w:p>
        </w:tc>
        <w:tc>
          <w:tcPr>
            <w:tcW w:w="2551" w:type="dxa"/>
            <w:vAlign w:val="center"/>
          </w:tcPr>
          <w:p>
            <w:pPr>
              <w:pStyle w:val="11"/>
            </w:pPr>
          </w:p>
        </w:tc>
        <w:tc>
          <w:tcPr>
            <w:tcW w:w="2551" w:type="dxa"/>
            <w:vAlign w:val="center"/>
          </w:tcPr>
          <w:p>
            <w:pPr>
              <w:pStyle w:val="11"/>
            </w:pPr>
            <w:r>
              <w:t>16.54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2.15</w:t>
            </w:r>
          </w:p>
        </w:tc>
        <w:tc>
          <w:tcPr>
            <w:tcW w:w="2551" w:type="dxa"/>
            <w:vAlign w:val="center"/>
          </w:tcPr>
          <w:p>
            <w:pPr>
              <w:pStyle w:val="11"/>
            </w:pPr>
          </w:p>
        </w:tc>
        <w:tc>
          <w:tcPr>
            <w:tcW w:w="2551" w:type="dxa"/>
            <w:vAlign w:val="center"/>
          </w:tcPr>
          <w:p>
            <w:pPr>
              <w:pStyle w:val="11"/>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1.92</w:t>
            </w:r>
          </w:p>
        </w:tc>
        <w:tc>
          <w:tcPr>
            <w:tcW w:w="2551" w:type="dxa"/>
            <w:vAlign w:val="center"/>
          </w:tcPr>
          <w:p>
            <w:pPr>
              <w:pStyle w:val="11"/>
            </w:pPr>
          </w:p>
        </w:tc>
        <w:tc>
          <w:tcPr>
            <w:tcW w:w="2551" w:type="dxa"/>
            <w:vAlign w:val="center"/>
          </w:tcPr>
          <w:p>
            <w:pPr>
              <w:pStyle w:val="11"/>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4.69</w:t>
            </w:r>
          </w:p>
        </w:tc>
        <w:tc>
          <w:tcPr>
            <w:tcW w:w="2551" w:type="dxa"/>
            <w:vAlign w:val="center"/>
          </w:tcPr>
          <w:p>
            <w:pPr>
              <w:pStyle w:val="11"/>
            </w:pPr>
          </w:p>
        </w:tc>
        <w:tc>
          <w:tcPr>
            <w:tcW w:w="2551" w:type="dxa"/>
            <w:vAlign w:val="center"/>
          </w:tcPr>
          <w:p>
            <w:pPr>
              <w:pStyle w:val="11"/>
            </w:pPr>
            <w:r>
              <w:t>4.69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20.50</w:t>
            </w:r>
          </w:p>
        </w:tc>
        <w:tc>
          <w:tcPr>
            <w:tcW w:w="2381" w:type="dxa"/>
            <w:vAlign w:val="center"/>
          </w:tcPr>
          <w:p>
            <w:pPr>
              <w:pStyle w:val="15"/>
            </w:pPr>
            <w:r>
              <w:t>20.50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20.50</w:t>
            </w:r>
          </w:p>
        </w:tc>
        <w:tc>
          <w:tcPr>
            <w:tcW w:w="2381" w:type="dxa"/>
            <w:vAlign w:val="center"/>
          </w:tcPr>
          <w:p>
            <w:pPr>
              <w:pStyle w:val="11"/>
            </w:pPr>
            <w:r>
              <w:t>20.50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中共唐山市丰南区委社会工作部2025年单位预算信息公开情况说明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按照《中华人民共和国预算法》、《地方预决算公开操作规程》和《关于进一步推进预算公开工作的实施意见》规定，现将中共唐山市丰南区委社会工作部2025年单位预算公开如下：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(一）、承担两新工委日常工作。</w:t>
      </w:r>
    </w:p>
    <w:p>
      <w:pPr>
        <w:pStyle w:val="17"/>
      </w:pPr>
      <w:r>
        <w:t>(二）、推进党建引领基层治理和基层政权建设。</w:t>
      </w:r>
    </w:p>
    <w:p>
      <w:pPr>
        <w:pStyle w:val="17"/>
      </w:pPr>
      <w:r>
        <w:t>(三）、志愿服务工作，组织开展全区志愿服务工作。</w:t>
      </w:r>
    </w:p>
    <w:p>
      <w:pPr>
        <w:pStyle w:val="17"/>
      </w:pPr>
      <w:r>
        <w:t>(四）、统筹指导信访工作，采纳群众诉求，促进社会和谐稳定，解决群众反映的热点、难点问题。通过采纳合理化建议，提升我们依法执政水平。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中共唐山市丰南区委社会工作部</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233.30万元，其中：一般公共预算收入233.30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唐山市丰南区委社会工作部年度单位预算中支出预算的总体情况。2025年支出预算233.30万元，其中基本支出165.30万元，包括人员经费148.76万元和日常公用经费16.54万元；项目支出68.00万元，主要为业务工作经费等。</w:t>
      </w:r>
    </w:p>
    <w:p>
      <w:pPr>
        <w:pStyle w:val="18"/>
      </w:pPr>
      <w:r>
        <w:t>3、比上年增减情况</w:t>
      </w:r>
    </w:p>
    <w:p>
      <w:pPr>
        <w:pStyle w:val="18"/>
      </w:pPr>
      <w:r>
        <w:t>2025年预算收支安排233.30万元，较2024年预算增加233.30万元，其中：基本支出增加165.30万元，主要为人员经费增加，日常公用经费增加；项目支出增加68.00万元，主要为业务工作经费等。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2025年，我单位机关运行经费共计安排16.54万元，主要用于日常维修、办公用房水电费、办公用房取暖费、办公用房物业管理费等日常运行支出。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20.50万元，其中因公出国（境）费0.00万元；公务用车购置及运维费20.50万元（其中：公务用车购置费为18.00万元，公务用车运维费2.50万元)；公务接待费0.00万元。与2024年相比增加20.50万元，增减变化的主要原因是公务用车购置费增加，公务用车运维费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1、公务用车购置经费绩效目标表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13020725P000013100045</w:t>
            </w:r>
          </w:p>
        </w:tc>
        <w:tc>
          <w:tcPr>
            <w:tcW w:w="2835" w:type="dxa"/>
            <w:vAlign w:val="center"/>
          </w:tcPr>
          <w:p>
            <w:pPr>
              <w:pStyle w:val="10"/>
            </w:pPr>
            <w:r>
              <w:t>项目名称</w:t>
            </w:r>
          </w:p>
        </w:tc>
        <w:tc>
          <w:tcPr>
            <w:tcW w:w="6095" w:type="dxa"/>
            <w:gridSpan w:val="3"/>
            <w:vAlign w:val="center"/>
          </w:tcPr>
          <w:p>
            <w:pPr>
              <w:pStyle w:val="12"/>
            </w:pPr>
            <w:r>
              <w:t>公务用车购置经费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购置公务用车1辆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1.购置公务用车一辆，用于深入各乡镇街道、重点村居和“两企三新”基层党组织等基层一线进行实地督查指导，推进工作落实，保障各项工作有效开展。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单位购置成本（元/台、件、辆、</w:t>
            </w:r>
          </w:p>
        </w:tc>
        <w:tc>
          <w:tcPr>
            <w:tcW w:w="5386" w:type="dxa"/>
            <w:vAlign w:val="center"/>
          </w:tcPr>
          <w:p>
            <w:pPr>
              <w:pStyle w:val="12"/>
            </w:pPr>
            <w:r>
              <w:t>购置总成本/购置数量</w:t>
            </w:r>
          </w:p>
        </w:tc>
        <w:tc>
          <w:tcPr>
            <w:tcW w:w="2268" w:type="dxa"/>
            <w:vAlign w:val="center"/>
          </w:tcPr>
          <w:p>
            <w:pPr>
              <w:pStyle w:val="12"/>
            </w:pPr>
            <w:r>
              <w:t>≤18万元/辆</w:t>
            </w:r>
          </w:p>
        </w:tc>
        <w:tc>
          <w:tcPr>
            <w:tcW w:w="1276" w:type="dxa"/>
            <w:vAlign w:val="center"/>
          </w:tcPr>
          <w:p>
            <w:pPr>
              <w:pStyle w:val="12"/>
            </w:pPr>
            <w:r>
              <w:t>资产配置标准文件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购置程序合规性</w:t>
            </w:r>
          </w:p>
        </w:tc>
        <w:tc>
          <w:tcPr>
            <w:tcW w:w="5386" w:type="dxa"/>
            <w:vAlign w:val="center"/>
          </w:tcPr>
          <w:p>
            <w:pPr>
              <w:pStyle w:val="12"/>
            </w:pPr>
            <w:r>
              <w:t>反应履行政府采购程序情况</w:t>
            </w:r>
          </w:p>
        </w:tc>
        <w:tc>
          <w:tcPr>
            <w:tcW w:w="2268" w:type="dxa"/>
            <w:vAlign w:val="center"/>
          </w:tcPr>
          <w:p>
            <w:pPr>
              <w:pStyle w:val="12"/>
            </w:pPr>
            <w:r>
              <w:t>合规</w:t>
            </w:r>
          </w:p>
        </w:tc>
        <w:tc>
          <w:tcPr>
            <w:tcW w:w="1276" w:type="dxa"/>
            <w:vAlign w:val="center"/>
          </w:tcPr>
          <w:p>
            <w:pPr>
              <w:pStyle w:val="12"/>
            </w:pPr>
            <w:r>
              <w:t>政府采购管理文件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购置计划执行率</w:t>
            </w:r>
          </w:p>
        </w:tc>
        <w:tc>
          <w:tcPr>
            <w:tcW w:w="5386" w:type="dxa"/>
            <w:vAlign w:val="center"/>
          </w:tcPr>
          <w:p>
            <w:pPr>
              <w:pStyle w:val="12"/>
            </w:pPr>
            <w:r>
              <w:t>按照计划购买的货物/计划购买货物*100%</w:t>
            </w:r>
          </w:p>
        </w:tc>
        <w:tc>
          <w:tcPr>
            <w:tcW w:w="2268" w:type="dxa"/>
            <w:vAlign w:val="center"/>
          </w:tcPr>
          <w:p>
            <w:pPr>
              <w:pStyle w:val="12"/>
            </w:pPr>
            <w:r>
              <w:t>100%</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车辆购置数量</w:t>
            </w:r>
          </w:p>
        </w:tc>
        <w:tc>
          <w:tcPr>
            <w:tcW w:w="5386" w:type="dxa"/>
            <w:vAlign w:val="center"/>
          </w:tcPr>
          <w:p>
            <w:pPr>
              <w:pStyle w:val="12"/>
            </w:pPr>
            <w:r>
              <w:t>反应车辆购置数量情况</w:t>
            </w:r>
          </w:p>
        </w:tc>
        <w:tc>
          <w:tcPr>
            <w:tcW w:w="2268" w:type="dxa"/>
            <w:vAlign w:val="center"/>
          </w:tcPr>
          <w:p>
            <w:pPr>
              <w:pStyle w:val="12"/>
            </w:pPr>
            <w:r>
              <w:t>1辆</w:t>
            </w:r>
          </w:p>
        </w:tc>
        <w:tc>
          <w:tcPr>
            <w:tcW w:w="1276" w:type="dxa"/>
            <w:vAlign w:val="center"/>
          </w:tcPr>
          <w:p>
            <w:pPr>
              <w:pStyle w:val="12"/>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为社会工作提供保障</w:t>
            </w:r>
          </w:p>
        </w:tc>
        <w:tc>
          <w:tcPr>
            <w:tcW w:w="5386" w:type="dxa"/>
            <w:vAlign w:val="center"/>
          </w:tcPr>
          <w:p>
            <w:pPr>
              <w:pStyle w:val="12"/>
            </w:pPr>
            <w:r>
              <w:t>为社会工作提供保障</w:t>
            </w:r>
          </w:p>
        </w:tc>
        <w:tc>
          <w:tcPr>
            <w:tcW w:w="2268" w:type="dxa"/>
            <w:vAlign w:val="center"/>
          </w:tcPr>
          <w:p>
            <w:pPr>
              <w:pStyle w:val="12"/>
            </w:pPr>
            <w:r>
              <w:t>有效保障</w:t>
            </w:r>
          </w:p>
        </w:tc>
        <w:tc>
          <w:tcPr>
            <w:tcW w:w="1276" w:type="dxa"/>
            <w:vAlign w:val="center"/>
          </w:tcPr>
          <w:p>
            <w:pPr>
              <w:pStyle w:val="12"/>
            </w:pPr>
            <w:r>
              <w:t>社会工作内容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单位内部使用者满意度</w:t>
            </w:r>
          </w:p>
        </w:tc>
        <w:tc>
          <w:tcPr>
            <w:tcW w:w="5386" w:type="dxa"/>
            <w:vAlign w:val="center"/>
          </w:tcPr>
          <w:p>
            <w:pPr>
              <w:pStyle w:val="12"/>
            </w:pPr>
            <w:r>
              <w:t>单位内部使用者满意度</w:t>
            </w:r>
          </w:p>
        </w:tc>
        <w:tc>
          <w:tcPr>
            <w:tcW w:w="2268" w:type="dxa"/>
            <w:vAlign w:val="center"/>
          </w:tcPr>
          <w:p>
            <w:pPr>
              <w:pStyle w:val="12"/>
            </w:pPr>
            <w:r>
              <w:t>100%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2、业务工作经费绩效目标表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13020725P00001310003H</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为保障区委社会工作部发挥各项功能，完成各项工作。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1.推进党组织建设和当地工作“两个覆盖”，坚持抓基础，促提升，强示范，不断释放“两企三新”新功能。完善党建引领基层治理机制，切实推动社会工作部各项工作顺利开展。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示范创建率</w:t>
            </w:r>
          </w:p>
        </w:tc>
        <w:tc>
          <w:tcPr>
            <w:tcW w:w="5386" w:type="dxa"/>
            <w:vAlign w:val="center"/>
          </w:tcPr>
          <w:p>
            <w:pPr>
              <w:pStyle w:val="12"/>
            </w:pPr>
            <w:r>
              <w:t>反应全区“两企三新”党建示范点创建率</w:t>
            </w:r>
          </w:p>
        </w:tc>
        <w:tc>
          <w:tcPr>
            <w:tcW w:w="2268" w:type="dxa"/>
            <w:vAlign w:val="center"/>
          </w:tcPr>
          <w:p>
            <w:pPr>
              <w:pStyle w:val="12"/>
            </w:pPr>
            <w:r>
              <w:t>≥30%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新就业群体就业服务保障经费利用率</w:t>
            </w:r>
          </w:p>
        </w:tc>
        <w:tc>
          <w:tcPr>
            <w:tcW w:w="5386" w:type="dxa"/>
            <w:vAlign w:val="center"/>
          </w:tcPr>
          <w:p>
            <w:pPr>
              <w:pStyle w:val="12"/>
            </w:pPr>
            <w:r>
              <w:t>反应对新就业群体就业服务保障经费的资金利用率</w:t>
            </w:r>
          </w:p>
        </w:tc>
        <w:tc>
          <w:tcPr>
            <w:tcW w:w="2268" w:type="dxa"/>
            <w:vAlign w:val="center"/>
          </w:tcPr>
          <w:p>
            <w:pPr>
              <w:pStyle w:val="12"/>
            </w:pPr>
            <w:r>
              <w:t>≥95%</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w:t>
            </w:r>
          </w:p>
        </w:tc>
        <w:tc>
          <w:tcPr>
            <w:tcW w:w="5386" w:type="dxa"/>
            <w:vAlign w:val="center"/>
          </w:tcPr>
          <w:p>
            <w:pPr>
              <w:pStyle w:val="12"/>
            </w:pPr>
            <w:r>
              <w:t>按照工作计划完成社会工作各项任务</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预算内完成任务</w:t>
            </w:r>
          </w:p>
        </w:tc>
        <w:tc>
          <w:tcPr>
            <w:tcW w:w="5386" w:type="dxa"/>
            <w:vAlign w:val="center"/>
          </w:tcPr>
          <w:p>
            <w:pPr>
              <w:pStyle w:val="12"/>
            </w:pPr>
            <w:r>
              <w:t>项目执行实际花费资金占预算资金比重</w:t>
            </w:r>
          </w:p>
        </w:tc>
        <w:tc>
          <w:tcPr>
            <w:tcW w:w="2268" w:type="dxa"/>
            <w:vAlign w:val="center"/>
          </w:tcPr>
          <w:p>
            <w:pPr>
              <w:pStyle w:val="12"/>
            </w:pPr>
            <w:r>
              <w:t>≤100%</w:t>
            </w:r>
          </w:p>
        </w:tc>
        <w:tc>
          <w:tcPr>
            <w:tcW w:w="1276" w:type="dxa"/>
            <w:vAlign w:val="center"/>
          </w:tcPr>
          <w:p>
            <w:pPr>
              <w:pStyle w:val="12"/>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为志愿服务工作提供保障</w:t>
            </w:r>
          </w:p>
        </w:tc>
        <w:tc>
          <w:tcPr>
            <w:tcW w:w="5386" w:type="dxa"/>
            <w:vAlign w:val="center"/>
          </w:tcPr>
          <w:p>
            <w:pPr>
              <w:pStyle w:val="12"/>
            </w:pPr>
            <w:r>
              <w:t>为志愿服务工作提供保障</w:t>
            </w:r>
          </w:p>
        </w:tc>
        <w:tc>
          <w:tcPr>
            <w:tcW w:w="2268" w:type="dxa"/>
            <w:vAlign w:val="center"/>
          </w:tcPr>
          <w:p>
            <w:pPr>
              <w:pStyle w:val="12"/>
            </w:pPr>
            <w:r>
              <w:t>有效保障</w:t>
            </w:r>
          </w:p>
        </w:tc>
        <w:tc>
          <w:tcPr>
            <w:tcW w:w="1276" w:type="dxa"/>
            <w:vAlign w:val="center"/>
          </w:tcPr>
          <w:p>
            <w:pPr>
              <w:pStyle w:val="12"/>
            </w:pPr>
            <w:r>
              <w:t>社会工作内容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社会公众或服务对象对部门主要职能工作开展情况的满意程度，一般采用调查问卷、访谈等方式</w:t>
            </w:r>
          </w:p>
        </w:tc>
        <w:tc>
          <w:tcPr>
            <w:tcW w:w="2268" w:type="dxa"/>
            <w:vAlign w:val="center"/>
          </w:tcPr>
          <w:p>
            <w:pPr>
              <w:pStyle w:val="12"/>
            </w:pPr>
            <w:r>
              <w:t>≥95%</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tabs>
          <w:tab w:val="left" w:pos="1175"/>
        </w:tabs>
        <w:spacing w:before="0" w:after="0" w:line="240" w:lineRule="auto"/>
        <w:ind w:firstLine="0"/>
        <w:jc w:val="left"/>
        <w:outlineLvl w:val="9"/>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eastAsia="zh-CN"/>
        </w:rPr>
        <w:tab/>
      </w:r>
      <w:r>
        <w:rPr>
          <w:rFonts w:hint="eastAsia" w:ascii="Times New Roman" w:hAnsi="Times New Roman" w:eastAsia="方正仿宋_GBK" w:cs="Times New Roman"/>
          <w:sz w:val="28"/>
          <w:szCs w:val="22"/>
          <w:lang w:val="en-US" w:eastAsia="zh-CN"/>
        </w:rPr>
        <w:t>202</w:t>
      </w:r>
      <w:r>
        <w:rPr>
          <w:rFonts w:hint="eastAsia" w:eastAsia="方正仿宋_GBK" w:cs="Times New Roman"/>
          <w:sz w:val="28"/>
          <w:szCs w:val="22"/>
          <w:lang w:val="en-US" w:eastAsia="zh-CN"/>
        </w:rPr>
        <w:t>5</w:t>
      </w:r>
      <w:r>
        <w:rPr>
          <w:rFonts w:hint="eastAsia" w:ascii="Times New Roman" w:hAnsi="Times New Roman" w:eastAsia="方正仿宋_GBK" w:cs="Times New Roman"/>
          <w:sz w:val="28"/>
          <w:szCs w:val="22"/>
          <w:lang w:val="en-US" w:eastAsia="zh-CN"/>
        </w:rPr>
        <w:t>年，中共唐山市丰南区委社会工作部安排本级政</w:t>
      </w:r>
      <w:bookmarkStart w:id="1" w:name="_GoBack"/>
      <w:bookmarkEnd w:id="1"/>
      <w:r>
        <w:rPr>
          <w:rFonts w:hint="eastAsia" w:ascii="Times New Roman" w:hAnsi="Times New Roman" w:eastAsia="方正仿宋_GBK" w:cs="Times New Roman"/>
          <w:sz w:val="28"/>
          <w:szCs w:val="22"/>
          <w:lang w:val="en-US" w:eastAsia="zh-CN"/>
        </w:rPr>
        <w:t>府采购预算0.00万元。具体情况见下表：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中共唐山市丰南区委社会工作部上年末固定资产金额为20.46万元（详见下表）。本年度拟购置固定资产总额为18.00万元，已按要求列入政府采购预算，详见政府采购预算表。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335001中共唐山市丰南区委社会工作部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124</w:t>
            </w:r>
          </w:p>
        </w:tc>
        <w:tc>
          <w:tcPr>
            <w:tcW w:w="2835" w:type="dxa"/>
            <w:vAlign w:val="center"/>
          </w:tcPr>
          <w:p>
            <w:pPr>
              <w:pStyle w:val="11"/>
            </w:pPr>
            <w:r>
              <w:t>20.46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33AE"/>
    <w:rsid w:val="15B73DC4"/>
    <w:rsid w:val="15DA029F"/>
    <w:rsid w:val="1A181919"/>
    <w:rsid w:val="1A506C4C"/>
    <w:rsid w:val="1A687C28"/>
    <w:rsid w:val="1A906653"/>
    <w:rsid w:val="1C8759E6"/>
    <w:rsid w:val="1CCF032D"/>
    <w:rsid w:val="1D2D09D7"/>
    <w:rsid w:val="1E2E3D38"/>
    <w:rsid w:val="21573775"/>
    <w:rsid w:val="217F52AA"/>
    <w:rsid w:val="31A30AD2"/>
    <w:rsid w:val="3B7F0811"/>
    <w:rsid w:val="3DFD6F6E"/>
    <w:rsid w:val="4B1B2B27"/>
    <w:rsid w:val="4EEF06D9"/>
    <w:rsid w:val="50CB6485"/>
    <w:rsid w:val="52C7283B"/>
    <w:rsid w:val="535002FC"/>
    <w:rsid w:val="66EF50DF"/>
    <w:rsid w:val="68A071B8"/>
    <w:rsid w:val="68EB7F69"/>
    <w:rsid w:val="6DEE41F9"/>
    <w:rsid w:val="6F460E38"/>
    <w:rsid w:val="7FCE70B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TotalTime>10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2025-01-22T15:37:00Z</dcterms:created>
  <dc:creator>Administrator</dc:creator>
  <cp:lastModifiedBy>Administrator</cp:lastModifiedBy>
  <dcterms:modified xsi:type="dcterms:W3CDTF">2025-02-07T06:47:37Z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