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bookmarkStart w:id="20" w:name="_GoBack"/>
      <w:bookmarkEnd w:id="20"/>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val="en-US" w:eastAsia="zh-CN"/>
        </w:rPr>
        <w:t>22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330唐山市丰南区司法局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2005.02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1641.63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2005.02</w:t>
            </w:r>
          </w:p>
        </w:tc>
        <w:tc>
          <w:tcPr>
            <w:tcW w:w="4535" w:type="dxa"/>
            <w:vAlign w:val="center"/>
          </w:tcPr>
          <w:p>
            <w:pPr>
              <w:pStyle w:val="15"/>
            </w:pPr>
            <w:r>
              <w:t>本年支出合计</w:t>
            </w:r>
          </w:p>
        </w:tc>
        <w:tc>
          <w:tcPr>
            <w:tcW w:w="2126" w:type="dxa"/>
            <w:vAlign w:val="center"/>
          </w:tcPr>
          <w:p>
            <w:pPr>
              <w:pStyle w:val="16"/>
            </w:pPr>
            <w:r>
              <w:t>2005.50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0.48</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2005.50</w:t>
            </w:r>
          </w:p>
        </w:tc>
        <w:tc>
          <w:tcPr>
            <w:tcW w:w="4535" w:type="dxa"/>
            <w:vAlign w:val="center"/>
          </w:tcPr>
          <w:p>
            <w:pPr>
              <w:pStyle w:val="15"/>
            </w:pPr>
            <w:r>
              <w:t>支出总计</w:t>
            </w:r>
          </w:p>
        </w:tc>
        <w:tc>
          <w:tcPr>
            <w:tcW w:w="2126" w:type="dxa"/>
            <w:vAlign w:val="center"/>
          </w:tcPr>
          <w:p>
            <w:pPr>
              <w:pStyle w:val="16"/>
            </w:pPr>
            <w:r>
              <w:t>2005.50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330唐山市丰南区司法局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2005.50</w:t>
            </w:r>
          </w:p>
        </w:tc>
        <w:tc>
          <w:tcPr>
            <w:tcW w:w="1134" w:type="dxa"/>
            <w:vAlign w:val="center"/>
          </w:tcPr>
          <w:p>
            <w:pPr>
              <w:pStyle w:val="16"/>
            </w:pPr>
            <w:r>
              <w:t>2005.02</w:t>
            </w:r>
          </w:p>
        </w:tc>
        <w:tc>
          <w:tcPr>
            <w:tcW w:w="1134" w:type="dxa"/>
            <w:vAlign w:val="center"/>
          </w:tcPr>
          <w:p>
            <w:pPr>
              <w:pStyle w:val="16"/>
            </w:pPr>
            <w:r>
              <w:t>2005.02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1641.63</w:t>
            </w:r>
          </w:p>
        </w:tc>
        <w:tc>
          <w:tcPr>
            <w:tcW w:w="1134" w:type="dxa"/>
            <w:vAlign w:val="center"/>
          </w:tcPr>
          <w:p>
            <w:pPr>
              <w:pStyle w:val="12"/>
            </w:pPr>
            <w:r>
              <w:t>1641.15</w:t>
            </w:r>
          </w:p>
        </w:tc>
        <w:tc>
          <w:tcPr>
            <w:tcW w:w="1134" w:type="dxa"/>
            <w:vAlign w:val="center"/>
          </w:tcPr>
          <w:p>
            <w:pPr>
              <w:pStyle w:val="12"/>
            </w:pPr>
            <w:r>
              <w:t>1641.15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1641.63</w:t>
            </w:r>
          </w:p>
        </w:tc>
        <w:tc>
          <w:tcPr>
            <w:tcW w:w="1134" w:type="dxa"/>
            <w:vAlign w:val="center"/>
          </w:tcPr>
          <w:p>
            <w:pPr>
              <w:pStyle w:val="12"/>
            </w:pPr>
            <w:r>
              <w:t>1641.15</w:t>
            </w:r>
          </w:p>
        </w:tc>
        <w:tc>
          <w:tcPr>
            <w:tcW w:w="1134" w:type="dxa"/>
            <w:vAlign w:val="center"/>
          </w:tcPr>
          <w:p>
            <w:pPr>
              <w:pStyle w:val="12"/>
            </w:pPr>
            <w:r>
              <w:t>1641.15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2040601</w:t>
            </w:r>
          </w:p>
        </w:tc>
        <w:tc>
          <w:tcPr>
            <w:tcW w:w="1559" w:type="dxa"/>
            <w:vAlign w:val="center"/>
          </w:tcPr>
          <w:p>
            <w:pPr>
              <w:pStyle w:val="13"/>
            </w:pPr>
            <w:r>
              <w:t>行政运行</w:t>
            </w:r>
          </w:p>
        </w:tc>
        <w:tc>
          <w:tcPr>
            <w:tcW w:w="1134" w:type="dxa"/>
            <w:vAlign w:val="center"/>
          </w:tcPr>
          <w:p>
            <w:pPr>
              <w:pStyle w:val="12"/>
            </w:pPr>
            <w:r>
              <w:t>999.25</w:t>
            </w:r>
          </w:p>
        </w:tc>
        <w:tc>
          <w:tcPr>
            <w:tcW w:w="1134" w:type="dxa"/>
            <w:vAlign w:val="center"/>
          </w:tcPr>
          <w:p>
            <w:pPr>
              <w:pStyle w:val="12"/>
            </w:pPr>
            <w:r>
              <w:t>999.25</w:t>
            </w:r>
          </w:p>
        </w:tc>
        <w:tc>
          <w:tcPr>
            <w:tcW w:w="1134" w:type="dxa"/>
            <w:vAlign w:val="center"/>
          </w:tcPr>
          <w:p>
            <w:pPr>
              <w:pStyle w:val="12"/>
            </w:pPr>
            <w:r>
              <w:t>999.25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2040604</w:t>
            </w:r>
          </w:p>
        </w:tc>
        <w:tc>
          <w:tcPr>
            <w:tcW w:w="1559" w:type="dxa"/>
            <w:vAlign w:val="center"/>
          </w:tcPr>
          <w:p>
            <w:pPr>
              <w:pStyle w:val="13"/>
            </w:pPr>
            <w:r>
              <w:t>基层司法业务</w:t>
            </w:r>
          </w:p>
        </w:tc>
        <w:tc>
          <w:tcPr>
            <w:tcW w:w="1134" w:type="dxa"/>
            <w:vAlign w:val="center"/>
          </w:tcPr>
          <w:p>
            <w:pPr>
              <w:pStyle w:val="12"/>
            </w:pPr>
            <w:r>
              <w:t>615.08</w:t>
            </w:r>
          </w:p>
        </w:tc>
        <w:tc>
          <w:tcPr>
            <w:tcW w:w="1134" w:type="dxa"/>
            <w:vAlign w:val="center"/>
          </w:tcPr>
          <w:p>
            <w:pPr>
              <w:pStyle w:val="12"/>
            </w:pPr>
            <w:r>
              <w:t>614.60</w:t>
            </w:r>
          </w:p>
        </w:tc>
        <w:tc>
          <w:tcPr>
            <w:tcW w:w="1134" w:type="dxa"/>
            <w:vAlign w:val="center"/>
          </w:tcPr>
          <w:p>
            <w:pPr>
              <w:pStyle w:val="12"/>
            </w:pPr>
            <w:r>
              <w:t>614.60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2040607</w:t>
            </w:r>
          </w:p>
        </w:tc>
        <w:tc>
          <w:tcPr>
            <w:tcW w:w="1559" w:type="dxa"/>
            <w:vAlign w:val="center"/>
          </w:tcPr>
          <w:p>
            <w:pPr>
              <w:pStyle w:val="13"/>
            </w:pPr>
            <w:r>
              <w:t>公共法律服务</w:t>
            </w:r>
          </w:p>
        </w:tc>
        <w:tc>
          <w:tcPr>
            <w:tcW w:w="1134" w:type="dxa"/>
            <w:vAlign w:val="center"/>
          </w:tcPr>
          <w:p>
            <w:pPr>
              <w:pStyle w:val="12"/>
            </w:pPr>
            <w:r>
              <w:t>27.30</w:t>
            </w:r>
          </w:p>
        </w:tc>
        <w:tc>
          <w:tcPr>
            <w:tcW w:w="1134" w:type="dxa"/>
            <w:vAlign w:val="center"/>
          </w:tcPr>
          <w:p>
            <w:pPr>
              <w:pStyle w:val="12"/>
            </w:pPr>
            <w:r>
              <w:t>27.30</w:t>
            </w:r>
          </w:p>
        </w:tc>
        <w:tc>
          <w:tcPr>
            <w:tcW w:w="1134" w:type="dxa"/>
            <w:vAlign w:val="center"/>
          </w:tcPr>
          <w:p>
            <w:pPr>
              <w:pStyle w:val="12"/>
            </w:pPr>
            <w:r>
              <w:t>27.30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192.42</w:t>
            </w:r>
          </w:p>
        </w:tc>
        <w:tc>
          <w:tcPr>
            <w:tcW w:w="1134" w:type="dxa"/>
            <w:vAlign w:val="center"/>
          </w:tcPr>
          <w:p>
            <w:pPr>
              <w:pStyle w:val="12"/>
            </w:pPr>
            <w:r>
              <w:t>192.42</w:t>
            </w:r>
          </w:p>
        </w:tc>
        <w:tc>
          <w:tcPr>
            <w:tcW w:w="1134" w:type="dxa"/>
            <w:vAlign w:val="center"/>
          </w:tcPr>
          <w:p>
            <w:pPr>
              <w:pStyle w:val="12"/>
            </w:pPr>
            <w:r>
              <w:t>192.42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192.42</w:t>
            </w:r>
          </w:p>
        </w:tc>
        <w:tc>
          <w:tcPr>
            <w:tcW w:w="1134" w:type="dxa"/>
            <w:vAlign w:val="center"/>
          </w:tcPr>
          <w:p>
            <w:pPr>
              <w:pStyle w:val="12"/>
            </w:pPr>
            <w:r>
              <w:t>192.42</w:t>
            </w:r>
          </w:p>
        </w:tc>
        <w:tc>
          <w:tcPr>
            <w:tcW w:w="1134" w:type="dxa"/>
            <w:vAlign w:val="center"/>
          </w:tcPr>
          <w:p>
            <w:pPr>
              <w:pStyle w:val="12"/>
            </w:pPr>
            <w:r>
              <w:t>192.42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87.13</w:t>
            </w:r>
          </w:p>
        </w:tc>
        <w:tc>
          <w:tcPr>
            <w:tcW w:w="1134" w:type="dxa"/>
            <w:vAlign w:val="center"/>
          </w:tcPr>
          <w:p>
            <w:pPr>
              <w:pStyle w:val="12"/>
            </w:pPr>
            <w:r>
              <w:t>87.13</w:t>
            </w:r>
          </w:p>
        </w:tc>
        <w:tc>
          <w:tcPr>
            <w:tcW w:w="1134" w:type="dxa"/>
            <w:vAlign w:val="center"/>
          </w:tcPr>
          <w:p>
            <w:pPr>
              <w:pStyle w:val="12"/>
            </w:pPr>
            <w:r>
              <w:t>87.13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105.29</w:t>
            </w:r>
          </w:p>
        </w:tc>
        <w:tc>
          <w:tcPr>
            <w:tcW w:w="1134" w:type="dxa"/>
            <w:vAlign w:val="center"/>
          </w:tcPr>
          <w:p>
            <w:pPr>
              <w:pStyle w:val="12"/>
            </w:pPr>
            <w:r>
              <w:t>105.29</w:t>
            </w:r>
          </w:p>
        </w:tc>
        <w:tc>
          <w:tcPr>
            <w:tcW w:w="1134" w:type="dxa"/>
            <w:vAlign w:val="center"/>
          </w:tcPr>
          <w:p>
            <w:pPr>
              <w:pStyle w:val="12"/>
            </w:pPr>
            <w:r>
              <w:t>105.29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86.01</w:t>
            </w:r>
          </w:p>
        </w:tc>
        <w:tc>
          <w:tcPr>
            <w:tcW w:w="1134" w:type="dxa"/>
            <w:vAlign w:val="center"/>
          </w:tcPr>
          <w:p>
            <w:pPr>
              <w:pStyle w:val="12"/>
            </w:pPr>
            <w:r>
              <w:t>86.01</w:t>
            </w:r>
          </w:p>
        </w:tc>
        <w:tc>
          <w:tcPr>
            <w:tcW w:w="1134" w:type="dxa"/>
            <w:vAlign w:val="center"/>
          </w:tcPr>
          <w:p>
            <w:pPr>
              <w:pStyle w:val="12"/>
            </w:pPr>
            <w:r>
              <w:t>86.01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86.01</w:t>
            </w:r>
          </w:p>
        </w:tc>
        <w:tc>
          <w:tcPr>
            <w:tcW w:w="1134" w:type="dxa"/>
            <w:vAlign w:val="center"/>
          </w:tcPr>
          <w:p>
            <w:pPr>
              <w:pStyle w:val="12"/>
            </w:pPr>
            <w:r>
              <w:t>86.01</w:t>
            </w:r>
          </w:p>
        </w:tc>
        <w:tc>
          <w:tcPr>
            <w:tcW w:w="1134" w:type="dxa"/>
            <w:vAlign w:val="center"/>
          </w:tcPr>
          <w:p>
            <w:pPr>
              <w:pStyle w:val="12"/>
            </w:pPr>
            <w:r>
              <w:t>86.01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40.89</w:t>
            </w:r>
          </w:p>
        </w:tc>
        <w:tc>
          <w:tcPr>
            <w:tcW w:w="1134" w:type="dxa"/>
            <w:vAlign w:val="center"/>
          </w:tcPr>
          <w:p>
            <w:pPr>
              <w:pStyle w:val="12"/>
            </w:pPr>
            <w:r>
              <w:t>40.89</w:t>
            </w:r>
          </w:p>
        </w:tc>
        <w:tc>
          <w:tcPr>
            <w:tcW w:w="1134" w:type="dxa"/>
            <w:vAlign w:val="center"/>
          </w:tcPr>
          <w:p>
            <w:pPr>
              <w:pStyle w:val="12"/>
            </w:pPr>
            <w:r>
              <w:t>40.89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45.12</w:t>
            </w:r>
          </w:p>
        </w:tc>
        <w:tc>
          <w:tcPr>
            <w:tcW w:w="1134" w:type="dxa"/>
            <w:vAlign w:val="center"/>
          </w:tcPr>
          <w:p>
            <w:pPr>
              <w:pStyle w:val="12"/>
            </w:pPr>
            <w:r>
              <w:t>45.12</w:t>
            </w:r>
          </w:p>
        </w:tc>
        <w:tc>
          <w:tcPr>
            <w:tcW w:w="1134" w:type="dxa"/>
            <w:vAlign w:val="center"/>
          </w:tcPr>
          <w:p>
            <w:pPr>
              <w:pStyle w:val="12"/>
            </w:pPr>
            <w:r>
              <w:t>45.12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85.44</w:t>
            </w:r>
          </w:p>
        </w:tc>
        <w:tc>
          <w:tcPr>
            <w:tcW w:w="1134" w:type="dxa"/>
            <w:vAlign w:val="center"/>
          </w:tcPr>
          <w:p>
            <w:pPr>
              <w:pStyle w:val="12"/>
            </w:pPr>
            <w:r>
              <w:t>85.44</w:t>
            </w:r>
          </w:p>
        </w:tc>
        <w:tc>
          <w:tcPr>
            <w:tcW w:w="1134" w:type="dxa"/>
            <w:vAlign w:val="center"/>
          </w:tcPr>
          <w:p>
            <w:pPr>
              <w:pStyle w:val="12"/>
            </w:pPr>
            <w:r>
              <w:t>85.44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85.44</w:t>
            </w:r>
          </w:p>
        </w:tc>
        <w:tc>
          <w:tcPr>
            <w:tcW w:w="1134" w:type="dxa"/>
            <w:vAlign w:val="center"/>
          </w:tcPr>
          <w:p>
            <w:pPr>
              <w:pStyle w:val="12"/>
            </w:pPr>
            <w:r>
              <w:t>85.44</w:t>
            </w:r>
          </w:p>
        </w:tc>
        <w:tc>
          <w:tcPr>
            <w:tcW w:w="1134" w:type="dxa"/>
            <w:vAlign w:val="center"/>
          </w:tcPr>
          <w:p>
            <w:pPr>
              <w:pStyle w:val="12"/>
            </w:pPr>
            <w:r>
              <w:t>85.44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85.44</w:t>
            </w:r>
          </w:p>
        </w:tc>
        <w:tc>
          <w:tcPr>
            <w:tcW w:w="1134" w:type="dxa"/>
            <w:vAlign w:val="center"/>
          </w:tcPr>
          <w:p>
            <w:pPr>
              <w:pStyle w:val="12"/>
            </w:pPr>
            <w:r>
              <w:t>85.44</w:t>
            </w:r>
          </w:p>
        </w:tc>
        <w:tc>
          <w:tcPr>
            <w:tcW w:w="1134" w:type="dxa"/>
            <w:vAlign w:val="center"/>
          </w:tcPr>
          <w:p>
            <w:pPr>
              <w:pStyle w:val="12"/>
            </w:pPr>
            <w:r>
              <w:t>85.44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2005.50</w:t>
            </w:r>
          </w:p>
        </w:tc>
        <w:tc>
          <w:tcPr>
            <w:tcW w:w="1361" w:type="dxa"/>
            <w:vAlign w:val="center"/>
          </w:tcPr>
          <w:p>
            <w:pPr>
              <w:pStyle w:val="16"/>
            </w:pPr>
            <w:r>
              <w:t>1363.12</w:t>
            </w:r>
          </w:p>
        </w:tc>
        <w:tc>
          <w:tcPr>
            <w:tcW w:w="1361" w:type="dxa"/>
            <w:vAlign w:val="center"/>
          </w:tcPr>
          <w:p>
            <w:pPr>
              <w:pStyle w:val="16"/>
            </w:pPr>
            <w:r>
              <w:t>642.38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1641.63</w:t>
            </w:r>
          </w:p>
        </w:tc>
        <w:tc>
          <w:tcPr>
            <w:tcW w:w="1361" w:type="dxa"/>
            <w:vAlign w:val="center"/>
          </w:tcPr>
          <w:p>
            <w:pPr>
              <w:pStyle w:val="12"/>
            </w:pPr>
            <w:r>
              <w:t>999.25</w:t>
            </w:r>
          </w:p>
        </w:tc>
        <w:tc>
          <w:tcPr>
            <w:tcW w:w="1361" w:type="dxa"/>
            <w:vAlign w:val="center"/>
          </w:tcPr>
          <w:p>
            <w:pPr>
              <w:pStyle w:val="12"/>
            </w:pPr>
            <w:r>
              <w:t>642.38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1641.63</w:t>
            </w:r>
          </w:p>
        </w:tc>
        <w:tc>
          <w:tcPr>
            <w:tcW w:w="1361" w:type="dxa"/>
            <w:vAlign w:val="center"/>
          </w:tcPr>
          <w:p>
            <w:pPr>
              <w:pStyle w:val="12"/>
            </w:pPr>
            <w:r>
              <w:t>999.25</w:t>
            </w:r>
          </w:p>
        </w:tc>
        <w:tc>
          <w:tcPr>
            <w:tcW w:w="1361" w:type="dxa"/>
            <w:vAlign w:val="center"/>
          </w:tcPr>
          <w:p>
            <w:pPr>
              <w:pStyle w:val="12"/>
            </w:pPr>
            <w:r>
              <w:t>642.38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2040601</w:t>
            </w:r>
          </w:p>
        </w:tc>
        <w:tc>
          <w:tcPr>
            <w:tcW w:w="4535" w:type="dxa"/>
            <w:vAlign w:val="center"/>
          </w:tcPr>
          <w:p>
            <w:pPr>
              <w:pStyle w:val="13"/>
            </w:pPr>
            <w:r>
              <w:t>行政运行</w:t>
            </w:r>
          </w:p>
        </w:tc>
        <w:tc>
          <w:tcPr>
            <w:tcW w:w="1361" w:type="dxa"/>
            <w:vAlign w:val="center"/>
          </w:tcPr>
          <w:p>
            <w:pPr>
              <w:pStyle w:val="12"/>
            </w:pPr>
            <w:r>
              <w:t>999.25</w:t>
            </w:r>
          </w:p>
        </w:tc>
        <w:tc>
          <w:tcPr>
            <w:tcW w:w="1361" w:type="dxa"/>
            <w:vAlign w:val="center"/>
          </w:tcPr>
          <w:p>
            <w:pPr>
              <w:pStyle w:val="12"/>
            </w:pPr>
            <w:r>
              <w:t>999.25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2040604</w:t>
            </w:r>
          </w:p>
        </w:tc>
        <w:tc>
          <w:tcPr>
            <w:tcW w:w="4535" w:type="dxa"/>
            <w:vAlign w:val="center"/>
          </w:tcPr>
          <w:p>
            <w:pPr>
              <w:pStyle w:val="13"/>
            </w:pPr>
            <w:r>
              <w:t>基层司法业务</w:t>
            </w:r>
          </w:p>
        </w:tc>
        <w:tc>
          <w:tcPr>
            <w:tcW w:w="1361" w:type="dxa"/>
            <w:vAlign w:val="center"/>
          </w:tcPr>
          <w:p>
            <w:pPr>
              <w:pStyle w:val="12"/>
            </w:pPr>
            <w:r>
              <w:t>615.08</w:t>
            </w:r>
          </w:p>
        </w:tc>
        <w:tc>
          <w:tcPr>
            <w:tcW w:w="1361" w:type="dxa"/>
            <w:vAlign w:val="center"/>
          </w:tcPr>
          <w:p>
            <w:pPr>
              <w:pStyle w:val="12"/>
            </w:pPr>
          </w:p>
        </w:tc>
        <w:tc>
          <w:tcPr>
            <w:tcW w:w="1361" w:type="dxa"/>
            <w:vAlign w:val="center"/>
          </w:tcPr>
          <w:p>
            <w:pPr>
              <w:pStyle w:val="12"/>
            </w:pPr>
            <w:r>
              <w:t>615.08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2040607</w:t>
            </w:r>
          </w:p>
        </w:tc>
        <w:tc>
          <w:tcPr>
            <w:tcW w:w="4535" w:type="dxa"/>
            <w:vAlign w:val="center"/>
          </w:tcPr>
          <w:p>
            <w:pPr>
              <w:pStyle w:val="13"/>
            </w:pPr>
            <w:r>
              <w:t>公共法律服务</w:t>
            </w:r>
          </w:p>
        </w:tc>
        <w:tc>
          <w:tcPr>
            <w:tcW w:w="1361" w:type="dxa"/>
            <w:vAlign w:val="center"/>
          </w:tcPr>
          <w:p>
            <w:pPr>
              <w:pStyle w:val="12"/>
            </w:pPr>
            <w:r>
              <w:t>27.30</w:t>
            </w:r>
          </w:p>
        </w:tc>
        <w:tc>
          <w:tcPr>
            <w:tcW w:w="1361" w:type="dxa"/>
            <w:vAlign w:val="center"/>
          </w:tcPr>
          <w:p>
            <w:pPr>
              <w:pStyle w:val="12"/>
            </w:pPr>
          </w:p>
        </w:tc>
        <w:tc>
          <w:tcPr>
            <w:tcW w:w="1361" w:type="dxa"/>
            <w:vAlign w:val="center"/>
          </w:tcPr>
          <w:p>
            <w:pPr>
              <w:pStyle w:val="12"/>
            </w:pPr>
            <w:r>
              <w:t>27.30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192.42</w:t>
            </w:r>
          </w:p>
        </w:tc>
        <w:tc>
          <w:tcPr>
            <w:tcW w:w="1361" w:type="dxa"/>
            <w:vAlign w:val="center"/>
          </w:tcPr>
          <w:p>
            <w:pPr>
              <w:pStyle w:val="12"/>
            </w:pPr>
            <w:r>
              <w:t>192.42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192.42</w:t>
            </w:r>
          </w:p>
        </w:tc>
        <w:tc>
          <w:tcPr>
            <w:tcW w:w="1361" w:type="dxa"/>
            <w:vAlign w:val="center"/>
          </w:tcPr>
          <w:p>
            <w:pPr>
              <w:pStyle w:val="12"/>
            </w:pPr>
            <w:r>
              <w:t>192.42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87.13</w:t>
            </w:r>
          </w:p>
        </w:tc>
        <w:tc>
          <w:tcPr>
            <w:tcW w:w="1361" w:type="dxa"/>
            <w:vAlign w:val="center"/>
          </w:tcPr>
          <w:p>
            <w:pPr>
              <w:pStyle w:val="12"/>
            </w:pPr>
            <w:r>
              <w:t>87.13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105.29</w:t>
            </w:r>
          </w:p>
        </w:tc>
        <w:tc>
          <w:tcPr>
            <w:tcW w:w="1361" w:type="dxa"/>
            <w:vAlign w:val="center"/>
          </w:tcPr>
          <w:p>
            <w:pPr>
              <w:pStyle w:val="12"/>
            </w:pPr>
            <w:r>
              <w:t>105.29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86.01</w:t>
            </w:r>
          </w:p>
        </w:tc>
        <w:tc>
          <w:tcPr>
            <w:tcW w:w="1361" w:type="dxa"/>
            <w:vAlign w:val="center"/>
          </w:tcPr>
          <w:p>
            <w:pPr>
              <w:pStyle w:val="12"/>
            </w:pPr>
            <w:r>
              <w:t>86.01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86.01</w:t>
            </w:r>
          </w:p>
        </w:tc>
        <w:tc>
          <w:tcPr>
            <w:tcW w:w="1361" w:type="dxa"/>
            <w:vAlign w:val="center"/>
          </w:tcPr>
          <w:p>
            <w:pPr>
              <w:pStyle w:val="12"/>
            </w:pPr>
            <w:r>
              <w:t>86.01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40.89</w:t>
            </w:r>
          </w:p>
        </w:tc>
        <w:tc>
          <w:tcPr>
            <w:tcW w:w="1361" w:type="dxa"/>
            <w:vAlign w:val="center"/>
          </w:tcPr>
          <w:p>
            <w:pPr>
              <w:pStyle w:val="12"/>
            </w:pPr>
            <w:r>
              <w:t>40.89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45.12</w:t>
            </w:r>
          </w:p>
        </w:tc>
        <w:tc>
          <w:tcPr>
            <w:tcW w:w="1361" w:type="dxa"/>
            <w:vAlign w:val="center"/>
          </w:tcPr>
          <w:p>
            <w:pPr>
              <w:pStyle w:val="12"/>
            </w:pPr>
            <w:r>
              <w:t>45.12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85.44</w:t>
            </w:r>
          </w:p>
        </w:tc>
        <w:tc>
          <w:tcPr>
            <w:tcW w:w="1361" w:type="dxa"/>
            <w:vAlign w:val="center"/>
          </w:tcPr>
          <w:p>
            <w:pPr>
              <w:pStyle w:val="12"/>
            </w:pPr>
            <w:r>
              <w:t>85.44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85.44</w:t>
            </w:r>
          </w:p>
        </w:tc>
        <w:tc>
          <w:tcPr>
            <w:tcW w:w="1361" w:type="dxa"/>
            <w:vAlign w:val="center"/>
          </w:tcPr>
          <w:p>
            <w:pPr>
              <w:pStyle w:val="12"/>
            </w:pPr>
            <w:r>
              <w:t>85.44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85.44</w:t>
            </w:r>
          </w:p>
        </w:tc>
        <w:tc>
          <w:tcPr>
            <w:tcW w:w="1361" w:type="dxa"/>
            <w:vAlign w:val="center"/>
          </w:tcPr>
          <w:p>
            <w:pPr>
              <w:pStyle w:val="12"/>
            </w:pPr>
            <w:r>
              <w:t>85.44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2005.02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1641.63</w:t>
            </w:r>
          </w:p>
        </w:tc>
        <w:tc>
          <w:tcPr>
            <w:tcW w:w="1474" w:type="dxa"/>
            <w:vAlign w:val="center"/>
          </w:tcPr>
          <w:p>
            <w:pPr>
              <w:pStyle w:val="12"/>
            </w:pPr>
            <w:r>
              <w:t>1641.63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192.42</w:t>
            </w:r>
          </w:p>
        </w:tc>
        <w:tc>
          <w:tcPr>
            <w:tcW w:w="1474" w:type="dxa"/>
            <w:vAlign w:val="center"/>
          </w:tcPr>
          <w:p>
            <w:pPr>
              <w:pStyle w:val="12"/>
            </w:pPr>
            <w:r>
              <w:t>192.42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86.01</w:t>
            </w:r>
          </w:p>
        </w:tc>
        <w:tc>
          <w:tcPr>
            <w:tcW w:w="1474" w:type="dxa"/>
            <w:vAlign w:val="center"/>
          </w:tcPr>
          <w:p>
            <w:pPr>
              <w:pStyle w:val="12"/>
            </w:pPr>
            <w:r>
              <w:t>86.01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85.44</w:t>
            </w:r>
          </w:p>
        </w:tc>
        <w:tc>
          <w:tcPr>
            <w:tcW w:w="1474" w:type="dxa"/>
            <w:vAlign w:val="center"/>
          </w:tcPr>
          <w:p>
            <w:pPr>
              <w:pStyle w:val="12"/>
            </w:pPr>
            <w:r>
              <w:t>85.44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2005.02</w:t>
            </w:r>
          </w:p>
        </w:tc>
        <w:tc>
          <w:tcPr>
            <w:tcW w:w="3402" w:type="dxa"/>
            <w:vAlign w:val="center"/>
          </w:tcPr>
          <w:p>
            <w:pPr>
              <w:pStyle w:val="15"/>
            </w:pPr>
            <w:r>
              <w:t>本年支出合计</w:t>
            </w:r>
          </w:p>
        </w:tc>
        <w:tc>
          <w:tcPr>
            <w:tcW w:w="1474" w:type="dxa"/>
            <w:vAlign w:val="center"/>
          </w:tcPr>
          <w:p>
            <w:pPr>
              <w:pStyle w:val="16"/>
            </w:pPr>
            <w:r>
              <w:t>2005.50</w:t>
            </w:r>
          </w:p>
        </w:tc>
        <w:tc>
          <w:tcPr>
            <w:tcW w:w="1474" w:type="dxa"/>
            <w:vAlign w:val="center"/>
          </w:tcPr>
          <w:p>
            <w:pPr>
              <w:pStyle w:val="16"/>
            </w:pPr>
            <w:r>
              <w:t>2005.50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0.48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0.48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2005.50</w:t>
            </w:r>
          </w:p>
        </w:tc>
        <w:tc>
          <w:tcPr>
            <w:tcW w:w="3402" w:type="dxa"/>
            <w:vAlign w:val="center"/>
          </w:tcPr>
          <w:p>
            <w:pPr>
              <w:pStyle w:val="15"/>
            </w:pPr>
            <w:r>
              <w:t>支出总计</w:t>
            </w:r>
          </w:p>
        </w:tc>
        <w:tc>
          <w:tcPr>
            <w:tcW w:w="1474" w:type="dxa"/>
            <w:vAlign w:val="center"/>
          </w:tcPr>
          <w:p>
            <w:pPr>
              <w:pStyle w:val="16"/>
            </w:pPr>
            <w:r>
              <w:t>2005.50</w:t>
            </w:r>
          </w:p>
        </w:tc>
        <w:tc>
          <w:tcPr>
            <w:tcW w:w="1474" w:type="dxa"/>
            <w:vAlign w:val="center"/>
          </w:tcPr>
          <w:p>
            <w:pPr>
              <w:pStyle w:val="16"/>
            </w:pPr>
            <w:r>
              <w:t>2005.50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2005.50</w:t>
            </w:r>
          </w:p>
        </w:tc>
        <w:tc>
          <w:tcPr>
            <w:tcW w:w="2551" w:type="dxa"/>
            <w:vAlign w:val="center"/>
          </w:tcPr>
          <w:p>
            <w:pPr>
              <w:pStyle w:val="16"/>
            </w:pPr>
            <w:r>
              <w:t>1363.12</w:t>
            </w:r>
          </w:p>
        </w:tc>
        <w:tc>
          <w:tcPr>
            <w:tcW w:w="2551" w:type="dxa"/>
            <w:vAlign w:val="center"/>
          </w:tcPr>
          <w:p>
            <w:pPr>
              <w:pStyle w:val="16"/>
            </w:pPr>
            <w:r>
              <w:t>642.38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1641.63</w:t>
            </w:r>
          </w:p>
        </w:tc>
        <w:tc>
          <w:tcPr>
            <w:tcW w:w="2551" w:type="dxa"/>
            <w:vAlign w:val="center"/>
          </w:tcPr>
          <w:p>
            <w:pPr>
              <w:pStyle w:val="12"/>
            </w:pPr>
            <w:r>
              <w:t>999.25</w:t>
            </w:r>
          </w:p>
        </w:tc>
        <w:tc>
          <w:tcPr>
            <w:tcW w:w="2551" w:type="dxa"/>
            <w:vAlign w:val="center"/>
          </w:tcPr>
          <w:p>
            <w:pPr>
              <w:pStyle w:val="12"/>
            </w:pPr>
            <w:r>
              <w:t>642.38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1641.63</w:t>
            </w:r>
          </w:p>
        </w:tc>
        <w:tc>
          <w:tcPr>
            <w:tcW w:w="2551" w:type="dxa"/>
            <w:vAlign w:val="center"/>
          </w:tcPr>
          <w:p>
            <w:pPr>
              <w:pStyle w:val="12"/>
            </w:pPr>
            <w:r>
              <w:t>999.25</w:t>
            </w:r>
          </w:p>
        </w:tc>
        <w:tc>
          <w:tcPr>
            <w:tcW w:w="2551" w:type="dxa"/>
            <w:vAlign w:val="center"/>
          </w:tcPr>
          <w:p>
            <w:pPr>
              <w:pStyle w:val="12"/>
            </w:pPr>
            <w:r>
              <w:t>642.38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2040601</w:t>
            </w:r>
          </w:p>
        </w:tc>
        <w:tc>
          <w:tcPr>
            <w:tcW w:w="4535" w:type="dxa"/>
            <w:vAlign w:val="center"/>
          </w:tcPr>
          <w:p>
            <w:pPr>
              <w:pStyle w:val="13"/>
            </w:pPr>
            <w:r>
              <w:t>行政运行</w:t>
            </w:r>
          </w:p>
        </w:tc>
        <w:tc>
          <w:tcPr>
            <w:tcW w:w="2551" w:type="dxa"/>
            <w:vAlign w:val="center"/>
          </w:tcPr>
          <w:p>
            <w:pPr>
              <w:pStyle w:val="12"/>
            </w:pPr>
            <w:r>
              <w:t>999.25</w:t>
            </w:r>
          </w:p>
        </w:tc>
        <w:tc>
          <w:tcPr>
            <w:tcW w:w="2551" w:type="dxa"/>
            <w:vAlign w:val="center"/>
          </w:tcPr>
          <w:p>
            <w:pPr>
              <w:pStyle w:val="12"/>
            </w:pPr>
            <w:r>
              <w:t>999.25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2040604</w:t>
            </w:r>
          </w:p>
        </w:tc>
        <w:tc>
          <w:tcPr>
            <w:tcW w:w="4535" w:type="dxa"/>
            <w:vAlign w:val="center"/>
          </w:tcPr>
          <w:p>
            <w:pPr>
              <w:pStyle w:val="13"/>
            </w:pPr>
            <w:r>
              <w:t>基层司法业务</w:t>
            </w:r>
          </w:p>
        </w:tc>
        <w:tc>
          <w:tcPr>
            <w:tcW w:w="2551" w:type="dxa"/>
            <w:vAlign w:val="center"/>
          </w:tcPr>
          <w:p>
            <w:pPr>
              <w:pStyle w:val="12"/>
            </w:pPr>
            <w:r>
              <w:t>615.08</w:t>
            </w:r>
          </w:p>
        </w:tc>
        <w:tc>
          <w:tcPr>
            <w:tcW w:w="2551" w:type="dxa"/>
            <w:vAlign w:val="center"/>
          </w:tcPr>
          <w:p>
            <w:pPr>
              <w:pStyle w:val="12"/>
            </w:pPr>
          </w:p>
        </w:tc>
        <w:tc>
          <w:tcPr>
            <w:tcW w:w="2551" w:type="dxa"/>
            <w:vAlign w:val="center"/>
          </w:tcPr>
          <w:p>
            <w:pPr>
              <w:pStyle w:val="12"/>
            </w:pPr>
            <w:r>
              <w:t>615.08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2040607</w:t>
            </w:r>
          </w:p>
        </w:tc>
        <w:tc>
          <w:tcPr>
            <w:tcW w:w="4535" w:type="dxa"/>
            <w:vAlign w:val="center"/>
          </w:tcPr>
          <w:p>
            <w:pPr>
              <w:pStyle w:val="13"/>
            </w:pPr>
            <w:r>
              <w:t>公共法律服务</w:t>
            </w:r>
          </w:p>
        </w:tc>
        <w:tc>
          <w:tcPr>
            <w:tcW w:w="2551" w:type="dxa"/>
            <w:vAlign w:val="center"/>
          </w:tcPr>
          <w:p>
            <w:pPr>
              <w:pStyle w:val="12"/>
            </w:pPr>
            <w:r>
              <w:t>27.30</w:t>
            </w:r>
          </w:p>
        </w:tc>
        <w:tc>
          <w:tcPr>
            <w:tcW w:w="2551" w:type="dxa"/>
            <w:vAlign w:val="center"/>
          </w:tcPr>
          <w:p>
            <w:pPr>
              <w:pStyle w:val="12"/>
            </w:pPr>
          </w:p>
        </w:tc>
        <w:tc>
          <w:tcPr>
            <w:tcW w:w="2551" w:type="dxa"/>
            <w:vAlign w:val="center"/>
          </w:tcPr>
          <w:p>
            <w:pPr>
              <w:pStyle w:val="12"/>
            </w:pPr>
            <w:r>
              <w:t>27.30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192.42</w:t>
            </w:r>
          </w:p>
        </w:tc>
        <w:tc>
          <w:tcPr>
            <w:tcW w:w="2551" w:type="dxa"/>
            <w:vAlign w:val="center"/>
          </w:tcPr>
          <w:p>
            <w:pPr>
              <w:pStyle w:val="12"/>
            </w:pPr>
            <w:r>
              <w:t>192.42</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192.42</w:t>
            </w:r>
          </w:p>
        </w:tc>
        <w:tc>
          <w:tcPr>
            <w:tcW w:w="2551" w:type="dxa"/>
            <w:vAlign w:val="center"/>
          </w:tcPr>
          <w:p>
            <w:pPr>
              <w:pStyle w:val="12"/>
            </w:pPr>
            <w:r>
              <w:t>192.42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87.13</w:t>
            </w:r>
          </w:p>
        </w:tc>
        <w:tc>
          <w:tcPr>
            <w:tcW w:w="2551" w:type="dxa"/>
            <w:vAlign w:val="center"/>
          </w:tcPr>
          <w:p>
            <w:pPr>
              <w:pStyle w:val="12"/>
            </w:pPr>
            <w:r>
              <w:t>87.13</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105.29</w:t>
            </w:r>
          </w:p>
        </w:tc>
        <w:tc>
          <w:tcPr>
            <w:tcW w:w="2551" w:type="dxa"/>
            <w:vAlign w:val="center"/>
          </w:tcPr>
          <w:p>
            <w:pPr>
              <w:pStyle w:val="12"/>
            </w:pPr>
            <w:r>
              <w:t>105.29</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86.01</w:t>
            </w:r>
          </w:p>
        </w:tc>
        <w:tc>
          <w:tcPr>
            <w:tcW w:w="2551" w:type="dxa"/>
            <w:vAlign w:val="center"/>
          </w:tcPr>
          <w:p>
            <w:pPr>
              <w:pStyle w:val="12"/>
            </w:pPr>
            <w:r>
              <w:t>86.01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86.01</w:t>
            </w:r>
          </w:p>
        </w:tc>
        <w:tc>
          <w:tcPr>
            <w:tcW w:w="2551" w:type="dxa"/>
            <w:vAlign w:val="center"/>
          </w:tcPr>
          <w:p>
            <w:pPr>
              <w:pStyle w:val="12"/>
            </w:pPr>
            <w:r>
              <w:t>86.01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40.89</w:t>
            </w:r>
          </w:p>
        </w:tc>
        <w:tc>
          <w:tcPr>
            <w:tcW w:w="2551" w:type="dxa"/>
            <w:vAlign w:val="center"/>
          </w:tcPr>
          <w:p>
            <w:pPr>
              <w:pStyle w:val="12"/>
            </w:pPr>
            <w:r>
              <w:t>40.89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45.12</w:t>
            </w:r>
          </w:p>
        </w:tc>
        <w:tc>
          <w:tcPr>
            <w:tcW w:w="2551" w:type="dxa"/>
            <w:vAlign w:val="center"/>
          </w:tcPr>
          <w:p>
            <w:pPr>
              <w:pStyle w:val="12"/>
            </w:pPr>
            <w:r>
              <w:t>45.12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85.44</w:t>
            </w:r>
          </w:p>
        </w:tc>
        <w:tc>
          <w:tcPr>
            <w:tcW w:w="2551" w:type="dxa"/>
            <w:vAlign w:val="center"/>
          </w:tcPr>
          <w:p>
            <w:pPr>
              <w:pStyle w:val="12"/>
            </w:pPr>
            <w:r>
              <w:t>85.44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85.44</w:t>
            </w:r>
          </w:p>
        </w:tc>
        <w:tc>
          <w:tcPr>
            <w:tcW w:w="2551" w:type="dxa"/>
            <w:vAlign w:val="center"/>
          </w:tcPr>
          <w:p>
            <w:pPr>
              <w:pStyle w:val="12"/>
            </w:pPr>
            <w:r>
              <w:t>85.44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85.44</w:t>
            </w:r>
          </w:p>
        </w:tc>
        <w:tc>
          <w:tcPr>
            <w:tcW w:w="2551" w:type="dxa"/>
            <w:vAlign w:val="center"/>
          </w:tcPr>
          <w:p>
            <w:pPr>
              <w:pStyle w:val="12"/>
            </w:pPr>
            <w:r>
              <w:t>85.44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1363.12</w:t>
            </w:r>
          </w:p>
        </w:tc>
        <w:tc>
          <w:tcPr>
            <w:tcW w:w="2551" w:type="dxa"/>
            <w:vAlign w:val="center"/>
          </w:tcPr>
          <w:p>
            <w:pPr>
              <w:pStyle w:val="16"/>
            </w:pPr>
            <w:r>
              <w:t>1191.82</w:t>
            </w:r>
          </w:p>
        </w:tc>
        <w:tc>
          <w:tcPr>
            <w:tcW w:w="2551" w:type="dxa"/>
            <w:vAlign w:val="center"/>
          </w:tcPr>
          <w:p>
            <w:pPr>
              <w:pStyle w:val="16"/>
            </w:pPr>
            <w:r>
              <w:t>171.30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1103.56</w:t>
            </w:r>
          </w:p>
        </w:tc>
        <w:tc>
          <w:tcPr>
            <w:tcW w:w="2551" w:type="dxa"/>
            <w:vAlign w:val="center"/>
          </w:tcPr>
          <w:p>
            <w:pPr>
              <w:pStyle w:val="12"/>
            </w:pPr>
            <w:r>
              <w:t>1103.56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291.97</w:t>
            </w:r>
          </w:p>
        </w:tc>
        <w:tc>
          <w:tcPr>
            <w:tcW w:w="2551" w:type="dxa"/>
            <w:vAlign w:val="center"/>
          </w:tcPr>
          <w:p>
            <w:pPr>
              <w:pStyle w:val="12"/>
            </w:pPr>
            <w:r>
              <w:t>291.97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387.44</w:t>
            </w:r>
          </w:p>
        </w:tc>
        <w:tc>
          <w:tcPr>
            <w:tcW w:w="2551" w:type="dxa"/>
            <w:vAlign w:val="center"/>
          </w:tcPr>
          <w:p>
            <w:pPr>
              <w:pStyle w:val="12"/>
            </w:pPr>
            <w:r>
              <w:t>387.44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134.42</w:t>
            </w:r>
          </w:p>
        </w:tc>
        <w:tc>
          <w:tcPr>
            <w:tcW w:w="2551" w:type="dxa"/>
            <w:vAlign w:val="center"/>
          </w:tcPr>
          <w:p>
            <w:pPr>
              <w:pStyle w:val="12"/>
            </w:pPr>
            <w:r>
              <w:t>134.42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103.96</w:t>
            </w:r>
          </w:p>
        </w:tc>
        <w:tc>
          <w:tcPr>
            <w:tcW w:w="2551" w:type="dxa"/>
            <w:vAlign w:val="center"/>
          </w:tcPr>
          <w:p>
            <w:pPr>
              <w:pStyle w:val="12"/>
            </w:pPr>
            <w:r>
              <w:t>103.96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40.30</w:t>
            </w:r>
          </w:p>
        </w:tc>
        <w:tc>
          <w:tcPr>
            <w:tcW w:w="2551" w:type="dxa"/>
            <w:vAlign w:val="center"/>
          </w:tcPr>
          <w:p>
            <w:pPr>
              <w:pStyle w:val="12"/>
            </w:pPr>
            <w:r>
              <w:t>40.30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44.47</w:t>
            </w:r>
          </w:p>
        </w:tc>
        <w:tc>
          <w:tcPr>
            <w:tcW w:w="2551" w:type="dxa"/>
            <w:vAlign w:val="center"/>
          </w:tcPr>
          <w:p>
            <w:pPr>
              <w:pStyle w:val="12"/>
            </w:pPr>
            <w:r>
              <w:t>44.47</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2.70</w:t>
            </w:r>
          </w:p>
        </w:tc>
        <w:tc>
          <w:tcPr>
            <w:tcW w:w="2551" w:type="dxa"/>
            <w:vAlign w:val="center"/>
          </w:tcPr>
          <w:p>
            <w:pPr>
              <w:pStyle w:val="12"/>
            </w:pPr>
            <w:r>
              <w:t>2.70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84.28</w:t>
            </w:r>
          </w:p>
        </w:tc>
        <w:tc>
          <w:tcPr>
            <w:tcW w:w="2551" w:type="dxa"/>
            <w:vAlign w:val="center"/>
          </w:tcPr>
          <w:p>
            <w:pPr>
              <w:pStyle w:val="12"/>
            </w:pPr>
            <w:r>
              <w:t>84.28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14.02</w:t>
            </w:r>
          </w:p>
        </w:tc>
        <w:tc>
          <w:tcPr>
            <w:tcW w:w="2551" w:type="dxa"/>
            <w:vAlign w:val="center"/>
          </w:tcPr>
          <w:p>
            <w:pPr>
              <w:pStyle w:val="12"/>
            </w:pPr>
            <w:r>
              <w:t>14.02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167.30</w:t>
            </w:r>
          </w:p>
        </w:tc>
        <w:tc>
          <w:tcPr>
            <w:tcW w:w="2551" w:type="dxa"/>
            <w:vAlign w:val="center"/>
          </w:tcPr>
          <w:p>
            <w:pPr>
              <w:pStyle w:val="12"/>
            </w:pPr>
          </w:p>
        </w:tc>
        <w:tc>
          <w:tcPr>
            <w:tcW w:w="2551" w:type="dxa"/>
            <w:vAlign w:val="center"/>
          </w:tcPr>
          <w:p>
            <w:pPr>
              <w:pStyle w:val="12"/>
            </w:pPr>
            <w:r>
              <w:t>167.30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28.02</w:t>
            </w:r>
          </w:p>
        </w:tc>
        <w:tc>
          <w:tcPr>
            <w:tcW w:w="2551" w:type="dxa"/>
            <w:vAlign w:val="center"/>
          </w:tcPr>
          <w:p>
            <w:pPr>
              <w:pStyle w:val="12"/>
            </w:pPr>
          </w:p>
        </w:tc>
        <w:tc>
          <w:tcPr>
            <w:tcW w:w="2551" w:type="dxa"/>
            <w:vAlign w:val="center"/>
          </w:tcPr>
          <w:p>
            <w:pPr>
              <w:pStyle w:val="12"/>
            </w:pPr>
            <w:r>
              <w:t>28.02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36.21</w:t>
            </w:r>
          </w:p>
        </w:tc>
        <w:tc>
          <w:tcPr>
            <w:tcW w:w="2551" w:type="dxa"/>
            <w:vAlign w:val="center"/>
          </w:tcPr>
          <w:p>
            <w:pPr>
              <w:pStyle w:val="12"/>
            </w:pPr>
          </w:p>
        </w:tc>
        <w:tc>
          <w:tcPr>
            <w:tcW w:w="2551" w:type="dxa"/>
            <w:vAlign w:val="center"/>
          </w:tcPr>
          <w:p>
            <w:pPr>
              <w:pStyle w:val="12"/>
            </w:pPr>
            <w:r>
              <w:t>36.21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16.35</w:t>
            </w:r>
          </w:p>
        </w:tc>
        <w:tc>
          <w:tcPr>
            <w:tcW w:w="2551" w:type="dxa"/>
            <w:vAlign w:val="center"/>
          </w:tcPr>
          <w:p>
            <w:pPr>
              <w:pStyle w:val="12"/>
            </w:pPr>
          </w:p>
        </w:tc>
        <w:tc>
          <w:tcPr>
            <w:tcW w:w="2551" w:type="dxa"/>
            <w:vAlign w:val="center"/>
          </w:tcPr>
          <w:p>
            <w:pPr>
              <w:pStyle w:val="12"/>
            </w:pPr>
            <w:r>
              <w:t>16.35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7.38</w:t>
            </w:r>
          </w:p>
        </w:tc>
        <w:tc>
          <w:tcPr>
            <w:tcW w:w="2551" w:type="dxa"/>
            <w:vAlign w:val="center"/>
          </w:tcPr>
          <w:p>
            <w:pPr>
              <w:pStyle w:val="12"/>
            </w:pPr>
          </w:p>
        </w:tc>
        <w:tc>
          <w:tcPr>
            <w:tcW w:w="2551" w:type="dxa"/>
            <w:vAlign w:val="center"/>
          </w:tcPr>
          <w:p>
            <w:pPr>
              <w:pStyle w:val="12"/>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40.92</w:t>
            </w:r>
          </w:p>
        </w:tc>
        <w:tc>
          <w:tcPr>
            <w:tcW w:w="2551" w:type="dxa"/>
            <w:vAlign w:val="center"/>
          </w:tcPr>
          <w:p>
            <w:pPr>
              <w:pStyle w:val="12"/>
            </w:pPr>
          </w:p>
        </w:tc>
        <w:tc>
          <w:tcPr>
            <w:tcW w:w="2551" w:type="dxa"/>
            <w:vAlign w:val="center"/>
          </w:tcPr>
          <w:p>
            <w:pPr>
              <w:pStyle w:val="12"/>
            </w:pPr>
            <w:r>
              <w:t>40.92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14.82</w:t>
            </w:r>
          </w:p>
        </w:tc>
        <w:tc>
          <w:tcPr>
            <w:tcW w:w="2551" w:type="dxa"/>
            <w:vAlign w:val="center"/>
          </w:tcPr>
          <w:p>
            <w:pPr>
              <w:pStyle w:val="12"/>
            </w:pPr>
          </w:p>
        </w:tc>
        <w:tc>
          <w:tcPr>
            <w:tcW w:w="2551" w:type="dxa"/>
            <w:vAlign w:val="center"/>
          </w:tcPr>
          <w:p>
            <w:pPr>
              <w:pStyle w:val="12"/>
            </w:pPr>
            <w:r>
              <w:t>14.82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88.26</w:t>
            </w:r>
          </w:p>
        </w:tc>
        <w:tc>
          <w:tcPr>
            <w:tcW w:w="2551" w:type="dxa"/>
            <w:vAlign w:val="center"/>
          </w:tcPr>
          <w:p>
            <w:pPr>
              <w:pStyle w:val="12"/>
            </w:pPr>
            <w:r>
              <w:t>88.26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87.13</w:t>
            </w:r>
          </w:p>
        </w:tc>
        <w:tc>
          <w:tcPr>
            <w:tcW w:w="2551" w:type="dxa"/>
            <w:vAlign w:val="center"/>
          </w:tcPr>
          <w:p>
            <w:pPr>
              <w:pStyle w:val="12"/>
            </w:pPr>
            <w:r>
              <w:t>87.13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1.13</w:t>
            </w:r>
          </w:p>
        </w:tc>
        <w:tc>
          <w:tcPr>
            <w:tcW w:w="2551" w:type="dxa"/>
            <w:vAlign w:val="center"/>
          </w:tcPr>
          <w:p>
            <w:pPr>
              <w:pStyle w:val="12"/>
            </w:pPr>
            <w:r>
              <w:t>1.13</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330唐山市丰南区司法局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9.30</w:t>
            </w:r>
          </w:p>
        </w:tc>
        <w:tc>
          <w:tcPr>
            <w:tcW w:w="2381" w:type="dxa"/>
            <w:vAlign w:val="center"/>
          </w:tcPr>
          <w:p>
            <w:pPr>
              <w:pStyle w:val="16"/>
            </w:pPr>
            <w:r>
              <w:t>9.30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9.00</w:t>
            </w:r>
          </w:p>
        </w:tc>
        <w:tc>
          <w:tcPr>
            <w:tcW w:w="2381" w:type="dxa"/>
            <w:vAlign w:val="center"/>
          </w:tcPr>
          <w:p>
            <w:pPr>
              <w:pStyle w:val="12"/>
            </w:pPr>
            <w:r>
              <w:t>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9.00</w:t>
            </w:r>
          </w:p>
        </w:tc>
        <w:tc>
          <w:tcPr>
            <w:tcW w:w="2381" w:type="dxa"/>
            <w:vAlign w:val="center"/>
          </w:tcPr>
          <w:p>
            <w:pPr>
              <w:pStyle w:val="12"/>
            </w:pPr>
            <w:r>
              <w:t>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0.30</w:t>
            </w:r>
          </w:p>
        </w:tc>
        <w:tc>
          <w:tcPr>
            <w:tcW w:w="2381" w:type="dxa"/>
            <w:vAlign w:val="center"/>
          </w:tcPr>
          <w:p>
            <w:pPr>
              <w:pStyle w:val="12"/>
            </w:pPr>
            <w:r>
              <w:t>0.30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唐山市丰南区司法局2025年部门预算信息公开情况说明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唐山市丰南区司法局2025年部门预算信息公开情况说明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按照《中华人民共和国预算法》、《地方预决算公开操作规程》和《关于进一步推进预算公开工作的实施意见》规定，现将唐山市丰南区司法局2025年部门预算公开如下：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充分发挥司法职能作用，服务经济社会发展，全面推进司法行政和信息化建设，打造过硬司法队伍，为建设沿海强区、美丽丰南提供有力的司法保障和高效的法律服务。聚焦经济发展，着力营造公平高效的法治环境。注重司法为民，着力提高人民群众法律意识。强化“四个意识”，建设过硬司法队伍。提高全区人民法律意识和法律素质，增强法治化管理水平，促进全区民主与法制建设。深化人民调解、社区矫正和安置帮教工作，最大限度降低重新违法犯罪和社会不稳定因素发生率。立完善法律援助法律法规体系、工作体制和机制，加大法律援助法律法规宣传覆盖面，扩大法律援助覆盖面，推动全县法律援助工作长足发展。建立完善法律援助法律法规体系、工作体制和机制，加大法律援助法律法规宣传覆盖面，扩大法律援助覆盖面，推动全县法律援助工作长足发展。组织全区依法行政考核工作；组织全区执法监督检查，加强对行政执法人员资格、考试、证件管理；办理行政复议案件，行政诉讼、裁决案件，及时纠正各级行政机关违法不当行为。通过发挥专家作用，提升区政府决策法制化水平。提高行政、民事诉讼案件的应诉工作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按照预算管理有关规定，目前部门预算的编制实行综合预算管理，即全部收入和支出都反映在预算中。唐山市丰南区司法局机关及所属事业单位的收支包含在部门预算中。</w:t>
      </w:r>
    </w:p>
    <w:p>
      <w:pPr>
        <w:pStyle w:val="19"/>
      </w:pPr>
      <w:r>
        <w:t>1、收入说明</w:t>
      </w:r>
    </w:p>
    <w:p>
      <w:pPr>
        <w:pStyle w:val="19"/>
      </w:pPr>
      <w:r>
        <w:t>反映本部门当年全部收入。2025年预算收入2005.50万元，其中：一般公共预算收入2005.02万元，基金预算收入0.00万元，国有资本经营预算收入0.00万元，财政专户核拨收入0.00万元，单位资金收入0.00万元，上年结转结余0.48万元。</w:t>
      </w:r>
    </w:p>
    <w:p>
      <w:pPr>
        <w:pStyle w:val="19"/>
      </w:pPr>
      <w:r>
        <w:t>2、支出说明</w:t>
      </w:r>
    </w:p>
    <w:p>
      <w:pPr>
        <w:pStyle w:val="19"/>
      </w:pPr>
      <w:r>
        <w:t>收支预算总表支出栏、基本支出表、项目支出表按经济分类和支出功能分类科目编制，反映唐山市丰南区司法局年度部门预算中支出预算的总体情况。2025年支出预算2005.50万元，其中基本支出1363.12万元，包括人员经费1191.82万元和日常公用经费171.30万元；项目支出642.38万元，主要为基层司法业务等。</w:t>
      </w:r>
    </w:p>
    <w:p>
      <w:pPr>
        <w:pStyle w:val="19"/>
      </w:pPr>
      <w:r>
        <w:t>3、比上年增减情况</w:t>
      </w:r>
    </w:p>
    <w:p>
      <w:pPr>
        <w:pStyle w:val="19"/>
      </w:pPr>
      <w:r>
        <w:t>2025年预算收支安排2005.50万元，较2024年预算增加119.89万元，其中：基本支出增加40.05万元，主要为人员经费增加，日常公用经费增加。项目支出增加79.84万元，主要为基层司法业务等。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9.30万元，其中因公出国（境）费0.00万元；公务用车购置及运维费9.00万元（其中：公务用车购置费为0.00万元，公务用车运维费9.00万元)；公务接待费0.30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充分发挥司法职能作用，服务经济社会发展，全面推进司法行政和信息化建设，打造过硬司法队伍，为建设沿海强区、美丽丰南提供有力的司法保障和高效的法律服务。聚焦经济发展，着力营造公平高效的法治环境。注重司法为民，着力提高人民群众法律意识。强化“四个意识”，建设过硬司法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（一）提升全区司法行政管理水平</w:t>
      </w:r>
    </w:p>
    <w:p>
      <w:pPr>
        <w:pStyle w:val="23"/>
      </w:pPr>
      <w:r>
        <w:t>绩效目标：提高全区人民法律意识和法律素质，增强法治化管理水平，促进全区民主与法制建设。深化人民调解、社区矫正和安置帮教工作，最大限度降低重新违法犯罪和社会不稳定因素发生率。建立完善法律援助法律法规体系、工作体制和机制，加大法律援助法律法规宣传覆盖面，扩大法律援助覆盖面，推动全区法律援助工作长足发展。坚持以人为本、为民服务理念，强化规范建设，不断拓宽法律援助领域，完善便民措施，提高办案质量，努力实现应援尽援、尽援优援的目标任务。</w:t>
      </w:r>
    </w:p>
    <w:p>
      <w:pPr>
        <w:pStyle w:val="23"/>
      </w:pPr>
      <w:r>
        <w:t>绩效指标：普法考核通过率80%以上为合格；社区矫正人员集中学习、公益活动参与度80%以上合格；专职人民调解员培训次数集中培训一次，各单位自行组织两个月上站培训一次合格；人民调解案件数1000件以上合格；法律援助案件受理数350件以上合格；司法所规范化建设达标率全部达标，程序准确材料齐全，文书格式准确，报告内容全面，意见肯定。</w:t>
      </w:r>
    </w:p>
    <w:p>
      <w:pPr>
        <w:pStyle w:val="23"/>
      </w:pPr>
      <w:r>
        <w:t>（二）促进司法系统执法能力全面提升</w:t>
      </w:r>
    </w:p>
    <w:p>
      <w:pPr>
        <w:pStyle w:val="23"/>
      </w:pPr>
      <w:r>
        <w:t>绩效目标：开展学历教育和政法干警试点生培养，加强纪检审计监督、信息化建设等，促进司法行政系统各项事业健康发展，促进司法系统执法能力全面提升指标。</w:t>
      </w:r>
    </w:p>
    <w:p>
      <w:pPr>
        <w:pStyle w:val="23"/>
      </w:pPr>
      <w:r>
        <w:t>绩效指标：机关后勤工作完成率70%以上合格；综合业务管理工作完成率90%以上合格；服务对象满意度70%以上合格。</w:t>
      </w:r>
    </w:p>
    <w:p>
      <w:pPr>
        <w:pStyle w:val="23"/>
      </w:pPr>
      <w:r>
        <w:t>（三）对行政执法人员和行政执法行为监督管理，提高行政执法水平，考核依法行政工作，推进依法行政</w:t>
      </w:r>
    </w:p>
    <w:p>
      <w:pPr>
        <w:pStyle w:val="23"/>
      </w:pPr>
      <w:r>
        <w:t>绩效目标：组织全区依法行政考核工作；组织全区执法监督检查，加强对行政执法人员资格、考试、证件管理；办理行政复议案件，行政诉讼、裁决案件，及时纠正各级行政机关违法不当行为。通过发挥专家作用，提升区政府决策法制化水平。提高行政、民事诉讼案件的应诉工作情况。</w:t>
      </w:r>
    </w:p>
    <w:p>
      <w:pPr>
        <w:pStyle w:val="23"/>
      </w:pPr>
      <w:r>
        <w:t>绩效指标：行政复议案件到期办结率70%以上合格；组织依法行政考核完成情况较好完成；培训考试人员数量500人以上；为区政府提供法律服务人次60以上；行政应诉案件办理数2件以上。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不断提高法治政府建设新水平。加强全面依法治区规范化建设工作，完善依法治区工作体系。推动“一规划两方案”完美收官，培育具有丰南特色的典型经验，培树法治建设工作新标杆。严把行政规范性文件和政府合同（协议）合法性审核关，认真做好重大行政决策合法性审查工作，切实当好政府参谋助手，高效发挥法治保驾护航作用。</w:t>
      </w:r>
    </w:p>
    <w:p>
      <w:pPr>
        <w:pStyle w:val="24"/>
      </w:pPr>
      <w:r>
        <w:t>（二）努力开创公共法律服务新局面。抓实律师、法工、司法鉴定三大行业监管措施，促进依法规范执业。深入企业开展法治体检系列活动，助力优化法治化营商环境。深化公共法律服务模式，组织律师、基层法律服务工作者等人员赴基层、一线坐班值班，将法律服务送到百姓身边。提升法律援助覆盖面，加强援助案件跟踪监督，定期组织开展案件质量评估活动，提升法律服务质效，切实做到“应援尽援，应援优援”。全面推进“八五”普法，围绕“法律九进”，坚持每月一主题开展法治宣传教育，突出宪法民法典宣传，提升公民法治素养。</w:t>
      </w:r>
    </w:p>
    <w:p>
      <w:pPr>
        <w:pStyle w:val="24"/>
      </w:pPr>
      <w:r>
        <w:t>（三）全力展现维护社会稳定新担当。落实《河北省多元化解纠纷条例》，完善人民调解、行政调解、司法调解的衔接机制，完善信息互通、联动联调机制，引导纠纷当事人依法解纷、定分止争。贯彻“宽严相济”刑事政策，加强审前调查、接收、监督管理、教育帮扶，提升精准监管、精准执法、精准矫治、精准帮扶水平，确保重点人员严格管控到位。成立区行政复议委员会，建立行政复议风险评估机制。优化行政复议工作流程，加大行政复议过程中的调解和解力度，实现行政争议实质性化解。</w:t>
      </w:r>
    </w:p>
    <w:p>
      <w:pPr>
        <w:pStyle w:val="24"/>
      </w:pPr>
      <w:r>
        <w:t>（四）扎实提升行政执法协调监督新能力。配齐配强区本级行政执法协调监督工作力量，做好新增执法人员报名审核、培训考核工作，组织行政执法人员公共法律知识考试，提升执法人员执法能力。探索选聘行政执法监督员及动态调整机制，提高行政执法监督社会参与度。开展突出问题专项治理，完善执法风险和极端事件预防机制，持续推进落实包容审慎柔性执法，切实规范行政执法行为。开展行政执法优秀案卷（案例）、行政执法办案能手等评选活动，推动全区行政执法质量和效能不断提升。</w:t>
      </w:r>
    </w:p>
    <w:p>
      <w:pPr>
        <w:pStyle w:val="24"/>
        <w:sectPr>
          <w:pgSz w:w="16840" w:h="11900" w:orient="landscape"/>
          <w:pgMar w:top="1361" w:right="1020" w:bottom="1361" w:left="1020" w:header="720" w:footer="720" w:gutter="0"/>
        </w:sectPr>
      </w:pPr>
      <w:r>
        <w:t>（五）着力树立司法行政队伍新形象。深入开展政法队伍整治提升，侧重在实现司法行政工作整体提升的基础上实现跨越提升。坚持政治引领，加强党的建设，牢牢把握信念过硬、政治过硬、责任过硬、能力过硬、作风过硬“五个过硬要求”，注重加强思想淬炼、政治历练、实践锻炼、专业训练，加快推进司法行政队伍正规化专业化职业化。扎实开展业务培训，组织“岗位练兵”活动，采取“线上学习+线下培训”相结合模式，培育司法行政队伍良好的职业素养和扎实的业务技能。（六）加强支出管理。通过优化支出结构、编细编实预算、加快履行政府采购手续、尽快启动项目、及时支付资金、6月底前细化代编预算、按规定及时下达资金等多种措施，确保支出进度达标。（七）加强绩效运行监控。按要求开展绩效运行监控，发现问题及时采取措施，确保绩效目标如期保质实现。（八）做好绩效自评。按要求开展上年度部门预算绩效自评和重点评价工作，对评价中发现的问题及时整改，调整优化支出结构，提高财政资金使用效益。（九）规范财务资产管理。完善财务管理制度，严格审批程序，加强固定资产登记、使用和报废处置管理，做到支出合理，物尽其用。（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十一）加强宣传培训调研等。加强人员培训，提高本部门工作人员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、安置帮教费用绩效目标表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13020725P00RB4T10008H</w:t>
            </w:r>
          </w:p>
        </w:tc>
        <w:tc>
          <w:tcPr>
            <w:tcW w:w="2835" w:type="dxa"/>
            <w:vAlign w:val="center"/>
          </w:tcPr>
          <w:p>
            <w:pPr>
              <w:pStyle w:val="11"/>
            </w:pPr>
            <w:r>
              <w:t>项目名称</w:t>
            </w:r>
          </w:p>
        </w:tc>
        <w:tc>
          <w:tcPr>
            <w:tcW w:w="6095" w:type="dxa"/>
            <w:gridSpan w:val="3"/>
            <w:vAlign w:val="center"/>
          </w:tcPr>
          <w:p>
            <w:pPr>
              <w:pStyle w:val="13"/>
            </w:pPr>
            <w:r>
              <w:t>安置帮教费用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5.76</w:t>
            </w:r>
          </w:p>
        </w:tc>
        <w:tc>
          <w:tcPr>
            <w:tcW w:w="2835" w:type="dxa"/>
            <w:vAlign w:val="center"/>
          </w:tcPr>
          <w:p>
            <w:pPr>
              <w:pStyle w:val="11"/>
            </w:pPr>
            <w:r>
              <w:t>其中：财政    资金</w:t>
            </w:r>
          </w:p>
        </w:tc>
        <w:tc>
          <w:tcPr>
            <w:tcW w:w="2551" w:type="dxa"/>
            <w:vAlign w:val="center"/>
          </w:tcPr>
          <w:p>
            <w:pPr>
              <w:pStyle w:val="13"/>
            </w:pPr>
            <w:r>
              <w:t>5.76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保障社区矫正中心工作正常运转。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1.预防和减少安置帮教人员重新犯罪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安置帮教人数</w:t>
            </w:r>
          </w:p>
        </w:tc>
        <w:tc>
          <w:tcPr>
            <w:tcW w:w="5386" w:type="dxa"/>
            <w:vAlign w:val="center"/>
          </w:tcPr>
          <w:p>
            <w:pPr>
              <w:pStyle w:val="13"/>
            </w:pPr>
            <w:r>
              <w:t>安置帮教达标率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刑满释放人员帮教率</w:t>
            </w:r>
          </w:p>
        </w:tc>
        <w:tc>
          <w:tcPr>
            <w:tcW w:w="5386" w:type="dxa"/>
            <w:vAlign w:val="center"/>
          </w:tcPr>
          <w:p>
            <w:pPr>
              <w:pStyle w:val="13"/>
            </w:pPr>
            <w:r>
              <w:t>刑满释放人员帮教率</w:t>
            </w:r>
          </w:p>
        </w:tc>
        <w:tc>
          <w:tcPr>
            <w:tcW w:w="2268" w:type="dxa"/>
            <w:vAlign w:val="center"/>
          </w:tcPr>
          <w:p>
            <w:pPr>
              <w:pStyle w:val="13"/>
            </w:pPr>
            <w:r>
              <w:t>≥80%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帮教及时性</w:t>
            </w:r>
          </w:p>
        </w:tc>
        <w:tc>
          <w:tcPr>
            <w:tcW w:w="5386" w:type="dxa"/>
            <w:vAlign w:val="center"/>
          </w:tcPr>
          <w:p>
            <w:pPr>
              <w:pStyle w:val="13"/>
            </w:pPr>
            <w:r>
              <w:t>帮教及时性</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刑满释放人员安置率</w:t>
            </w:r>
          </w:p>
        </w:tc>
        <w:tc>
          <w:tcPr>
            <w:tcW w:w="5386" w:type="dxa"/>
            <w:vAlign w:val="center"/>
          </w:tcPr>
          <w:p>
            <w:pPr>
              <w:pStyle w:val="13"/>
            </w:pPr>
            <w:r>
              <w:t>刑满释放人员安置率</w:t>
            </w:r>
          </w:p>
        </w:tc>
        <w:tc>
          <w:tcPr>
            <w:tcW w:w="2268" w:type="dxa"/>
            <w:vAlign w:val="center"/>
          </w:tcPr>
          <w:p>
            <w:pPr>
              <w:pStyle w:val="13"/>
            </w:pPr>
            <w:r>
              <w:t>≥80%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安置刑满释放人员</w:t>
            </w:r>
          </w:p>
        </w:tc>
        <w:tc>
          <w:tcPr>
            <w:tcW w:w="5386" w:type="dxa"/>
            <w:vAlign w:val="center"/>
          </w:tcPr>
          <w:p>
            <w:pPr>
              <w:pStyle w:val="13"/>
            </w:pPr>
            <w:r>
              <w:t>安置刑满释放人员</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刑释人员顺利回归社会</w:t>
            </w:r>
          </w:p>
        </w:tc>
        <w:tc>
          <w:tcPr>
            <w:tcW w:w="5386" w:type="dxa"/>
            <w:vAlign w:val="center"/>
          </w:tcPr>
          <w:p>
            <w:pPr>
              <w:pStyle w:val="13"/>
            </w:pPr>
            <w:r>
              <w:t>刑释人员顺利回归社会</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持续提升安置帮教的社会影响</w:t>
            </w:r>
          </w:p>
        </w:tc>
        <w:tc>
          <w:tcPr>
            <w:tcW w:w="5386" w:type="dxa"/>
            <w:vAlign w:val="center"/>
          </w:tcPr>
          <w:p>
            <w:pPr>
              <w:pStyle w:val="13"/>
            </w:pPr>
            <w:r>
              <w:t>持续提升安置帮教的社会影响和群众安全感</w:t>
            </w:r>
          </w:p>
        </w:tc>
        <w:tc>
          <w:tcPr>
            <w:tcW w:w="2268" w:type="dxa"/>
            <w:vAlign w:val="center"/>
          </w:tcPr>
          <w:p>
            <w:pPr>
              <w:pStyle w:val="13"/>
            </w:pPr>
            <w:r>
              <w:t>有效提升</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群众满意问卷占所有问卷的比例</w:t>
            </w:r>
          </w:p>
        </w:tc>
        <w:tc>
          <w:tcPr>
            <w:tcW w:w="2268" w:type="dxa"/>
            <w:vAlign w:val="center"/>
          </w:tcPr>
          <w:p>
            <w:pPr>
              <w:pStyle w:val="13"/>
            </w:pPr>
            <w:r>
              <w:t>≥85%</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、安置帮教网络费用（2.5万元以内）绩效目标表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13020725P00RB4T10013B</w:t>
            </w:r>
          </w:p>
        </w:tc>
        <w:tc>
          <w:tcPr>
            <w:tcW w:w="2835" w:type="dxa"/>
            <w:vAlign w:val="center"/>
          </w:tcPr>
          <w:p>
            <w:pPr>
              <w:pStyle w:val="11"/>
            </w:pPr>
            <w:r>
              <w:t>项目名称</w:t>
            </w:r>
          </w:p>
        </w:tc>
        <w:tc>
          <w:tcPr>
            <w:tcW w:w="6095" w:type="dxa"/>
            <w:gridSpan w:val="3"/>
            <w:vAlign w:val="center"/>
          </w:tcPr>
          <w:p>
            <w:pPr>
              <w:pStyle w:val="13"/>
            </w:pPr>
            <w:r>
              <w:t>安置帮教网络费用（2.5万元以内）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用于安置帮教网络经费。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1.全面构建全区安置帮教网络信息化管理体系；全面加强帮教人员日常监管工作。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安置帮教人数</w:t>
            </w:r>
          </w:p>
        </w:tc>
        <w:tc>
          <w:tcPr>
            <w:tcW w:w="5386" w:type="dxa"/>
            <w:vAlign w:val="center"/>
          </w:tcPr>
          <w:p>
            <w:pPr>
              <w:pStyle w:val="13"/>
            </w:pPr>
            <w:r>
              <w:t>安置帮教人数达标率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安置帮教工作完成率</w:t>
            </w:r>
          </w:p>
        </w:tc>
        <w:tc>
          <w:tcPr>
            <w:tcW w:w="5386" w:type="dxa"/>
            <w:vAlign w:val="center"/>
          </w:tcPr>
          <w:p>
            <w:pPr>
              <w:pStyle w:val="13"/>
            </w:pPr>
            <w:r>
              <w:t>安置帮教工作完成情况占安置帮教工作任务的比例</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维修及时率</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网络安全保障率</w:t>
            </w:r>
          </w:p>
        </w:tc>
        <w:tc>
          <w:tcPr>
            <w:tcW w:w="5386" w:type="dxa"/>
            <w:vAlign w:val="center"/>
          </w:tcPr>
          <w:p>
            <w:pPr>
              <w:pStyle w:val="13"/>
            </w:pPr>
            <w:r>
              <w:t>网络使用无问题情况天数占网络使用天数的比率</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提高帮教人员法律意识</w:t>
            </w:r>
          </w:p>
        </w:tc>
        <w:tc>
          <w:tcPr>
            <w:tcW w:w="5386" w:type="dxa"/>
            <w:vAlign w:val="center"/>
          </w:tcPr>
          <w:p>
            <w:pPr>
              <w:pStyle w:val="13"/>
            </w:pPr>
            <w:r>
              <w:t>提高帮教人员法律意识</w:t>
            </w:r>
          </w:p>
        </w:tc>
        <w:tc>
          <w:tcPr>
            <w:tcW w:w="2268" w:type="dxa"/>
            <w:vAlign w:val="center"/>
          </w:tcPr>
          <w:p>
            <w:pPr>
              <w:pStyle w:val="13"/>
            </w:pPr>
            <w:r>
              <w:t>&gt;50%</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网络畅通</w:t>
            </w:r>
          </w:p>
        </w:tc>
        <w:tc>
          <w:tcPr>
            <w:tcW w:w="5386" w:type="dxa"/>
            <w:vAlign w:val="center"/>
          </w:tcPr>
          <w:p>
            <w:pPr>
              <w:pStyle w:val="13"/>
            </w:pPr>
            <w:r>
              <w:t>保障网络畅通</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保障安置帮教工作正常运转</w:t>
            </w:r>
          </w:p>
        </w:tc>
        <w:tc>
          <w:tcPr>
            <w:tcW w:w="5386" w:type="dxa"/>
            <w:vAlign w:val="center"/>
          </w:tcPr>
          <w:p>
            <w:pPr>
              <w:pStyle w:val="13"/>
            </w:pPr>
            <w:r>
              <w:t>保障安置帮教工作正常运转</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受益人满意度</w:t>
            </w:r>
          </w:p>
        </w:tc>
        <w:tc>
          <w:tcPr>
            <w:tcW w:w="5386" w:type="dxa"/>
            <w:vAlign w:val="center"/>
          </w:tcPr>
          <w:p>
            <w:pPr>
              <w:pStyle w:val="13"/>
            </w:pPr>
            <w:r>
              <w:t>相关工作人员对该服务是否满意</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、大学生专职人民调解员经费（劳务费）绩效目标表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13020725P000022103081</w:t>
            </w:r>
          </w:p>
        </w:tc>
        <w:tc>
          <w:tcPr>
            <w:tcW w:w="2835" w:type="dxa"/>
            <w:vAlign w:val="center"/>
          </w:tcPr>
          <w:p>
            <w:pPr>
              <w:pStyle w:val="11"/>
            </w:pPr>
            <w:r>
              <w:t>项目名称</w:t>
            </w:r>
          </w:p>
        </w:tc>
        <w:tc>
          <w:tcPr>
            <w:tcW w:w="6095" w:type="dxa"/>
            <w:gridSpan w:val="3"/>
            <w:vAlign w:val="center"/>
          </w:tcPr>
          <w:p>
            <w:pPr>
              <w:pStyle w:val="13"/>
            </w:pPr>
            <w:r>
              <w:t>大学生专职人民调解员经费（劳务费）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61.15</w:t>
            </w:r>
          </w:p>
        </w:tc>
        <w:tc>
          <w:tcPr>
            <w:tcW w:w="2835" w:type="dxa"/>
            <w:vAlign w:val="center"/>
          </w:tcPr>
          <w:p>
            <w:pPr>
              <w:pStyle w:val="11"/>
            </w:pPr>
            <w:r>
              <w:t>其中：财政    资金</w:t>
            </w:r>
          </w:p>
        </w:tc>
        <w:tc>
          <w:tcPr>
            <w:tcW w:w="2551" w:type="dxa"/>
            <w:vAlign w:val="center"/>
          </w:tcPr>
          <w:p>
            <w:pPr>
              <w:pStyle w:val="13"/>
            </w:pPr>
            <w:r>
              <w:t>61.15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用于发放大学生专职人民调解员工资保险。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1.及时发放大学生专职人民调解员工资，保障机关正常运转。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大学生专职调解员数量</w:t>
            </w:r>
          </w:p>
        </w:tc>
        <w:tc>
          <w:tcPr>
            <w:tcW w:w="5386" w:type="dxa"/>
            <w:vAlign w:val="center"/>
          </w:tcPr>
          <w:p>
            <w:pPr>
              <w:pStyle w:val="13"/>
            </w:pPr>
            <w:r>
              <w:t>大学生专职调解员数量</w:t>
            </w:r>
          </w:p>
        </w:tc>
        <w:tc>
          <w:tcPr>
            <w:tcW w:w="2268" w:type="dxa"/>
            <w:vAlign w:val="center"/>
          </w:tcPr>
          <w:p>
            <w:pPr>
              <w:pStyle w:val="13"/>
            </w:pPr>
            <w:r>
              <w:t>≥11人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《2011年关于我区设立专业人民调解委员会所需经费的核实意见和请示》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≥3300元/人</w:t>
            </w:r>
          </w:p>
        </w:tc>
        <w:tc>
          <w:tcPr>
            <w:tcW w:w="1276" w:type="dxa"/>
            <w:vAlign w:val="center"/>
          </w:tcPr>
          <w:p>
            <w:pPr>
              <w:pStyle w:val="13"/>
            </w:pPr>
            <w:r>
              <w:t>《2011年关于我区设立专业人民调解委员会所需经费的核实意见和请示》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带动消费情况 </w:t>
            </w:r>
          </w:p>
        </w:tc>
        <w:tc>
          <w:tcPr>
            <w:tcW w:w="5386" w:type="dxa"/>
            <w:vAlign w:val="center"/>
          </w:tcPr>
          <w:p>
            <w:pPr>
              <w:pStyle w:val="13"/>
            </w:pPr>
            <w:r>
              <w:t xml:space="preserve">带动消费情况 </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大学生专职人民调解员满意度</w:t>
            </w:r>
          </w:p>
        </w:tc>
        <w:tc>
          <w:tcPr>
            <w:tcW w:w="5386" w:type="dxa"/>
            <w:vAlign w:val="center"/>
          </w:tcPr>
          <w:p>
            <w:pPr>
              <w:pStyle w:val="13"/>
            </w:pPr>
            <w:r>
              <w:t>大学生专职人民调解员对工资待遇的满意度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、法律援助经费绩效目标表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13020725P00RB4T10010G</w:t>
            </w:r>
          </w:p>
        </w:tc>
        <w:tc>
          <w:tcPr>
            <w:tcW w:w="2835" w:type="dxa"/>
            <w:vAlign w:val="center"/>
          </w:tcPr>
          <w:p>
            <w:pPr>
              <w:pStyle w:val="11"/>
            </w:pPr>
            <w:r>
              <w:t>项目名称</w:t>
            </w:r>
          </w:p>
        </w:tc>
        <w:tc>
          <w:tcPr>
            <w:tcW w:w="6095" w:type="dxa"/>
            <w:gridSpan w:val="3"/>
            <w:vAlign w:val="center"/>
          </w:tcPr>
          <w:p>
            <w:pPr>
              <w:pStyle w:val="13"/>
            </w:pPr>
            <w:r>
              <w:t>法律援助经费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用于法律援助办案补贴和宣传费。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1.办理法律援助案件达到400件以上，对符合困难标准和受案范围的当事人受援率要达到100%；确保区、乡镇、村（居）三级公共法律服务中心规范化达标率达到100%。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提供法律咨询数量</w:t>
            </w:r>
          </w:p>
        </w:tc>
        <w:tc>
          <w:tcPr>
            <w:tcW w:w="5386" w:type="dxa"/>
            <w:vAlign w:val="center"/>
          </w:tcPr>
          <w:p>
            <w:pPr>
              <w:pStyle w:val="13"/>
            </w:pPr>
            <w:r>
              <w:t>为来电来访群众提供法律咨询服务数量</w:t>
            </w:r>
          </w:p>
        </w:tc>
        <w:tc>
          <w:tcPr>
            <w:tcW w:w="2268" w:type="dxa"/>
            <w:vAlign w:val="center"/>
          </w:tcPr>
          <w:p>
            <w:pPr>
              <w:pStyle w:val="13"/>
            </w:pPr>
            <w:r>
              <w:t>≥800人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法律援助案件受理数</w:t>
            </w:r>
          </w:p>
        </w:tc>
        <w:tc>
          <w:tcPr>
            <w:tcW w:w="5386" w:type="dxa"/>
            <w:vAlign w:val="center"/>
          </w:tcPr>
          <w:p>
            <w:pPr>
              <w:pStyle w:val="13"/>
            </w:pPr>
            <w:r>
              <w:t>办理法律援助案件数量</w:t>
            </w:r>
          </w:p>
        </w:tc>
        <w:tc>
          <w:tcPr>
            <w:tcW w:w="2268" w:type="dxa"/>
            <w:vAlign w:val="center"/>
          </w:tcPr>
          <w:p>
            <w:pPr>
              <w:pStyle w:val="13"/>
            </w:pPr>
            <w:r>
              <w:t>≥400件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提供法律服务及时性</w:t>
            </w:r>
          </w:p>
        </w:tc>
        <w:tc>
          <w:tcPr>
            <w:tcW w:w="5386" w:type="dxa"/>
            <w:vAlign w:val="center"/>
          </w:tcPr>
          <w:p>
            <w:pPr>
              <w:pStyle w:val="13"/>
            </w:pPr>
            <w:r>
              <w:t>提供法律服务及时性</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为受援助人免收代理费</w:t>
            </w:r>
          </w:p>
        </w:tc>
        <w:tc>
          <w:tcPr>
            <w:tcW w:w="5386" w:type="dxa"/>
            <w:vAlign w:val="center"/>
          </w:tcPr>
          <w:p>
            <w:pPr>
              <w:pStyle w:val="13"/>
            </w:pPr>
            <w:r>
              <w:t>为受援助人免收代理费</w:t>
            </w:r>
          </w:p>
        </w:tc>
        <w:tc>
          <w:tcPr>
            <w:tcW w:w="2268" w:type="dxa"/>
            <w:vAlign w:val="center"/>
          </w:tcPr>
          <w:p>
            <w:pPr>
              <w:pStyle w:val="13"/>
            </w:pPr>
            <w:r>
              <w:t>≥100万元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法律援助案件受理率</w:t>
            </w:r>
          </w:p>
        </w:tc>
        <w:tc>
          <w:tcPr>
            <w:tcW w:w="5386" w:type="dxa"/>
            <w:vAlign w:val="center"/>
          </w:tcPr>
          <w:p>
            <w:pPr>
              <w:pStyle w:val="13"/>
            </w:pPr>
            <w:r>
              <w:t>已提供法律援助案件占申请法律援助案件比例</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及时受理、及时审批、及时指派</w:t>
            </w:r>
          </w:p>
        </w:tc>
        <w:tc>
          <w:tcPr>
            <w:tcW w:w="5386" w:type="dxa"/>
            <w:vAlign w:val="center"/>
          </w:tcPr>
          <w:p>
            <w:pPr>
              <w:pStyle w:val="13"/>
            </w:pPr>
            <w:r>
              <w:t>对符合困难标准和受案范围的当事人受援率要达到100%，从而实现应援尽援、尽援优援</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民事和形势案卷质量评估</w:t>
            </w:r>
          </w:p>
        </w:tc>
        <w:tc>
          <w:tcPr>
            <w:tcW w:w="5386" w:type="dxa"/>
            <w:vAlign w:val="center"/>
          </w:tcPr>
          <w:p>
            <w:pPr>
              <w:pStyle w:val="13"/>
            </w:pPr>
            <w:r>
              <w:t>确保法律援助案卷在质量评估中达到合格以上的标准</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通过抽样调查的方式，对接受法律援助的人员进行调查，达到满意程度的比例</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、法律专家咨询费绩效目标表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13020725P00X4X410058Q</w:t>
            </w:r>
          </w:p>
        </w:tc>
        <w:tc>
          <w:tcPr>
            <w:tcW w:w="2835" w:type="dxa"/>
            <w:vAlign w:val="center"/>
          </w:tcPr>
          <w:p>
            <w:pPr>
              <w:pStyle w:val="11"/>
            </w:pPr>
            <w:r>
              <w:t>项目名称</w:t>
            </w:r>
          </w:p>
        </w:tc>
        <w:tc>
          <w:tcPr>
            <w:tcW w:w="6095" w:type="dxa"/>
            <w:gridSpan w:val="3"/>
            <w:vAlign w:val="center"/>
          </w:tcPr>
          <w:p>
            <w:pPr>
              <w:pStyle w:val="13"/>
            </w:pPr>
            <w:r>
              <w:t>法律专家咨询费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为区政府法律顾问补贴聘请律师费用。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1.法律专家咨询费按规定及时发放.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聘用律师数量</w:t>
            </w:r>
          </w:p>
        </w:tc>
        <w:tc>
          <w:tcPr>
            <w:tcW w:w="5386" w:type="dxa"/>
            <w:vAlign w:val="center"/>
          </w:tcPr>
          <w:p>
            <w:pPr>
              <w:pStyle w:val="13"/>
            </w:pPr>
            <w:r>
              <w:t>聘用律师数量</w:t>
            </w:r>
          </w:p>
        </w:tc>
        <w:tc>
          <w:tcPr>
            <w:tcW w:w="2268" w:type="dxa"/>
            <w:vAlign w:val="center"/>
          </w:tcPr>
          <w:p>
            <w:pPr>
              <w:pStyle w:val="13"/>
            </w:pPr>
            <w:r>
              <w:t>≥8人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咨询服务质量</w:t>
            </w:r>
          </w:p>
        </w:tc>
        <w:tc>
          <w:tcPr>
            <w:tcW w:w="5386" w:type="dxa"/>
            <w:vAlign w:val="center"/>
          </w:tcPr>
          <w:p>
            <w:pPr>
              <w:pStyle w:val="13"/>
            </w:pPr>
            <w:r>
              <w:t>提供的法律咨询服务质量</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律师咨询费发放及时率</w:t>
            </w:r>
          </w:p>
        </w:tc>
        <w:tc>
          <w:tcPr>
            <w:tcW w:w="5386" w:type="dxa"/>
            <w:vAlign w:val="center"/>
          </w:tcPr>
          <w:p>
            <w:pPr>
              <w:pStyle w:val="13"/>
            </w:pPr>
            <w:r>
              <w:t>律师咨询费发放的及时程度</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律师咨询费最低发放标准</w:t>
            </w:r>
          </w:p>
        </w:tc>
        <w:tc>
          <w:tcPr>
            <w:tcW w:w="5386" w:type="dxa"/>
            <w:vAlign w:val="center"/>
          </w:tcPr>
          <w:p>
            <w:pPr>
              <w:pStyle w:val="13"/>
            </w:pPr>
            <w:r>
              <w:t>执行的律师咨询费发放标准标准</w:t>
            </w:r>
          </w:p>
        </w:tc>
        <w:tc>
          <w:tcPr>
            <w:tcW w:w="2268" w:type="dxa"/>
            <w:vAlign w:val="center"/>
          </w:tcPr>
          <w:p>
            <w:pPr>
              <w:pStyle w:val="13"/>
            </w:pPr>
            <w:r>
              <w:t>≥15000元/年，人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咨询费消费贡献率</w:t>
            </w:r>
          </w:p>
        </w:tc>
        <w:tc>
          <w:tcPr>
            <w:tcW w:w="5386" w:type="dxa"/>
            <w:vAlign w:val="center"/>
          </w:tcPr>
          <w:p>
            <w:pPr>
              <w:pStyle w:val="13"/>
            </w:pPr>
            <w:r>
              <w:t>咨询收入的消费能力</w:t>
            </w:r>
          </w:p>
        </w:tc>
        <w:tc>
          <w:tcPr>
            <w:tcW w:w="2268" w:type="dxa"/>
            <w:vAlign w:val="center"/>
          </w:tcPr>
          <w:p>
            <w:pPr>
              <w:pStyle w:val="13"/>
            </w:pPr>
            <w:r>
              <w:t>≥50%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提高我区工作人员法律意识</w:t>
            </w:r>
          </w:p>
        </w:tc>
        <w:tc>
          <w:tcPr>
            <w:tcW w:w="5386" w:type="dxa"/>
            <w:vAlign w:val="center"/>
          </w:tcPr>
          <w:p>
            <w:pPr>
              <w:pStyle w:val="13"/>
            </w:pPr>
            <w:r>
              <w:t>提高我区工作人员法律意识。</w:t>
            </w:r>
          </w:p>
        </w:tc>
        <w:tc>
          <w:tcPr>
            <w:tcW w:w="2268" w:type="dxa"/>
            <w:vAlign w:val="center"/>
          </w:tcPr>
          <w:p>
            <w:pPr>
              <w:pStyle w:val="13"/>
            </w:pPr>
            <w:r>
              <w:t>有效提高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保障我区法律权益</w:t>
            </w:r>
          </w:p>
        </w:tc>
        <w:tc>
          <w:tcPr>
            <w:tcW w:w="5386" w:type="dxa"/>
            <w:vAlign w:val="center"/>
          </w:tcPr>
          <w:p>
            <w:pPr>
              <w:pStyle w:val="13"/>
            </w:pPr>
            <w:r>
              <w:t>保障我区法律权益</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律师满意度</w:t>
            </w:r>
          </w:p>
        </w:tc>
        <w:tc>
          <w:tcPr>
            <w:tcW w:w="5386" w:type="dxa"/>
            <w:vAlign w:val="center"/>
          </w:tcPr>
          <w:p>
            <w:pPr>
              <w:pStyle w:val="13"/>
            </w:pPr>
            <w:r>
              <w:t>律师对咨询费待遇的满意度</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、法治规范化建设经费绩效目标表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13020725P00RDJL100059</w:t>
            </w:r>
          </w:p>
        </w:tc>
        <w:tc>
          <w:tcPr>
            <w:tcW w:w="2835" w:type="dxa"/>
            <w:vAlign w:val="center"/>
          </w:tcPr>
          <w:p>
            <w:pPr>
              <w:pStyle w:val="11"/>
            </w:pPr>
            <w:r>
              <w:t>项目名称</w:t>
            </w:r>
          </w:p>
        </w:tc>
        <w:tc>
          <w:tcPr>
            <w:tcW w:w="6095" w:type="dxa"/>
            <w:gridSpan w:val="3"/>
            <w:vAlign w:val="center"/>
          </w:tcPr>
          <w:p>
            <w:pPr>
              <w:pStyle w:val="13"/>
            </w:pPr>
            <w:r>
              <w:t>法治规范化建设经费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行政复议应诉和执法监督工作。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1.组织全区依法行政考核工作；组织全区执法监督检查，加强对行政执法人员资格、考试、证件管理；办理行政复议案件，行政诉讼、裁决案件，及时纠正各级行政机关违法不当行为。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参加行政执法培训考试人员数量</w:t>
            </w:r>
          </w:p>
        </w:tc>
        <w:tc>
          <w:tcPr>
            <w:tcW w:w="5386" w:type="dxa"/>
            <w:vAlign w:val="center"/>
          </w:tcPr>
          <w:p>
            <w:pPr>
              <w:pStyle w:val="13"/>
            </w:pPr>
            <w:r>
              <w:t>参加行政执法培训考试人员数量</w:t>
            </w:r>
          </w:p>
        </w:tc>
        <w:tc>
          <w:tcPr>
            <w:tcW w:w="2268" w:type="dxa"/>
            <w:vAlign w:val="center"/>
          </w:tcPr>
          <w:p>
            <w:pPr>
              <w:pStyle w:val="13"/>
            </w:pPr>
            <w:r>
              <w:t>≥1200人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落实全年依法治区委员会安排部署</w:t>
            </w:r>
          </w:p>
        </w:tc>
        <w:tc>
          <w:tcPr>
            <w:tcW w:w="5386" w:type="dxa"/>
            <w:vAlign w:val="center"/>
          </w:tcPr>
          <w:p>
            <w:pPr>
              <w:pStyle w:val="13"/>
            </w:pPr>
            <w:r>
              <w:t>确保全面依法治区委员会安排部署全部落实</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及时组织依法行政考核</w:t>
            </w:r>
          </w:p>
        </w:tc>
        <w:tc>
          <w:tcPr>
            <w:tcW w:w="5386" w:type="dxa"/>
            <w:vAlign w:val="center"/>
          </w:tcPr>
          <w:p>
            <w:pPr>
              <w:pStyle w:val="13"/>
            </w:pPr>
            <w:r>
              <w:t>及时组织依法行政考核</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组织开展案卷评查次数</w:t>
            </w:r>
          </w:p>
        </w:tc>
        <w:tc>
          <w:tcPr>
            <w:tcW w:w="5386" w:type="dxa"/>
            <w:vAlign w:val="center"/>
          </w:tcPr>
          <w:p>
            <w:pPr>
              <w:pStyle w:val="13"/>
            </w:pPr>
            <w:r>
              <w:t>对全区行政执法相关案件进行评查</w:t>
            </w:r>
          </w:p>
        </w:tc>
        <w:tc>
          <w:tcPr>
            <w:tcW w:w="2268" w:type="dxa"/>
            <w:vAlign w:val="center"/>
          </w:tcPr>
          <w:p>
            <w:pPr>
              <w:pStyle w:val="13"/>
            </w:pPr>
            <w:r>
              <w:t>≥2次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法治政府建设创建效果</w:t>
            </w:r>
          </w:p>
        </w:tc>
        <w:tc>
          <w:tcPr>
            <w:tcW w:w="5386" w:type="dxa"/>
            <w:vAlign w:val="center"/>
          </w:tcPr>
          <w:p>
            <w:pPr>
              <w:pStyle w:val="13"/>
            </w:pPr>
            <w:r>
              <w:t>政府职能依法全面履行，不断优化营商环境</w:t>
            </w:r>
          </w:p>
        </w:tc>
        <w:tc>
          <w:tcPr>
            <w:tcW w:w="2268" w:type="dxa"/>
            <w:vAlign w:val="center"/>
          </w:tcPr>
          <w:p>
            <w:pPr>
              <w:pStyle w:val="13"/>
            </w:pPr>
            <w:r>
              <w:t>有效改善</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依法治区工作成效</w:t>
            </w:r>
          </w:p>
        </w:tc>
        <w:tc>
          <w:tcPr>
            <w:tcW w:w="5386" w:type="dxa"/>
            <w:vAlign w:val="center"/>
          </w:tcPr>
          <w:p>
            <w:pPr>
              <w:pStyle w:val="13"/>
            </w:pPr>
            <w:r>
              <w:t>依法执政、依法行政水平不断增强，法治政府建设持续加强</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发挥统筹协调推动作用</w:t>
            </w:r>
          </w:p>
        </w:tc>
        <w:tc>
          <w:tcPr>
            <w:tcW w:w="5386" w:type="dxa"/>
            <w:vAlign w:val="center"/>
          </w:tcPr>
          <w:p>
            <w:pPr>
              <w:pStyle w:val="13"/>
            </w:pPr>
            <w:r>
              <w:t>统筹协调各地各部门协调配合，共同推进依法治区工作开展</w:t>
            </w:r>
          </w:p>
        </w:tc>
        <w:tc>
          <w:tcPr>
            <w:tcW w:w="2268" w:type="dxa"/>
            <w:vAlign w:val="center"/>
          </w:tcPr>
          <w:p>
            <w:pPr>
              <w:pStyle w:val="13"/>
            </w:pPr>
            <w:r>
              <w:t>明显提高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、劳务派遣人员经费（劳务费）绩效目标表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13020725P00002210307D</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33.31</w:t>
            </w:r>
          </w:p>
        </w:tc>
        <w:tc>
          <w:tcPr>
            <w:tcW w:w="2835" w:type="dxa"/>
            <w:vAlign w:val="center"/>
          </w:tcPr>
          <w:p>
            <w:pPr>
              <w:pStyle w:val="11"/>
            </w:pPr>
            <w:r>
              <w:t>其中：财政    资金</w:t>
            </w:r>
          </w:p>
        </w:tc>
        <w:tc>
          <w:tcPr>
            <w:tcW w:w="2551" w:type="dxa"/>
            <w:vAlign w:val="center"/>
          </w:tcPr>
          <w:p>
            <w:pPr>
              <w:pStyle w:val="13"/>
            </w:pPr>
            <w:r>
              <w:t>33.31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用于发放劳务派遣人员工资和保险费用。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反映签订劳务派遣合同人数情况</w:t>
            </w:r>
          </w:p>
        </w:tc>
        <w:tc>
          <w:tcPr>
            <w:tcW w:w="2268" w:type="dxa"/>
            <w:vAlign w:val="center"/>
          </w:tcPr>
          <w:p>
            <w:pPr>
              <w:pStyle w:val="13"/>
            </w:pPr>
            <w:r>
              <w:t>6人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≥3300元/月</w:t>
            </w:r>
          </w:p>
        </w:tc>
        <w:tc>
          <w:tcPr>
            <w:tcW w:w="1276" w:type="dxa"/>
            <w:vAlign w:val="center"/>
          </w:tcPr>
          <w:p>
            <w:pPr>
              <w:pStyle w:val="13"/>
            </w:pPr>
            <w:r>
              <w:t>机关事业单位劳务派遣人员管理办法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带动消费情况 </w:t>
            </w:r>
          </w:p>
        </w:tc>
        <w:tc>
          <w:tcPr>
            <w:tcW w:w="5386" w:type="dxa"/>
            <w:vAlign w:val="center"/>
          </w:tcPr>
          <w:p>
            <w:pPr>
              <w:pStyle w:val="13"/>
            </w:pPr>
            <w:r>
              <w:t xml:space="preserve">带动消费情况 </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、离退休老干部专职人民调解员费用（劳务费）绩效目标表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13020725P00X4X410060P</w:t>
            </w:r>
          </w:p>
        </w:tc>
        <w:tc>
          <w:tcPr>
            <w:tcW w:w="2835" w:type="dxa"/>
            <w:vAlign w:val="center"/>
          </w:tcPr>
          <w:p>
            <w:pPr>
              <w:pStyle w:val="11"/>
            </w:pPr>
            <w:r>
              <w:t>项目名称</w:t>
            </w:r>
          </w:p>
        </w:tc>
        <w:tc>
          <w:tcPr>
            <w:tcW w:w="6095" w:type="dxa"/>
            <w:gridSpan w:val="3"/>
            <w:vAlign w:val="center"/>
          </w:tcPr>
          <w:p>
            <w:pPr>
              <w:pStyle w:val="13"/>
            </w:pPr>
            <w:r>
              <w:t>离退休老干部专职人民调解员费用（劳务费）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115.20</w:t>
            </w:r>
          </w:p>
        </w:tc>
        <w:tc>
          <w:tcPr>
            <w:tcW w:w="2835" w:type="dxa"/>
            <w:vAlign w:val="center"/>
          </w:tcPr>
          <w:p>
            <w:pPr>
              <w:pStyle w:val="11"/>
            </w:pPr>
            <w:r>
              <w:t>其中：财政    资金</w:t>
            </w:r>
          </w:p>
        </w:tc>
        <w:tc>
          <w:tcPr>
            <w:tcW w:w="2551" w:type="dxa"/>
            <w:vAlign w:val="center"/>
          </w:tcPr>
          <w:p>
            <w:pPr>
              <w:pStyle w:val="13"/>
            </w:pPr>
            <w:r>
              <w:t>115.20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用于发放离退休老干部专职人民调解员劳务费。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1.及时发放离退休老干部专职人民调解员费用，提高调解力度。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反映发放人数情况</w:t>
            </w:r>
          </w:p>
        </w:tc>
        <w:tc>
          <w:tcPr>
            <w:tcW w:w="2268" w:type="dxa"/>
            <w:vAlign w:val="center"/>
          </w:tcPr>
          <w:p>
            <w:pPr>
              <w:pStyle w:val="13"/>
            </w:pPr>
            <w:r>
              <w:t>48人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《2011年关于我区设立专业人民调解委员会所需经费的核实意见和请示》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发放费用总金额</w:t>
            </w:r>
          </w:p>
        </w:tc>
        <w:tc>
          <w:tcPr>
            <w:tcW w:w="5386" w:type="dxa"/>
            <w:vAlign w:val="center"/>
          </w:tcPr>
          <w:p>
            <w:pPr>
              <w:pStyle w:val="13"/>
            </w:pPr>
            <w:r>
              <w:t>反映支付任意劳务费总金额情况</w:t>
            </w:r>
          </w:p>
        </w:tc>
        <w:tc>
          <w:tcPr>
            <w:tcW w:w="2268" w:type="dxa"/>
            <w:vAlign w:val="center"/>
          </w:tcPr>
          <w:p>
            <w:pPr>
              <w:pStyle w:val="13"/>
            </w:pPr>
            <w:r>
              <w:t>≤115.2万元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服务满意质量</w:t>
            </w:r>
          </w:p>
        </w:tc>
        <w:tc>
          <w:tcPr>
            <w:tcW w:w="5386" w:type="dxa"/>
            <w:vAlign w:val="center"/>
          </w:tcPr>
          <w:p>
            <w:pPr>
              <w:pStyle w:val="13"/>
            </w:pPr>
            <w:r>
              <w:t>反映服务群众质量情况</w:t>
            </w:r>
          </w:p>
        </w:tc>
        <w:tc>
          <w:tcPr>
            <w:tcW w:w="2268" w:type="dxa"/>
            <w:vAlign w:val="center"/>
          </w:tcPr>
          <w:p>
            <w:pPr>
              <w:pStyle w:val="13"/>
            </w:pPr>
            <w:r>
              <w:t>有所提高</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反映群众对工作人员满意程度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、普法经费绩效目标表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13020725P00RB4T100095</w:t>
            </w:r>
          </w:p>
        </w:tc>
        <w:tc>
          <w:tcPr>
            <w:tcW w:w="2835" w:type="dxa"/>
            <w:vAlign w:val="center"/>
          </w:tcPr>
          <w:p>
            <w:pPr>
              <w:pStyle w:val="11"/>
            </w:pPr>
            <w:r>
              <w:t>项目名称</w:t>
            </w:r>
          </w:p>
        </w:tc>
        <w:tc>
          <w:tcPr>
            <w:tcW w:w="6095" w:type="dxa"/>
            <w:gridSpan w:val="3"/>
            <w:vAlign w:val="center"/>
          </w:tcPr>
          <w:p>
            <w:pPr>
              <w:pStyle w:val="13"/>
            </w:pPr>
            <w:r>
              <w:t>普法经费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基层所普法宣传、制作普法材料。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1.提高广大群众的法律意识，推进法治宣传教育工作目标精准化、工作举措项目化、工作考核体系化、工作指导专业化建设。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法治培训及讲座次数</w:t>
            </w:r>
          </w:p>
        </w:tc>
        <w:tc>
          <w:tcPr>
            <w:tcW w:w="5386" w:type="dxa"/>
            <w:vAlign w:val="center"/>
          </w:tcPr>
          <w:p>
            <w:pPr>
              <w:pStyle w:val="13"/>
            </w:pPr>
            <w:r>
              <w:t>举办各种法治培训及法治报告会</w:t>
            </w:r>
          </w:p>
        </w:tc>
        <w:tc>
          <w:tcPr>
            <w:tcW w:w="2268" w:type="dxa"/>
            <w:vAlign w:val="center"/>
          </w:tcPr>
          <w:p>
            <w:pPr>
              <w:pStyle w:val="13"/>
            </w:pPr>
            <w:r>
              <w:t>≥20次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宣传资料制作数</w:t>
            </w:r>
          </w:p>
        </w:tc>
        <w:tc>
          <w:tcPr>
            <w:tcW w:w="5386" w:type="dxa"/>
            <w:vAlign w:val="center"/>
          </w:tcPr>
          <w:p>
            <w:pPr>
              <w:pStyle w:val="13"/>
            </w:pPr>
            <w:r>
              <w:t>各种法律宣传资料数量</w:t>
            </w:r>
          </w:p>
        </w:tc>
        <w:tc>
          <w:tcPr>
            <w:tcW w:w="2268" w:type="dxa"/>
            <w:vAlign w:val="center"/>
          </w:tcPr>
          <w:p>
            <w:pPr>
              <w:pStyle w:val="13"/>
            </w:pPr>
            <w:r>
              <w:t>≥10万张</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按时完成宣传任务</w:t>
            </w:r>
          </w:p>
        </w:tc>
        <w:tc>
          <w:tcPr>
            <w:tcW w:w="5386" w:type="dxa"/>
            <w:vAlign w:val="center"/>
          </w:tcPr>
          <w:p>
            <w:pPr>
              <w:pStyle w:val="13"/>
            </w:pPr>
            <w:r>
              <w:t>按时完成宣传任务</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控制在年初预算内</w:t>
            </w:r>
          </w:p>
        </w:tc>
        <w:tc>
          <w:tcPr>
            <w:tcW w:w="2268" w:type="dxa"/>
            <w:vAlign w:val="center"/>
          </w:tcPr>
          <w:p>
            <w:pPr>
              <w:pStyle w:val="13"/>
            </w:pPr>
            <w:r>
              <w:t>≤40万元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普法考核通过率</w:t>
            </w:r>
          </w:p>
        </w:tc>
        <w:tc>
          <w:tcPr>
            <w:tcW w:w="5386" w:type="dxa"/>
            <w:vAlign w:val="center"/>
          </w:tcPr>
          <w:p>
            <w:pPr>
              <w:pStyle w:val="13"/>
            </w:pPr>
            <w:r>
              <w:t>通过普法考核的人数占考核总人数的比率</w:t>
            </w:r>
          </w:p>
        </w:tc>
        <w:tc>
          <w:tcPr>
            <w:tcW w:w="2268" w:type="dxa"/>
            <w:vAlign w:val="center"/>
          </w:tcPr>
          <w:p>
            <w:pPr>
              <w:pStyle w:val="13"/>
            </w:pPr>
            <w:r>
              <w:t>≥85%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普法活动效果</w:t>
            </w:r>
          </w:p>
        </w:tc>
        <w:tc>
          <w:tcPr>
            <w:tcW w:w="5386" w:type="dxa"/>
            <w:vAlign w:val="center"/>
          </w:tcPr>
          <w:p>
            <w:pPr>
              <w:pStyle w:val="13"/>
            </w:pPr>
            <w:r>
              <w:t>增强人民普法热情，使广大人民群众知法懂法</w:t>
            </w:r>
          </w:p>
        </w:tc>
        <w:tc>
          <w:tcPr>
            <w:tcW w:w="2268" w:type="dxa"/>
            <w:vAlign w:val="center"/>
          </w:tcPr>
          <w:p>
            <w:pPr>
              <w:pStyle w:val="13"/>
            </w:pPr>
            <w:r>
              <w:t>有效改善</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提高人民法律意识</w:t>
            </w:r>
          </w:p>
        </w:tc>
        <w:tc>
          <w:tcPr>
            <w:tcW w:w="5386" w:type="dxa"/>
            <w:vAlign w:val="center"/>
          </w:tcPr>
          <w:p>
            <w:pPr>
              <w:pStyle w:val="13"/>
            </w:pPr>
            <w:r>
              <w:t>提高人民法律意识</w:t>
            </w:r>
          </w:p>
        </w:tc>
        <w:tc>
          <w:tcPr>
            <w:tcW w:w="2268" w:type="dxa"/>
            <w:vAlign w:val="center"/>
          </w:tcPr>
          <w:p>
            <w:pPr>
              <w:pStyle w:val="13"/>
            </w:pPr>
            <w:r>
              <w:t>明显提高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群众满意问卷占所有问卷的比例</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、人民调解“以奖代补”“以案定补”费用绩效目标表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13020725P00RB4T10012P</w:t>
            </w:r>
          </w:p>
        </w:tc>
        <w:tc>
          <w:tcPr>
            <w:tcW w:w="2835" w:type="dxa"/>
            <w:vAlign w:val="center"/>
          </w:tcPr>
          <w:p>
            <w:pPr>
              <w:pStyle w:val="11"/>
            </w:pPr>
            <w:r>
              <w:t>项目名称</w:t>
            </w:r>
          </w:p>
        </w:tc>
        <w:tc>
          <w:tcPr>
            <w:tcW w:w="6095" w:type="dxa"/>
            <w:gridSpan w:val="3"/>
            <w:vAlign w:val="center"/>
          </w:tcPr>
          <w:p>
            <w:pPr>
              <w:pStyle w:val="13"/>
            </w:pPr>
            <w:r>
              <w:t>人民调解“以奖代补”“以案定补”费用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人民调解“以奖代补”“以案定补”及优秀案例补贴。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1.人民调解“以奖代补”“以案补贴”费按要求发放，提高镇村两级调解员调解积极性。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调解案件数</w:t>
            </w:r>
          </w:p>
        </w:tc>
        <w:tc>
          <w:tcPr>
            <w:tcW w:w="5386" w:type="dxa"/>
            <w:vAlign w:val="center"/>
          </w:tcPr>
          <w:p>
            <w:pPr>
              <w:pStyle w:val="13"/>
            </w:pPr>
            <w:r>
              <w:t>调解案件数</w:t>
            </w:r>
          </w:p>
        </w:tc>
        <w:tc>
          <w:tcPr>
            <w:tcW w:w="2268" w:type="dxa"/>
            <w:vAlign w:val="center"/>
          </w:tcPr>
          <w:p>
            <w:pPr>
              <w:pStyle w:val="13"/>
            </w:pPr>
            <w:r>
              <w:t>≥3000件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调解成功率</w:t>
            </w:r>
          </w:p>
        </w:tc>
        <w:tc>
          <w:tcPr>
            <w:tcW w:w="5386" w:type="dxa"/>
            <w:vAlign w:val="center"/>
          </w:tcPr>
          <w:p>
            <w:pPr>
              <w:pStyle w:val="13"/>
            </w:pPr>
            <w:r>
              <w:t>调解成功率</w:t>
            </w:r>
          </w:p>
        </w:tc>
        <w:tc>
          <w:tcPr>
            <w:tcW w:w="2268" w:type="dxa"/>
            <w:vAlign w:val="center"/>
          </w:tcPr>
          <w:p>
            <w:pPr>
              <w:pStyle w:val="13"/>
            </w:pPr>
            <w:r>
              <w:t>≥85%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调解人员最低补贴标准</w:t>
            </w:r>
          </w:p>
        </w:tc>
        <w:tc>
          <w:tcPr>
            <w:tcW w:w="5386" w:type="dxa"/>
            <w:vAlign w:val="center"/>
          </w:tcPr>
          <w:p>
            <w:pPr>
              <w:pStyle w:val="13"/>
            </w:pPr>
            <w:r>
              <w:t>执行的调解人员每件补贴标准</w:t>
            </w:r>
          </w:p>
        </w:tc>
        <w:tc>
          <w:tcPr>
            <w:tcW w:w="2268" w:type="dxa"/>
            <w:vAlign w:val="center"/>
          </w:tcPr>
          <w:p>
            <w:pPr>
              <w:pStyle w:val="13"/>
            </w:pPr>
            <w:r>
              <w:t>≥50元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诉讼费用节约率</w:t>
            </w:r>
          </w:p>
        </w:tc>
        <w:tc>
          <w:tcPr>
            <w:tcW w:w="5386" w:type="dxa"/>
            <w:vAlign w:val="center"/>
          </w:tcPr>
          <w:p>
            <w:pPr>
              <w:pStyle w:val="13"/>
            </w:pPr>
            <w:r>
              <w:t>节约的诉讼费金额占诉讼费的比例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调解工作发挥作用</w:t>
            </w:r>
          </w:p>
        </w:tc>
        <w:tc>
          <w:tcPr>
            <w:tcW w:w="5386" w:type="dxa"/>
            <w:vAlign w:val="center"/>
          </w:tcPr>
          <w:p>
            <w:pPr>
              <w:pStyle w:val="13"/>
            </w:pPr>
            <w:r>
              <w:t>人民调解在化解矛盾纠纷的宣传率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开展专项纠纷排查活动，排查率</w:t>
            </w:r>
          </w:p>
        </w:tc>
        <w:tc>
          <w:tcPr>
            <w:tcW w:w="5386" w:type="dxa"/>
            <w:vAlign w:val="center"/>
          </w:tcPr>
          <w:p>
            <w:pPr>
              <w:pStyle w:val="13"/>
            </w:pPr>
            <w:r>
              <w:t>排查纠纷件数按总纠纷件数的占比</w:t>
            </w:r>
          </w:p>
        </w:tc>
        <w:tc>
          <w:tcPr>
            <w:tcW w:w="2268" w:type="dxa"/>
            <w:vAlign w:val="center"/>
          </w:tcPr>
          <w:p>
            <w:pPr>
              <w:pStyle w:val="13"/>
            </w:pPr>
            <w:r>
              <w:t>≥70%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服务对象满意度占服务对象总人数的比例</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、人民调解经费（2.5万元以内）绩效目标表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13020725P00RB4T10014Y</w:t>
            </w:r>
          </w:p>
        </w:tc>
        <w:tc>
          <w:tcPr>
            <w:tcW w:w="2835" w:type="dxa"/>
            <w:vAlign w:val="center"/>
          </w:tcPr>
          <w:p>
            <w:pPr>
              <w:pStyle w:val="11"/>
            </w:pPr>
            <w:r>
              <w:t>项目名称</w:t>
            </w:r>
          </w:p>
        </w:tc>
        <w:tc>
          <w:tcPr>
            <w:tcW w:w="6095" w:type="dxa"/>
            <w:gridSpan w:val="3"/>
            <w:vAlign w:val="center"/>
          </w:tcPr>
          <w:p>
            <w:pPr>
              <w:pStyle w:val="13"/>
            </w:pPr>
            <w:r>
              <w:t>人民调解经费（2.5万元以内）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化解矛盾纠纷，维护社会稳定。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1.指导、管理全区人民调解工作；</w:t>
            </w:r>
            <w:r>
              <w:tab/>
            </w:r>
            <w:r>
              <w:t>加强全区各级人民调解组织的规范性建设工作。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年调解纠纷案件</w:t>
            </w:r>
          </w:p>
        </w:tc>
        <w:tc>
          <w:tcPr>
            <w:tcW w:w="5386" w:type="dxa"/>
            <w:vAlign w:val="center"/>
          </w:tcPr>
          <w:p>
            <w:pPr>
              <w:pStyle w:val="13"/>
            </w:pPr>
            <w:r>
              <w:t>年调解纠纷案件</w:t>
            </w:r>
          </w:p>
        </w:tc>
        <w:tc>
          <w:tcPr>
            <w:tcW w:w="2268" w:type="dxa"/>
            <w:vAlign w:val="center"/>
          </w:tcPr>
          <w:p>
            <w:pPr>
              <w:pStyle w:val="13"/>
            </w:pPr>
            <w:r>
              <w:t>≥3000件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矛盾纠纷调解率</w:t>
            </w:r>
          </w:p>
        </w:tc>
        <w:tc>
          <w:tcPr>
            <w:tcW w:w="5386" w:type="dxa"/>
            <w:vAlign w:val="center"/>
          </w:tcPr>
          <w:p>
            <w:pPr>
              <w:pStyle w:val="13"/>
            </w:pPr>
            <w:r>
              <w:t>全年矛盾纠纷调解件数占纠纷案件数比例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调解及时性</w:t>
            </w:r>
          </w:p>
        </w:tc>
        <w:tc>
          <w:tcPr>
            <w:tcW w:w="5386" w:type="dxa"/>
            <w:vAlign w:val="center"/>
          </w:tcPr>
          <w:p>
            <w:pPr>
              <w:pStyle w:val="13"/>
            </w:pPr>
            <w:r>
              <w:t>调解及时性</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调解成功率</w:t>
            </w:r>
          </w:p>
        </w:tc>
        <w:tc>
          <w:tcPr>
            <w:tcW w:w="5386" w:type="dxa"/>
            <w:vAlign w:val="center"/>
          </w:tcPr>
          <w:p>
            <w:pPr>
              <w:pStyle w:val="13"/>
            </w:pPr>
            <w:r>
              <w:t>调解成功案件数占调解案件数比例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当事人诉讼成本节约率</w:t>
            </w:r>
          </w:p>
        </w:tc>
        <w:tc>
          <w:tcPr>
            <w:tcW w:w="5386" w:type="dxa"/>
            <w:vAlign w:val="center"/>
          </w:tcPr>
          <w:p>
            <w:pPr>
              <w:pStyle w:val="13"/>
            </w:pPr>
            <w:r>
              <w:t>节约的诉讼费金额占诉讼费的比例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人民调解发挥作用</w:t>
            </w:r>
          </w:p>
        </w:tc>
        <w:tc>
          <w:tcPr>
            <w:tcW w:w="5386" w:type="dxa"/>
            <w:vAlign w:val="center"/>
          </w:tcPr>
          <w:p>
            <w:pPr>
              <w:pStyle w:val="13"/>
            </w:pPr>
            <w:r>
              <w:t>人民调解在化解矛盾纠纷的宣传率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开展专项纠纷排查活动，排查率</w:t>
            </w:r>
          </w:p>
        </w:tc>
        <w:tc>
          <w:tcPr>
            <w:tcW w:w="5386" w:type="dxa"/>
            <w:vAlign w:val="center"/>
          </w:tcPr>
          <w:p>
            <w:pPr>
              <w:pStyle w:val="13"/>
            </w:pPr>
            <w:r>
              <w:t>排查纠纷件数按总纠纷件数的占比</w:t>
            </w:r>
          </w:p>
        </w:tc>
        <w:tc>
          <w:tcPr>
            <w:tcW w:w="2268" w:type="dxa"/>
            <w:vAlign w:val="center"/>
          </w:tcPr>
          <w:p>
            <w:pPr>
              <w:pStyle w:val="13"/>
            </w:pPr>
            <w:r>
              <w:t>≥70%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群众满意问卷占所有问卷的比例</w:t>
            </w:r>
          </w:p>
        </w:tc>
        <w:tc>
          <w:tcPr>
            <w:tcW w:w="2268" w:type="dxa"/>
            <w:vAlign w:val="center"/>
          </w:tcPr>
          <w:p>
            <w:pPr>
              <w:pStyle w:val="13"/>
            </w:pPr>
            <w:r>
              <w:t>≥85%</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、社区矫正经费（2.5万元以内）绩效目标表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13020725P00RB4T10015J</w:t>
            </w:r>
          </w:p>
        </w:tc>
        <w:tc>
          <w:tcPr>
            <w:tcW w:w="2835" w:type="dxa"/>
            <w:vAlign w:val="center"/>
          </w:tcPr>
          <w:p>
            <w:pPr>
              <w:pStyle w:val="11"/>
            </w:pPr>
            <w:r>
              <w:t>项目名称</w:t>
            </w:r>
          </w:p>
        </w:tc>
        <w:tc>
          <w:tcPr>
            <w:tcW w:w="6095" w:type="dxa"/>
            <w:gridSpan w:val="3"/>
            <w:vAlign w:val="center"/>
          </w:tcPr>
          <w:p>
            <w:pPr>
              <w:pStyle w:val="13"/>
            </w:pPr>
            <w:r>
              <w:t>社区矫正经费（2.5万元以内）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保障社区矫正正常工作，维护社会和谐稳定。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1.全面加强社区矫正日常监管工作，最大限度预防和减少社区矫正人员脱管、漏管和重新犯罪，维护社会和谐稳定。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社区矫正人员接收率</w:t>
            </w:r>
          </w:p>
        </w:tc>
        <w:tc>
          <w:tcPr>
            <w:tcW w:w="5386" w:type="dxa"/>
            <w:vAlign w:val="center"/>
          </w:tcPr>
          <w:p>
            <w:pPr>
              <w:pStyle w:val="13"/>
            </w:pPr>
            <w:r>
              <w:t>社区矫正人员接收率</w:t>
            </w:r>
          </w:p>
        </w:tc>
        <w:tc>
          <w:tcPr>
            <w:tcW w:w="2268" w:type="dxa"/>
            <w:vAlign w:val="center"/>
          </w:tcPr>
          <w:p>
            <w:pPr>
              <w:pStyle w:val="13"/>
            </w:pPr>
            <w:r>
              <w:t>≥98%</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组织集中教育覆盖率</w:t>
            </w:r>
          </w:p>
        </w:tc>
        <w:tc>
          <w:tcPr>
            <w:tcW w:w="5386" w:type="dxa"/>
            <w:vAlign w:val="center"/>
          </w:tcPr>
          <w:p>
            <w:pPr>
              <w:pStyle w:val="13"/>
            </w:pPr>
            <w:r>
              <w:t>组织集中教育覆盖率</w:t>
            </w:r>
          </w:p>
        </w:tc>
        <w:tc>
          <w:tcPr>
            <w:tcW w:w="2268" w:type="dxa"/>
            <w:vAlign w:val="center"/>
          </w:tcPr>
          <w:p>
            <w:pPr>
              <w:pStyle w:val="13"/>
            </w:pPr>
            <w:r>
              <w:t>≥85%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审前调查及时性</w:t>
            </w:r>
          </w:p>
        </w:tc>
        <w:tc>
          <w:tcPr>
            <w:tcW w:w="5386" w:type="dxa"/>
            <w:vAlign w:val="center"/>
          </w:tcPr>
          <w:p>
            <w:pPr>
              <w:pStyle w:val="13"/>
            </w:pPr>
            <w:r>
              <w:t>审前调查及时性</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降低刑罚执行成本</w:t>
            </w:r>
          </w:p>
        </w:tc>
        <w:tc>
          <w:tcPr>
            <w:tcW w:w="5386" w:type="dxa"/>
            <w:vAlign w:val="center"/>
          </w:tcPr>
          <w:p>
            <w:pPr>
              <w:pStyle w:val="13"/>
            </w:pPr>
            <w:r>
              <w:t>社区矫正对象在社区服刑而非在监狱服刑，大大节约刑罚执行成本</w:t>
            </w:r>
          </w:p>
        </w:tc>
        <w:tc>
          <w:tcPr>
            <w:tcW w:w="2268" w:type="dxa"/>
            <w:vAlign w:val="center"/>
          </w:tcPr>
          <w:p>
            <w:pPr>
              <w:pStyle w:val="13"/>
            </w:pPr>
            <w:r>
              <w:t>≥10万元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社区矫正人员使用手机APP签到率</w:t>
            </w:r>
          </w:p>
        </w:tc>
        <w:tc>
          <w:tcPr>
            <w:tcW w:w="5386" w:type="dxa"/>
            <w:vAlign w:val="center"/>
          </w:tcPr>
          <w:p>
            <w:pPr>
              <w:pStyle w:val="13"/>
            </w:pPr>
            <w:r>
              <w:t>社区矫正人员使用手机APP签到率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社区矫正人员监管率</w:t>
            </w:r>
          </w:p>
        </w:tc>
        <w:tc>
          <w:tcPr>
            <w:tcW w:w="5386" w:type="dxa"/>
            <w:vAlign w:val="center"/>
          </w:tcPr>
          <w:p>
            <w:pPr>
              <w:pStyle w:val="13"/>
            </w:pPr>
            <w:r>
              <w:t>社区矫正人员监管率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矫正对象、刑释人员顺利回归社会</w:t>
            </w:r>
          </w:p>
        </w:tc>
        <w:tc>
          <w:tcPr>
            <w:tcW w:w="5386" w:type="dxa"/>
            <w:vAlign w:val="center"/>
          </w:tcPr>
          <w:p>
            <w:pPr>
              <w:pStyle w:val="13"/>
            </w:pPr>
            <w:r>
              <w:t>社区矫正对象、刑满释放人员顺利回归社会所占比例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群众满意问卷占所有问卷的比例</w:t>
            </w:r>
          </w:p>
        </w:tc>
        <w:tc>
          <w:tcPr>
            <w:tcW w:w="2268" w:type="dxa"/>
            <w:vAlign w:val="center"/>
          </w:tcPr>
          <w:p>
            <w:pPr>
              <w:pStyle w:val="13"/>
            </w:pPr>
            <w:r>
              <w:t>≥85%</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、社区矫正协管员经费（劳务费）绩效目标表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13020725P000022103100</w:t>
            </w:r>
          </w:p>
        </w:tc>
        <w:tc>
          <w:tcPr>
            <w:tcW w:w="2835" w:type="dxa"/>
            <w:vAlign w:val="center"/>
          </w:tcPr>
          <w:p>
            <w:pPr>
              <w:pStyle w:val="11"/>
            </w:pPr>
            <w:r>
              <w:t>项目名称</w:t>
            </w:r>
          </w:p>
        </w:tc>
        <w:tc>
          <w:tcPr>
            <w:tcW w:w="6095" w:type="dxa"/>
            <w:gridSpan w:val="3"/>
            <w:vAlign w:val="center"/>
          </w:tcPr>
          <w:p>
            <w:pPr>
              <w:pStyle w:val="13"/>
            </w:pPr>
            <w:r>
              <w:t>社区矫正协管员经费（劳务费）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133.80</w:t>
            </w:r>
          </w:p>
        </w:tc>
        <w:tc>
          <w:tcPr>
            <w:tcW w:w="2835" w:type="dxa"/>
            <w:vAlign w:val="center"/>
          </w:tcPr>
          <w:p>
            <w:pPr>
              <w:pStyle w:val="11"/>
            </w:pPr>
            <w:r>
              <w:t>其中：财政    资金</w:t>
            </w:r>
          </w:p>
        </w:tc>
        <w:tc>
          <w:tcPr>
            <w:tcW w:w="2551" w:type="dxa"/>
            <w:vAlign w:val="center"/>
          </w:tcPr>
          <w:p>
            <w:pPr>
              <w:pStyle w:val="13"/>
            </w:pPr>
            <w:r>
              <w:t>133.80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用于发放社区矫正协管员劳务费。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1.及时发放社区矫正协管员工资，保障机关正常运转。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社区矫正协管员人数</w:t>
            </w:r>
          </w:p>
        </w:tc>
        <w:tc>
          <w:tcPr>
            <w:tcW w:w="5386" w:type="dxa"/>
            <w:vAlign w:val="center"/>
          </w:tcPr>
          <w:p>
            <w:pPr>
              <w:pStyle w:val="13"/>
            </w:pPr>
            <w:r>
              <w:t>社区矫正协管员人数</w:t>
            </w:r>
          </w:p>
        </w:tc>
        <w:tc>
          <w:tcPr>
            <w:tcW w:w="2268" w:type="dxa"/>
            <w:vAlign w:val="center"/>
          </w:tcPr>
          <w:p>
            <w:pPr>
              <w:pStyle w:val="13"/>
            </w:pPr>
            <w:r>
              <w:t>24人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《唐山市丰南区警务辅助人员管理办法》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反应人均月工资标准情况</w:t>
            </w:r>
          </w:p>
        </w:tc>
        <w:tc>
          <w:tcPr>
            <w:tcW w:w="2268" w:type="dxa"/>
            <w:vAlign w:val="center"/>
          </w:tcPr>
          <w:p>
            <w:pPr>
              <w:pStyle w:val="13"/>
            </w:pPr>
            <w:r>
              <w:t>≥3300元/月</w:t>
            </w:r>
          </w:p>
        </w:tc>
        <w:tc>
          <w:tcPr>
            <w:tcW w:w="1276" w:type="dxa"/>
            <w:vAlign w:val="center"/>
          </w:tcPr>
          <w:p>
            <w:pPr>
              <w:pStyle w:val="13"/>
            </w:pPr>
            <w:r>
              <w:t>《唐山市丰南区警务辅助人员管理办法》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≥24人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、社区矫正中心运转费用绩效目标表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13020725P00RB4T100166</w:t>
            </w:r>
          </w:p>
        </w:tc>
        <w:tc>
          <w:tcPr>
            <w:tcW w:w="2835" w:type="dxa"/>
            <w:vAlign w:val="center"/>
          </w:tcPr>
          <w:p>
            <w:pPr>
              <w:pStyle w:val="11"/>
            </w:pPr>
            <w:r>
              <w:t>项目名称</w:t>
            </w:r>
          </w:p>
        </w:tc>
        <w:tc>
          <w:tcPr>
            <w:tcW w:w="6095" w:type="dxa"/>
            <w:gridSpan w:val="3"/>
            <w:vAlign w:val="center"/>
          </w:tcPr>
          <w:p>
            <w:pPr>
              <w:pStyle w:val="13"/>
            </w:pPr>
            <w:r>
              <w:t>社区矫正中心运转费用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用于社区矫正中心房租款和水电暖等费用。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1.保障社区矫正中心工作正常运转，提高办事效率。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房屋建筑物租赁、水、电、供暖面积</w:t>
            </w:r>
          </w:p>
        </w:tc>
        <w:tc>
          <w:tcPr>
            <w:tcW w:w="5386" w:type="dxa"/>
            <w:vAlign w:val="center"/>
          </w:tcPr>
          <w:p>
            <w:pPr>
              <w:pStyle w:val="13"/>
            </w:pPr>
            <w:r>
              <w:t>反映单位办公房屋租赁、水、电、供暖面积数量情况</w:t>
            </w:r>
          </w:p>
        </w:tc>
        <w:tc>
          <w:tcPr>
            <w:tcW w:w="2268" w:type="dxa"/>
            <w:vAlign w:val="center"/>
          </w:tcPr>
          <w:p>
            <w:pPr>
              <w:pStyle w:val="13"/>
            </w:pPr>
            <w:r>
              <w:t>345.66平方米</w:t>
            </w:r>
          </w:p>
        </w:tc>
        <w:tc>
          <w:tcPr>
            <w:tcW w:w="1276" w:type="dxa"/>
            <w:vAlign w:val="center"/>
          </w:tcPr>
          <w:p>
            <w:pPr>
              <w:pStyle w:val="13"/>
            </w:pPr>
            <w:r>
              <w:t>单位实有办公面积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反映供水、供电、供暖正常，办公设备设施满足需要情况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水、电、暖、租赁费在规定时间内支付到位</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w:t>
            </w:r>
          </w:p>
        </w:tc>
        <w:tc>
          <w:tcPr>
            <w:tcW w:w="5386" w:type="dxa"/>
            <w:vAlign w:val="center"/>
          </w:tcPr>
          <w:p>
            <w:pPr>
              <w:pStyle w:val="13"/>
            </w:pPr>
            <w:r>
              <w:t>反映机关运转经费情况</w:t>
            </w:r>
          </w:p>
        </w:tc>
        <w:tc>
          <w:tcPr>
            <w:tcW w:w="2268" w:type="dxa"/>
            <w:vAlign w:val="center"/>
          </w:tcPr>
          <w:p>
            <w:pPr>
              <w:pStyle w:val="13"/>
            </w:pPr>
            <w:r>
              <w:t>≤17万元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持续提升我局社会影响力</w:t>
            </w:r>
          </w:p>
        </w:tc>
        <w:tc>
          <w:tcPr>
            <w:tcW w:w="5386" w:type="dxa"/>
            <w:vAlign w:val="center"/>
          </w:tcPr>
          <w:p>
            <w:pPr>
              <w:pStyle w:val="13"/>
            </w:pPr>
            <w:r>
              <w:t>持续提升我局社会影响力</w:t>
            </w:r>
          </w:p>
        </w:tc>
        <w:tc>
          <w:tcPr>
            <w:tcW w:w="2268" w:type="dxa"/>
            <w:vAlign w:val="center"/>
          </w:tcPr>
          <w:p>
            <w:pPr>
              <w:pStyle w:val="13"/>
            </w:pPr>
            <w:r>
              <w:t>持续提升</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保障各项工作正常运转</w:t>
            </w:r>
          </w:p>
        </w:tc>
        <w:tc>
          <w:tcPr>
            <w:tcW w:w="5386" w:type="dxa"/>
            <w:vAlign w:val="center"/>
          </w:tcPr>
          <w:p>
            <w:pPr>
              <w:pStyle w:val="13"/>
            </w:pPr>
            <w:r>
              <w:t>保障各项工作正常运转</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群众满意问卷占所有问卷的比例</w:t>
            </w:r>
          </w:p>
        </w:tc>
        <w:tc>
          <w:tcPr>
            <w:tcW w:w="2268" w:type="dxa"/>
            <w:vAlign w:val="center"/>
          </w:tcPr>
          <w:p>
            <w:pPr>
              <w:pStyle w:val="13"/>
            </w:pPr>
            <w:r>
              <w:t>≥80%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、司法警务辅助人员奖励资金（劳务费）绩效目标表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13020725P00002210376W</w:t>
            </w:r>
          </w:p>
        </w:tc>
        <w:tc>
          <w:tcPr>
            <w:tcW w:w="2835" w:type="dxa"/>
            <w:vAlign w:val="center"/>
          </w:tcPr>
          <w:p>
            <w:pPr>
              <w:pStyle w:val="11"/>
            </w:pPr>
            <w:r>
              <w:t>项目名称</w:t>
            </w:r>
          </w:p>
        </w:tc>
        <w:tc>
          <w:tcPr>
            <w:tcW w:w="6095" w:type="dxa"/>
            <w:gridSpan w:val="3"/>
            <w:vAlign w:val="center"/>
          </w:tcPr>
          <w:p>
            <w:pPr>
              <w:pStyle w:val="13"/>
            </w:pPr>
            <w:r>
              <w:t>司法警务辅助人员奖励资金（劳务费）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7.56</w:t>
            </w:r>
          </w:p>
        </w:tc>
        <w:tc>
          <w:tcPr>
            <w:tcW w:w="2835" w:type="dxa"/>
            <w:vAlign w:val="center"/>
          </w:tcPr>
          <w:p>
            <w:pPr>
              <w:pStyle w:val="11"/>
            </w:pPr>
            <w:r>
              <w:t>其中：财政    资金</w:t>
            </w:r>
          </w:p>
        </w:tc>
        <w:tc>
          <w:tcPr>
            <w:tcW w:w="2551" w:type="dxa"/>
            <w:vAlign w:val="center"/>
          </w:tcPr>
          <w:p>
            <w:pPr>
              <w:pStyle w:val="13"/>
            </w:pPr>
            <w:r>
              <w:t>7.56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用于司法警务辅助人员奖励资金和“一事一奖”。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1.保障司法行政事业发展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接受奖励人员数量</w:t>
            </w:r>
          </w:p>
        </w:tc>
        <w:tc>
          <w:tcPr>
            <w:tcW w:w="5386" w:type="dxa"/>
            <w:vAlign w:val="center"/>
          </w:tcPr>
          <w:p>
            <w:pPr>
              <w:pStyle w:val="13"/>
            </w:pPr>
            <w:r>
              <w:t>接受奖励人员数量</w:t>
            </w:r>
          </w:p>
        </w:tc>
        <w:tc>
          <w:tcPr>
            <w:tcW w:w="2268" w:type="dxa"/>
            <w:vAlign w:val="center"/>
          </w:tcPr>
          <w:p>
            <w:pPr>
              <w:pStyle w:val="13"/>
            </w:pPr>
            <w:r>
              <w:t>41人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奖励金发放及时度</w:t>
            </w:r>
          </w:p>
        </w:tc>
        <w:tc>
          <w:tcPr>
            <w:tcW w:w="5386" w:type="dxa"/>
            <w:vAlign w:val="center"/>
          </w:tcPr>
          <w:p>
            <w:pPr>
              <w:pStyle w:val="13"/>
            </w:pPr>
            <w:r>
              <w:t>奖励金发放及时度</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发放奖励总金额</w:t>
            </w:r>
          </w:p>
        </w:tc>
        <w:tc>
          <w:tcPr>
            <w:tcW w:w="5386" w:type="dxa"/>
            <w:vAlign w:val="center"/>
          </w:tcPr>
          <w:p>
            <w:pPr>
              <w:pStyle w:val="13"/>
            </w:pPr>
            <w:r>
              <w:t>反映奖励总金额情况</w:t>
            </w:r>
          </w:p>
        </w:tc>
        <w:tc>
          <w:tcPr>
            <w:tcW w:w="2268" w:type="dxa"/>
            <w:vAlign w:val="center"/>
          </w:tcPr>
          <w:p>
            <w:pPr>
              <w:pStyle w:val="13"/>
            </w:pPr>
            <w:r>
              <w:t>≤7.56万元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带动消费情况 </w:t>
            </w:r>
          </w:p>
        </w:tc>
        <w:tc>
          <w:tcPr>
            <w:tcW w:w="5386" w:type="dxa"/>
            <w:vAlign w:val="center"/>
          </w:tcPr>
          <w:p>
            <w:pPr>
              <w:pStyle w:val="13"/>
            </w:pPr>
            <w:r>
              <w:t xml:space="preserve">带动消费情况 </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服务群众质量</w:t>
            </w:r>
          </w:p>
        </w:tc>
        <w:tc>
          <w:tcPr>
            <w:tcW w:w="5386" w:type="dxa"/>
            <w:vAlign w:val="center"/>
          </w:tcPr>
          <w:p>
            <w:pPr>
              <w:pStyle w:val="13"/>
            </w:pPr>
            <w:r>
              <w:t>反映服务群众质量情况</w:t>
            </w:r>
          </w:p>
        </w:tc>
        <w:tc>
          <w:tcPr>
            <w:tcW w:w="2268" w:type="dxa"/>
            <w:vAlign w:val="center"/>
          </w:tcPr>
          <w:p>
            <w:pPr>
              <w:pStyle w:val="13"/>
            </w:pPr>
            <w:r>
              <w:t>有所提高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、专业性、行业性人民调解委员会费用绩效目标表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13020725P00RB4T100114</w:t>
            </w:r>
          </w:p>
        </w:tc>
        <w:tc>
          <w:tcPr>
            <w:tcW w:w="2835" w:type="dxa"/>
            <w:vAlign w:val="center"/>
          </w:tcPr>
          <w:p>
            <w:pPr>
              <w:pStyle w:val="11"/>
            </w:pPr>
            <w:r>
              <w:t>项目名称</w:t>
            </w:r>
          </w:p>
        </w:tc>
        <w:tc>
          <w:tcPr>
            <w:tcW w:w="6095" w:type="dxa"/>
            <w:gridSpan w:val="3"/>
            <w:vAlign w:val="center"/>
          </w:tcPr>
          <w:p>
            <w:pPr>
              <w:pStyle w:val="13"/>
            </w:pPr>
            <w:r>
              <w:t>专业性、行业性人民调解委员会费用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专业人民调解委员会正常运转。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1.充分发挥专业性、行业性人民调解委员会在化解矛盾纠纷的基础性作用，为丰南经济社会发展提供更加和谐稳定的社会环境。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w:t>
            </w:r>
          </w:p>
        </w:tc>
        <w:tc>
          <w:tcPr>
            <w:tcW w:w="5386" w:type="dxa"/>
            <w:vAlign w:val="center"/>
          </w:tcPr>
          <w:p>
            <w:pPr>
              <w:pStyle w:val="13"/>
            </w:pPr>
            <w:r>
              <w:t>人民调解案件数</w:t>
            </w:r>
          </w:p>
        </w:tc>
        <w:tc>
          <w:tcPr>
            <w:tcW w:w="2268" w:type="dxa"/>
            <w:vAlign w:val="center"/>
          </w:tcPr>
          <w:p>
            <w:pPr>
              <w:pStyle w:val="13"/>
            </w:pPr>
            <w:r>
              <w:t>≥3000件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调解成功率</w:t>
            </w:r>
          </w:p>
        </w:tc>
        <w:tc>
          <w:tcPr>
            <w:tcW w:w="5386" w:type="dxa"/>
            <w:vAlign w:val="center"/>
          </w:tcPr>
          <w:p>
            <w:pPr>
              <w:pStyle w:val="13"/>
            </w:pPr>
            <w:r>
              <w:t>调解成功率</w:t>
            </w:r>
          </w:p>
        </w:tc>
        <w:tc>
          <w:tcPr>
            <w:tcW w:w="2268" w:type="dxa"/>
            <w:vAlign w:val="center"/>
          </w:tcPr>
          <w:p>
            <w:pPr>
              <w:pStyle w:val="13"/>
            </w:pPr>
            <w:r>
              <w:t>≥85%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培训计划按期完成率</w:t>
            </w:r>
          </w:p>
        </w:tc>
        <w:tc>
          <w:tcPr>
            <w:tcW w:w="5386" w:type="dxa"/>
            <w:vAlign w:val="center"/>
          </w:tcPr>
          <w:p>
            <w:pPr>
              <w:pStyle w:val="13"/>
            </w:pPr>
            <w:r>
              <w:t>培训计划按期完成率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≤10.8万元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当事人诉讼成本节约率</w:t>
            </w:r>
          </w:p>
        </w:tc>
        <w:tc>
          <w:tcPr>
            <w:tcW w:w="5386" w:type="dxa"/>
            <w:vAlign w:val="center"/>
          </w:tcPr>
          <w:p>
            <w:pPr>
              <w:pStyle w:val="13"/>
            </w:pPr>
            <w:r>
              <w:t>当事人诉讼成本节约率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人民调解发挥作用</w:t>
            </w:r>
          </w:p>
        </w:tc>
        <w:tc>
          <w:tcPr>
            <w:tcW w:w="5386" w:type="dxa"/>
            <w:vAlign w:val="center"/>
          </w:tcPr>
          <w:p>
            <w:pPr>
              <w:pStyle w:val="13"/>
            </w:pPr>
            <w:r>
              <w:t>人民调解在化解矛盾纠纷的宣传率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开展专项纠纷排查活动，排查率</w:t>
            </w:r>
          </w:p>
        </w:tc>
        <w:tc>
          <w:tcPr>
            <w:tcW w:w="5386" w:type="dxa"/>
            <w:vAlign w:val="center"/>
          </w:tcPr>
          <w:p>
            <w:pPr>
              <w:pStyle w:val="13"/>
            </w:pPr>
            <w:r>
              <w:t>排查纠纷件数按总纠纷件数的占比</w:t>
            </w:r>
          </w:p>
        </w:tc>
        <w:tc>
          <w:tcPr>
            <w:tcW w:w="2268" w:type="dxa"/>
            <w:vAlign w:val="center"/>
          </w:tcPr>
          <w:p>
            <w:pPr>
              <w:pStyle w:val="13"/>
            </w:pPr>
            <w:r>
              <w:t>≥70%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群众满意问卷占所有问卷的比例</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330唐山市丰南区司法局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唐山市丰南区司法局（含所属单位）上年末固定资产金额为994.18万元（详见下表）。本年度拟购置固定资产总额为49.81万元，已按要求列入政府采购预算，详见政府采购预算表。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330唐山市丰南区司法局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994.18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72.53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68.80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2531</w:t>
            </w:r>
          </w:p>
        </w:tc>
        <w:tc>
          <w:tcPr>
            <w:tcW w:w="2835" w:type="dxa"/>
            <w:vAlign w:val="center"/>
          </w:tcPr>
          <w:p>
            <w:pPr>
              <w:pStyle w:val="12"/>
            </w:pPr>
            <w:r>
              <w:t>852.85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E22ECF"/>
    <w:rsid w:val="67857465"/>
    <w:rsid w:val="695E4839"/>
    <w:rsid w:val="74474152"/>
    <w:rsid w:val="7640541F"/>
    <w:rsid w:val="76686FCE"/>
    <w:rsid w:val="78E23869"/>
    <w:rsid w:val="7D6741E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54</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2025-02-07T14:35:00Z</dcterms:created>
  <dc:creator>Administrator</dc:creator>
  <cp:lastModifiedBy>Administrator</cp:lastModifiedBy>
  <dcterms:modified xsi:type="dcterms:W3CDTF">2025-02-07T07:29:51Z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