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一、唐山市丰南区人民代表大会常务委员会办公室本级收支预算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一、唐山市丰南区人民代表大会常务委员会办公室本级收支预算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939.09</w:t>
            </w:r>
          </w:p>
        </w:tc>
        <w:tc>
          <w:tcPr>
            <w:tcW w:w="4535" w:type="dxa"/>
            <w:vAlign w:val="center"/>
          </w:tcPr>
          <w:p>
            <w:pPr>
              <w:pStyle w:val="12"/>
            </w:pPr>
            <w:r>
              <w:t>一、一般公共服务支出</w:t>
            </w:r>
          </w:p>
        </w:tc>
        <w:tc>
          <w:tcPr>
            <w:tcW w:w="2126" w:type="dxa"/>
            <w:vAlign w:val="center"/>
          </w:tcPr>
          <w:p>
            <w:pPr>
              <w:pStyle w:val="11"/>
            </w:pPr>
            <w:r>
              <w:t>687.81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939.09</w:t>
            </w:r>
          </w:p>
        </w:tc>
        <w:tc>
          <w:tcPr>
            <w:tcW w:w="4535" w:type="dxa"/>
            <w:vAlign w:val="center"/>
          </w:tcPr>
          <w:p>
            <w:pPr>
              <w:pStyle w:val="14"/>
            </w:pPr>
            <w:r>
              <w:t>本年支出合计</w:t>
            </w:r>
          </w:p>
        </w:tc>
        <w:tc>
          <w:tcPr>
            <w:tcW w:w="2126" w:type="dxa"/>
            <w:vAlign w:val="center"/>
          </w:tcPr>
          <w:p>
            <w:pPr>
              <w:pStyle w:val="15"/>
            </w:pPr>
            <w:r>
              <w:t>939.09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939.09</w:t>
            </w:r>
          </w:p>
        </w:tc>
        <w:tc>
          <w:tcPr>
            <w:tcW w:w="4535" w:type="dxa"/>
            <w:vAlign w:val="center"/>
          </w:tcPr>
          <w:p>
            <w:pPr>
              <w:pStyle w:val="14"/>
            </w:pPr>
            <w:r>
              <w:t>支出总计</w:t>
            </w:r>
          </w:p>
        </w:tc>
        <w:tc>
          <w:tcPr>
            <w:tcW w:w="2126" w:type="dxa"/>
            <w:vAlign w:val="center"/>
          </w:tcPr>
          <w:p>
            <w:pPr>
              <w:pStyle w:val="15"/>
            </w:pPr>
            <w:r>
              <w:t>939.09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939.09</w:t>
            </w:r>
          </w:p>
        </w:tc>
        <w:tc>
          <w:tcPr>
            <w:tcW w:w="1134" w:type="dxa"/>
            <w:vAlign w:val="center"/>
          </w:tcPr>
          <w:p>
            <w:pPr>
              <w:pStyle w:val="15"/>
            </w:pPr>
            <w:r>
              <w:t>939.09</w:t>
            </w:r>
          </w:p>
        </w:tc>
        <w:tc>
          <w:tcPr>
            <w:tcW w:w="1134" w:type="dxa"/>
            <w:vAlign w:val="center"/>
          </w:tcPr>
          <w:p>
            <w:pPr>
              <w:pStyle w:val="15"/>
            </w:pPr>
            <w:r>
              <w:t>939.09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687.81</w:t>
            </w:r>
          </w:p>
        </w:tc>
        <w:tc>
          <w:tcPr>
            <w:tcW w:w="1134" w:type="dxa"/>
            <w:vAlign w:val="center"/>
          </w:tcPr>
          <w:p>
            <w:pPr>
              <w:pStyle w:val="11"/>
            </w:pPr>
            <w:r>
              <w:t>687.81</w:t>
            </w:r>
          </w:p>
        </w:tc>
        <w:tc>
          <w:tcPr>
            <w:tcW w:w="1134" w:type="dxa"/>
            <w:vAlign w:val="center"/>
          </w:tcPr>
          <w:p>
            <w:pPr>
              <w:pStyle w:val="11"/>
            </w:pPr>
            <w:r>
              <w:t>687.81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687.81</w:t>
            </w:r>
          </w:p>
        </w:tc>
        <w:tc>
          <w:tcPr>
            <w:tcW w:w="1134" w:type="dxa"/>
            <w:vAlign w:val="center"/>
          </w:tcPr>
          <w:p>
            <w:pPr>
              <w:pStyle w:val="11"/>
            </w:pPr>
            <w:r>
              <w:t>687.81</w:t>
            </w:r>
          </w:p>
        </w:tc>
        <w:tc>
          <w:tcPr>
            <w:tcW w:w="1134" w:type="dxa"/>
            <w:vAlign w:val="center"/>
          </w:tcPr>
          <w:p>
            <w:pPr>
              <w:pStyle w:val="11"/>
            </w:pPr>
            <w:r>
              <w:t>687.81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489.31</w:t>
            </w:r>
          </w:p>
        </w:tc>
        <w:tc>
          <w:tcPr>
            <w:tcW w:w="1134" w:type="dxa"/>
            <w:vAlign w:val="center"/>
          </w:tcPr>
          <w:p>
            <w:pPr>
              <w:pStyle w:val="11"/>
            </w:pPr>
            <w:r>
              <w:t>489.31</w:t>
            </w:r>
          </w:p>
        </w:tc>
        <w:tc>
          <w:tcPr>
            <w:tcW w:w="1134" w:type="dxa"/>
            <w:vAlign w:val="center"/>
          </w:tcPr>
          <w:p>
            <w:pPr>
              <w:pStyle w:val="11"/>
            </w:pPr>
            <w:r>
              <w:t>489.31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113.50</w:t>
            </w:r>
          </w:p>
        </w:tc>
        <w:tc>
          <w:tcPr>
            <w:tcW w:w="1134" w:type="dxa"/>
            <w:vAlign w:val="center"/>
          </w:tcPr>
          <w:p>
            <w:pPr>
              <w:pStyle w:val="11"/>
            </w:pPr>
            <w:r>
              <w:t>113.50</w:t>
            </w:r>
          </w:p>
        </w:tc>
        <w:tc>
          <w:tcPr>
            <w:tcW w:w="1134" w:type="dxa"/>
            <w:vAlign w:val="center"/>
          </w:tcPr>
          <w:p>
            <w:pPr>
              <w:pStyle w:val="11"/>
            </w:pPr>
            <w:r>
              <w:t>113.50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2010104</w:t>
            </w:r>
          </w:p>
        </w:tc>
        <w:tc>
          <w:tcPr>
            <w:tcW w:w="1559" w:type="dxa"/>
            <w:vAlign w:val="center"/>
          </w:tcPr>
          <w:p>
            <w:pPr>
              <w:pStyle w:val="12"/>
            </w:pPr>
            <w:r>
              <w:t>人大会议</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2010106</w:t>
            </w:r>
          </w:p>
        </w:tc>
        <w:tc>
          <w:tcPr>
            <w:tcW w:w="1559" w:type="dxa"/>
            <w:vAlign w:val="center"/>
          </w:tcPr>
          <w:p>
            <w:pPr>
              <w:pStyle w:val="12"/>
            </w:pPr>
            <w:r>
              <w:t>人大监督</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157.38</w:t>
            </w:r>
          </w:p>
        </w:tc>
        <w:tc>
          <w:tcPr>
            <w:tcW w:w="1134" w:type="dxa"/>
            <w:vAlign w:val="center"/>
          </w:tcPr>
          <w:p>
            <w:pPr>
              <w:pStyle w:val="11"/>
            </w:pPr>
            <w:r>
              <w:t>157.38</w:t>
            </w:r>
          </w:p>
        </w:tc>
        <w:tc>
          <w:tcPr>
            <w:tcW w:w="1134" w:type="dxa"/>
            <w:vAlign w:val="center"/>
          </w:tcPr>
          <w:p>
            <w:pPr>
              <w:pStyle w:val="11"/>
            </w:pPr>
            <w:r>
              <w:t>157.38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157.38</w:t>
            </w:r>
          </w:p>
        </w:tc>
        <w:tc>
          <w:tcPr>
            <w:tcW w:w="1134" w:type="dxa"/>
            <w:vAlign w:val="center"/>
          </w:tcPr>
          <w:p>
            <w:pPr>
              <w:pStyle w:val="11"/>
            </w:pPr>
            <w:r>
              <w:t>157.38</w:t>
            </w:r>
          </w:p>
        </w:tc>
        <w:tc>
          <w:tcPr>
            <w:tcW w:w="1134" w:type="dxa"/>
            <w:vAlign w:val="center"/>
          </w:tcPr>
          <w:p>
            <w:pPr>
              <w:pStyle w:val="11"/>
            </w:pPr>
            <w:r>
              <w:t>157.38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97.72</w:t>
            </w:r>
          </w:p>
        </w:tc>
        <w:tc>
          <w:tcPr>
            <w:tcW w:w="1134" w:type="dxa"/>
            <w:vAlign w:val="center"/>
          </w:tcPr>
          <w:p>
            <w:pPr>
              <w:pStyle w:val="11"/>
            </w:pPr>
            <w:r>
              <w:t>97.72</w:t>
            </w:r>
          </w:p>
        </w:tc>
        <w:tc>
          <w:tcPr>
            <w:tcW w:w="1134" w:type="dxa"/>
            <w:vAlign w:val="center"/>
          </w:tcPr>
          <w:p>
            <w:pPr>
              <w:pStyle w:val="11"/>
            </w:pPr>
            <w:r>
              <w:t>97.72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59.66</w:t>
            </w:r>
          </w:p>
        </w:tc>
        <w:tc>
          <w:tcPr>
            <w:tcW w:w="1134" w:type="dxa"/>
            <w:vAlign w:val="center"/>
          </w:tcPr>
          <w:p>
            <w:pPr>
              <w:pStyle w:val="11"/>
            </w:pPr>
            <w:r>
              <w:t>59.66</w:t>
            </w:r>
          </w:p>
        </w:tc>
        <w:tc>
          <w:tcPr>
            <w:tcW w:w="1134" w:type="dxa"/>
            <w:vAlign w:val="center"/>
          </w:tcPr>
          <w:p>
            <w:pPr>
              <w:pStyle w:val="11"/>
            </w:pPr>
            <w:r>
              <w:t>59.66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45.33</w:t>
            </w:r>
          </w:p>
        </w:tc>
        <w:tc>
          <w:tcPr>
            <w:tcW w:w="1134" w:type="dxa"/>
            <w:vAlign w:val="center"/>
          </w:tcPr>
          <w:p>
            <w:pPr>
              <w:pStyle w:val="11"/>
            </w:pPr>
            <w:r>
              <w:t>45.33</w:t>
            </w:r>
          </w:p>
        </w:tc>
        <w:tc>
          <w:tcPr>
            <w:tcW w:w="1134" w:type="dxa"/>
            <w:vAlign w:val="center"/>
          </w:tcPr>
          <w:p>
            <w:pPr>
              <w:pStyle w:val="11"/>
            </w:pPr>
            <w:r>
              <w:t>45.33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45.33</w:t>
            </w:r>
          </w:p>
        </w:tc>
        <w:tc>
          <w:tcPr>
            <w:tcW w:w="1134" w:type="dxa"/>
            <w:vAlign w:val="center"/>
          </w:tcPr>
          <w:p>
            <w:pPr>
              <w:pStyle w:val="11"/>
            </w:pPr>
            <w:r>
              <w:t>45.33</w:t>
            </w:r>
          </w:p>
        </w:tc>
        <w:tc>
          <w:tcPr>
            <w:tcW w:w="1134" w:type="dxa"/>
            <w:vAlign w:val="center"/>
          </w:tcPr>
          <w:p>
            <w:pPr>
              <w:pStyle w:val="11"/>
            </w:pPr>
            <w:r>
              <w:t>45.33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21.55</w:t>
            </w:r>
          </w:p>
        </w:tc>
        <w:tc>
          <w:tcPr>
            <w:tcW w:w="1134" w:type="dxa"/>
            <w:vAlign w:val="center"/>
          </w:tcPr>
          <w:p>
            <w:pPr>
              <w:pStyle w:val="11"/>
            </w:pPr>
            <w:r>
              <w:t>21.55</w:t>
            </w:r>
          </w:p>
        </w:tc>
        <w:tc>
          <w:tcPr>
            <w:tcW w:w="1134" w:type="dxa"/>
            <w:vAlign w:val="center"/>
          </w:tcPr>
          <w:p>
            <w:pPr>
              <w:pStyle w:val="11"/>
            </w:pPr>
            <w:r>
              <w:t>21.55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23.78</w:t>
            </w:r>
          </w:p>
        </w:tc>
        <w:tc>
          <w:tcPr>
            <w:tcW w:w="1134" w:type="dxa"/>
            <w:vAlign w:val="center"/>
          </w:tcPr>
          <w:p>
            <w:pPr>
              <w:pStyle w:val="11"/>
            </w:pPr>
            <w:r>
              <w:t>23.78</w:t>
            </w:r>
          </w:p>
        </w:tc>
        <w:tc>
          <w:tcPr>
            <w:tcW w:w="1134" w:type="dxa"/>
            <w:vAlign w:val="center"/>
          </w:tcPr>
          <w:p>
            <w:pPr>
              <w:pStyle w:val="11"/>
            </w:pPr>
            <w:r>
              <w:t>23.78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48.57</w:t>
            </w:r>
          </w:p>
        </w:tc>
        <w:tc>
          <w:tcPr>
            <w:tcW w:w="1134" w:type="dxa"/>
            <w:vAlign w:val="center"/>
          </w:tcPr>
          <w:p>
            <w:pPr>
              <w:pStyle w:val="11"/>
            </w:pPr>
            <w:r>
              <w:t>48.57</w:t>
            </w:r>
          </w:p>
        </w:tc>
        <w:tc>
          <w:tcPr>
            <w:tcW w:w="1134" w:type="dxa"/>
            <w:vAlign w:val="center"/>
          </w:tcPr>
          <w:p>
            <w:pPr>
              <w:pStyle w:val="11"/>
            </w:pPr>
            <w:r>
              <w:t>48.57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48.57</w:t>
            </w:r>
          </w:p>
        </w:tc>
        <w:tc>
          <w:tcPr>
            <w:tcW w:w="1134" w:type="dxa"/>
            <w:vAlign w:val="center"/>
          </w:tcPr>
          <w:p>
            <w:pPr>
              <w:pStyle w:val="11"/>
            </w:pPr>
            <w:r>
              <w:t>48.57</w:t>
            </w:r>
          </w:p>
        </w:tc>
        <w:tc>
          <w:tcPr>
            <w:tcW w:w="1134" w:type="dxa"/>
            <w:vAlign w:val="center"/>
          </w:tcPr>
          <w:p>
            <w:pPr>
              <w:pStyle w:val="11"/>
            </w:pPr>
            <w:r>
              <w:t>48.57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48.57</w:t>
            </w:r>
          </w:p>
        </w:tc>
        <w:tc>
          <w:tcPr>
            <w:tcW w:w="1134" w:type="dxa"/>
            <w:vAlign w:val="center"/>
          </w:tcPr>
          <w:p>
            <w:pPr>
              <w:pStyle w:val="11"/>
            </w:pPr>
            <w:r>
              <w:t>48.57</w:t>
            </w:r>
          </w:p>
        </w:tc>
        <w:tc>
          <w:tcPr>
            <w:tcW w:w="1134" w:type="dxa"/>
            <w:vAlign w:val="center"/>
          </w:tcPr>
          <w:p>
            <w:pPr>
              <w:pStyle w:val="11"/>
            </w:pPr>
            <w:r>
              <w:t>48.57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939.09</w:t>
            </w:r>
          </w:p>
        </w:tc>
        <w:tc>
          <w:tcPr>
            <w:tcW w:w="1361" w:type="dxa"/>
            <w:vAlign w:val="center"/>
          </w:tcPr>
          <w:p>
            <w:pPr>
              <w:pStyle w:val="15"/>
            </w:pPr>
            <w:r>
              <w:t>740.59</w:t>
            </w:r>
          </w:p>
        </w:tc>
        <w:tc>
          <w:tcPr>
            <w:tcW w:w="1361" w:type="dxa"/>
            <w:vAlign w:val="center"/>
          </w:tcPr>
          <w:p>
            <w:pPr>
              <w:pStyle w:val="15"/>
            </w:pPr>
            <w:r>
              <w:t>198.50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687.81</w:t>
            </w:r>
          </w:p>
        </w:tc>
        <w:tc>
          <w:tcPr>
            <w:tcW w:w="1361" w:type="dxa"/>
            <w:vAlign w:val="center"/>
          </w:tcPr>
          <w:p>
            <w:pPr>
              <w:pStyle w:val="11"/>
            </w:pPr>
            <w:r>
              <w:t>489.31</w:t>
            </w:r>
          </w:p>
        </w:tc>
        <w:tc>
          <w:tcPr>
            <w:tcW w:w="1361" w:type="dxa"/>
            <w:vAlign w:val="center"/>
          </w:tcPr>
          <w:p>
            <w:pPr>
              <w:pStyle w:val="11"/>
            </w:pPr>
            <w:r>
              <w:t>198.50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687.81</w:t>
            </w:r>
          </w:p>
        </w:tc>
        <w:tc>
          <w:tcPr>
            <w:tcW w:w="1361" w:type="dxa"/>
            <w:vAlign w:val="center"/>
          </w:tcPr>
          <w:p>
            <w:pPr>
              <w:pStyle w:val="11"/>
            </w:pPr>
            <w:r>
              <w:t>489.31</w:t>
            </w:r>
          </w:p>
        </w:tc>
        <w:tc>
          <w:tcPr>
            <w:tcW w:w="1361" w:type="dxa"/>
            <w:vAlign w:val="center"/>
          </w:tcPr>
          <w:p>
            <w:pPr>
              <w:pStyle w:val="11"/>
            </w:pPr>
            <w:r>
              <w:t>198.50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489.31</w:t>
            </w:r>
          </w:p>
        </w:tc>
        <w:tc>
          <w:tcPr>
            <w:tcW w:w="1361" w:type="dxa"/>
            <w:vAlign w:val="center"/>
          </w:tcPr>
          <w:p>
            <w:pPr>
              <w:pStyle w:val="11"/>
            </w:pPr>
            <w:r>
              <w:t>489.31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113.50</w:t>
            </w:r>
          </w:p>
        </w:tc>
        <w:tc>
          <w:tcPr>
            <w:tcW w:w="1361" w:type="dxa"/>
            <w:vAlign w:val="center"/>
          </w:tcPr>
          <w:p>
            <w:pPr>
              <w:pStyle w:val="11"/>
            </w:pPr>
          </w:p>
        </w:tc>
        <w:tc>
          <w:tcPr>
            <w:tcW w:w="1361" w:type="dxa"/>
            <w:vAlign w:val="center"/>
          </w:tcPr>
          <w:p>
            <w:pPr>
              <w:pStyle w:val="11"/>
            </w:pPr>
            <w:r>
              <w:t>113.50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2010104</w:t>
            </w:r>
          </w:p>
        </w:tc>
        <w:tc>
          <w:tcPr>
            <w:tcW w:w="4535" w:type="dxa"/>
            <w:vAlign w:val="center"/>
          </w:tcPr>
          <w:p>
            <w:pPr>
              <w:pStyle w:val="12"/>
            </w:pPr>
            <w:r>
              <w:t>人大会议</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2010106</w:t>
            </w:r>
          </w:p>
        </w:tc>
        <w:tc>
          <w:tcPr>
            <w:tcW w:w="4535" w:type="dxa"/>
            <w:vAlign w:val="center"/>
          </w:tcPr>
          <w:p>
            <w:pPr>
              <w:pStyle w:val="12"/>
            </w:pPr>
            <w:r>
              <w:t>人大监督</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157.38</w:t>
            </w:r>
          </w:p>
        </w:tc>
        <w:tc>
          <w:tcPr>
            <w:tcW w:w="1361" w:type="dxa"/>
            <w:vAlign w:val="center"/>
          </w:tcPr>
          <w:p>
            <w:pPr>
              <w:pStyle w:val="11"/>
            </w:pPr>
            <w:r>
              <w:t>157.38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157.38</w:t>
            </w:r>
          </w:p>
        </w:tc>
        <w:tc>
          <w:tcPr>
            <w:tcW w:w="1361" w:type="dxa"/>
            <w:vAlign w:val="center"/>
          </w:tcPr>
          <w:p>
            <w:pPr>
              <w:pStyle w:val="11"/>
            </w:pPr>
            <w:r>
              <w:t>157.38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97.72</w:t>
            </w:r>
          </w:p>
        </w:tc>
        <w:tc>
          <w:tcPr>
            <w:tcW w:w="1361" w:type="dxa"/>
            <w:vAlign w:val="center"/>
          </w:tcPr>
          <w:p>
            <w:pPr>
              <w:pStyle w:val="11"/>
            </w:pPr>
            <w:r>
              <w:t>97.72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59.66</w:t>
            </w:r>
          </w:p>
        </w:tc>
        <w:tc>
          <w:tcPr>
            <w:tcW w:w="1361" w:type="dxa"/>
            <w:vAlign w:val="center"/>
          </w:tcPr>
          <w:p>
            <w:pPr>
              <w:pStyle w:val="11"/>
            </w:pPr>
            <w:r>
              <w:t>59.66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45.33</w:t>
            </w:r>
          </w:p>
        </w:tc>
        <w:tc>
          <w:tcPr>
            <w:tcW w:w="1361" w:type="dxa"/>
            <w:vAlign w:val="center"/>
          </w:tcPr>
          <w:p>
            <w:pPr>
              <w:pStyle w:val="11"/>
            </w:pPr>
            <w:r>
              <w:t>45.33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45.33</w:t>
            </w:r>
          </w:p>
        </w:tc>
        <w:tc>
          <w:tcPr>
            <w:tcW w:w="1361" w:type="dxa"/>
            <w:vAlign w:val="center"/>
          </w:tcPr>
          <w:p>
            <w:pPr>
              <w:pStyle w:val="11"/>
            </w:pPr>
            <w:r>
              <w:t>45.33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21.55</w:t>
            </w:r>
          </w:p>
        </w:tc>
        <w:tc>
          <w:tcPr>
            <w:tcW w:w="1361" w:type="dxa"/>
            <w:vAlign w:val="center"/>
          </w:tcPr>
          <w:p>
            <w:pPr>
              <w:pStyle w:val="11"/>
            </w:pPr>
            <w:r>
              <w:t>21.55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23.78</w:t>
            </w:r>
          </w:p>
        </w:tc>
        <w:tc>
          <w:tcPr>
            <w:tcW w:w="1361" w:type="dxa"/>
            <w:vAlign w:val="center"/>
          </w:tcPr>
          <w:p>
            <w:pPr>
              <w:pStyle w:val="11"/>
            </w:pPr>
            <w:r>
              <w:t>23.78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48.57</w:t>
            </w:r>
          </w:p>
        </w:tc>
        <w:tc>
          <w:tcPr>
            <w:tcW w:w="1361" w:type="dxa"/>
            <w:vAlign w:val="center"/>
          </w:tcPr>
          <w:p>
            <w:pPr>
              <w:pStyle w:val="11"/>
            </w:pPr>
            <w:r>
              <w:t>48.57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48.57</w:t>
            </w:r>
          </w:p>
        </w:tc>
        <w:tc>
          <w:tcPr>
            <w:tcW w:w="1361" w:type="dxa"/>
            <w:vAlign w:val="center"/>
          </w:tcPr>
          <w:p>
            <w:pPr>
              <w:pStyle w:val="11"/>
            </w:pPr>
            <w:r>
              <w:t>48.57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48.57</w:t>
            </w:r>
          </w:p>
        </w:tc>
        <w:tc>
          <w:tcPr>
            <w:tcW w:w="1361" w:type="dxa"/>
            <w:vAlign w:val="center"/>
          </w:tcPr>
          <w:p>
            <w:pPr>
              <w:pStyle w:val="11"/>
            </w:pPr>
            <w:r>
              <w:t>48.57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939.09</w:t>
            </w:r>
          </w:p>
        </w:tc>
        <w:tc>
          <w:tcPr>
            <w:tcW w:w="3402" w:type="dxa"/>
            <w:vAlign w:val="center"/>
          </w:tcPr>
          <w:p>
            <w:pPr>
              <w:pStyle w:val="12"/>
            </w:pPr>
            <w:r>
              <w:t>一、一般公共服务支出</w:t>
            </w:r>
          </w:p>
        </w:tc>
        <w:tc>
          <w:tcPr>
            <w:tcW w:w="1474" w:type="dxa"/>
            <w:vAlign w:val="center"/>
          </w:tcPr>
          <w:p>
            <w:pPr>
              <w:pStyle w:val="11"/>
            </w:pPr>
            <w:r>
              <w:t>687.81</w:t>
            </w:r>
          </w:p>
        </w:tc>
        <w:tc>
          <w:tcPr>
            <w:tcW w:w="1474" w:type="dxa"/>
            <w:vAlign w:val="center"/>
          </w:tcPr>
          <w:p>
            <w:pPr>
              <w:pStyle w:val="11"/>
            </w:pPr>
            <w:r>
              <w:t>687.81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157.38</w:t>
            </w:r>
          </w:p>
        </w:tc>
        <w:tc>
          <w:tcPr>
            <w:tcW w:w="1474" w:type="dxa"/>
            <w:vAlign w:val="center"/>
          </w:tcPr>
          <w:p>
            <w:pPr>
              <w:pStyle w:val="11"/>
            </w:pPr>
            <w:r>
              <w:t>157.38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45.33</w:t>
            </w:r>
          </w:p>
        </w:tc>
        <w:tc>
          <w:tcPr>
            <w:tcW w:w="1474" w:type="dxa"/>
            <w:vAlign w:val="center"/>
          </w:tcPr>
          <w:p>
            <w:pPr>
              <w:pStyle w:val="11"/>
            </w:pPr>
            <w:r>
              <w:t>45.33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48.57</w:t>
            </w:r>
          </w:p>
        </w:tc>
        <w:tc>
          <w:tcPr>
            <w:tcW w:w="1474" w:type="dxa"/>
            <w:vAlign w:val="center"/>
          </w:tcPr>
          <w:p>
            <w:pPr>
              <w:pStyle w:val="11"/>
            </w:pPr>
            <w:r>
              <w:t>48.57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939.09</w:t>
            </w:r>
          </w:p>
        </w:tc>
        <w:tc>
          <w:tcPr>
            <w:tcW w:w="3402" w:type="dxa"/>
            <w:vAlign w:val="center"/>
          </w:tcPr>
          <w:p>
            <w:pPr>
              <w:pStyle w:val="14"/>
            </w:pPr>
            <w:r>
              <w:t>本年支出合计</w:t>
            </w:r>
          </w:p>
        </w:tc>
        <w:tc>
          <w:tcPr>
            <w:tcW w:w="1474" w:type="dxa"/>
            <w:vAlign w:val="center"/>
          </w:tcPr>
          <w:p>
            <w:pPr>
              <w:pStyle w:val="15"/>
            </w:pPr>
            <w:r>
              <w:t>939.09</w:t>
            </w:r>
          </w:p>
        </w:tc>
        <w:tc>
          <w:tcPr>
            <w:tcW w:w="1474" w:type="dxa"/>
            <w:vAlign w:val="center"/>
          </w:tcPr>
          <w:p>
            <w:pPr>
              <w:pStyle w:val="15"/>
            </w:pPr>
            <w:r>
              <w:t>939.09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939.09</w:t>
            </w:r>
          </w:p>
        </w:tc>
        <w:tc>
          <w:tcPr>
            <w:tcW w:w="3402" w:type="dxa"/>
            <w:vAlign w:val="center"/>
          </w:tcPr>
          <w:p>
            <w:pPr>
              <w:pStyle w:val="14"/>
            </w:pPr>
            <w:r>
              <w:t>支出总计</w:t>
            </w:r>
          </w:p>
        </w:tc>
        <w:tc>
          <w:tcPr>
            <w:tcW w:w="1474" w:type="dxa"/>
            <w:vAlign w:val="center"/>
          </w:tcPr>
          <w:p>
            <w:pPr>
              <w:pStyle w:val="15"/>
            </w:pPr>
            <w:r>
              <w:t>939.09</w:t>
            </w:r>
          </w:p>
        </w:tc>
        <w:tc>
          <w:tcPr>
            <w:tcW w:w="1474" w:type="dxa"/>
            <w:vAlign w:val="center"/>
          </w:tcPr>
          <w:p>
            <w:pPr>
              <w:pStyle w:val="15"/>
            </w:pPr>
            <w:r>
              <w:t>939.09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939.09</w:t>
            </w:r>
          </w:p>
        </w:tc>
        <w:tc>
          <w:tcPr>
            <w:tcW w:w="2551" w:type="dxa"/>
            <w:vAlign w:val="center"/>
          </w:tcPr>
          <w:p>
            <w:pPr>
              <w:pStyle w:val="15"/>
            </w:pPr>
            <w:r>
              <w:t>740.59</w:t>
            </w:r>
          </w:p>
        </w:tc>
        <w:tc>
          <w:tcPr>
            <w:tcW w:w="2551" w:type="dxa"/>
            <w:vAlign w:val="center"/>
          </w:tcPr>
          <w:p>
            <w:pPr>
              <w:pStyle w:val="15"/>
            </w:pPr>
            <w:r>
              <w:t>198.50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687.81</w:t>
            </w:r>
          </w:p>
        </w:tc>
        <w:tc>
          <w:tcPr>
            <w:tcW w:w="2551" w:type="dxa"/>
            <w:vAlign w:val="center"/>
          </w:tcPr>
          <w:p>
            <w:pPr>
              <w:pStyle w:val="11"/>
            </w:pPr>
            <w:r>
              <w:t>489.31</w:t>
            </w:r>
          </w:p>
        </w:tc>
        <w:tc>
          <w:tcPr>
            <w:tcW w:w="2551" w:type="dxa"/>
            <w:vAlign w:val="center"/>
          </w:tcPr>
          <w:p>
            <w:pPr>
              <w:pStyle w:val="11"/>
            </w:pPr>
            <w:r>
              <w:t>198.50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687.81</w:t>
            </w:r>
          </w:p>
        </w:tc>
        <w:tc>
          <w:tcPr>
            <w:tcW w:w="2551" w:type="dxa"/>
            <w:vAlign w:val="center"/>
          </w:tcPr>
          <w:p>
            <w:pPr>
              <w:pStyle w:val="11"/>
            </w:pPr>
            <w:r>
              <w:t>489.31</w:t>
            </w:r>
          </w:p>
        </w:tc>
        <w:tc>
          <w:tcPr>
            <w:tcW w:w="2551" w:type="dxa"/>
            <w:vAlign w:val="center"/>
          </w:tcPr>
          <w:p>
            <w:pPr>
              <w:pStyle w:val="11"/>
            </w:pPr>
            <w:r>
              <w:t>198.50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489.31</w:t>
            </w:r>
          </w:p>
        </w:tc>
        <w:tc>
          <w:tcPr>
            <w:tcW w:w="2551" w:type="dxa"/>
            <w:vAlign w:val="center"/>
          </w:tcPr>
          <w:p>
            <w:pPr>
              <w:pStyle w:val="11"/>
            </w:pPr>
            <w:r>
              <w:t>489.31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113.50</w:t>
            </w:r>
          </w:p>
        </w:tc>
        <w:tc>
          <w:tcPr>
            <w:tcW w:w="2551" w:type="dxa"/>
            <w:vAlign w:val="center"/>
          </w:tcPr>
          <w:p>
            <w:pPr>
              <w:pStyle w:val="11"/>
            </w:pPr>
          </w:p>
        </w:tc>
        <w:tc>
          <w:tcPr>
            <w:tcW w:w="2551" w:type="dxa"/>
            <w:vAlign w:val="center"/>
          </w:tcPr>
          <w:p>
            <w:pPr>
              <w:pStyle w:val="11"/>
            </w:pPr>
            <w:r>
              <w:t>113.50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2010104</w:t>
            </w:r>
          </w:p>
        </w:tc>
        <w:tc>
          <w:tcPr>
            <w:tcW w:w="4535" w:type="dxa"/>
            <w:vAlign w:val="center"/>
          </w:tcPr>
          <w:p>
            <w:pPr>
              <w:pStyle w:val="12"/>
            </w:pPr>
            <w:r>
              <w:t>人大会议</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2010106</w:t>
            </w:r>
          </w:p>
        </w:tc>
        <w:tc>
          <w:tcPr>
            <w:tcW w:w="4535" w:type="dxa"/>
            <w:vAlign w:val="center"/>
          </w:tcPr>
          <w:p>
            <w:pPr>
              <w:pStyle w:val="12"/>
            </w:pPr>
            <w:r>
              <w:t>人大监督</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157.38</w:t>
            </w:r>
          </w:p>
        </w:tc>
        <w:tc>
          <w:tcPr>
            <w:tcW w:w="2551" w:type="dxa"/>
            <w:vAlign w:val="center"/>
          </w:tcPr>
          <w:p>
            <w:pPr>
              <w:pStyle w:val="11"/>
            </w:pPr>
            <w:r>
              <w:t>157.38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157.38</w:t>
            </w:r>
          </w:p>
        </w:tc>
        <w:tc>
          <w:tcPr>
            <w:tcW w:w="2551" w:type="dxa"/>
            <w:vAlign w:val="center"/>
          </w:tcPr>
          <w:p>
            <w:pPr>
              <w:pStyle w:val="11"/>
            </w:pPr>
            <w:r>
              <w:t>157.38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97.72</w:t>
            </w:r>
          </w:p>
        </w:tc>
        <w:tc>
          <w:tcPr>
            <w:tcW w:w="2551" w:type="dxa"/>
            <w:vAlign w:val="center"/>
          </w:tcPr>
          <w:p>
            <w:pPr>
              <w:pStyle w:val="11"/>
            </w:pPr>
            <w:r>
              <w:t>97.72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59.66</w:t>
            </w:r>
          </w:p>
        </w:tc>
        <w:tc>
          <w:tcPr>
            <w:tcW w:w="2551" w:type="dxa"/>
            <w:vAlign w:val="center"/>
          </w:tcPr>
          <w:p>
            <w:pPr>
              <w:pStyle w:val="11"/>
            </w:pPr>
            <w:r>
              <w:t>59.66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45.33</w:t>
            </w:r>
          </w:p>
        </w:tc>
        <w:tc>
          <w:tcPr>
            <w:tcW w:w="2551" w:type="dxa"/>
            <w:vAlign w:val="center"/>
          </w:tcPr>
          <w:p>
            <w:pPr>
              <w:pStyle w:val="11"/>
            </w:pPr>
            <w:r>
              <w:t>45.33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45.33</w:t>
            </w:r>
          </w:p>
        </w:tc>
        <w:tc>
          <w:tcPr>
            <w:tcW w:w="2551" w:type="dxa"/>
            <w:vAlign w:val="center"/>
          </w:tcPr>
          <w:p>
            <w:pPr>
              <w:pStyle w:val="11"/>
            </w:pPr>
            <w:r>
              <w:t>45.33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21.55</w:t>
            </w:r>
          </w:p>
        </w:tc>
        <w:tc>
          <w:tcPr>
            <w:tcW w:w="2551" w:type="dxa"/>
            <w:vAlign w:val="center"/>
          </w:tcPr>
          <w:p>
            <w:pPr>
              <w:pStyle w:val="11"/>
            </w:pPr>
            <w:r>
              <w:t>21.55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23.78</w:t>
            </w:r>
          </w:p>
        </w:tc>
        <w:tc>
          <w:tcPr>
            <w:tcW w:w="2551" w:type="dxa"/>
            <w:vAlign w:val="center"/>
          </w:tcPr>
          <w:p>
            <w:pPr>
              <w:pStyle w:val="11"/>
            </w:pPr>
            <w:r>
              <w:t>23.78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48.57</w:t>
            </w:r>
          </w:p>
        </w:tc>
        <w:tc>
          <w:tcPr>
            <w:tcW w:w="2551" w:type="dxa"/>
            <w:vAlign w:val="center"/>
          </w:tcPr>
          <w:p>
            <w:pPr>
              <w:pStyle w:val="11"/>
            </w:pPr>
            <w:r>
              <w:t>48.57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48.57</w:t>
            </w:r>
          </w:p>
        </w:tc>
        <w:tc>
          <w:tcPr>
            <w:tcW w:w="2551" w:type="dxa"/>
            <w:vAlign w:val="center"/>
          </w:tcPr>
          <w:p>
            <w:pPr>
              <w:pStyle w:val="11"/>
            </w:pPr>
            <w:r>
              <w:t>48.57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48.57</w:t>
            </w:r>
          </w:p>
        </w:tc>
        <w:tc>
          <w:tcPr>
            <w:tcW w:w="2551" w:type="dxa"/>
            <w:vAlign w:val="center"/>
          </w:tcPr>
          <w:p>
            <w:pPr>
              <w:pStyle w:val="11"/>
            </w:pPr>
            <w:r>
              <w:t>48.57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740.59</w:t>
            </w:r>
          </w:p>
        </w:tc>
        <w:tc>
          <w:tcPr>
            <w:tcW w:w="2551" w:type="dxa"/>
            <w:vAlign w:val="center"/>
          </w:tcPr>
          <w:p>
            <w:pPr>
              <w:pStyle w:val="15"/>
            </w:pPr>
            <w:r>
              <w:t>656.35</w:t>
            </w:r>
          </w:p>
        </w:tc>
        <w:tc>
          <w:tcPr>
            <w:tcW w:w="2551" w:type="dxa"/>
            <w:vAlign w:val="center"/>
          </w:tcPr>
          <w:p>
            <w:pPr>
              <w:pStyle w:val="15"/>
            </w:pPr>
            <w:r>
              <w:t>84.24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558.63</w:t>
            </w:r>
          </w:p>
        </w:tc>
        <w:tc>
          <w:tcPr>
            <w:tcW w:w="2551" w:type="dxa"/>
            <w:vAlign w:val="center"/>
          </w:tcPr>
          <w:p>
            <w:pPr>
              <w:pStyle w:val="11"/>
            </w:pPr>
            <w:r>
              <w:t>558.63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127.28</w:t>
            </w:r>
          </w:p>
        </w:tc>
        <w:tc>
          <w:tcPr>
            <w:tcW w:w="2551" w:type="dxa"/>
            <w:vAlign w:val="center"/>
          </w:tcPr>
          <w:p>
            <w:pPr>
              <w:pStyle w:val="11"/>
            </w:pPr>
            <w:r>
              <w:t>127.28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98.73</w:t>
            </w:r>
          </w:p>
        </w:tc>
        <w:tc>
          <w:tcPr>
            <w:tcW w:w="2551" w:type="dxa"/>
            <w:vAlign w:val="center"/>
          </w:tcPr>
          <w:p>
            <w:pPr>
              <w:pStyle w:val="11"/>
            </w:pPr>
            <w:r>
              <w:t>98.73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48.97</w:t>
            </w:r>
          </w:p>
        </w:tc>
        <w:tc>
          <w:tcPr>
            <w:tcW w:w="2551" w:type="dxa"/>
            <w:vAlign w:val="center"/>
          </w:tcPr>
          <w:p>
            <w:pPr>
              <w:pStyle w:val="11"/>
            </w:pPr>
            <w:r>
              <w:t>48.97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21.47</w:t>
            </w:r>
          </w:p>
        </w:tc>
        <w:tc>
          <w:tcPr>
            <w:tcW w:w="2551" w:type="dxa"/>
            <w:vAlign w:val="center"/>
          </w:tcPr>
          <w:p>
            <w:pPr>
              <w:pStyle w:val="11"/>
            </w:pPr>
            <w:r>
              <w:t>21.47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43.62</w:t>
            </w:r>
          </w:p>
        </w:tc>
        <w:tc>
          <w:tcPr>
            <w:tcW w:w="2551" w:type="dxa"/>
            <w:vAlign w:val="center"/>
          </w:tcPr>
          <w:p>
            <w:pPr>
              <w:pStyle w:val="11"/>
            </w:pPr>
            <w:r>
              <w:t>43.62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16.61</w:t>
            </w:r>
          </w:p>
        </w:tc>
        <w:tc>
          <w:tcPr>
            <w:tcW w:w="2551" w:type="dxa"/>
            <w:vAlign w:val="center"/>
          </w:tcPr>
          <w:p>
            <w:pPr>
              <w:pStyle w:val="11"/>
            </w:pPr>
            <w:r>
              <w:t>16.61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18.33</w:t>
            </w:r>
          </w:p>
        </w:tc>
        <w:tc>
          <w:tcPr>
            <w:tcW w:w="2551" w:type="dxa"/>
            <w:vAlign w:val="center"/>
          </w:tcPr>
          <w:p>
            <w:pPr>
              <w:pStyle w:val="11"/>
            </w:pPr>
            <w:r>
              <w:t>18.33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35.81</w:t>
            </w:r>
          </w:p>
        </w:tc>
        <w:tc>
          <w:tcPr>
            <w:tcW w:w="2551" w:type="dxa"/>
            <w:vAlign w:val="center"/>
          </w:tcPr>
          <w:p>
            <w:pPr>
              <w:pStyle w:val="11"/>
            </w:pPr>
            <w:r>
              <w:t>35.81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146.41</w:t>
            </w:r>
          </w:p>
        </w:tc>
        <w:tc>
          <w:tcPr>
            <w:tcW w:w="2551" w:type="dxa"/>
            <w:vAlign w:val="center"/>
          </w:tcPr>
          <w:p>
            <w:pPr>
              <w:pStyle w:val="11"/>
            </w:pPr>
            <w:r>
              <w:t>146.41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84.24</w:t>
            </w:r>
          </w:p>
        </w:tc>
        <w:tc>
          <w:tcPr>
            <w:tcW w:w="2551" w:type="dxa"/>
            <w:vAlign w:val="center"/>
          </w:tcPr>
          <w:p>
            <w:pPr>
              <w:pStyle w:val="11"/>
            </w:pPr>
          </w:p>
        </w:tc>
        <w:tc>
          <w:tcPr>
            <w:tcW w:w="2551" w:type="dxa"/>
            <w:vAlign w:val="center"/>
          </w:tcPr>
          <w:p>
            <w:pPr>
              <w:pStyle w:val="11"/>
            </w:pPr>
            <w:r>
              <w:t>84.24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13.99</w:t>
            </w:r>
          </w:p>
        </w:tc>
        <w:tc>
          <w:tcPr>
            <w:tcW w:w="2551" w:type="dxa"/>
            <w:vAlign w:val="center"/>
          </w:tcPr>
          <w:p>
            <w:pPr>
              <w:pStyle w:val="11"/>
            </w:pPr>
          </w:p>
        </w:tc>
        <w:tc>
          <w:tcPr>
            <w:tcW w:w="2551" w:type="dxa"/>
            <w:vAlign w:val="center"/>
          </w:tcPr>
          <w:p>
            <w:pPr>
              <w:pStyle w:val="11"/>
            </w:pPr>
            <w:r>
              <w:t>13.99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8.90</w:t>
            </w:r>
          </w:p>
        </w:tc>
        <w:tc>
          <w:tcPr>
            <w:tcW w:w="2551" w:type="dxa"/>
            <w:vAlign w:val="center"/>
          </w:tcPr>
          <w:p>
            <w:pPr>
              <w:pStyle w:val="11"/>
            </w:pPr>
          </w:p>
        </w:tc>
        <w:tc>
          <w:tcPr>
            <w:tcW w:w="2551" w:type="dxa"/>
            <w:vAlign w:val="center"/>
          </w:tcPr>
          <w:p>
            <w:pPr>
              <w:pStyle w:val="11"/>
            </w:pPr>
            <w:r>
              <w:t>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4.85</w:t>
            </w:r>
          </w:p>
        </w:tc>
        <w:tc>
          <w:tcPr>
            <w:tcW w:w="2551" w:type="dxa"/>
            <w:vAlign w:val="center"/>
          </w:tcPr>
          <w:p>
            <w:pPr>
              <w:pStyle w:val="11"/>
            </w:pPr>
          </w:p>
        </w:tc>
        <w:tc>
          <w:tcPr>
            <w:tcW w:w="2551" w:type="dxa"/>
            <w:vAlign w:val="center"/>
          </w:tcPr>
          <w:p>
            <w:pPr>
              <w:pStyle w:val="11"/>
            </w:pPr>
            <w:r>
              <w:t>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17.90</w:t>
            </w:r>
          </w:p>
        </w:tc>
        <w:tc>
          <w:tcPr>
            <w:tcW w:w="2551" w:type="dxa"/>
            <w:vAlign w:val="center"/>
          </w:tcPr>
          <w:p>
            <w:pPr>
              <w:pStyle w:val="11"/>
            </w:pPr>
          </w:p>
        </w:tc>
        <w:tc>
          <w:tcPr>
            <w:tcW w:w="2551" w:type="dxa"/>
            <w:vAlign w:val="center"/>
          </w:tcPr>
          <w:p>
            <w:pPr>
              <w:pStyle w:val="11"/>
            </w:pPr>
            <w:r>
              <w:t>17.90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97.72</w:t>
            </w:r>
          </w:p>
        </w:tc>
        <w:tc>
          <w:tcPr>
            <w:tcW w:w="2551" w:type="dxa"/>
            <w:vAlign w:val="center"/>
          </w:tcPr>
          <w:p>
            <w:pPr>
              <w:pStyle w:val="11"/>
            </w:pPr>
            <w:r>
              <w:t>97.72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97.72</w:t>
            </w:r>
          </w:p>
        </w:tc>
        <w:tc>
          <w:tcPr>
            <w:tcW w:w="2551" w:type="dxa"/>
            <w:vAlign w:val="center"/>
          </w:tcPr>
          <w:p>
            <w:pPr>
              <w:pStyle w:val="11"/>
            </w:pPr>
            <w:r>
              <w:t>97.72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25.00</w:t>
            </w:r>
          </w:p>
        </w:tc>
        <w:tc>
          <w:tcPr>
            <w:tcW w:w="2381" w:type="dxa"/>
            <w:vAlign w:val="center"/>
          </w:tcPr>
          <w:p>
            <w:pPr>
              <w:pStyle w:val="15"/>
            </w:pPr>
            <w:r>
              <w:t>25.00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唐山市丰南区人民代表大会常务委员会办公室本级2025年单位预算信息公开情况说明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按照《中华人民共和国预算法》、《地方预决算公开操作规程》和《关于进一步推进预算公开工作的实施意见》规定，现将唐山市丰南区人民代表大会常务委员会办公室本级2025年单位预算公开如下：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承担区人民代表大会、常务委员会、主任会议的筹备及会务工作。负责人大代表和人民群众来信来访和投诉的受理、转办及有关问题的催办工作。承办和处理人大</w:t>
      </w:r>
      <w:r>
        <w:rPr>
          <w:rFonts w:hint="eastAsia"/>
          <w:lang w:val="en-US" w:eastAsia="zh-CN"/>
        </w:rPr>
        <w:t>常委会</w:t>
      </w:r>
      <w:bookmarkStart w:id="1" w:name="_GoBack"/>
      <w:bookmarkEnd w:id="1"/>
      <w: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唐山市丰南区人民代表大会常务委员会办公室本级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939.09万元，其中：一般公共预算收入939.09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人民代表大会常务委员会办公室本级年度单位预算中支出预算的总体情况。2025年支出预算939.09万元，其中基本支出740.59万元，包括人员经费656.35万元和日常公用经费84.24万元；项目支出198.50万元，主要为会议费等。</w:t>
      </w:r>
    </w:p>
    <w:p>
      <w:pPr>
        <w:pStyle w:val="18"/>
      </w:pPr>
      <w:r>
        <w:t>3、比上年增减情况</w:t>
      </w:r>
    </w:p>
    <w:p>
      <w:pPr>
        <w:pStyle w:val="18"/>
      </w:pPr>
      <w:r>
        <w:t>2025年预算收支安排939.09万元，较2024年预算减少53.41万元，其中：基本支出减少45.71万元，主要为人员经费减少。项目支出减少7.70万元，主要为就业见习补贴等。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2025年，我单位机关运行经费共计安排84.24万元，主要用于日常维修、办公用房水电费、办公用房取暖费、办公用房物业管理费等日常运行支出。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25.00万元，其中因公出国（境）费0.00万元；公务用车购置及运维费15.00万元（其中：公务用车购置费为0.00万元，公务用车运维费15.00万元)；公务接待费10.00万元。与2024年相比增加0.00万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1、会议费绩效目标表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13020725P00EJC010008H</w:t>
            </w:r>
          </w:p>
        </w:tc>
        <w:tc>
          <w:tcPr>
            <w:tcW w:w="2835" w:type="dxa"/>
            <w:vAlign w:val="center"/>
          </w:tcPr>
          <w:p>
            <w:pPr>
              <w:pStyle w:val="10"/>
            </w:pPr>
            <w:r>
              <w:t>项目名称</w:t>
            </w:r>
          </w:p>
        </w:tc>
        <w:tc>
          <w:tcPr>
            <w:tcW w:w="6095" w:type="dxa"/>
            <w:gridSpan w:val="3"/>
            <w:vAlign w:val="center"/>
          </w:tcPr>
          <w:p>
            <w:pPr>
              <w:pStyle w:val="12"/>
            </w:pPr>
            <w:r>
              <w:t>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区人大常委会的工作安排，用于每年召开的区人代会及日常会议费用。2025年预计支出60万元。其中：1、会议用餐、住宿约40万元；2、购置办公用品、制作证件等约8万元；3、工作人员用餐约、住宿等约6万元；4、印制会议资料约6万元。</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1.圆满完成区七届人大五次会议及日常会议。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会议天数</w:t>
            </w:r>
          </w:p>
        </w:tc>
        <w:tc>
          <w:tcPr>
            <w:tcW w:w="5386" w:type="dxa"/>
            <w:vAlign w:val="center"/>
          </w:tcPr>
          <w:p>
            <w:pPr>
              <w:pStyle w:val="12"/>
            </w:pPr>
            <w:r>
              <w:t>会议天数</w:t>
            </w:r>
          </w:p>
        </w:tc>
        <w:tc>
          <w:tcPr>
            <w:tcW w:w="2268" w:type="dxa"/>
            <w:vAlign w:val="center"/>
          </w:tcPr>
          <w:p>
            <w:pPr>
              <w:pStyle w:val="12"/>
            </w:pPr>
            <w:r>
              <w:t>≥3天</w:t>
            </w:r>
          </w:p>
        </w:tc>
        <w:tc>
          <w:tcPr>
            <w:tcW w:w="1276" w:type="dxa"/>
            <w:vAlign w:val="center"/>
          </w:tcPr>
          <w:p>
            <w:pPr>
              <w:pStyle w:val="12"/>
            </w:pPr>
            <w:r>
              <w:t>会议计划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会议任务完成情况</w:t>
            </w:r>
          </w:p>
        </w:tc>
        <w:tc>
          <w:tcPr>
            <w:tcW w:w="5386" w:type="dxa"/>
            <w:vAlign w:val="center"/>
          </w:tcPr>
          <w:p>
            <w:pPr>
              <w:pStyle w:val="12"/>
            </w:pPr>
            <w:r>
              <w:t>会议任务按计划完成情况</w:t>
            </w:r>
          </w:p>
        </w:tc>
        <w:tc>
          <w:tcPr>
            <w:tcW w:w="2268" w:type="dxa"/>
            <w:vAlign w:val="center"/>
          </w:tcPr>
          <w:p>
            <w:pPr>
              <w:pStyle w:val="12"/>
            </w:pPr>
            <w:r>
              <w:t>全部完成</w:t>
            </w:r>
          </w:p>
        </w:tc>
        <w:tc>
          <w:tcPr>
            <w:tcW w:w="1276" w:type="dxa"/>
            <w:vAlign w:val="center"/>
          </w:tcPr>
          <w:p>
            <w:pPr>
              <w:pStyle w:val="12"/>
            </w:pPr>
            <w:r>
              <w:t>会议计划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会议按期完成率</w:t>
            </w:r>
          </w:p>
        </w:tc>
        <w:tc>
          <w:tcPr>
            <w:tcW w:w="5386" w:type="dxa"/>
            <w:vAlign w:val="center"/>
          </w:tcPr>
          <w:p>
            <w:pPr>
              <w:pStyle w:val="12"/>
            </w:pPr>
            <w:r>
              <w:t>按期完成的会议率</w:t>
            </w:r>
          </w:p>
        </w:tc>
        <w:tc>
          <w:tcPr>
            <w:tcW w:w="2268" w:type="dxa"/>
            <w:vAlign w:val="center"/>
          </w:tcPr>
          <w:p>
            <w:pPr>
              <w:pStyle w:val="12"/>
            </w:pPr>
            <w:r>
              <w:t>100%</w:t>
            </w:r>
          </w:p>
        </w:tc>
        <w:tc>
          <w:tcPr>
            <w:tcW w:w="1276" w:type="dxa"/>
            <w:vAlign w:val="center"/>
          </w:tcPr>
          <w:p>
            <w:pPr>
              <w:pStyle w:val="12"/>
            </w:pPr>
            <w:r>
              <w:t>会议计划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会议总成本</w:t>
            </w:r>
          </w:p>
        </w:tc>
        <w:tc>
          <w:tcPr>
            <w:tcW w:w="5386" w:type="dxa"/>
            <w:vAlign w:val="center"/>
          </w:tcPr>
          <w:p>
            <w:pPr>
              <w:pStyle w:val="12"/>
            </w:pPr>
            <w:r>
              <w:t>反映会议总成本情况</w:t>
            </w:r>
          </w:p>
        </w:tc>
        <w:tc>
          <w:tcPr>
            <w:tcW w:w="2268" w:type="dxa"/>
            <w:vAlign w:val="center"/>
          </w:tcPr>
          <w:p>
            <w:pPr>
              <w:pStyle w:val="12"/>
            </w:pPr>
            <w:r>
              <w:t>≤60万</w:t>
            </w:r>
          </w:p>
        </w:tc>
        <w:tc>
          <w:tcPr>
            <w:tcW w:w="1276" w:type="dxa"/>
            <w:vAlign w:val="center"/>
          </w:tcPr>
          <w:p>
            <w:pPr>
              <w:pStyle w:val="12"/>
            </w:pPr>
            <w:r>
              <w:t>会议计划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对我区的建设和发展的促进作用</w:t>
            </w:r>
          </w:p>
        </w:tc>
        <w:tc>
          <w:tcPr>
            <w:tcW w:w="5386" w:type="dxa"/>
            <w:vAlign w:val="center"/>
          </w:tcPr>
          <w:p>
            <w:pPr>
              <w:pStyle w:val="12"/>
            </w:pPr>
            <w:r>
              <w:t>对我区的建设和发展的促进作用</w:t>
            </w:r>
          </w:p>
        </w:tc>
        <w:tc>
          <w:tcPr>
            <w:tcW w:w="2268" w:type="dxa"/>
            <w:vAlign w:val="center"/>
          </w:tcPr>
          <w:p>
            <w:pPr>
              <w:pStyle w:val="12"/>
            </w:pPr>
            <w:r>
              <w:t>有力促进</w:t>
            </w:r>
          </w:p>
        </w:tc>
        <w:tc>
          <w:tcPr>
            <w:tcW w:w="1276" w:type="dxa"/>
            <w:vAlign w:val="center"/>
          </w:tcPr>
          <w:p>
            <w:pPr>
              <w:pStyle w:val="12"/>
            </w:pPr>
            <w:r>
              <w:t>会议计划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会议精神贯彻情况</w:t>
            </w:r>
          </w:p>
        </w:tc>
        <w:tc>
          <w:tcPr>
            <w:tcW w:w="5386" w:type="dxa"/>
            <w:vAlign w:val="center"/>
          </w:tcPr>
          <w:p>
            <w:pPr>
              <w:pStyle w:val="12"/>
            </w:pPr>
            <w:r>
              <w:t>反映会议精神贯彻落实程度</w:t>
            </w:r>
          </w:p>
        </w:tc>
        <w:tc>
          <w:tcPr>
            <w:tcW w:w="2268" w:type="dxa"/>
            <w:vAlign w:val="center"/>
          </w:tcPr>
          <w:p>
            <w:pPr>
              <w:pStyle w:val="12"/>
            </w:pPr>
            <w:r>
              <w:t>落实到位</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2、劳务外包经费绩效目标表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13020725P008LLJ10020C</w:t>
            </w:r>
          </w:p>
        </w:tc>
        <w:tc>
          <w:tcPr>
            <w:tcW w:w="2835" w:type="dxa"/>
            <w:vAlign w:val="center"/>
          </w:tcPr>
          <w:p>
            <w:pPr>
              <w:pStyle w:val="10"/>
            </w:pPr>
            <w:r>
              <w:t>项目名称</w:t>
            </w:r>
          </w:p>
        </w:tc>
        <w:tc>
          <w:tcPr>
            <w:tcW w:w="6095" w:type="dxa"/>
            <w:gridSpan w:val="3"/>
            <w:vAlign w:val="center"/>
          </w:tcPr>
          <w:p>
            <w:pPr>
              <w:pStyle w:val="12"/>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w:t>
            </w:r>
          </w:p>
        </w:tc>
        <w:tc>
          <w:tcPr>
            <w:tcW w:w="2835" w:type="dxa"/>
            <w:vAlign w:val="center"/>
          </w:tcPr>
          <w:p>
            <w:pPr>
              <w:pStyle w:val="10"/>
            </w:pPr>
            <w:r>
              <w:t>其中：财政    资金</w:t>
            </w:r>
          </w:p>
        </w:tc>
        <w:tc>
          <w:tcPr>
            <w:tcW w:w="2551" w:type="dxa"/>
            <w:vAlign w:val="center"/>
          </w:tcPr>
          <w:p>
            <w:pPr>
              <w:pStyle w:val="12"/>
            </w:pPr>
            <w:r>
              <w:t>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根据工作需要，2025年预计支出5.5万元，用于驾驶劳务外包费用。</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1.通过劳务外包方式，保障机关公务车正常出行。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保障机关公务车正常出行</w:t>
            </w:r>
          </w:p>
        </w:tc>
        <w:tc>
          <w:tcPr>
            <w:tcW w:w="5386" w:type="dxa"/>
            <w:vAlign w:val="center"/>
          </w:tcPr>
          <w:p>
            <w:pPr>
              <w:pStyle w:val="12"/>
            </w:pPr>
            <w:r>
              <w:t>保障机关公务车正常出行</w:t>
            </w:r>
          </w:p>
        </w:tc>
        <w:tc>
          <w:tcPr>
            <w:tcW w:w="2268" w:type="dxa"/>
            <w:vAlign w:val="center"/>
          </w:tcPr>
          <w:p>
            <w:pPr>
              <w:pStyle w:val="12"/>
            </w:pPr>
            <w:r>
              <w:t>保障公务出行</w:t>
            </w:r>
          </w:p>
        </w:tc>
        <w:tc>
          <w:tcPr>
            <w:tcW w:w="1276" w:type="dxa"/>
            <w:vAlign w:val="center"/>
          </w:tcPr>
          <w:p>
            <w:pPr>
              <w:pStyle w:val="12"/>
            </w:pPr>
            <w:r>
              <w:t>保障公务出行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外包服务完成及时性</w:t>
            </w:r>
          </w:p>
        </w:tc>
        <w:tc>
          <w:tcPr>
            <w:tcW w:w="5386" w:type="dxa"/>
            <w:vAlign w:val="center"/>
          </w:tcPr>
          <w:p>
            <w:pPr>
              <w:pStyle w:val="12"/>
            </w:pPr>
            <w:r>
              <w:t>外包服务完成及时性</w:t>
            </w:r>
          </w:p>
        </w:tc>
        <w:tc>
          <w:tcPr>
            <w:tcW w:w="2268" w:type="dxa"/>
            <w:vAlign w:val="center"/>
          </w:tcPr>
          <w:p>
            <w:pPr>
              <w:pStyle w:val="12"/>
            </w:pPr>
            <w:r>
              <w:t>及时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包经费成本</w:t>
            </w:r>
          </w:p>
        </w:tc>
        <w:tc>
          <w:tcPr>
            <w:tcW w:w="5386" w:type="dxa"/>
            <w:vAlign w:val="center"/>
          </w:tcPr>
          <w:p>
            <w:pPr>
              <w:pStyle w:val="12"/>
            </w:pPr>
            <w:r>
              <w:t>反映外包经费成本</w:t>
            </w:r>
          </w:p>
        </w:tc>
        <w:tc>
          <w:tcPr>
            <w:tcW w:w="2268" w:type="dxa"/>
            <w:vAlign w:val="center"/>
          </w:tcPr>
          <w:p>
            <w:pPr>
              <w:pStyle w:val="12"/>
            </w:pPr>
            <w:r>
              <w:t>≤5.5万</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促进机关工作开展</w:t>
            </w:r>
          </w:p>
        </w:tc>
        <w:tc>
          <w:tcPr>
            <w:tcW w:w="5386" w:type="dxa"/>
            <w:vAlign w:val="center"/>
          </w:tcPr>
          <w:p>
            <w:pPr>
              <w:pStyle w:val="12"/>
            </w:pPr>
            <w:r>
              <w:t>促进机关工作开展</w:t>
            </w:r>
          </w:p>
        </w:tc>
        <w:tc>
          <w:tcPr>
            <w:tcW w:w="2268" w:type="dxa"/>
            <w:vAlign w:val="center"/>
          </w:tcPr>
          <w:p>
            <w:pPr>
              <w:pStyle w:val="12"/>
            </w:pPr>
            <w:r>
              <w:t>有力促进</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工作人员满意情况</w:t>
            </w:r>
          </w:p>
        </w:tc>
        <w:tc>
          <w:tcPr>
            <w:tcW w:w="5386" w:type="dxa"/>
            <w:vAlign w:val="center"/>
          </w:tcPr>
          <w:p>
            <w:pPr>
              <w:pStyle w:val="12"/>
            </w:pPr>
            <w:r>
              <w:t>工作人员满意情况</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3、区代表活动经费绩效目标表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13020725P00XL0H10010G</w:t>
            </w:r>
          </w:p>
        </w:tc>
        <w:tc>
          <w:tcPr>
            <w:tcW w:w="2835" w:type="dxa"/>
            <w:vAlign w:val="center"/>
          </w:tcPr>
          <w:p>
            <w:pPr>
              <w:pStyle w:val="10"/>
            </w:pPr>
            <w:r>
              <w:t>项目名称</w:t>
            </w:r>
          </w:p>
        </w:tc>
        <w:tc>
          <w:tcPr>
            <w:tcW w:w="6095" w:type="dxa"/>
            <w:gridSpan w:val="3"/>
            <w:vAlign w:val="center"/>
          </w:tcPr>
          <w:p>
            <w:pPr>
              <w:pStyle w:val="12"/>
            </w:pPr>
            <w:r>
              <w:t>区代表活动经费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按照区人大常委会工作安排，计划安排各级代表和机关工作人员约60人次，分批外出学习、考察、培训，以提高履职及工作能力。</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1.按照区人大常委会工作安排，计划安排各级代表和机关工作人员约60人次，分批外出学习、考察、培训，以提高履职及工作能力。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反映组织培训数量情况</w:t>
            </w:r>
          </w:p>
        </w:tc>
        <w:tc>
          <w:tcPr>
            <w:tcW w:w="2268" w:type="dxa"/>
            <w:vAlign w:val="center"/>
          </w:tcPr>
          <w:p>
            <w:pPr>
              <w:pStyle w:val="12"/>
            </w:pPr>
            <w:r>
              <w:t>≥3次</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培训费管理办法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培训计划按期完成率</w:t>
            </w:r>
          </w:p>
        </w:tc>
        <w:tc>
          <w:tcPr>
            <w:tcW w:w="5386" w:type="dxa"/>
            <w:vAlign w:val="center"/>
          </w:tcPr>
          <w:p>
            <w:pPr>
              <w:pStyle w:val="12"/>
            </w:pPr>
            <w:r>
              <w:t>按期完成培训率</w:t>
            </w:r>
          </w:p>
        </w:tc>
        <w:tc>
          <w:tcPr>
            <w:tcW w:w="2268" w:type="dxa"/>
            <w:vAlign w:val="center"/>
          </w:tcPr>
          <w:p>
            <w:pPr>
              <w:pStyle w:val="12"/>
            </w:pPr>
            <w:r>
              <w:t>100%</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培训总成本</w:t>
            </w:r>
          </w:p>
        </w:tc>
        <w:tc>
          <w:tcPr>
            <w:tcW w:w="5386" w:type="dxa"/>
            <w:vAlign w:val="center"/>
          </w:tcPr>
          <w:p>
            <w:pPr>
              <w:pStyle w:val="12"/>
            </w:pPr>
            <w:r>
              <w:t>反映培训总成本情况</w:t>
            </w:r>
          </w:p>
        </w:tc>
        <w:tc>
          <w:tcPr>
            <w:tcW w:w="2268" w:type="dxa"/>
            <w:vAlign w:val="center"/>
          </w:tcPr>
          <w:p>
            <w:pPr>
              <w:pStyle w:val="12"/>
            </w:pPr>
            <w:r>
              <w:t>≤25万</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对会议质量的提升</w:t>
            </w:r>
          </w:p>
        </w:tc>
        <w:tc>
          <w:tcPr>
            <w:tcW w:w="5386" w:type="dxa"/>
            <w:vAlign w:val="center"/>
          </w:tcPr>
          <w:p>
            <w:pPr>
              <w:pStyle w:val="12"/>
            </w:pPr>
            <w:r>
              <w:t>对会议质量的提升</w:t>
            </w:r>
          </w:p>
        </w:tc>
        <w:tc>
          <w:tcPr>
            <w:tcW w:w="2268" w:type="dxa"/>
            <w:vAlign w:val="center"/>
          </w:tcPr>
          <w:p>
            <w:pPr>
              <w:pStyle w:val="12"/>
            </w:pPr>
            <w:r>
              <w:t>显著提高</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对培训人员综合素质的提升程度</w:t>
            </w:r>
          </w:p>
        </w:tc>
        <w:tc>
          <w:tcPr>
            <w:tcW w:w="5386" w:type="dxa"/>
            <w:vAlign w:val="center"/>
          </w:tcPr>
          <w:p>
            <w:pPr>
              <w:pStyle w:val="12"/>
            </w:pPr>
            <w:r>
              <w:t>对培训人员综合素质的提升程度</w:t>
            </w:r>
          </w:p>
        </w:tc>
        <w:tc>
          <w:tcPr>
            <w:tcW w:w="2268" w:type="dxa"/>
            <w:vAlign w:val="center"/>
          </w:tcPr>
          <w:p>
            <w:pPr>
              <w:pStyle w:val="12"/>
            </w:pPr>
            <w:r>
              <w:t>显著</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对参训人员业务能力的提升程度</w:t>
            </w:r>
          </w:p>
        </w:tc>
        <w:tc>
          <w:tcPr>
            <w:tcW w:w="5386" w:type="dxa"/>
            <w:vAlign w:val="center"/>
          </w:tcPr>
          <w:p>
            <w:pPr>
              <w:pStyle w:val="12"/>
            </w:pPr>
            <w:r>
              <w:t>对参训人员业务能力的提升程度</w:t>
            </w:r>
          </w:p>
        </w:tc>
        <w:tc>
          <w:tcPr>
            <w:tcW w:w="2268" w:type="dxa"/>
            <w:vAlign w:val="center"/>
          </w:tcPr>
          <w:p>
            <w:pPr>
              <w:pStyle w:val="12"/>
            </w:pPr>
            <w:r>
              <w:t>明显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受训人员满意情况</w:t>
            </w:r>
          </w:p>
        </w:tc>
        <w:tc>
          <w:tcPr>
            <w:tcW w:w="5386" w:type="dxa"/>
            <w:vAlign w:val="center"/>
          </w:tcPr>
          <w:p>
            <w:pPr>
              <w:pStyle w:val="12"/>
            </w:pPr>
            <w:r>
              <w:t>反映参训人员对培训效果的认可程度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4、人大代表之家（联络站）运行经费绩效目标表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13020725P00XL0H100114</w:t>
            </w:r>
          </w:p>
        </w:tc>
        <w:tc>
          <w:tcPr>
            <w:tcW w:w="2835" w:type="dxa"/>
            <w:vAlign w:val="center"/>
          </w:tcPr>
          <w:p>
            <w:pPr>
              <w:pStyle w:val="10"/>
            </w:pPr>
            <w:r>
              <w:t>项目名称</w:t>
            </w:r>
          </w:p>
        </w:tc>
        <w:tc>
          <w:tcPr>
            <w:tcW w:w="6095" w:type="dxa"/>
            <w:gridSpan w:val="3"/>
            <w:vAlign w:val="center"/>
          </w:tcPr>
          <w:p>
            <w:pPr>
              <w:pStyle w:val="12"/>
            </w:pPr>
            <w:r>
              <w:t>人大代表之家（联络站）运行经费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我区现有代表之家18个，代表联络站49个，承担着各级代表与选民的桥梁纽带功能，为保障家站的顺利运行，2025年预计支出20万元用于家站办公经费（其中：网络之家办公网络租赁费1.23万元）。</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对代表家站活动的指导，充分发挥代表家站作用。进一步拓宽代表参与人大各项工作的渠道，依托“五星级”代表家站创建工作，推进高标准建设、高质量管理、高效能运行。继续开展“拓宽联系选民渠道、增强代表履职实效”、“访民情、汇民智、解民忧、促发展”等一系列活动，为人大代表建言献策、依法履职积极创造条件，搭建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代表参加活动率</w:t>
            </w:r>
          </w:p>
        </w:tc>
        <w:tc>
          <w:tcPr>
            <w:tcW w:w="5386" w:type="dxa"/>
            <w:vAlign w:val="center"/>
          </w:tcPr>
          <w:p>
            <w:pPr>
              <w:pStyle w:val="12"/>
            </w:pPr>
            <w:r>
              <w:t>代表参加活动率</w:t>
            </w:r>
          </w:p>
        </w:tc>
        <w:tc>
          <w:tcPr>
            <w:tcW w:w="2268" w:type="dxa"/>
            <w:vAlign w:val="center"/>
          </w:tcPr>
          <w:p>
            <w:pPr>
              <w:pStyle w:val="12"/>
            </w:pPr>
            <w:r>
              <w:t>≥90</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运转经费及时保障</w:t>
            </w:r>
          </w:p>
        </w:tc>
        <w:tc>
          <w:tcPr>
            <w:tcW w:w="5386" w:type="dxa"/>
            <w:vAlign w:val="center"/>
          </w:tcPr>
          <w:p>
            <w:pPr>
              <w:pStyle w:val="12"/>
            </w:pPr>
            <w:r>
              <w:t>运转经费及时保障情况</w:t>
            </w:r>
          </w:p>
        </w:tc>
        <w:tc>
          <w:tcPr>
            <w:tcW w:w="2268" w:type="dxa"/>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运转经费</w:t>
            </w:r>
          </w:p>
        </w:tc>
        <w:tc>
          <w:tcPr>
            <w:tcW w:w="5386" w:type="dxa"/>
            <w:vAlign w:val="center"/>
          </w:tcPr>
          <w:p>
            <w:pPr>
              <w:pStyle w:val="12"/>
            </w:pPr>
            <w:r>
              <w:t>反映运转经费情况</w:t>
            </w:r>
          </w:p>
        </w:tc>
        <w:tc>
          <w:tcPr>
            <w:tcW w:w="2268" w:type="dxa"/>
            <w:vAlign w:val="center"/>
          </w:tcPr>
          <w:p>
            <w:pPr>
              <w:pStyle w:val="12"/>
            </w:pPr>
            <w:r>
              <w:t>≤20万</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代表自身素质的提高情况</w:t>
            </w:r>
          </w:p>
        </w:tc>
        <w:tc>
          <w:tcPr>
            <w:tcW w:w="5386" w:type="dxa"/>
            <w:vAlign w:val="center"/>
          </w:tcPr>
          <w:p>
            <w:pPr>
              <w:pStyle w:val="12"/>
            </w:pPr>
            <w:r>
              <w:t>代表自身素质的提高情况</w:t>
            </w:r>
          </w:p>
        </w:tc>
        <w:tc>
          <w:tcPr>
            <w:tcW w:w="2268" w:type="dxa"/>
            <w:vAlign w:val="center"/>
          </w:tcPr>
          <w:p>
            <w:pPr>
              <w:pStyle w:val="12"/>
            </w:pPr>
            <w:r>
              <w:t>显著提高</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保障代表家（站）服务能力</w:t>
            </w:r>
          </w:p>
        </w:tc>
        <w:tc>
          <w:tcPr>
            <w:tcW w:w="5386" w:type="dxa"/>
            <w:vAlign w:val="center"/>
          </w:tcPr>
          <w:p>
            <w:pPr>
              <w:pStyle w:val="12"/>
            </w:pPr>
            <w:r>
              <w:t>保障代表家（站）服务能力</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代表履职能力的提高情况</w:t>
            </w:r>
          </w:p>
        </w:tc>
        <w:tc>
          <w:tcPr>
            <w:tcW w:w="5386" w:type="dxa"/>
            <w:vAlign w:val="center"/>
          </w:tcPr>
          <w:p>
            <w:pPr>
              <w:pStyle w:val="12"/>
            </w:pPr>
            <w:r>
              <w:t>代表履职能力的提高情况</w:t>
            </w:r>
          </w:p>
        </w:tc>
        <w:tc>
          <w:tcPr>
            <w:tcW w:w="2268" w:type="dxa"/>
            <w:vAlign w:val="center"/>
          </w:tcPr>
          <w:p>
            <w:pPr>
              <w:pStyle w:val="12"/>
            </w:pPr>
            <w:r>
              <w:t>显著提高</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各级代表的满意情况</w:t>
            </w:r>
          </w:p>
        </w:tc>
        <w:tc>
          <w:tcPr>
            <w:tcW w:w="5386" w:type="dxa"/>
            <w:vAlign w:val="center"/>
          </w:tcPr>
          <w:p>
            <w:pPr>
              <w:pStyle w:val="12"/>
            </w:pPr>
            <w:r>
              <w:t>各级代表对家（站）工作的满意程度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13020725P008LLJ100191</w:t>
            </w:r>
          </w:p>
        </w:tc>
        <w:tc>
          <w:tcPr>
            <w:tcW w:w="2835" w:type="dxa"/>
            <w:vAlign w:val="center"/>
          </w:tcPr>
          <w:p>
            <w:pPr>
              <w:pStyle w:val="10"/>
            </w:pPr>
            <w:r>
              <w:t>项目名称</w:t>
            </w:r>
          </w:p>
        </w:tc>
        <w:tc>
          <w:tcPr>
            <w:tcW w:w="6095" w:type="dxa"/>
            <w:gridSpan w:val="3"/>
            <w:vAlign w:val="center"/>
          </w:tcPr>
          <w:p>
            <w:pPr>
              <w:pStyle w:val="12"/>
            </w:pPr>
            <w:r>
              <w:t>人大运转经费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88.00</w:t>
            </w:r>
          </w:p>
        </w:tc>
        <w:tc>
          <w:tcPr>
            <w:tcW w:w="2835" w:type="dxa"/>
            <w:vAlign w:val="center"/>
          </w:tcPr>
          <w:p>
            <w:pPr>
              <w:pStyle w:val="10"/>
            </w:pPr>
            <w:r>
              <w:t>其中：财政    资金</w:t>
            </w:r>
          </w:p>
        </w:tc>
        <w:tc>
          <w:tcPr>
            <w:tcW w:w="2551" w:type="dxa"/>
            <w:vAlign w:val="center"/>
          </w:tcPr>
          <w:p>
            <w:pPr>
              <w:pStyle w:val="12"/>
            </w:pPr>
            <w:r>
              <w:t>88.00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区人大常委会工作安排，2025年预计支出88万元。其中1、办公设备购置4万元；2、办公用品购置、编辑会刊、印制学习培训及宣传资料等办公费24万元；3、组织各级代表及机关工作人员学习、考察、培训、招商等差旅费30万元；4、组织各级代表及机关工作人员培训费30万元。</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填报说明：突出中心工作，高效率办文，高标准办会、确保人大常委会高效运转。积极改善机关办公条件,合理调度管理车辆，为各项工作开展提供保障。深化机关规范化建设，加强业务培训，提升机关工作活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办公设备购置数量</w:t>
            </w:r>
          </w:p>
        </w:tc>
        <w:tc>
          <w:tcPr>
            <w:tcW w:w="5386" w:type="dxa"/>
            <w:vAlign w:val="center"/>
          </w:tcPr>
          <w:p>
            <w:pPr>
              <w:pStyle w:val="12"/>
            </w:pPr>
            <w:r>
              <w:t>反映新增购置办公设备数量情况</w:t>
            </w:r>
          </w:p>
        </w:tc>
        <w:tc>
          <w:tcPr>
            <w:tcW w:w="2268" w:type="dxa"/>
            <w:vAlign w:val="center"/>
          </w:tcPr>
          <w:p>
            <w:pPr>
              <w:pStyle w:val="12"/>
            </w:pPr>
            <w:r>
              <w:t>11台</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运转经费及时保障</w:t>
            </w:r>
          </w:p>
        </w:tc>
        <w:tc>
          <w:tcPr>
            <w:tcW w:w="5386" w:type="dxa"/>
            <w:vAlign w:val="center"/>
          </w:tcPr>
          <w:p>
            <w:pPr>
              <w:pStyle w:val="12"/>
            </w:pPr>
            <w:r>
              <w:t>反映运转经费及时保障情况</w:t>
            </w:r>
          </w:p>
        </w:tc>
        <w:tc>
          <w:tcPr>
            <w:tcW w:w="2268" w:type="dxa"/>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机关运转经费</w:t>
            </w:r>
          </w:p>
        </w:tc>
        <w:tc>
          <w:tcPr>
            <w:tcW w:w="5386" w:type="dxa"/>
            <w:vAlign w:val="center"/>
          </w:tcPr>
          <w:p>
            <w:pPr>
              <w:pStyle w:val="12"/>
            </w:pPr>
            <w:r>
              <w:t>反映机关运转经费情况</w:t>
            </w:r>
          </w:p>
        </w:tc>
        <w:tc>
          <w:tcPr>
            <w:tcW w:w="2268" w:type="dxa"/>
            <w:vAlign w:val="center"/>
          </w:tcPr>
          <w:p>
            <w:pPr>
              <w:pStyle w:val="12"/>
            </w:pPr>
            <w:r>
              <w:t>≤88万</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有效使用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强化国有资产管理</w:t>
            </w:r>
          </w:p>
        </w:tc>
        <w:tc>
          <w:tcPr>
            <w:tcW w:w="5386" w:type="dxa"/>
            <w:vAlign w:val="center"/>
          </w:tcPr>
          <w:p>
            <w:pPr>
              <w:pStyle w:val="12"/>
            </w:pPr>
            <w:r>
              <w:t>强化国有资产管理</w:t>
            </w:r>
          </w:p>
        </w:tc>
        <w:tc>
          <w:tcPr>
            <w:tcW w:w="2268" w:type="dxa"/>
            <w:vAlign w:val="center"/>
          </w:tcPr>
          <w:p>
            <w:pPr>
              <w:pStyle w:val="12"/>
            </w:pPr>
            <w:r>
              <w:t>严格管理</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有效标准</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反映工作人员满意程度</w:t>
            </w:r>
          </w:p>
        </w:tc>
        <w:tc>
          <w:tcPr>
            <w:tcW w:w="2268" w:type="dxa"/>
            <w:vAlign w:val="center"/>
          </w:tcPr>
          <w:p>
            <w:pPr>
              <w:pStyle w:val="12"/>
            </w:pPr>
            <w:r>
              <w:t>≥80满意</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唐山市丰南区人民代表大会常务委员会办公室本级上年末固定资产金额为125.24万元（详见下表）。本年度拟购置固定资产总额为0.00万元，已按要求列入政府采购预算，详见政府采购预算表。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301001唐山市丰南区人民代表大会常务委员会办公室本级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101</w:t>
            </w:r>
          </w:p>
        </w:tc>
        <w:tc>
          <w:tcPr>
            <w:tcW w:w="2835" w:type="dxa"/>
            <w:vAlign w:val="center"/>
          </w:tcPr>
          <w:p>
            <w:pPr>
              <w:pStyle w:val="11"/>
            </w:pPr>
            <w:r>
              <w:t>81.01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000000"/>
    <w:rsid w:val="26E24E5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TotalTime>0</TotalTime>
  <ScaleCrop>false</ScaleCrop>
  <LinksUpToDate>false</LinksUpToDate>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2025-02-07T17:04:00Z</dcterms:created>
  <dc:creator>Lenovo</dc:creator>
  <cp:lastModifiedBy>Lenovo</cp:lastModifiedBy>
  <dcterms:modified xsi:type="dcterms:W3CDTF">2025-02-07T09:20:13Z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F70CD9631D5D4D489AE1E62E8658F27E_12</vt:lpwstr>
  </property>
</Properties>
</file>