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一、唐山市丰南区工商业联合会本级收支预算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一、唐山市丰南区工商业联合会本级收支预算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124.37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86.56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26.63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5.51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5.67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124.37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124.37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124.37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124.37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124.37</w:t>
            </w:r>
          </w:p>
        </w:tc>
        <w:tc>
          <w:tcPr>
            <w:tcW w:w="1134" w:type="dxa"/>
            <w:vAlign w:val="center"/>
          </w:tcPr>
          <w:p>
            <w:pPr>
              <w:pStyle w:val="单元格样式7"/>
            </w:pPr>
            <w:r>
              <w:t xml:space="preserve">124.37</w:t>
            </w:r>
          </w:p>
        </w:tc>
        <w:tc>
          <w:tcPr>
            <w:tcW w:w="1134" w:type="dxa"/>
            <w:vAlign w:val="center"/>
          </w:tcPr>
          <w:p>
            <w:pPr>
              <w:pStyle w:val="单元格样式7"/>
            </w:pPr>
            <w:r>
              <w:t xml:space="preserve">124.37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20128</w:t>
            </w:r>
          </w:p>
        </w:tc>
        <w:tc>
          <w:tcPr>
            <w:tcW w:w="1559" w:type="dxa"/>
            <w:vAlign w:val="center"/>
          </w:tcPr>
          <w:p>
            <w:pPr>
              <w:pStyle w:val="单元格样式2"/>
            </w:pPr>
            <w:r>
              <w:t xml:space="preserve">民主党派及工商联事务</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r>
              <w:t xml:space="preserve">86.56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58.16</w:t>
            </w:r>
          </w:p>
        </w:tc>
        <w:tc>
          <w:tcPr>
            <w:tcW w:w="1134" w:type="dxa"/>
            <w:vAlign w:val="center"/>
          </w:tcPr>
          <w:p>
            <w:pPr>
              <w:pStyle w:val="单元格样式4"/>
            </w:pPr>
            <w:r>
              <w:t xml:space="preserve">58.16</w:t>
            </w:r>
          </w:p>
        </w:tc>
        <w:tc>
          <w:tcPr>
            <w:tcW w:w="1134" w:type="dxa"/>
            <w:vAlign w:val="center"/>
          </w:tcPr>
          <w:p>
            <w:pPr>
              <w:pStyle w:val="单元格样式4"/>
            </w:pPr>
            <w:r>
              <w:t xml:space="preserve">58.16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28.40</w:t>
            </w:r>
          </w:p>
        </w:tc>
        <w:tc>
          <w:tcPr>
            <w:tcW w:w="1134" w:type="dxa"/>
            <w:vAlign w:val="center"/>
          </w:tcPr>
          <w:p>
            <w:pPr>
              <w:pStyle w:val="单元格样式4"/>
            </w:pPr>
            <w:r>
              <w:t xml:space="preserve">28.40</w:t>
            </w:r>
          </w:p>
        </w:tc>
        <w:tc>
          <w:tcPr>
            <w:tcW w:w="1134" w:type="dxa"/>
            <w:vAlign w:val="center"/>
          </w:tcPr>
          <w:p>
            <w:pPr>
              <w:pStyle w:val="单元格样式4"/>
            </w:pPr>
            <w:r>
              <w:t xml:space="preserve">28.40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r>
              <w:t xml:space="preserve">26.63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19.68</w:t>
            </w:r>
          </w:p>
        </w:tc>
        <w:tc>
          <w:tcPr>
            <w:tcW w:w="1134" w:type="dxa"/>
            <w:vAlign w:val="center"/>
          </w:tcPr>
          <w:p>
            <w:pPr>
              <w:pStyle w:val="单元格样式4"/>
            </w:pPr>
            <w:r>
              <w:t xml:space="preserve">19.68</w:t>
            </w:r>
          </w:p>
        </w:tc>
        <w:tc>
          <w:tcPr>
            <w:tcW w:w="1134" w:type="dxa"/>
            <w:vAlign w:val="center"/>
          </w:tcPr>
          <w:p>
            <w:pPr>
              <w:pStyle w:val="单元格样式4"/>
            </w:pPr>
            <w:r>
              <w:t xml:space="preserve">19.68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6.95</w:t>
            </w:r>
          </w:p>
        </w:tc>
        <w:tc>
          <w:tcPr>
            <w:tcW w:w="1134" w:type="dxa"/>
            <w:vAlign w:val="center"/>
          </w:tcPr>
          <w:p>
            <w:pPr>
              <w:pStyle w:val="单元格样式4"/>
            </w:pPr>
            <w:r>
              <w:t xml:space="preserve">6.95</w:t>
            </w:r>
          </w:p>
        </w:tc>
        <w:tc>
          <w:tcPr>
            <w:tcW w:w="1134" w:type="dxa"/>
            <w:vAlign w:val="center"/>
          </w:tcPr>
          <w:p>
            <w:pPr>
              <w:pStyle w:val="单元格样式4"/>
            </w:pPr>
            <w:r>
              <w:t xml:space="preserve">6.95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2.62</w:t>
            </w:r>
          </w:p>
        </w:tc>
        <w:tc>
          <w:tcPr>
            <w:tcW w:w="1134" w:type="dxa"/>
            <w:vAlign w:val="center"/>
          </w:tcPr>
          <w:p>
            <w:pPr>
              <w:pStyle w:val="单元格样式4"/>
            </w:pPr>
            <w:r>
              <w:t xml:space="preserve">2.62</w:t>
            </w:r>
          </w:p>
        </w:tc>
        <w:tc>
          <w:tcPr>
            <w:tcW w:w="1134" w:type="dxa"/>
            <w:vAlign w:val="center"/>
          </w:tcPr>
          <w:p>
            <w:pPr>
              <w:pStyle w:val="单元格样式4"/>
            </w:pPr>
            <w:r>
              <w:t xml:space="preserve">2.62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2.89</w:t>
            </w:r>
          </w:p>
        </w:tc>
        <w:tc>
          <w:tcPr>
            <w:tcW w:w="1134" w:type="dxa"/>
            <w:vAlign w:val="center"/>
          </w:tcPr>
          <w:p>
            <w:pPr>
              <w:pStyle w:val="单元格样式4"/>
            </w:pPr>
            <w:r>
              <w:t xml:space="preserve">2.89</w:t>
            </w:r>
          </w:p>
        </w:tc>
        <w:tc>
          <w:tcPr>
            <w:tcW w:w="1134" w:type="dxa"/>
            <w:vAlign w:val="center"/>
          </w:tcPr>
          <w:p>
            <w:pPr>
              <w:pStyle w:val="单元格样式4"/>
            </w:pPr>
            <w:r>
              <w:t xml:space="preserve">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124.37</w:t>
            </w:r>
          </w:p>
        </w:tc>
        <w:tc>
          <w:tcPr>
            <w:tcW w:w="1361" w:type="dxa"/>
            <w:vAlign w:val="center"/>
          </w:tcPr>
          <w:p>
            <w:pPr>
              <w:pStyle w:val="单元格样式7"/>
            </w:pPr>
            <w:r>
              <w:t xml:space="preserve">95.97</w:t>
            </w:r>
          </w:p>
        </w:tc>
        <w:tc>
          <w:tcPr>
            <w:tcW w:w="1361" w:type="dxa"/>
            <w:vAlign w:val="center"/>
          </w:tcPr>
          <w:p>
            <w:pPr>
              <w:pStyle w:val="单元格样式7"/>
            </w:pPr>
            <w:r>
              <w:t xml:space="preserve">28.40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86.56</w:t>
            </w:r>
          </w:p>
        </w:tc>
        <w:tc>
          <w:tcPr>
            <w:tcW w:w="1361" w:type="dxa"/>
            <w:vAlign w:val="center"/>
          </w:tcPr>
          <w:p>
            <w:pPr>
              <w:pStyle w:val="单元格样式4"/>
            </w:pPr>
            <w:r>
              <w:t xml:space="preserve">58.16</w:t>
            </w: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1361" w:type="dxa"/>
            <w:vAlign w:val="center"/>
          </w:tcPr>
          <w:p>
            <w:pPr>
              <w:pStyle w:val="单元格样式4"/>
            </w:pPr>
            <w:r>
              <w:t xml:space="preserve">86.56</w:t>
            </w:r>
          </w:p>
        </w:tc>
        <w:tc>
          <w:tcPr>
            <w:tcW w:w="1361" w:type="dxa"/>
            <w:vAlign w:val="center"/>
          </w:tcPr>
          <w:p>
            <w:pPr>
              <w:pStyle w:val="单元格样式4"/>
            </w:pPr>
            <w:r>
              <w:t xml:space="preserve">58.16</w:t>
            </w: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58.16</w:t>
            </w:r>
          </w:p>
        </w:tc>
        <w:tc>
          <w:tcPr>
            <w:tcW w:w="1361" w:type="dxa"/>
            <w:vAlign w:val="center"/>
          </w:tcPr>
          <w:p>
            <w:pPr>
              <w:pStyle w:val="单元格样式4"/>
            </w:pPr>
            <w:r>
              <w:t xml:space="preserve">58.16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r>
              <w:t xml:space="preserve">28.40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26.63</w:t>
            </w:r>
          </w:p>
        </w:tc>
        <w:tc>
          <w:tcPr>
            <w:tcW w:w="1361" w:type="dxa"/>
            <w:vAlign w:val="center"/>
          </w:tcPr>
          <w:p>
            <w:pPr>
              <w:pStyle w:val="单元格样式4"/>
            </w:pPr>
            <w:r>
              <w:t xml:space="preserve">26.63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26.63</w:t>
            </w:r>
          </w:p>
        </w:tc>
        <w:tc>
          <w:tcPr>
            <w:tcW w:w="1361" w:type="dxa"/>
            <w:vAlign w:val="center"/>
          </w:tcPr>
          <w:p>
            <w:pPr>
              <w:pStyle w:val="单元格样式4"/>
            </w:pPr>
            <w:r>
              <w:t xml:space="preserve">26.63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19.68</w:t>
            </w:r>
          </w:p>
        </w:tc>
        <w:tc>
          <w:tcPr>
            <w:tcW w:w="1361" w:type="dxa"/>
            <w:vAlign w:val="center"/>
          </w:tcPr>
          <w:p>
            <w:pPr>
              <w:pStyle w:val="单元格样式4"/>
            </w:pPr>
            <w:r>
              <w:t xml:space="preserve">19.68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6.95</w:t>
            </w:r>
          </w:p>
        </w:tc>
        <w:tc>
          <w:tcPr>
            <w:tcW w:w="1361" w:type="dxa"/>
            <w:vAlign w:val="center"/>
          </w:tcPr>
          <w:p>
            <w:pPr>
              <w:pStyle w:val="单元格样式4"/>
            </w:pPr>
            <w:r>
              <w:t xml:space="preserve">6.95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2.62</w:t>
            </w:r>
          </w:p>
        </w:tc>
        <w:tc>
          <w:tcPr>
            <w:tcW w:w="1361" w:type="dxa"/>
            <w:vAlign w:val="center"/>
          </w:tcPr>
          <w:p>
            <w:pPr>
              <w:pStyle w:val="单元格样式4"/>
            </w:pPr>
            <w:r>
              <w:t xml:space="preserve">2.62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2.89</w:t>
            </w:r>
          </w:p>
        </w:tc>
        <w:tc>
          <w:tcPr>
            <w:tcW w:w="1361" w:type="dxa"/>
            <w:vAlign w:val="center"/>
          </w:tcPr>
          <w:p>
            <w:pPr>
              <w:pStyle w:val="单元格样式4"/>
            </w:pPr>
            <w:r>
              <w:t xml:space="preserve">2.89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5.67</w:t>
            </w:r>
          </w:p>
        </w:tc>
        <w:tc>
          <w:tcPr>
            <w:tcW w:w="1361" w:type="dxa"/>
            <w:vAlign w:val="center"/>
          </w:tcPr>
          <w:p>
            <w:pPr>
              <w:pStyle w:val="单元格样式4"/>
            </w:pPr>
            <w:r>
              <w:t xml:space="preserve">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5.67</w:t>
            </w:r>
          </w:p>
        </w:tc>
        <w:tc>
          <w:tcPr>
            <w:tcW w:w="1361" w:type="dxa"/>
            <w:vAlign w:val="center"/>
          </w:tcPr>
          <w:p>
            <w:pPr>
              <w:pStyle w:val="单元格样式4"/>
            </w:pPr>
            <w:r>
              <w:t xml:space="preserve">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5.67</w:t>
            </w:r>
          </w:p>
        </w:tc>
        <w:tc>
          <w:tcPr>
            <w:tcW w:w="1361" w:type="dxa"/>
            <w:vAlign w:val="center"/>
          </w:tcPr>
          <w:p>
            <w:pPr>
              <w:pStyle w:val="单元格样式4"/>
            </w:pPr>
            <w:r>
              <w:t xml:space="preserve">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124.37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86.56</w:t>
            </w:r>
          </w:p>
        </w:tc>
        <w:tc>
          <w:tcPr>
            <w:tcW w:w="1474" w:type="dxa"/>
            <w:vAlign w:val="center"/>
          </w:tcPr>
          <w:p>
            <w:pPr>
              <w:pStyle w:val="单元格样式4"/>
            </w:pPr>
            <w:r>
              <w:t xml:space="preserve">86.56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26.63</w:t>
            </w:r>
          </w:p>
        </w:tc>
        <w:tc>
          <w:tcPr>
            <w:tcW w:w="1474" w:type="dxa"/>
            <w:vAlign w:val="center"/>
          </w:tcPr>
          <w:p>
            <w:pPr>
              <w:pStyle w:val="单元格样式4"/>
            </w:pPr>
            <w:r>
              <w:t xml:space="preserve">26.63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5.51</w:t>
            </w:r>
          </w:p>
        </w:tc>
        <w:tc>
          <w:tcPr>
            <w:tcW w:w="1474" w:type="dxa"/>
            <w:vAlign w:val="center"/>
          </w:tcPr>
          <w:p>
            <w:pPr>
              <w:pStyle w:val="单元格样式4"/>
            </w:pPr>
            <w:r>
              <w:t xml:space="preserve">5.51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5.67</w:t>
            </w:r>
          </w:p>
        </w:tc>
        <w:tc>
          <w:tcPr>
            <w:tcW w:w="1474" w:type="dxa"/>
            <w:vAlign w:val="center"/>
          </w:tcPr>
          <w:p>
            <w:pPr>
              <w:pStyle w:val="单元格样式4"/>
            </w:pPr>
            <w:r>
              <w:t xml:space="preserve">5.67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124.37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124.37</w:t>
            </w:r>
          </w:p>
        </w:tc>
        <w:tc>
          <w:tcPr>
            <w:tcW w:w="1474" w:type="dxa"/>
            <w:vAlign w:val="center"/>
          </w:tcPr>
          <w:p>
            <w:pPr>
              <w:pStyle w:val="单元格样式7"/>
            </w:pPr>
            <w:r>
              <w:t xml:space="preserve">124.37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124.37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124.37</w:t>
            </w:r>
          </w:p>
        </w:tc>
        <w:tc>
          <w:tcPr>
            <w:tcW w:w="1474" w:type="dxa"/>
            <w:vAlign w:val="center"/>
          </w:tcPr>
          <w:p>
            <w:pPr>
              <w:pStyle w:val="单元格样式7"/>
            </w:pPr>
            <w:r>
              <w:t xml:space="preserve">124.37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124.37</w:t>
            </w:r>
          </w:p>
        </w:tc>
        <w:tc>
          <w:tcPr>
            <w:tcW w:w="2551" w:type="dxa"/>
            <w:vAlign w:val="center"/>
          </w:tcPr>
          <w:p>
            <w:pPr>
              <w:pStyle w:val="单元格样式7"/>
            </w:pPr>
            <w:r>
              <w:t xml:space="preserve">95.97</w:t>
            </w:r>
          </w:p>
        </w:tc>
        <w:tc>
          <w:tcPr>
            <w:tcW w:w="2551" w:type="dxa"/>
            <w:vAlign w:val="center"/>
          </w:tcPr>
          <w:p>
            <w:pPr>
              <w:pStyle w:val="单元格样式7"/>
            </w:pPr>
            <w:r>
              <w:t xml:space="preserve">28.40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86.56</w:t>
            </w:r>
          </w:p>
        </w:tc>
        <w:tc>
          <w:tcPr>
            <w:tcW w:w="2551" w:type="dxa"/>
            <w:vAlign w:val="center"/>
          </w:tcPr>
          <w:p>
            <w:pPr>
              <w:pStyle w:val="单元格样式4"/>
            </w:pPr>
            <w:r>
              <w:t xml:space="preserve">58.16</w:t>
            </w:r>
          </w:p>
        </w:tc>
        <w:tc>
          <w:tcPr>
            <w:tcW w:w="2551" w:type="dxa"/>
            <w:vAlign w:val="center"/>
          </w:tcPr>
          <w:p>
            <w:pPr>
              <w:pStyle w:val="单元格样式4"/>
            </w:pPr>
            <w:r>
              <w:t xml:space="preserve">28.40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2551" w:type="dxa"/>
            <w:vAlign w:val="center"/>
          </w:tcPr>
          <w:p>
            <w:pPr>
              <w:pStyle w:val="单元格样式4"/>
            </w:pPr>
            <w:r>
              <w:t xml:space="preserve">86.56</w:t>
            </w:r>
          </w:p>
        </w:tc>
        <w:tc>
          <w:tcPr>
            <w:tcW w:w="2551" w:type="dxa"/>
            <w:vAlign w:val="center"/>
          </w:tcPr>
          <w:p>
            <w:pPr>
              <w:pStyle w:val="单元格样式4"/>
            </w:pPr>
            <w:r>
              <w:t xml:space="preserve">58.16</w:t>
            </w:r>
          </w:p>
        </w:tc>
        <w:tc>
          <w:tcPr>
            <w:tcW w:w="2551" w:type="dxa"/>
            <w:vAlign w:val="center"/>
          </w:tcPr>
          <w:p>
            <w:pPr>
              <w:pStyle w:val="单元格样式4"/>
            </w:pPr>
            <w:r>
              <w:t xml:space="preserve">28.40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58.16</w:t>
            </w:r>
          </w:p>
        </w:tc>
        <w:tc>
          <w:tcPr>
            <w:tcW w:w="2551" w:type="dxa"/>
            <w:vAlign w:val="center"/>
          </w:tcPr>
          <w:p>
            <w:pPr>
              <w:pStyle w:val="单元格样式4"/>
            </w:pPr>
            <w:r>
              <w:t xml:space="preserve">58.16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28.40</w:t>
            </w:r>
          </w:p>
        </w:tc>
        <w:tc>
          <w:tcPr>
            <w:tcW w:w="2551" w:type="dxa"/>
            <w:vAlign w:val="center"/>
          </w:tcPr>
          <w:p>
            <w:pPr>
              <w:pStyle w:val="单元格样式4"/>
            </w:pPr>
          </w:p>
        </w:tc>
        <w:tc>
          <w:tcPr>
            <w:tcW w:w="2551" w:type="dxa"/>
            <w:vAlign w:val="center"/>
          </w:tcPr>
          <w:p>
            <w:pPr>
              <w:pStyle w:val="单元格样式4"/>
            </w:pPr>
            <w:r>
              <w:t xml:space="preserve">28.40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26.63</w:t>
            </w:r>
          </w:p>
        </w:tc>
        <w:tc>
          <w:tcPr>
            <w:tcW w:w="2551" w:type="dxa"/>
            <w:vAlign w:val="center"/>
          </w:tcPr>
          <w:p>
            <w:pPr>
              <w:pStyle w:val="单元格样式4"/>
            </w:pPr>
            <w:r>
              <w:t xml:space="preserve">26.63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26.63</w:t>
            </w:r>
          </w:p>
        </w:tc>
        <w:tc>
          <w:tcPr>
            <w:tcW w:w="2551" w:type="dxa"/>
            <w:vAlign w:val="center"/>
          </w:tcPr>
          <w:p>
            <w:pPr>
              <w:pStyle w:val="单元格样式4"/>
            </w:pPr>
            <w:r>
              <w:t xml:space="preserve">26.63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19.68</w:t>
            </w:r>
          </w:p>
        </w:tc>
        <w:tc>
          <w:tcPr>
            <w:tcW w:w="2551" w:type="dxa"/>
            <w:vAlign w:val="center"/>
          </w:tcPr>
          <w:p>
            <w:pPr>
              <w:pStyle w:val="单元格样式4"/>
            </w:pPr>
            <w:r>
              <w:t xml:space="preserve">19.68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6.95</w:t>
            </w:r>
          </w:p>
        </w:tc>
        <w:tc>
          <w:tcPr>
            <w:tcW w:w="2551" w:type="dxa"/>
            <w:vAlign w:val="center"/>
          </w:tcPr>
          <w:p>
            <w:pPr>
              <w:pStyle w:val="单元格样式4"/>
            </w:pPr>
            <w:r>
              <w:t xml:space="preserve">6.95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2.62</w:t>
            </w:r>
          </w:p>
        </w:tc>
        <w:tc>
          <w:tcPr>
            <w:tcW w:w="2551" w:type="dxa"/>
            <w:vAlign w:val="center"/>
          </w:tcPr>
          <w:p>
            <w:pPr>
              <w:pStyle w:val="单元格样式4"/>
            </w:pPr>
            <w:r>
              <w:t xml:space="preserve">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2.89</w:t>
            </w:r>
          </w:p>
        </w:tc>
        <w:tc>
          <w:tcPr>
            <w:tcW w:w="2551" w:type="dxa"/>
            <w:vAlign w:val="center"/>
          </w:tcPr>
          <w:p>
            <w:pPr>
              <w:pStyle w:val="单元格样式4"/>
            </w:pPr>
            <w:r>
              <w:t xml:space="preserve">2.89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95.97</w:t>
            </w:r>
          </w:p>
        </w:tc>
        <w:tc>
          <w:tcPr>
            <w:tcW w:w="2551" w:type="dxa"/>
            <w:vAlign w:val="center"/>
          </w:tcPr>
          <w:p>
            <w:pPr>
              <w:pStyle w:val="单元格样式7"/>
            </w:pPr>
            <w:r>
              <w:t xml:space="preserve">85.15</w:t>
            </w:r>
          </w:p>
        </w:tc>
        <w:tc>
          <w:tcPr>
            <w:tcW w:w="2551" w:type="dxa"/>
            <w:vAlign w:val="center"/>
          </w:tcPr>
          <w:p>
            <w:pPr>
              <w:pStyle w:val="单元格样式7"/>
            </w:pPr>
            <w:r>
              <w:t xml:space="preserve">10.82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65.47</w:t>
            </w:r>
          </w:p>
        </w:tc>
        <w:tc>
          <w:tcPr>
            <w:tcW w:w="2551" w:type="dxa"/>
            <w:vAlign w:val="center"/>
          </w:tcPr>
          <w:p>
            <w:pPr>
              <w:pStyle w:val="单元格样式4"/>
            </w:pPr>
            <w:r>
              <w:t xml:space="preserve">65.47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20.32</w:t>
            </w:r>
          </w:p>
        </w:tc>
        <w:tc>
          <w:tcPr>
            <w:tcW w:w="2551" w:type="dxa"/>
            <w:vAlign w:val="center"/>
          </w:tcPr>
          <w:p>
            <w:pPr>
              <w:pStyle w:val="单元格样式4"/>
            </w:pPr>
            <w:r>
              <w:t xml:space="preserve">20.32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17.82</w:t>
            </w:r>
          </w:p>
        </w:tc>
        <w:tc>
          <w:tcPr>
            <w:tcW w:w="2551" w:type="dxa"/>
            <w:vAlign w:val="center"/>
          </w:tcPr>
          <w:p>
            <w:pPr>
              <w:pStyle w:val="单元格样式4"/>
            </w:pPr>
            <w:r>
              <w:t xml:space="preserve">17.82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9.01</w:t>
            </w:r>
          </w:p>
        </w:tc>
        <w:tc>
          <w:tcPr>
            <w:tcW w:w="2551" w:type="dxa"/>
            <w:vAlign w:val="center"/>
          </w:tcPr>
          <w:p>
            <w:pPr>
              <w:pStyle w:val="单元格样式4"/>
            </w:pPr>
            <w:r>
              <w:t xml:space="preserve">9.01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6.95</w:t>
            </w:r>
          </w:p>
        </w:tc>
        <w:tc>
          <w:tcPr>
            <w:tcW w:w="2551" w:type="dxa"/>
            <w:vAlign w:val="center"/>
          </w:tcPr>
          <w:p>
            <w:pPr>
              <w:pStyle w:val="单元格样式4"/>
            </w:pPr>
            <w:r>
              <w:t xml:space="preserve">6.95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2.62</w:t>
            </w:r>
          </w:p>
        </w:tc>
        <w:tc>
          <w:tcPr>
            <w:tcW w:w="2551" w:type="dxa"/>
            <w:vAlign w:val="center"/>
          </w:tcPr>
          <w:p>
            <w:pPr>
              <w:pStyle w:val="单元格样式4"/>
            </w:pPr>
            <w:r>
              <w:t xml:space="preserve">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2.89</w:t>
            </w:r>
          </w:p>
        </w:tc>
        <w:tc>
          <w:tcPr>
            <w:tcW w:w="2551" w:type="dxa"/>
            <w:vAlign w:val="center"/>
          </w:tcPr>
          <w:p>
            <w:pPr>
              <w:pStyle w:val="单元格样式4"/>
            </w:pPr>
            <w:r>
              <w:t xml:space="preserve">2.89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0.19</w:t>
            </w:r>
          </w:p>
        </w:tc>
        <w:tc>
          <w:tcPr>
            <w:tcW w:w="2551" w:type="dxa"/>
            <w:vAlign w:val="center"/>
          </w:tcPr>
          <w:p>
            <w:pPr>
              <w:pStyle w:val="单元格样式4"/>
            </w:pPr>
            <w:r>
              <w:t xml:space="preserve">0.19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10.82</w:t>
            </w:r>
          </w:p>
        </w:tc>
        <w:tc>
          <w:tcPr>
            <w:tcW w:w="2551" w:type="dxa"/>
            <w:vAlign w:val="center"/>
          </w:tcPr>
          <w:p>
            <w:pPr>
              <w:pStyle w:val="单元格样式4"/>
            </w:pPr>
          </w:p>
        </w:tc>
        <w:tc>
          <w:tcPr>
            <w:tcW w:w="2551" w:type="dxa"/>
            <w:vAlign w:val="center"/>
          </w:tcPr>
          <w:p>
            <w:pPr>
              <w:pStyle w:val="单元格样式4"/>
            </w:pPr>
            <w:r>
              <w:t xml:space="preserve">10.82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0.85</w:t>
            </w:r>
          </w:p>
        </w:tc>
        <w:tc>
          <w:tcPr>
            <w:tcW w:w="2551" w:type="dxa"/>
            <w:vAlign w:val="center"/>
          </w:tcPr>
          <w:p>
            <w:pPr>
              <w:pStyle w:val="单元格样式4"/>
            </w:pPr>
          </w:p>
        </w:tc>
        <w:tc>
          <w:tcPr>
            <w:tcW w:w="2551" w:type="dxa"/>
            <w:vAlign w:val="center"/>
          </w:tcPr>
          <w:p>
            <w:pPr>
              <w:pStyle w:val="单元格样式4"/>
            </w:pPr>
            <w:r>
              <w:t xml:space="preserve">0.85</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2.15</w:t>
            </w:r>
          </w:p>
        </w:tc>
        <w:tc>
          <w:tcPr>
            <w:tcW w:w="2551" w:type="dxa"/>
            <w:vAlign w:val="center"/>
          </w:tcPr>
          <w:p>
            <w:pPr>
              <w:pStyle w:val="单元格样式4"/>
            </w:pPr>
          </w:p>
        </w:tc>
        <w:tc>
          <w:tcPr>
            <w:tcW w:w="2551" w:type="dxa"/>
            <w:vAlign w:val="center"/>
          </w:tcPr>
          <w:p>
            <w:pPr>
              <w:pStyle w:val="单元格样式4"/>
            </w:pPr>
            <w:r>
              <w:t xml:space="preserve">2.15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1.02</w:t>
            </w:r>
          </w:p>
        </w:tc>
        <w:tc>
          <w:tcPr>
            <w:tcW w:w="2551" w:type="dxa"/>
            <w:vAlign w:val="center"/>
          </w:tcPr>
          <w:p>
            <w:pPr>
              <w:pStyle w:val="单元格样式4"/>
            </w:pPr>
          </w:p>
        </w:tc>
        <w:tc>
          <w:tcPr>
            <w:tcW w:w="2551" w:type="dxa"/>
            <w:vAlign w:val="center"/>
          </w:tcPr>
          <w:p>
            <w:pPr>
              <w:pStyle w:val="单元格样式4"/>
            </w:pPr>
            <w:r>
              <w:t xml:space="preserve">1.02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0.51</w:t>
            </w:r>
          </w:p>
        </w:tc>
        <w:tc>
          <w:tcPr>
            <w:tcW w:w="2551" w:type="dxa"/>
            <w:vAlign w:val="center"/>
          </w:tcPr>
          <w:p>
            <w:pPr>
              <w:pStyle w:val="单元格样式4"/>
            </w:pPr>
          </w:p>
        </w:tc>
        <w:tc>
          <w:tcPr>
            <w:tcW w:w="2551" w:type="dxa"/>
            <w:vAlign w:val="center"/>
          </w:tcPr>
          <w:p>
            <w:pPr>
              <w:pStyle w:val="单元格样式4"/>
            </w:pPr>
            <w:r>
              <w:t xml:space="preserve">0.51</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2.76</w:t>
            </w:r>
          </w:p>
        </w:tc>
        <w:tc>
          <w:tcPr>
            <w:tcW w:w="2551" w:type="dxa"/>
            <w:vAlign w:val="center"/>
          </w:tcPr>
          <w:p>
            <w:pPr>
              <w:pStyle w:val="单元格样式4"/>
            </w:pPr>
          </w:p>
        </w:tc>
        <w:tc>
          <w:tcPr>
            <w:tcW w:w="2551" w:type="dxa"/>
            <w:vAlign w:val="center"/>
          </w:tcPr>
          <w:p>
            <w:pPr>
              <w:pStyle w:val="单元格样式4"/>
            </w:pPr>
            <w:r>
              <w:t xml:space="preserve">2.76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0.73</w:t>
            </w:r>
          </w:p>
        </w:tc>
        <w:tc>
          <w:tcPr>
            <w:tcW w:w="2551" w:type="dxa"/>
            <w:vAlign w:val="center"/>
          </w:tcPr>
          <w:p>
            <w:pPr>
              <w:pStyle w:val="单元格样式4"/>
            </w:pPr>
          </w:p>
        </w:tc>
        <w:tc>
          <w:tcPr>
            <w:tcW w:w="2551" w:type="dxa"/>
            <w:vAlign w:val="center"/>
          </w:tcPr>
          <w:p>
            <w:pPr>
              <w:pStyle w:val="单元格样式4"/>
            </w:pPr>
            <w:r>
              <w:t xml:space="preserve">0.73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19.68</w:t>
            </w:r>
          </w:p>
        </w:tc>
        <w:tc>
          <w:tcPr>
            <w:tcW w:w="2551" w:type="dxa"/>
            <w:vAlign w:val="center"/>
          </w:tcPr>
          <w:p>
            <w:pPr>
              <w:pStyle w:val="单元格样式4"/>
            </w:pPr>
            <w:r>
              <w:t xml:space="preserve">19.68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19.68</w:t>
            </w:r>
          </w:p>
        </w:tc>
        <w:tc>
          <w:tcPr>
            <w:tcW w:w="2551" w:type="dxa"/>
            <w:vAlign w:val="center"/>
          </w:tcPr>
          <w:p>
            <w:pPr>
              <w:pStyle w:val="单元格样式4"/>
            </w:pPr>
            <w:r>
              <w:t xml:space="preserve">19.68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2.80</w:t>
            </w:r>
          </w:p>
        </w:tc>
        <w:tc>
          <w:tcPr>
            <w:tcW w:w="2381" w:type="dxa"/>
            <w:vAlign w:val="center"/>
          </w:tcPr>
          <w:p>
            <w:pPr>
              <w:pStyle w:val="单元格样式7"/>
            </w:pPr>
            <w:r>
              <w:t xml:space="preserve">2.80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唐山市丰南区工商业联合会本级2025年单位预算信息公开情况说明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按照《中华人民共和国预算法》、《地方预决算公开操作规程》和《关于进一步推进预算公开工作的实施意见》规定，现将唐山市丰南区工商业联合会本级2025年单位预算公开如下：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唐山市丰南区工商业联合会本级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124.37万元，其中：一般公共预算收入124.37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工商业联合会本级年度单位预算中支出预算的总体情况。2025年支出预算124.37万元，其中基本支出95.97万元，包括人员经费85.15万元和日常公用经费10.82万元；项目支出28.40万元，主要为工商联业务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2025年预算收支安排124.37万元，较2024年预算减少5.19万元，其中：基本支出增加0.97万元，主要为人员经费减少。项目支出减少6.16万元，主要为就业见习补贴经费等减少。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2.80万元，其中因公出国（境）费0.00万元；公务用车购置及运维费2.50万元（其中：公务用车购置费为0.00万元，公务用车运维费2.50万元)；公务接待费0.30万元。与2024年相比增加0.00万元，增减变化的主要原因是无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1、工商联劳务派遣工资（劳务费）绩效目标表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13020725P000022103707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工商联劳务派遣工资（劳务费）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用于丰南区工商联2025年度劳务派遣人员工资及保险费用支出。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1.预期所要达成全年足额足月并及时按月发放人员工资，维护社会稳定。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聘用合同</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根据人事管理文件，机关事业单位劳务派遣人员管理办法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劳务派遣人员月工资标准</w:t>
            </w:r>
          </w:p>
        </w:tc>
        <w:tc>
          <w:tcPr>
            <w:tcW w:w="5386" w:type="dxa"/>
            <w:vAlign w:val="center"/>
          </w:tcPr>
          <w:p>
            <w:pPr>
              <w:pStyle w:val="单元格样式2"/>
            </w:pPr>
            <w:r>
              <w:t xml:space="preserve">反映劳务派遣人员月工资标准情况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历史标准、合同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反映业务保障能力提升情况</w:t>
            </w:r>
          </w:p>
        </w:tc>
        <w:tc>
          <w:tcPr>
            <w:tcW w:w="2268" w:type="dxa"/>
            <w:vAlign w:val="center"/>
          </w:tcPr>
          <w:p>
            <w:pPr>
              <w:pStyle w:val="单元格样式2"/>
            </w:pPr>
            <w:r>
              <w:t xml:space="preserve">保障劳务派遣人员业务能力稳定提升</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反映社会稳定水平</w:t>
            </w:r>
          </w:p>
        </w:tc>
        <w:tc>
          <w:tcPr>
            <w:tcW w:w="2268" w:type="dxa"/>
            <w:vAlign w:val="center"/>
          </w:tcPr>
          <w:p>
            <w:pPr>
              <w:pStyle w:val="单元格样式2"/>
            </w:pPr>
            <w:r>
              <w:t xml:space="preserve">保障劳务派遣人员工作保持稳定</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13020725P00TCE810007A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我单位2025年工作安排，资金主要用于：1、积极深入企业调研，反映社情民意，用于日常工作中的办公设备维护，办公用品购买等必要支出的办公费0.8万元。2、积极搭建服务平台，举办银企对接、招商引资、民营企业家培训、民企法律维权、科技进民企等活动，加强民企的合作交流，组织会员企业积极参与公益事业和社会扶贫工作。需组织企业家素质提升培训业务委托费6.6万元，印刷惠企政策资料1.2万元。3、2025年丰南区工商联计划创建打造基层示范商会及到发达地区建立外阜商会，借助唐山、丰南在外企业家的人脉资源优势，为我区招商工作搭建桥梁，积极吸引优质民营企业来丰南投资兴业。外出考察及招商差旅费8.5万元，商会资料印刷印刷费1.5万元，共计18.6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1.2025年丰南区工商联计划打造基层示范商会及到发达地区考察招商，借助唐山、丰南在外企业家的人脉资源优势，为我区招商工作搭建桥梁，积极吸引优质民营企业来丰南投资兴业。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p>
            <w:pPr>
              <w:pStyle w:val="单元格样式2"/>
            </w:pPr>
            <w:r>
              <w:t xml:space="preserve">2.提高民营企业家素质，提高非公经济人士社会活动参与度。</w:t>
            </w:r>
            <w:r>
              <w:rPr/>
              <w:tab/>
            </w:r>
            <w:r>
              <w:rPr/>
              <w:tab/>
            </w:r>
            <w:r>
              <w:rPr/>
              <w:tab/>
            </w:r>
            <w:r>
              <w:rPr/>
              <w:tab/>
            </w:r>
            <w:r>
              <w:rPr/>
              <w:tab/>
            </w:r>
            <w:r>
              <w:rPr/>
              <w:tab/>
            </w:r>
          </w:p>
          <w:p>
            <w:pPr>
              <w:pStyle w:val="单元格样式2"/>
            </w:pPr>
          </w:p>
          <w:p>
            <w:pPr>
              <w:pStyle w:val="单元格样式2"/>
            </w:pPr>
            <w:r>
              <w:t xml:space="preserve">3.保障工商联各项日常工作顺利进行。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举办素质提升活动次数</w:t>
            </w:r>
          </w:p>
          <w:p>
            <w:pPr>
              <w:pStyle w:val="单元格样式2"/>
            </w:pPr>
          </w:p>
        </w:tc>
        <w:tc>
          <w:tcPr>
            <w:tcW w:w="5386" w:type="dxa"/>
            <w:vAlign w:val="center"/>
          </w:tcPr>
          <w:p>
            <w:pPr>
              <w:pStyle w:val="单元格样式2"/>
            </w:pPr>
            <w:r>
              <w:t xml:space="preserve">举办素质提升活动次数</w:t>
            </w:r>
          </w:p>
          <w:p>
            <w:pPr>
              <w:pStyle w:val="单元格样式2"/>
            </w:pPr>
          </w:p>
        </w:tc>
        <w:tc>
          <w:tcPr>
            <w:tcW w:w="2268" w:type="dxa"/>
            <w:vAlign w:val="center"/>
          </w:tcPr>
          <w:p>
            <w:pPr>
              <w:pStyle w:val="单元格样式2"/>
            </w:pPr>
            <w:r>
              <w:t xml:space="preserve">≥2次</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p>
            <w:pPr>
              <w:pStyle w:val="单元格样式2"/>
            </w:pPr>
          </w:p>
        </w:tc>
        <w:tc>
          <w:tcPr>
            <w:tcW w:w="5386" w:type="dxa"/>
            <w:vAlign w:val="center"/>
          </w:tcPr>
          <w:p>
            <w:pPr>
              <w:pStyle w:val="单元格样式2"/>
            </w:pPr>
            <w:r>
              <w:t xml:space="preserve">反映办公用品满足需要情况</w:t>
            </w:r>
          </w:p>
          <w:p>
            <w:pPr>
              <w:pStyle w:val="单元格样式2"/>
            </w:pPr>
          </w:p>
          <w:p>
            <w:pPr>
              <w:pStyle w:val="单元格样式2"/>
            </w:pP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办公经费及时保障</w:t>
            </w:r>
          </w:p>
          <w:p>
            <w:pPr>
              <w:pStyle w:val="单元格样式2"/>
            </w:pPr>
          </w:p>
        </w:tc>
        <w:tc>
          <w:tcPr>
            <w:tcW w:w="5386" w:type="dxa"/>
            <w:vAlign w:val="center"/>
          </w:tcPr>
          <w:p>
            <w:pPr>
              <w:pStyle w:val="单元格样式2"/>
            </w:pPr>
            <w:r>
              <w:t xml:space="preserve">办公费在规定时间内支付到位情况</w:t>
            </w:r>
          </w:p>
          <w:p>
            <w:pPr>
              <w:pStyle w:val="单元格样式2"/>
            </w:pP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办公经费控制情况</w:t>
            </w:r>
          </w:p>
        </w:tc>
        <w:tc>
          <w:tcPr>
            <w:tcW w:w="5386" w:type="dxa"/>
            <w:vAlign w:val="center"/>
          </w:tcPr>
          <w:p>
            <w:pPr>
              <w:pStyle w:val="单元格样式2"/>
            </w:pPr>
            <w:r>
              <w:t xml:space="preserve">公经费控制在预算内</w:t>
            </w:r>
          </w:p>
        </w:tc>
        <w:tc>
          <w:tcPr>
            <w:tcW w:w="2268" w:type="dxa"/>
            <w:vAlign w:val="center"/>
          </w:tcPr>
          <w:p>
            <w:pPr>
              <w:pStyle w:val="单元格样式2"/>
            </w:pPr>
            <w:r>
              <w:t xml:space="preserve">0.8万元</w:t>
            </w:r>
          </w:p>
        </w:tc>
        <w:tc>
          <w:tcPr>
            <w:tcW w:w="1276" w:type="dxa"/>
            <w:vAlign w:val="center"/>
          </w:tcPr>
          <w:p>
            <w:pPr>
              <w:pStyle w:val="单元格样式2"/>
            </w:pPr>
            <w:r>
              <w:t xml:space="preserve">预算标准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技能素养提高率</w:t>
            </w:r>
          </w:p>
        </w:tc>
        <w:tc>
          <w:tcPr>
            <w:tcW w:w="5386" w:type="dxa"/>
            <w:vAlign w:val="center"/>
          </w:tcPr>
          <w:p>
            <w:pPr>
              <w:pStyle w:val="单元格样式2"/>
            </w:pPr>
            <w:r>
              <w:t xml:space="preserve">反映举办价值</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参与活动的社会效益</w:t>
            </w:r>
          </w:p>
        </w:tc>
        <w:tc>
          <w:tcPr>
            <w:tcW w:w="5386" w:type="dxa"/>
            <w:vAlign w:val="center"/>
          </w:tcPr>
          <w:p>
            <w:pPr>
              <w:pStyle w:val="单元格样式2"/>
            </w:pPr>
            <w:r>
              <w:t xml:space="preserve">参加活动素质提升活动的社会效益</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商会建设的可持续影响</w:t>
            </w:r>
          </w:p>
        </w:tc>
        <w:tc>
          <w:tcPr>
            <w:tcW w:w="5386" w:type="dxa"/>
            <w:vAlign w:val="center"/>
          </w:tcPr>
          <w:p>
            <w:pPr>
              <w:pStyle w:val="单元格样式2"/>
            </w:pPr>
            <w:r>
              <w:t xml:space="preserve">外阜商会建立可持续发展的影响</w:t>
            </w:r>
          </w:p>
        </w:tc>
        <w:tc>
          <w:tcPr>
            <w:tcW w:w="2268" w:type="dxa"/>
            <w:vAlign w:val="center"/>
          </w:tcPr>
          <w:p>
            <w:pPr>
              <w:pStyle w:val="单元格样式2"/>
            </w:pPr>
            <w:r>
              <w:t xml:space="preserve">持续发展</w:t>
            </w:r>
          </w:p>
        </w:tc>
        <w:tc>
          <w:tcPr>
            <w:tcW w:w="1276" w:type="dxa"/>
            <w:vAlign w:val="center"/>
          </w:tcPr>
          <w:p>
            <w:pPr>
              <w:pStyle w:val="单元格样式2"/>
            </w:pPr>
            <w:r>
              <w:t xml:space="preserve">计划标准</w:t>
            </w:r>
            <w:r>
              <w:rPr/>
              <w:tab/>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计划标准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唐山市丰南区工商业联合会本级上年末固定资产金额为23.26万元（详见下表）。本年度拟购置固定资产总额为0.00万元，已按要求列入政府采购预算，详见政府采购预算表。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323001唐山市丰南区工商业联合会本级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23.26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14.30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w:t>
            </w:r>
          </w:p>
        </w:tc>
        <w:tc>
          <w:tcPr>
            <w:tcW w:w="2835" w:type="dxa"/>
            <w:vAlign w:val="center"/>
          </w:tcPr>
          <w:p>
            <w:pPr>
              <w:pStyle w:val="单元格样式4"/>
            </w:pPr>
            <w:r>
              <w:t xml:space="preserve">8.96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2025-02-08T09:07:32Z</dcterms:created>
  <dcterms:modified xsi:type="dcterms:W3CDTF">2025-02-08T09:07:32Z</dcterms:modified>
</cp:coreProperties>
</file>