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5</w:t>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7</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1</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5</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1</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2</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3</w:t>
      </w:r>
      <w:r>
        <w:fldChar w:fldCharType="end"/>
      </w:r>
      <w:r>
        <w:rPr>
          <w:rFonts w:hint="eastAsia"/>
          <w:lang w:val="en-US" w:eastAsia="zh-CN"/>
        </w:rPr>
        <w:t>9</w:t>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w:t>
      </w:r>
      <w:r>
        <w:rPr>
          <w:rFonts w:hint="eastAsia"/>
          <w:lang w:val="en-US" w:eastAsia="zh-CN"/>
        </w:rPr>
        <w:t>9</w:t>
      </w:r>
      <w:r>
        <w:fldChar w:fldCharType="end"/>
      </w:r>
      <w:r>
        <w:fldChar w:fldCharType="end"/>
      </w:r>
      <w:bookmarkStart w:id="20" w:name="_GoBack"/>
      <w:bookmarkEnd w:id="20"/>
    </w:p>
    <w:p>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rPr>
          <w:rFonts w:hint="eastAsia"/>
          <w:lang w:val="en-US" w:eastAsia="zh-CN"/>
        </w:rPr>
        <w:t>4</w:t>
      </w:r>
      <w:r>
        <w:fldChar w:fldCharType="end"/>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4</w:t>
      </w:r>
      <w:r>
        <w:fldChar w:fldCharType="end"/>
      </w:r>
      <w:r>
        <w:rPr>
          <w:rFonts w:hint="eastAsia"/>
          <w:lang w:val="en-US" w:eastAsia="zh-CN"/>
        </w:rPr>
        <w:t>1</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320中国共产党唐山市丰南区委员会办公室</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1726.34</w:t>
            </w:r>
          </w:p>
        </w:tc>
        <w:tc>
          <w:tcPr>
            <w:tcW w:w="4535" w:type="dxa"/>
            <w:vAlign w:val="center"/>
          </w:tcPr>
          <w:p>
            <w:pPr>
              <w:pStyle w:val="13"/>
            </w:pPr>
            <w:r>
              <w:t>一、一般公共服务支出</w:t>
            </w:r>
          </w:p>
        </w:tc>
        <w:tc>
          <w:tcPr>
            <w:tcW w:w="2126" w:type="dxa"/>
            <w:vAlign w:val="center"/>
          </w:tcPr>
          <w:p>
            <w:pPr>
              <w:pStyle w:val="12"/>
            </w:pPr>
            <w:r>
              <w:t>1379.62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183.61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82.48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80.63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1726.34</w:t>
            </w:r>
          </w:p>
        </w:tc>
        <w:tc>
          <w:tcPr>
            <w:tcW w:w="4535" w:type="dxa"/>
            <w:vAlign w:val="center"/>
          </w:tcPr>
          <w:p>
            <w:pPr>
              <w:pStyle w:val="15"/>
            </w:pPr>
            <w:r>
              <w:t>本年支出合计</w:t>
            </w:r>
          </w:p>
        </w:tc>
        <w:tc>
          <w:tcPr>
            <w:tcW w:w="2126" w:type="dxa"/>
            <w:vAlign w:val="center"/>
          </w:tcPr>
          <w:p>
            <w:pPr>
              <w:pStyle w:val="16"/>
            </w:pPr>
            <w:r>
              <w:t>1726.34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1726.34</w:t>
            </w:r>
          </w:p>
        </w:tc>
        <w:tc>
          <w:tcPr>
            <w:tcW w:w="4535" w:type="dxa"/>
            <w:vAlign w:val="center"/>
          </w:tcPr>
          <w:p>
            <w:pPr>
              <w:pStyle w:val="15"/>
            </w:pPr>
            <w:r>
              <w:t>支出总计</w:t>
            </w:r>
          </w:p>
        </w:tc>
        <w:tc>
          <w:tcPr>
            <w:tcW w:w="2126" w:type="dxa"/>
            <w:vAlign w:val="center"/>
          </w:tcPr>
          <w:p>
            <w:pPr>
              <w:pStyle w:val="16"/>
            </w:pPr>
            <w:r>
              <w:t>1726.34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320中国共产党唐山市丰南区委员会办公室</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1726.34</w:t>
            </w:r>
          </w:p>
        </w:tc>
        <w:tc>
          <w:tcPr>
            <w:tcW w:w="1134" w:type="dxa"/>
            <w:vAlign w:val="center"/>
          </w:tcPr>
          <w:p>
            <w:pPr>
              <w:pStyle w:val="16"/>
            </w:pPr>
            <w:r>
              <w:t>1726.34</w:t>
            </w:r>
          </w:p>
        </w:tc>
        <w:tc>
          <w:tcPr>
            <w:tcW w:w="1134" w:type="dxa"/>
            <w:vAlign w:val="center"/>
          </w:tcPr>
          <w:p>
            <w:pPr>
              <w:pStyle w:val="16"/>
            </w:pPr>
            <w:r>
              <w:t>1726.34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1379.62</w:t>
            </w:r>
          </w:p>
        </w:tc>
        <w:tc>
          <w:tcPr>
            <w:tcW w:w="1134" w:type="dxa"/>
            <w:vAlign w:val="center"/>
          </w:tcPr>
          <w:p>
            <w:pPr>
              <w:pStyle w:val="12"/>
            </w:pPr>
            <w:r>
              <w:t>1379.62</w:t>
            </w:r>
          </w:p>
        </w:tc>
        <w:tc>
          <w:tcPr>
            <w:tcW w:w="1134" w:type="dxa"/>
            <w:vAlign w:val="center"/>
          </w:tcPr>
          <w:p>
            <w:pPr>
              <w:pStyle w:val="12"/>
            </w:pPr>
            <w:r>
              <w:t>1379.62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20131</w:t>
            </w:r>
          </w:p>
        </w:tc>
        <w:tc>
          <w:tcPr>
            <w:tcW w:w="1559" w:type="dxa"/>
            <w:vAlign w:val="center"/>
          </w:tcPr>
          <w:p>
            <w:pPr>
              <w:pStyle w:val="13"/>
            </w:pPr>
            <w:r>
              <w:t>党委办公厅（室）及相关机构事务</w:t>
            </w:r>
          </w:p>
        </w:tc>
        <w:tc>
          <w:tcPr>
            <w:tcW w:w="1134" w:type="dxa"/>
            <w:vAlign w:val="center"/>
          </w:tcPr>
          <w:p>
            <w:pPr>
              <w:pStyle w:val="12"/>
            </w:pPr>
            <w:r>
              <w:t>1379.62</w:t>
            </w:r>
          </w:p>
        </w:tc>
        <w:tc>
          <w:tcPr>
            <w:tcW w:w="1134" w:type="dxa"/>
            <w:vAlign w:val="center"/>
          </w:tcPr>
          <w:p>
            <w:pPr>
              <w:pStyle w:val="12"/>
            </w:pPr>
            <w:r>
              <w:t>1379.62</w:t>
            </w:r>
          </w:p>
        </w:tc>
        <w:tc>
          <w:tcPr>
            <w:tcW w:w="1134" w:type="dxa"/>
            <w:vAlign w:val="center"/>
          </w:tcPr>
          <w:p>
            <w:pPr>
              <w:pStyle w:val="12"/>
            </w:pPr>
            <w:r>
              <w:t>1379.62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2013101</w:t>
            </w:r>
          </w:p>
        </w:tc>
        <w:tc>
          <w:tcPr>
            <w:tcW w:w="1559" w:type="dxa"/>
            <w:vAlign w:val="center"/>
          </w:tcPr>
          <w:p>
            <w:pPr>
              <w:pStyle w:val="13"/>
            </w:pPr>
            <w:r>
              <w:t>行政运行</w:t>
            </w:r>
          </w:p>
        </w:tc>
        <w:tc>
          <w:tcPr>
            <w:tcW w:w="1134" w:type="dxa"/>
            <w:vAlign w:val="center"/>
          </w:tcPr>
          <w:p>
            <w:pPr>
              <w:pStyle w:val="12"/>
            </w:pPr>
            <w:r>
              <w:t>1027.11</w:t>
            </w:r>
          </w:p>
        </w:tc>
        <w:tc>
          <w:tcPr>
            <w:tcW w:w="1134" w:type="dxa"/>
            <w:vAlign w:val="center"/>
          </w:tcPr>
          <w:p>
            <w:pPr>
              <w:pStyle w:val="12"/>
            </w:pPr>
            <w:r>
              <w:t>1027.11</w:t>
            </w:r>
          </w:p>
        </w:tc>
        <w:tc>
          <w:tcPr>
            <w:tcW w:w="1134" w:type="dxa"/>
            <w:vAlign w:val="center"/>
          </w:tcPr>
          <w:p>
            <w:pPr>
              <w:pStyle w:val="12"/>
            </w:pPr>
            <w:r>
              <w:t>1027.11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2013102</w:t>
            </w:r>
          </w:p>
        </w:tc>
        <w:tc>
          <w:tcPr>
            <w:tcW w:w="1559" w:type="dxa"/>
            <w:vAlign w:val="center"/>
          </w:tcPr>
          <w:p>
            <w:pPr>
              <w:pStyle w:val="13"/>
            </w:pPr>
            <w:r>
              <w:t>一般行政管理事务</w:t>
            </w:r>
          </w:p>
        </w:tc>
        <w:tc>
          <w:tcPr>
            <w:tcW w:w="1134" w:type="dxa"/>
            <w:vAlign w:val="center"/>
          </w:tcPr>
          <w:p>
            <w:pPr>
              <w:pStyle w:val="12"/>
            </w:pPr>
            <w:r>
              <w:t>352.51</w:t>
            </w:r>
          </w:p>
        </w:tc>
        <w:tc>
          <w:tcPr>
            <w:tcW w:w="1134" w:type="dxa"/>
            <w:vAlign w:val="center"/>
          </w:tcPr>
          <w:p>
            <w:pPr>
              <w:pStyle w:val="12"/>
            </w:pPr>
            <w:r>
              <w:t>352.51</w:t>
            </w:r>
          </w:p>
        </w:tc>
        <w:tc>
          <w:tcPr>
            <w:tcW w:w="1134" w:type="dxa"/>
            <w:vAlign w:val="center"/>
          </w:tcPr>
          <w:p>
            <w:pPr>
              <w:pStyle w:val="12"/>
            </w:pPr>
            <w:r>
              <w:t>352.51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183.61</w:t>
            </w:r>
          </w:p>
        </w:tc>
        <w:tc>
          <w:tcPr>
            <w:tcW w:w="1134" w:type="dxa"/>
            <w:vAlign w:val="center"/>
          </w:tcPr>
          <w:p>
            <w:pPr>
              <w:pStyle w:val="12"/>
            </w:pPr>
            <w:r>
              <w:t>183.61</w:t>
            </w:r>
          </w:p>
        </w:tc>
        <w:tc>
          <w:tcPr>
            <w:tcW w:w="1134" w:type="dxa"/>
            <w:vAlign w:val="center"/>
          </w:tcPr>
          <w:p>
            <w:pPr>
              <w:pStyle w:val="12"/>
            </w:pPr>
            <w:r>
              <w:t>183.61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183.61</w:t>
            </w:r>
          </w:p>
        </w:tc>
        <w:tc>
          <w:tcPr>
            <w:tcW w:w="1134" w:type="dxa"/>
            <w:vAlign w:val="center"/>
          </w:tcPr>
          <w:p>
            <w:pPr>
              <w:pStyle w:val="12"/>
            </w:pPr>
            <w:r>
              <w:t>183.61</w:t>
            </w:r>
          </w:p>
        </w:tc>
        <w:tc>
          <w:tcPr>
            <w:tcW w:w="1134" w:type="dxa"/>
            <w:vAlign w:val="center"/>
          </w:tcPr>
          <w:p>
            <w:pPr>
              <w:pStyle w:val="12"/>
            </w:pPr>
            <w:r>
              <w:t>183.61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85.20</w:t>
            </w:r>
          </w:p>
        </w:tc>
        <w:tc>
          <w:tcPr>
            <w:tcW w:w="1134" w:type="dxa"/>
            <w:vAlign w:val="center"/>
          </w:tcPr>
          <w:p>
            <w:pPr>
              <w:pStyle w:val="12"/>
            </w:pPr>
            <w:r>
              <w:t>85.20</w:t>
            </w:r>
          </w:p>
        </w:tc>
        <w:tc>
          <w:tcPr>
            <w:tcW w:w="1134" w:type="dxa"/>
            <w:vAlign w:val="center"/>
          </w:tcPr>
          <w:p>
            <w:pPr>
              <w:pStyle w:val="12"/>
            </w:pPr>
            <w:r>
              <w:t>85.20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98.41</w:t>
            </w:r>
          </w:p>
        </w:tc>
        <w:tc>
          <w:tcPr>
            <w:tcW w:w="1134" w:type="dxa"/>
            <w:vAlign w:val="center"/>
          </w:tcPr>
          <w:p>
            <w:pPr>
              <w:pStyle w:val="12"/>
            </w:pPr>
            <w:r>
              <w:t>98.41</w:t>
            </w:r>
          </w:p>
        </w:tc>
        <w:tc>
          <w:tcPr>
            <w:tcW w:w="1134" w:type="dxa"/>
            <w:vAlign w:val="center"/>
          </w:tcPr>
          <w:p>
            <w:pPr>
              <w:pStyle w:val="12"/>
            </w:pPr>
            <w:r>
              <w:t>98.41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82.48</w:t>
            </w:r>
          </w:p>
        </w:tc>
        <w:tc>
          <w:tcPr>
            <w:tcW w:w="1134" w:type="dxa"/>
            <w:vAlign w:val="center"/>
          </w:tcPr>
          <w:p>
            <w:pPr>
              <w:pStyle w:val="12"/>
            </w:pPr>
            <w:r>
              <w:t>82.48</w:t>
            </w:r>
          </w:p>
        </w:tc>
        <w:tc>
          <w:tcPr>
            <w:tcW w:w="1134" w:type="dxa"/>
            <w:vAlign w:val="center"/>
          </w:tcPr>
          <w:p>
            <w:pPr>
              <w:pStyle w:val="12"/>
            </w:pPr>
            <w:r>
              <w:t>82.48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82.48</w:t>
            </w:r>
          </w:p>
        </w:tc>
        <w:tc>
          <w:tcPr>
            <w:tcW w:w="1134" w:type="dxa"/>
            <w:vAlign w:val="center"/>
          </w:tcPr>
          <w:p>
            <w:pPr>
              <w:pStyle w:val="12"/>
            </w:pPr>
            <w:r>
              <w:t>82.48</w:t>
            </w:r>
          </w:p>
        </w:tc>
        <w:tc>
          <w:tcPr>
            <w:tcW w:w="1134" w:type="dxa"/>
            <w:vAlign w:val="center"/>
          </w:tcPr>
          <w:p>
            <w:pPr>
              <w:pStyle w:val="12"/>
            </w:pPr>
            <w:r>
              <w:t>82.48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39.18</w:t>
            </w:r>
          </w:p>
        </w:tc>
        <w:tc>
          <w:tcPr>
            <w:tcW w:w="1134" w:type="dxa"/>
            <w:vAlign w:val="center"/>
          </w:tcPr>
          <w:p>
            <w:pPr>
              <w:pStyle w:val="12"/>
            </w:pPr>
            <w:r>
              <w:t>39.18</w:t>
            </w:r>
          </w:p>
        </w:tc>
        <w:tc>
          <w:tcPr>
            <w:tcW w:w="1134" w:type="dxa"/>
            <w:vAlign w:val="center"/>
          </w:tcPr>
          <w:p>
            <w:pPr>
              <w:pStyle w:val="12"/>
            </w:pPr>
            <w:r>
              <w:t>39.18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43.30</w:t>
            </w:r>
          </w:p>
        </w:tc>
        <w:tc>
          <w:tcPr>
            <w:tcW w:w="1134" w:type="dxa"/>
            <w:vAlign w:val="center"/>
          </w:tcPr>
          <w:p>
            <w:pPr>
              <w:pStyle w:val="12"/>
            </w:pPr>
            <w:r>
              <w:t>43.30</w:t>
            </w:r>
          </w:p>
        </w:tc>
        <w:tc>
          <w:tcPr>
            <w:tcW w:w="1134" w:type="dxa"/>
            <w:vAlign w:val="center"/>
          </w:tcPr>
          <w:p>
            <w:pPr>
              <w:pStyle w:val="12"/>
            </w:pPr>
            <w:r>
              <w:t>43.30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80.63</w:t>
            </w:r>
          </w:p>
        </w:tc>
        <w:tc>
          <w:tcPr>
            <w:tcW w:w="1134" w:type="dxa"/>
            <w:vAlign w:val="center"/>
          </w:tcPr>
          <w:p>
            <w:pPr>
              <w:pStyle w:val="12"/>
            </w:pPr>
            <w:r>
              <w:t>80.63</w:t>
            </w:r>
          </w:p>
        </w:tc>
        <w:tc>
          <w:tcPr>
            <w:tcW w:w="1134" w:type="dxa"/>
            <w:vAlign w:val="center"/>
          </w:tcPr>
          <w:p>
            <w:pPr>
              <w:pStyle w:val="12"/>
            </w:pPr>
            <w:r>
              <w:t>80.63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80.63</w:t>
            </w:r>
          </w:p>
        </w:tc>
        <w:tc>
          <w:tcPr>
            <w:tcW w:w="1134" w:type="dxa"/>
            <w:vAlign w:val="center"/>
          </w:tcPr>
          <w:p>
            <w:pPr>
              <w:pStyle w:val="12"/>
            </w:pPr>
            <w:r>
              <w:t>80.63</w:t>
            </w:r>
          </w:p>
        </w:tc>
        <w:tc>
          <w:tcPr>
            <w:tcW w:w="1134" w:type="dxa"/>
            <w:vAlign w:val="center"/>
          </w:tcPr>
          <w:p>
            <w:pPr>
              <w:pStyle w:val="12"/>
            </w:pPr>
            <w:r>
              <w:t>80.63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80.63</w:t>
            </w:r>
          </w:p>
        </w:tc>
        <w:tc>
          <w:tcPr>
            <w:tcW w:w="1134" w:type="dxa"/>
            <w:vAlign w:val="center"/>
          </w:tcPr>
          <w:p>
            <w:pPr>
              <w:pStyle w:val="12"/>
            </w:pPr>
            <w:r>
              <w:t>80.63</w:t>
            </w:r>
          </w:p>
        </w:tc>
        <w:tc>
          <w:tcPr>
            <w:tcW w:w="1134" w:type="dxa"/>
            <w:vAlign w:val="center"/>
          </w:tcPr>
          <w:p>
            <w:pPr>
              <w:pStyle w:val="12"/>
            </w:pPr>
            <w:r>
              <w:t>80.63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320中国共产党唐山市丰南区委员会办公室</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1726.34</w:t>
            </w:r>
          </w:p>
        </w:tc>
        <w:tc>
          <w:tcPr>
            <w:tcW w:w="1361" w:type="dxa"/>
            <w:vAlign w:val="center"/>
          </w:tcPr>
          <w:p>
            <w:pPr>
              <w:pStyle w:val="16"/>
            </w:pPr>
            <w:r>
              <w:t>1373.83</w:t>
            </w:r>
          </w:p>
        </w:tc>
        <w:tc>
          <w:tcPr>
            <w:tcW w:w="1361" w:type="dxa"/>
            <w:vAlign w:val="center"/>
          </w:tcPr>
          <w:p>
            <w:pPr>
              <w:pStyle w:val="16"/>
            </w:pPr>
            <w:r>
              <w:t>352.51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1379.62</w:t>
            </w:r>
          </w:p>
        </w:tc>
        <w:tc>
          <w:tcPr>
            <w:tcW w:w="1361" w:type="dxa"/>
            <w:vAlign w:val="center"/>
          </w:tcPr>
          <w:p>
            <w:pPr>
              <w:pStyle w:val="12"/>
            </w:pPr>
            <w:r>
              <w:t>1027.11</w:t>
            </w:r>
          </w:p>
        </w:tc>
        <w:tc>
          <w:tcPr>
            <w:tcW w:w="1361" w:type="dxa"/>
            <w:vAlign w:val="center"/>
          </w:tcPr>
          <w:p>
            <w:pPr>
              <w:pStyle w:val="12"/>
            </w:pPr>
            <w:r>
              <w:t>352.51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20131</w:t>
            </w:r>
          </w:p>
        </w:tc>
        <w:tc>
          <w:tcPr>
            <w:tcW w:w="4535" w:type="dxa"/>
            <w:vAlign w:val="center"/>
          </w:tcPr>
          <w:p>
            <w:pPr>
              <w:pStyle w:val="13"/>
            </w:pPr>
            <w:r>
              <w:t>党委办公厅（室）及相关机构事务</w:t>
            </w:r>
          </w:p>
        </w:tc>
        <w:tc>
          <w:tcPr>
            <w:tcW w:w="1361" w:type="dxa"/>
            <w:vAlign w:val="center"/>
          </w:tcPr>
          <w:p>
            <w:pPr>
              <w:pStyle w:val="12"/>
            </w:pPr>
            <w:r>
              <w:t>1379.62</w:t>
            </w:r>
          </w:p>
        </w:tc>
        <w:tc>
          <w:tcPr>
            <w:tcW w:w="1361" w:type="dxa"/>
            <w:vAlign w:val="center"/>
          </w:tcPr>
          <w:p>
            <w:pPr>
              <w:pStyle w:val="12"/>
            </w:pPr>
            <w:r>
              <w:t>1027.11</w:t>
            </w:r>
          </w:p>
        </w:tc>
        <w:tc>
          <w:tcPr>
            <w:tcW w:w="1361" w:type="dxa"/>
            <w:vAlign w:val="center"/>
          </w:tcPr>
          <w:p>
            <w:pPr>
              <w:pStyle w:val="12"/>
            </w:pPr>
            <w:r>
              <w:t>352.51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2013101</w:t>
            </w:r>
          </w:p>
        </w:tc>
        <w:tc>
          <w:tcPr>
            <w:tcW w:w="4535" w:type="dxa"/>
            <w:vAlign w:val="center"/>
          </w:tcPr>
          <w:p>
            <w:pPr>
              <w:pStyle w:val="13"/>
            </w:pPr>
            <w:r>
              <w:t>行政运行</w:t>
            </w:r>
          </w:p>
        </w:tc>
        <w:tc>
          <w:tcPr>
            <w:tcW w:w="1361" w:type="dxa"/>
            <w:vAlign w:val="center"/>
          </w:tcPr>
          <w:p>
            <w:pPr>
              <w:pStyle w:val="12"/>
            </w:pPr>
            <w:r>
              <w:t>1027.11</w:t>
            </w:r>
          </w:p>
        </w:tc>
        <w:tc>
          <w:tcPr>
            <w:tcW w:w="1361" w:type="dxa"/>
            <w:vAlign w:val="center"/>
          </w:tcPr>
          <w:p>
            <w:pPr>
              <w:pStyle w:val="12"/>
            </w:pPr>
            <w:r>
              <w:t>1027.11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2013102</w:t>
            </w:r>
          </w:p>
        </w:tc>
        <w:tc>
          <w:tcPr>
            <w:tcW w:w="4535" w:type="dxa"/>
            <w:vAlign w:val="center"/>
          </w:tcPr>
          <w:p>
            <w:pPr>
              <w:pStyle w:val="13"/>
            </w:pPr>
            <w:r>
              <w:t>一般行政管理事务</w:t>
            </w:r>
          </w:p>
        </w:tc>
        <w:tc>
          <w:tcPr>
            <w:tcW w:w="1361" w:type="dxa"/>
            <w:vAlign w:val="center"/>
          </w:tcPr>
          <w:p>
            <w:pPr>
              <w:pStyle w:val="12"/>
            </w:pPr>
            <w:r>
              <w:t>352.51</w:t>
            </w:r>
          </w:p>
        </w:tc>
        <w:tc>
          <w:tcPr>
            <w:tcW w:w="1361" w:type="dxa"/>
            <w:vAlign w:val="center"/>
          </w:tcPr>
          <w:p>
            <w:pPr>
              <w:pStyle w:val="12"/>
            </w:pPr>
          </w:p>
        </w:tc>
        <w:tc>
          <w:tcPr>
            <w:tcW w:w="1361" w:type="dxa"/>
            <w:vAlign w:val="center"/>
          </w:tcPr>
          <w:p>
            <w:pPr>
              <w:pStyle w:val="12"/>
            </w:pPr>
            <w:r>
              <w:t>352.51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183.61</w:t>
            </w:r>
          </w:p>
        </w:tc>
        <w:tc>
          <w:tcPr>
            <w:tcW w:w="1361" w:type="dxa"/>
            <w:vAlign w:val="center"/>
          </w:tcPr>
          <w:p>
            <w:pPr>
              <w:pStyle w:val="12"/>
            </w:pPr>
            <w:r>
              <w:t>183.61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183.61</w:t>
            </w:r>
          </w:p>
        </w:tc>
        <w:tc>
          <w:tcPr>
            <w:tcW w:w="1361" w:type="dxa"/>
            <w:vAlign w:val="center"/>
          </w:tcPr>
          <w:p>
            <w:pPr>
              <w:pStyle w:val="12"/>
            </w:pPr>
            <w:r>
              <w:t>183.61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85.20</w:t>
            </w:r>
          </w:p>
        </w:tc>
        <w:tc>
          <w:tcPr>
            <w:tcW w:w="1361" w:type="dxa"/>
            <w:vAlign w:val="center"/>
          </w:tcPr>
          <w:p>
            <w:pPr>
              <w:pStyle w:val="12"/>
            </w:pPr>
            <w:r>
              <w:t>85.20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98.41</w:t>
            </w:r>
          </w:p>
        </w:tc>
        <w:tc>
          <w:tcPr>
            <w:tcW w:w="1361" w:type="dxa"/>
            <w:vAlign w:val="center"/>
          </w:tcPr>
          <w:p>
            <w:pPr>
              <w:pStyle w:val="12"/>
            </w:pPr>
            <w:r>
              <w:t>98.41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82.48</w:t>
            </w:r>
          </w:p>
        </w:tc>
        <w:tc>
          <w:tcPr>
            <w:tcW w:w="1361" w:type="dxa"/>
            <w:vAlign w:val="center"/>
          </w:tcPr>
          <w:p>
            <w:pPr>
              <w:pStyle w:val="12"/>
            </w:pPr>
            <w:r>
              <w:t>82.48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82.48</w:t>
            </w:r>
          </w:p>
        </w:tc>
        <w:tc>
          <w:tcPr>
            <w:tcW w:w="1361" w:type="dxa"/>
            <w:vAlign w:val="center"/>
          </w:tcPr>
          <w:p>
            <w:pPr>
              <w:pStyle w:val="12"/>
            </w:pPr>
            <w:r>
              <w:t>82.48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39.18</w:t>
            </w:r>
          </w:p>
        </w:tc>
        <w:tc>
          <w:tcPr>
            <w:tcW w:w="1361" w:type="dxa"/>
            <w:vAlign w:val="center"/>
          </w:tcPr>
          <w:p>
            <w:pPr>
              <w:pStyle w:val="12"/>
            </w:pPr>
            <w:r>
              <w:t>39.18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43.30</w:t>
            </w:r>
          </w:p>
        </w:tc>
        <w:tc>
          <w:tcPr>
            <w:tcW w:w="1361" w:type="dxa"/>
            <w:vAlign w:val="center"/>
          </w:tcPr>
          <w:p>
            <w:pPr>
              <w:pStyle w:val="12"/>
            </w:pPr>
            <w:r>
              <w:t>43.30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80.63</w:t>
            </w:r>
          </w:p>
        </w:tc>
        <w:tc>
          <w:tcPr>
            <w:tcW w:w="1361" w:type="dxa"/>
            <w:vAlign w:val="center"/>
          </w:tcPr>
          <w:p>
            <w:pPr>
              <w:pStyle w:val="12"/>
            </w:pPr>
            <w:r>
              <w:t>80.63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80.63</w:t>
            </w:r>
          </w:p>
        </w:tc>
        <w:tc>
          <w:tcPr>
            <w:tcW w:w="1361" w:type="dxa"/>
            <w:vAlign w:val="center"/>
          </w:tcPr>
          <w:p>
            <w:pPr>
              <w:pStyle w:val="12"/>
            </w:pPr>
            <w:r>
              <w:t>80.63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80.63</w:t>
            </w:r>
          </w:p>
        </w:tc>
        <w:tc>
          <w:tcPr>
            <w:tcW w:w="1361" w:type="dxa"/>
            <w:vAlign w:val="center"/>
          </w:tcPr>
          <w:p>
            <w:pPr>
              <w:pStyle w:val="12"/>
            </w:pPr>
            <w:r>
              <w:t>80.63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320中国共产党唐山市丰南区委员会办公室</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1726.34</w:t>
            </w:r>
          </w:p>
        </w:tc>
        <w:tc>
          <w:tcPr>
            <w:tcW w:w="3402" w:type="dxa"/>
            <w:vAlign w:val="center"/>
          </w:tcPr>
          <w:p>
            <w:pPr>
              <w:pStyle w:val="13"/>
            </w:pPr>
            <w:r>
              <w:t>一、一般公共服务支出</w:t>
            </w:r>
          </w:p>
        </w:tc>
        <w:tc>
          <w:tcPr>
            <w:tcW w:w="1474" w:type="dxa"/>
            <w:vAlign w:val="center"/>
          </w:tcPr>
          <w:p>
            <w:pPr>
              <w:pStyle w:val="12"/>
            </w:pPr>
            <w:r>
              <w:t>1379.62</w:t>
            </w:r>
          </w:p>
        </w:tc>
        <w:tc>
          <w:tcPr>
            <w:tcW w:w="1474" w:type="dxa"/>
            <w:vAlign w:val="center"/>
          </w:tcPr>
          <w:p>
            <w:pPr>
              <w:pStyle w:val="12"/>
            </w:pPr>
            <w:r>
              <w:t>1379.62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183.61</w:t>
            </w:r>
          </w:p>
        </w:tc>
        <w:tc>
          <w:tcPr>
            <w:tcW w:w="1474" w:type="dxa"/>
            <w:vAlign w:val="center"/>
          </w:tcPr>
          <w:p>
            <w:pPr>
              <w:pStyle w:val="12"/>
            </w:pPr>
            <w:r>
              <w:t>183.61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82.48</w:t>
            </w:r>
          </w:p>
        </w:tc>
        <w:tc>
          <w:tcPr>
            <w:tcW w:w="1474" w:type="dxa"/>
            <w:vAlign w:val="center"/>
          </w:tcPr>
          <w:p>
            <w:pPr>
              <w:pStyle w:val="12"/>
            </w:pPr>
            <w:r>
              <w:t>82.48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80.63</w:t>
            </w:r>
          </w:p>
        </w:tc>
        <w:tc>
          <w:tcPr>
            <w:tcW w:w="1474" w:type="dxa"/>
            <w:vAlign w:val="center"/>
          </w:tcPr>
          <w:p>
            <w:pPr>
              <w:pStyle w:val="12"/>
            </w:pPr>
            <w:r>
              <w:t>80.63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1726.34</w:t>
            </w:r>
          </w:p>
        </w:tc>
        <w:tc>
          <w:tcPr>
            <w:tcW w:w="3402" w:type="dxa"/>
            <w:vAlign w:val="center"/>
          </w:tcPr>
          <w:p>
            <w:pPr>
              <w:pStyle w:val="15"/>
            </w:pPr>
            <w:r>
              <w:t>本年支出合计</w:t>
            </w:r>
          </w:p>
        </w:tc>
        <w:tc>
          <w:tcPr>
            <w:tcW w:w="1474" w:type="dxa"/>
            <w:vAlign w:val="center"/>
          </w:tcPr>
          <w:p>
            <w:pPr>
              <w:pStyle w:val="16"/>
            </w:pPr>
            <w:r>
              <w:t>1726.34</w:t>
            </w:r>
          </w:p>
        </w:tc>
        <w:tc>
          <w:tcPr>
            <w:tcW w:w="1474" w:type="dxa"/>
            <w:vAlign w:val="center"/>
          </w:tcPr>
          <w:p>
            <w:pPr>
              <w:pStyle w:val="16"/>
            </w:pPr>
            <w:r>
              <w:t>1726.34</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1726.34</w:t>
            </w:r>
          </w:p>
        </w:tc>
        <w:tc>
          <w:tcPr>
            <w:tcW w:w="3402" w:type="dxa"/>
            <w:vAlign w:val="center"/>
          </w:tcPr>
          <w:p>
            <w:pPr>
              <w:pStyle w:val="15"/>
            </w:pPr>
            <w:r>
              <w:t>支出总计</w:t>
            </w:r>
          </w:p>
        </w:tc>
        <w:tc>
          <w:tcPr>
            <w:tcW w:w="1474" w:type="dxa"/>
            <w:vAlign w:val="center"/>
          </w:tcPr>
          <w:p>
            <w:pPr>
              <w:pStyle w:val="16"/>
            </w:pPr>
            <w:r>
              <w:t>1726.34</w:t>
            </w:r>
          </w:p>
        </w:tc>
        <w:tc>
          <w:tcPr>
            <w:tcW w:w="1474" w:type="dxa"/>
            <w:vAlign w:val="center"/>
          </w:tcPr>
          <w:p>
            <w:pPr>
              <w:pStyle w:val="16"/>
            </w:pPr>
            <w:r>
              <w:t>1726.34</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320中国共产党唐山市丰南区委员会办公室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1726.34</w:t>
            </w:r>
          </w:p>
        </w:tc>
        <w:tc>
          <w:tcPr>
            <w:tcW w:w="2551" w:type="dxa"/>
            <w:vAlign w:val="center"/>
          </w:tcPr>
          <w:p>
            <w:pPr>
              <w:pStyle w:val="16"/>
            </w:pPr>
            <w:r>
              <w:t>1373.83</w:t>
            </w:r>
          </w:p>
        </w:tc>
        <w:tc>
          <w:tcPr>
            <w:tcW w:w="2551" w:type="dxa"/>
            <w:vAlign w:val="center"/>
          </w:tcPr>
          <w:p>
            <w:pPr>
              <w:pStyle w:val="16"/>
            </w:pPr>
            <w:r>
              <w:t>352.51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1379.62</w:t>
            </w:r>
          </w:p>
        </w:tc>
        <w:tc>
          <w:tcPr>
            <w:tcW w:w="2551" w:type="dxa"/>
            <w:vAlign w:val="center"/>
          </w:tcPr>
          <w:p>
            <w:pPr>
              <w:pStyle w:val="12"/>
            </w:pPr>
            <w:r>
              <w:t>1027.11</w:t>
            </w:r>
          </w:p>
        </w:tc>
        <w:tc>
          <w:tcPr>
            <w:tcW w:w="2551" w:type="dxa"/>
            <w:vAlign w:val="center"/>
          </w:tcPr>
          <w:p>
            <w:pPr>
              <w:pStyle w:val="12"/>
            </w:pPr>
            <w:r>
              <w:t>352.51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20131</w:t>
            </w:r>
          </w:p>
        </w:tc>
        <w:tc>
          <w:tcPr>
            <w:tcW w:w="4535" w:type="dxa"/>
            <w:vAlign w:val="center"/>
          </w:tcPr>
          <w:p>
            <w:pPr>
              <w:pStyle w:val="13"/>
            </w:pPr>
            <w:r>
              <w:t>党委办公厅（室）及相关机构事务</w:t>
            </w:r>
          </w:p>
        </w:tc>
        <w:tc>
          <w:tcPr>
            <w:tcW w:w="2551" w:type="dxa"/>
            <w:vAlign w:val="center"/>
          </w:tcPr>
          <w:p>
            <w:pPr>
              <w:pStyle w:val="12"/>
            </w:pPr>
            <w:r>
              <w:t>1379.62</w:t>
            </w:r>
          </w:p>
        </w:tc>
        <w:tc>
          <w:tcPr>
            <w:tcW w:w="2551" w:type="dxa"/>
            <w:vAlign w:val="center"/>
          </w:tcPr>
          <w:p>
            <w:pPr>
              <w:pStyle w:val="12"/>
            </w:pPr>
            <w:r>
              <w:t>1027.11</w:t>
            </w:r>
          </w:p>
        </w:tc>
        <w:tc>
          <w:tcPr>
            <w:tcW w:w="2551" w:type="dxa"/>
            <w:vAlign w:val="center"/>
          </w:tcPr>
          <w:p>
            <w:pPr>
              <w:pStyle w:val="12"/>
            </w:pPr>
            <w:r>
              <w:t>352.51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2013101</w:t>
            </w:r>
          </w:p>
        </w:tc>
        <w:tc>
          <w:tcPr>
            <w:tcW w:w="4535" w:type="dxa"/>
            <w:vAlign w:val="center"/>
          </w:tcPr>
          <w:p>
            <w:pPr>
              <w:pStyle w:val="13"/>
            </w:pPr>
            <w:r>
              <w:t>行政运行</w:t>
            </w:r>
          </w:p>
        </w:tc>
        <w:tc>
          <w:tcPr>
            <w:tcW w:w="2551" w:type="dxa"/>
            <w:vAlign w:val="center"/>
          </w:tcPr>
          <w:p>
            <w:pPr>
              <w:pStyle w:val="12"/>
            </w:pPr>
            <w:r>
              <w:t>1027.11</w:t>
            </w:r>
          </w:p>
        </w:tc>
        <w:tc>
          <w:tcPr>
            <w:tcW w:w="2551" w:type="dxa"/>
            <w:vAlign w:val="center"/>
          </w:tcPr>
          <w:p>
            <w:pPr>
              <w:pStyle w:val="12"/>
            </w:pPr>
            <w:r>
              <w:t>1027.11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2013102</w:t>
            </w:r>
          </w:p>
        </w:tc>
        <w:tc>
          <w:tcPr>
            <w:tcW w:w="4535" w:type="dxa"/>
            <w:vAlign w:val="center"/>
          </w:tcPr>
          <w:p>
            <w:pPr>
              <w:pStyle w:val="13"/>
            </w:pPr>
            <w:r>
              <w:t>一般行政管理事务</w:t>
            </w:r>
          </w:p>
        </w:tc>
        <w:tc>
          <w:tcPr>
            <w:tcW w:w="2551" w:type="dxa"/>
            <w:vAlign w:val="center"/>
          </w:tcPr>
          <w:p>
            <w:pPr>
              <w:pStyle w:val="12"/>
            </w:pPr>
            <w:r>
              <w:t>352.51</w:t>
            </w:r>
          </w:p>
        </w:tc>
        <w:tc>
          <w:tcPr>
            <w:tcW w:w="2551" w:type="dxa"/>
            <w:vAlign w:val="center"/>
          </w:tcPr>
          <w:p>
            <w:pPr>
              <w:pStyle w:val="12"/>
            </w:pPr>
          </w:p>
        </w:tc>
        <w:tc>
          <w:tcPr>
            <w:tcW w:w="2551" w:type="dxa"/>
            <w:vAlign w:val="center"/>
          </w:tcPr>
          <w:p>
            <w:pPr>
              <w:pStyle w:val="12"/>
            </w:pPr>
            <w:r>
              <w:t>352.51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183.61</w:t>
            </w:r>
          </w:p>
        </w:tc>
        <w:tc>
          <w:tcPr>
            <w:tcW w:w="2551" w:type="dxa"/>
            <w:vAlign w:val="center"/>
          </w:tcPr>
          <w:p>
            <w:pPr>
              <w:pStyle w:val="12"/>
            </w:pPr>
            <w:r>
              <w:t>183.61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183.61</w:t>
            </w:r>
          </w:p>
        </w:tc>
        <w:tc>
          <w:tcPr>
            <w:tcW w:w="2551" w:type="dxa"/>
            <w:vAlign w:val="center"/>
          </w:tcPr>
          <w:p>
            <w:pPr>
              <w:pStyle w:val="12"/>
            </w:pPr>
            <w:r>
              <w:t>183.61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85.20</w:t>
            </w:r>
          </w:p>
        </w:tc>
        <w:tc>
          <w:tcPr>
            <w:tcW w:w="2551" w:type="dxa"/>
            <w:vAlign w:val="center"/>
          </w:tcPr>
          <w:p>
            <w:pPr>
              <w:pStyle w:val="12"/>
            </w:pPr>
            <w:r>
              <w:t>85.20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98.41</w:t>
            </w:r>
          </w:p>
        </w:tc>
        <w:tc>
          <w:tcPr>
            <w:tcW w:w="2551" w:type="dxa"/>
            <w:vAlign w:val="center"/>
          </w:tcPr>
          <w:p>
            <w:pPr>
              <w:pStyle w:val="12"/>
            </w:pPr>
            <w:r>
              <w:t>98.41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82.48</w:t>
            </w:r>
          </w:p>
        </w:tc>
        <w:tc>
          <w:tcPr>
            <w:tcW w:w="2551" w:type="dxa"/>
            <w:vAlign w:val="center"/>
          </w:tcPr>
          <w:p>
            <w:pPr>
              <w:pStyle w:val="12"/>
            </w:pPr>
            <w:r>
              <w:t>82.48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82.48</w:t>
            </w:r>
          </w:p>
        </w:tc>
        <w:tc>
          <w:tcPr>
            <w:tcW w:w="2551" w:type="dxa"/>
            <w:vAlign w:val="center"/>
          </w:tcPr>
          <w:p>
            <w:pPr>
              <w:pStyle w:val="12"/>
            </w:pPr>
            <w:r>
              <w:t>82.48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39.18</w:t>
            </w:r>
          </w:p>
        </w:tc>
        <w:tc>
          <w:tcPr>
            <w:tcW w:w="2551" w:type="dxa"/>
            <w:vAlign w:val="center"/>
          </w:tcPr>
          <w:p>
            <w:pPr>
              <w:pStyle w:val="12"/>
            </w:pPr>
            <w:r>
              <w:t>39.18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43.30</w:t>
            </w:r>
          </w:p>
        </w:tc>
        <w:tc>
          <w:tcPr>
            <w:tcW w:w="2551" w:type="dxa"/>
            <w:vAlign w:val="center"/>
          </w:tcPr>
          <w:p>
            <w:pPr>
              <w:pStyle w:val="12"/>
            </w:pPr>
            <w:r>
              <w:t>43.30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80.63</w:t>
            </w:r>
          </w:p>
        </w:tc>
        <w:tc>
          <w:tcPr>
            <w:tcW w:w="2551" w:type="dxa"/>
            <w:vAlign w:val="center"/>
          </w:tcPr>
          <w:p>
            <w:pPr>
              <w:pStyle w:val="12"/>
            </w:pPr>
            <w:r>
              <w:t>80.63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80.63</w:t>
            </w:r>
          </w:p>
        </w:tc>
        <w:tc>
          <w:tcPr>
            <w:tcW w:w="2551" w:type="dxa"/>
            <w:vAlign w:val="center"/>
          </w:tcPr>
          <w:p>
            <w:pPr>
              <w:pStyle w:val="12"/>
            </w:pPr>
            <w:r>
              <w:t>80.63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80.63</w:t>
            </w:r>
          </w:p>
        </w:tc>
        <w:tc>
          <w:tcPr>
            <w:tcW w:w="2551" w:type="dxa"/>
            <w:vAlign w:val="center"/>
          </w:tcPr>
          <w:p>
            <w:pPr>
              <w:pStyle w:val="12"/>
            </w:pPr>
            <w:r>
              <w:t>80.63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320中国共产党唐山市丰南区委员会办公室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1373.83</w:t>
            </w:r>
          </w:p>
        </w:tc>
        <w:tc>
          <w:tcPr>
            <w:tcW w:w="2551" w:type="dxa"/>
            <w:vAlign w:val="center"/>
          </w:tcPr>
          <w:p>
            <w:pPr>
              <w:pStyle w:val="16"/>
            </w:pPr>
            <w:r>
              <w:t>1029.82</w:t>
            </w:r>
          </w:p>
        </w:tc>
        <w:tc>
          <w:tcPr>
            <w:tcW w:w="2551" w:type="dxa"/>
            <w:vAlign w:val="center"/>
          </w:tcPr>
          <w:p>
            <w:pPr>
              <w:pStyle w:val="16"/>
            </w:pPr>
            <w:r>
              <w:t>344.01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939.63</w:t>
            </w:r>
          </w:p>
        </w:tc>
        <w:tc>
          <w:tcPr>
            <w:tcW w:w="2551" w:type="dxa"/>
            <w:vAlign w:val="center"/>
          </w:tcPr>
          <w:p>
            <w:pPr>
              <w:pStyle w:val="12"/>
            </w:pPr>
            <w:r>
              <w:t>939.63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252.47</w:t>
            </w:r>
          </w:p>
        </w:tc>
        <w:tc>
          <w:tcPr>
            <w:tcW w:w="2551" w:type="dxa"/>
            <w:vAlign w:val="center"/>
          </w:tcPr>
          <w:p>
            <w:pPr>
              <w:pStyle w:val="12"/>
            </w:pPr>
            <w:r>
              <w:t>252.47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204.96</w:t>
            </w:r>
          </w:p>
        </w:tc>
        <w:tc>
          <w:tcPr>
            <w:tcW w:w="2551" w:type="dxa"/>
            <w:vAlign w:val="center"/>
          </w:tcPr>
          <w:p>
            <w:pPr>
              <w:pStyle w:val="12"/>
            </w:pPr>
            <w:r>
              <w:t>204.96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90.42</w:t>
            </w:r>
          </w:p>
        </w:tc>
        <w:tc>
          <w:tcPr>
            <w:tcW w:w="2551" w:type="dxa"/>
            <w:vAlign w:val="center"/>
          </w:tcPr>
          <w:p>
            <w:pPr>
              <w:pStyle w:val="12"/>
            </w:pPr>
            <w:r>
              <w:t>90.42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88.56</w:t>
            </w:r>
          </w:p>
        </w:tc>
        <w:tc>
          <w:tcPr>
            <w:tcW w:w="2551" w:type="dxa"/>
            <w:vAlign w:val="center"/>
          </w:tcPr>
          <w:p>
            <w:pPr>
              <w:pStyle w:val="12"/>
            </w:pPr>
            <w:r>
              <w:t>88.56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92.65</w:t>
            </w:r>
          </w:p>
        </w:tc>
        <w:tc>
          <w:tcPr>
            <w:tcW w:w="2551" w:type="dxa"/>
            <w:vAlign w:val="center"/>
          </w:tcPr>
          <w:p>
            <w:pPr>
              <w:pStyle w:val="12"/>
            </w:pPr>
            <w:r>
              <w:t>92.65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36.77</w:t>
            </w:r>
          </w:p>
        </w:tc>
        <w:tc>
          <w:tcPr>
            <w:tcW w:w="2551" w:type="dxa"/>
            <w:vAlign w:val="center"/>
          </w:tcPr>
          <w:p>
            <w:pPr>
              <w:pStyle w:val="12"/>
            </w:pPr>
            <w:r>
              <w:t>36.77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40.56</w:t>
            </w:r>
          </w:p>
        </w:tc>
        <w:tc>
          <w:tcPr>
            <w:tcW w:w="2551" w:type="dxa"/>
            <w:vAlign w:val="center"/>
          </w:tcPr>
          <w:p>
            <w:pPr>
              <w:pStyle w:val="12"/>
            </w:pPr>
            <w:r>
              <w:t>40.56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3.47</w:t>
            </w:r>
          </w:p>
        </w:tc>
        <w:tc>
          <w:tcPr>
            <w:tcW w:w="2551" w:type="dxa"/>
            <w:vAlign w:val="center"/>
          </w:tcPr>
          <w:p>
            <w:pPr>
              <w:pStyle w:val="12"/>
            </w:pPr>
            <w:r>
              <w:t>3.47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75.91</w:t>
            </w:r>
          </w:p>
        </w:tc>
        <w:tc>
          <w:tcPr>
            <w:tcW w:w="2551" w:type="dxa"/>
            <w:vAlign w:val="center"/>
          </w:tcPr>
          <w:p>
            <w:pPr>
              <w:pStyle w:val="12"/>
            </w:pPr>
            <w:r>
              <w:t>75.91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53.86</w:t>
            </w:r>
          </w:p>
        </w:tc>
        <w:tc>
          <w:tcPr>
            <w:tcW w:w="2551" w:type="dxa"/>
            <w:vAlign w:val="center"/>
          </w:tcPr>
          <w:p>
            <w:pPr>
              <w:pStyle w:val="12"/>
            </w:pPr>
            <w:r>
              <w:t>53.86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344.01</w:t>
            </w:r>
          </w:p>
        </w:tc>
        <w:tc>
          <w:tcPr>
            <w:tcW w:w="2551" w:type="dxa"/>
            <w:vAlign w:val="center"/>
          </w:tcPr>
          <w:p>
            <w:pPr>
              <w:pStyle w:val="12"/>
            </w:pPr>
          </w:p>
        </w:tc>
        <w:tc>
          <w:tcPr>
            <w:tcW w:w="2551" w:type="dxa"/>
            <w:vAlign w:val="center"/>
          </w:tcPr>
          <w:p>
            <w:pPr>
              <w:pStyle w:val="12"/>
            </w:pPr>
            <w:r>
              <w:t>344.01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40.94</w:t>
            </w:r>
          </w:p>
        </w:tc>
        <w:tc>
          <w:tcPr>
            <w:tcW w:w="2551" w:type="dxa"/>
            <w:vAlign w:val="center"/>
          </w:tcPr>
          <w:p>
            <w:pPr>
              <w:pStyle w:val="12"/>
            </w:pPr>
          </w:p>
        </w:tc>
        <w:tc>
          <w:tcPr>
            <w:tcW w:w="2551" w:type="dxa"/>
            <w:vAlign w:val="center"/>
          </w:tcPr>
          <w:p>
            <w:pPr>
              <w:pStyle w:val="12"/>
            </w:pPr>
            <w:r>
              <w:t>40.94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18.00</w:t>
            </w:r>
          </w:p>
        </w:tc>
        <w:tc>
          <w:tcPr>
            <w:tcW w:w="2551" w:type="dxa"/>
            <w:vAlign w:val="center"/>
          </w:tcPr>
          <w:p>
            <w:pPr>
              <w:pStyle w:val="12"/>
            </w:pPr>
          </w:p>
        </w:tc>
        <w:tc>
          <w:tcPr>
            <w:tcW w:w="2551" w:type="dxa"/>
            <w:vAlign w:val="center"/>
          </w:tcPr>
          <w:p>
            <w:pPr>
              <w:pStyle w:val="12"/>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25.40</w:t>
            </w:r>
          </w:p>
        </w:tc>
        <w:tc>
          <w:tcPr>
            <w:tcW w:w="2551" w:type="dxa"/>
            <w:vAlign w:val="center"/>
          </w:tcPr>
          <w:p>
            <w:pPr>
              <w:pStyle w:val="12"/>
            </w:pPr>
          </w:p>
        </w:tc>
        <w:tc>
          <w:tcPr>
            <w:tcW w:w="2551" w:type="dxa"/>
            <w:vAlign w:val="center"/>
          </w:tcPr>
          <w:p>
            <w:pPr>
              <w:pStyle w:val="12"/>
            </w:pPr>
            <w:r>
              <w:t>25.40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30214</w:t>
            </w:r>
          </w:p>
        </w:tc>
        <w:tc>
          <w:tcPr>
            <w:tcW w:w="4535" w:type="dxa"/>
            <w:vAlign w:val="center"/>
          </w:tcPr>
          <w:p>
            <w:pPr>
              <w:pStyle w:val="13"/>
            </w:pPr>
            <w:r>
              <w:t>租赁费</w:t>
            </w:r>
          </w:p>
        </w:tc>
        <w:tc>
          <w:tcPr>
            <w:tcW w:w="2551" w:type="dxa"/>
            <w:vAlign w:val="center"/>
          </w:tcPr>
          <w:p>
            <w:pPr>
              <w:pStyle w:val="12"/>
            </w:pPr>
            <w:r>
              <w:t>133.50</w:t>
            </w:r>
          </w:p>
        </w:tc>
        <w:tc>
          <w:tcPr>
            <w:tcW w:w="2551" w:type="dxa"/>
            <w:vAlign w:val="center"/>
          </w:tcPr>
          <w:p>
            <w:pPr>
              <w:pStyle w:val="12"/>
            </w:pPr>
          </w:p>
        </w:tc>
        <w:tc>
          <w:tcPr>
            <w:tcW w:w="2551" w:type="dxa"/>
            <w:vAlign w:val="center"/>
          </w:tcPr>
          <w:p>
            <w:pPr>
              <w:pStyle w:val="12"/>
            </w:pPr>
            <w:r>
              <w:t>133.50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10.60</w:t>
            </w:r>
          </w:p>
        </w:tc>
        <w:tc>
          <w:tcPr>
            <w:tcW w:w="2551" w:type="dxa"/>
            <w:vAlign w:val="center"/>
          </w:tcPr>
          <w:p>
            <w:pPr>
              <w:pStyle w:val="12"/>
            </w:pPr>
          </w:p>
        </w:tc>
        <w:tc>
          <w:tcPr>
            <w:tcW w:w="2551" w:type="dxa"/>
            <w:vAlign w:val="center"/>
          </w:tcPr>
          <w:p>
            <w:pPr>
              <w:pStyle w:val="12"/>
            </w:pPr>
            <w:r>
              <w:t>10.60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14.62</w:t>
            </w:r>
          </w:p>
        </w:tc>
        <w:tc>
          <w:tcPr>
            <w:tcW w:w="2551" w:type="dxa"/>
            <w:vAlign w:val="center"/>
          </w:tcPr>
          <w:p>
            <w:pPr>
              <w:pStyle w:val="12"/>
            </w:pPr>
          </w:p>
        </w:tc>
        <w:tc>
          <w:tcPr>
            <w:tcW w:w="2551" w:type="dxa"/>
            <w:vAlign w:val="center"/>
          </w:tcPr>
          <w:p>
            <w:pPr>
              <w:pStyle w:val="12"/>
            </w:pPr>
            <w:r>
              <w:t>14.62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6.68</w:t>
            </w:r>
          </w:p>
        </w:tc>
        <w:tc>
          <w:tcPr>
            <w:tcW w:w="2551" w:type="dxa"/>
            <w:vAlign w:val="center"/>
          </w:tcPr>
          <w:p>
            <w:pPr>
              <w:pStyle w:val="12"/>
            </w:pPr>
          </w:p>
        </w:tc>
        <w:tc>
          <w:tcPr>
            <w:tcW w:w="2551" w:type="dxa"/>
            <w:vAlign w:val="center"/>
          </w:tcPr>
          <w:p>
            <w:pPr>
              <w:pStyle w:val="12"/>
            </w:pPr>
            <w:r>
              <w:t>6.68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47.50</w:t>
            </w:r>
          </w:p>
        </w:tc>
        <w:tc>
          <w:tcPr>
            <w:tcW w:w="2551" w:type="dxa"/>
            <w:vAlign w:val="center"/>
          </w:tcPr>
          <w:p>
            <w:pPr>
              <w:pStyle w:val="12"/>
            </w:pPr>
          </w:p>
        </w:tc>
        <w:tc>
          <w:tcPr>
            <w:tcW w:w="2551" w:type="dxa"/>
            <w:vAlign w:val="center"/>
          </w:tcPr>
          <w:p>
            <w:pPr>
              <w:pStyle w:val="12"/>
            </w:pPr>
            <w:r>
              <w:t>47.50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29.04</w:t>
            </w:r>
          </w:p>
        </w:tc>
        <w:tc>
          <w:tcPr>
            <w:tcW w:w="2551" w:type="dxa"/>
            <w:vAlign w:val="center"/>
          </w:tcPr>
          <w:p>
            <w:pPr>
              <w:pStyle w:val="12"/>
            </w:pPr>
          </w:p>
        </w:tc>
        <w:tc>
          <w:tcPr>
            <w:tcW w:w="2551" w:type="dxa"/>
            <w:vAlign w:val="center"/>
          </w:tcPr>
          <w:p>
            <w:pPr>
              <w:pStyle w:val="12"/>
            </w:pPr>
            <w:r>
              <w:t>29.04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7.73</w:t>
            </w:r>
          </w:p>
        </w:tc>
        <w:tc>
          <w:tcPr>
            <w:tcW w:w="2551" w:type="dxa"/>
            <w:vAlign w:val="center"/>
          </w:tcPr>
          <w:p>
            <w:pPr>
              <w:pStyle w:val="12"/>
            </w:pPr>
          </w:p>
        </w:tc>
        <w:tc>
          <w:tcPr>
            <w:tcW w:w="2551" w:type="dxa"/>
            <w:vAlign w:val="center"/>
          </w:tcPr>
          <w:p>
            <w:pPr>
              <w:pStyle w:val="12"/>
            </w:pPr>
            <w:r>
              <w:t>7.73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90.19</w:t>
            </w:r>
          </w:p>
        </w:tc>
        <w:tc>
          <w:tcPr>
            <w:tcW w:w="2551" w:type="dxa"/>
            <w:vAlign w:val="center"/>
          </w:tcPr>
          <w:p>
            <w:pPr>
              <w:pStyle w:val="12"/>
            </w:pPr>
            <w:r>
              <w:t>90.19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85.20</w:t>
            </w:r>
          </w:p>
        </w:tc>
        <w:tc>
          <w:tcPr>
            <w:tcW w:w="2551" w:type="dxa"/>
            <w:vAlign w:val="center"/>
          </w:tcPr>
          <w:p>
            <w:pPr>
              <w:pStyle w:val="12"/>
            </w:pPr>
            <w:r>
              <w:t>85.20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4.99</w:t>
            </w:r>
          </w:p>
        </w:tc>
        <w:tc>
          <w:tcPr>
            <w:tcW w:w="2551" w:type="dxa"/>
            <w:vAlign w:val="center"/>
          </w:tcPr>
          <w:p>
            <w:pPr>
              <w:pStyle w:val="12"/>
            </w:pPr>
            <w:r>
              <w:t>4.99</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320中国共产党唐山市丰南区委员会办公室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320中国共产党唐山市丰南区委员会办公室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320中国共产党唐山市丰南区委员会办公室</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58.10</w:t>
            </w:r>
          </w:p>
        </w:tc>
        <w:tc>
          <w:tcPr>
            <w:tcW w:w="2381" w:type="dxa"/>
            <w:vAlign w:val="center"/>
          </w:tcPr>
          <w:p>
            <w:pPr>
              <w:pStyle w:val="16"/>
            </w:pPr>
            <w:r>
              <w:t>58.10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二、公务用车购置及运维费</w:t>
            </w:r>
          </w:p>
        </w:tc>
        <w:tc>
          <w:tcPr>
            <w:tcW w:w="2381" w:type="dxa"/>
            <w:vAlign w:val="center"/>
          </w:tcPr>
          <w:p>
            <w:pPr>
              <w:pStyle w:val="12"/>
            </w:pPr>
            <w:r>
              <w:t>47.50</w:t>
            </w:r>
          </w:p>
        </w:tc>
        <w:tc>
          <w:tcPr>
            <w:tcW w:w="2381" w:type="dxa"/>
            <w:vAlign w:val="center"/>
          </w:tcPr>
          <w:p>
            <w:pPr>
              <w:pStyle w:val="12"/>
            </w:pPr>
            <w:r>
              <w:t>47.50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公务用车运行维护费</w:t>
            </w:r>
          </w:p>
        </w:tc>
        <w:tc>
          <w:tcPr>
            <w:tcW w:w="2381" w:type="dxa"/>
            <w:vAlign w:val="center"/>
          </w:tcPr>
          <w:p>
            <w:pPr>
              <w:pStyle w:val="12"/>
            </w:pPr>
            <w:r>
              <w:t>47.50</w:t>
            </w:r>
          </w:p>
        </w:tc>
        <w:tc>
          <w:tcPr>
            <w:tcW w:w="2381" w:type="dxa"/>
            <w:vAlign w:val="center"/>
          </w:tcPr>
          <w:p>
            <w:pPr>
              <w:pStyle w:val="12"/>
            </w:pPr>
            <w:r>
              <w:t>47.50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三、公务接待费</w:t>
            </w:r>
          </w:p>
        </w:tc>
        <w:tc>
          <w:tcPr>
            <w:tcW w:w="2381" w:type="dxa"/>
            <w:vAlign w:val="center"/>
          </w:tcPr>
          <w:p>
            <w:pPr>
              <w:pStyle w:val="12"/>
            </w:pPr>
            <w:r>
              <w:t>10.60</w:t>
            </w:r>
          </w:p>
        </w:tc>
        <w:tc>
          <w:tcPr>
            <w:tcW w:w="2381" w:type="dxa"/>
            <w:vAlign w:val="center"/>
          </w:tcPr>
          <w:p>
            <w:pPr>
              <w:pStyle w:val="12"/>
            </w:pPr>
            <w:r>
              <w:t>10.60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中国共产党唐山市丰南区委员会办公室2025年部门预算信息公开情况说明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中国共产党唐山市丰南区委员会办公室2025年部门预算信息公开情况说明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按照《中华人民共和国预算法》、《地方预决算公开操作规程》和《关于进一步推进预算公开工作的实施意见》规定，现将中国共产党唐山市丰南区委员会办公室2025年部门预算公开如下：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（一）负责推动党中央和省委、市委、区委决策部署的落实，按照区委要求协调有关方面开展工作，承担区委运行保障具体事务。</w:t>
      </w:r>
    </w:p>
    <w:p>
      <w:pPr>
        <w:pStyle w:val="18"/>
      </w:pPr>
      <w:r>
        <w:t>（二）负责区委和区委办公室文件、区委主要领导日常文稿和有关区领导讲话的起草、修改等工作。</w:t>
      </w:r>
    </w:p>
    <w:p>
      <w:pPr>
        <w:pStyle w:val="18"/>
      </w:pPr>
      <w:r>
        <w:t>（三）围绕党中央和省委、市委、区委总体工作部署开展调查研究，收集和处理信息、反映动态，组织编写信息刊物；负责全区党委信息系统的协调和指导。</w:t>
      </w:r>
    </w:p>
    <w:p>
      <w:pPr>
        <w:pStyle w:val="18"/>
      </w:pPr>
      <w:r>
        <w:t>（四）负责区委全委会、区委常委会和区委其他重要会议的会务工作；负责区委领导参加重大活动和日常工作活动的组织安排。</w:t>
      </w:r>
    </w:p>
    <w:p>
      <w:pPr>
        <w:pStyle w:val="18"/>
      </w:pPr>
      <w:r>
        <w:t>（五）负责区委日常文书处理；负责区委文件和区委办公室代区委行文的审核工作；负责贯彻落实党内法规和规范性文件等工作；负责统筹协调和督促指导全区党务公开工作。</w:t>
      </w:r>
    </w:p>
    <w:p>
      <w:pPr>
        <w:pStyle w:val="18"/>
      </w:pPr>
      <w:r>
        <w:t>（六）负责全区档案事业宏观管理和执法复议、监督指导等工作，委托档案馆具体行使职权。</w:t>
      </w:r>
    </w:p>
    <w:p>
      <w:pPr>
        <w:pStyle w:val="18"/>
      </w:pPr>
      <w:r>
        <w:t>（七）负责重要领导来丰南接待工作。负责全区公务接待工作的业务指导和培训工作。</w:t>
      </w:r>
    </w:p>
    <w:p>
      <w:pPr>
        <w:pStyle w:val="18"/>
      </w:pPr>
      <w:r>
        <w:t>（八）负责党中央、省委、市委以及区委领导批示事项、处理反馈工作；负责区委重大决策部署和区委重要会议、文件贯彻落实情况的督促检查；统筹规范督查检查工作。</w:t>
      </w:r>
    </w:p>
    <w:p>
      <w:pPr>
        <w:pStyle w:val="18"/>
      </w:pPr>
      <w:r>
        <w:t>（九）负责全区党委值班工作的指导、督促、检查；负责全区紧急情况重大事件的报告工作。</w:t>
      </w:r>
    </w:p>
    <w:p>
      <w:pPr>
        <w:pStyle w:val="18"/>
      </w:pPr>
      <w:r>
        <w:t>（十）负责区委全面深化改革的日常工作，综合协调区委交办的全面深化改革方面的相关工作。</w:t>
      </w:r>
    </w:p>
    <w:p>
      <w:pPr>
        <w:pStyle w:val="18"/>
      </w:pPr>
      <w:r>
        <w:t>（十一）责区委全面从严治党主体责任的日常工作，综合协调区委交办的全面从严治党方面的相关工作。</w:t>
      </w:r>
    </w:p>
    <w:p>
      <w:pPr>
        <w:pStyle w:val="18"/>
      </w:pPr>
      <w:r>
        <w:t>（十二）完成区委交办的其他任务。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中国共产党唐山市丰南区委员会办公室本级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中国共产党唐山市丰南区委员会区直机关工作委员会</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中国共产党唐山市丰南区委员会党史研究室</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按照预算管理有关规定，目前部门预算的编制实行综合预算管理，即全部收入和支出都反映在预算中。中国共产党唐山市丰南区委员会办公室机关及所属事业单位的收支包含在部门预算中。</w:t>
      </w:r>
    </w:p>
    <w:p>
      <w:pPr>
        <w:pStyle w:val="19"/>
      </w:pPr>
      <w:r>
        <w:t>1、收入说明</w:t>
      </w:r>
    </w:p>
    <w:p>
      <w:pPr>
        <w:pStyle w:val="19"/>
      </w:pPr>
      <w:r>
        <w:t>反映本部门当年全部收入。2025年预算收入1726.34万元，其中：一般公共预算收入1726.34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中国共产党唐山市丰南区委员会办公室年度部门预算中支出预算的总体情况。2025年支出预算1726.34万元，其中基本支出1373.83万元，包括人员经费1029.82万元和日常公用经费344.01万元；项目支出352.51万元，主要为区党政协同办公平台（OA）日常运维及软件开发服务经费、区电子政务外网网络安全设备硬件质保、软件升级经费、业务工作经费、党史业务工作经费等。</w:t>
      </w:r>
    </w:p>
    <w:p>
      <w:pPr>
        <w:pStyle w:val="19"/>
      </w:pPr>
      <w:r>
        <w:t>3、比上年增减情况</w:t>
      </w:r>
    </w:p>
    <w:p>
      <w:pPr>
        <w:pStyle w:val="19"/>
      </w:pPr>
      <w:r>
        <w:t>2025年预算收支安排1726.34万元，较2024年预算减少674.57万元，其中：基本支出增加232.93万元，主要为人员经费、日常公用经费增加。项目支出减少907.50万元，主要为智慧党建信息云平台管理经费、网络安全设备质保、软件升级和特征库升级经费等项目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2025年，我部门机关运行经费共计安排344.01万元，主要用于日常维修、办公用房水电费、办公用房取暖费、办公用房物业管理费等日常运行支出。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58.10万元，其中因公出国（境）费0.00万元；公务用车购置及运维费47.50万元（其中：公务用车购置费为0.00万元，公务用车运维费47.50万元)；公务接待费10.60万元。与2024年相比增加0.00万元，增减变化的主要原因是没有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深入贯彻落实党的二十大精神，以习近平新时代中国特色社会主义思想为引领，坚决贯彻中央、省委和市委的决策部署，在区委的坚强领导下，以规范化建设和素质提升为主线，进一步明确角色、找准定位，忠诚履责、锐意进取，竭尽全力做好工作，担职责、负使命，在以全面从严治党的引领下，做好本职工作，提升自身全面素质，使区委办公室服务水平不断提高，信息、督查、改革等各项工作继续位居省、市前列，为全区经济社会科学发展作出了积极贡献。积极推进政治建设、思想建设、组织建设、作风建设、纪律建设和反腐败工作，不断推动区直机关党建工作提档升级。发挥党史工作资政育人的重要作用，完成上级交办的地方党史部分专题资料征集上报工作，建设一支高素质的党史工作队伍。</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（一）保障会议、活动、机关公文正常运转</w:t>
      </w:r>
    </w:p>
    <w:p>
      <w:pPr>
        <w:pStyle w:val="23"/>
      </w:pPr>
      <w:r>
        <w:t>绩效目标：加强区级层面重要会议、活动的统筹协调，坚持超前谋划、精心组织、全面做好区委主要领导出席或参加的重要会议服务保障工作；扎实推进公文办理工作规范化，深化细化工作流程，做到零停留、无差错；公文审核严谨高效，增强区委文件权威性；严格执行中央八项规定和我省接待标准，保障相关工作顺利开展。</w:t>
      </w:r>
    </w:p>
    <w:p>
      <w:pPr>
        <w:pStyle w:val="23"/>
      </w:pPr>
      <w:r>
        <w:t>绩效指标：召开区委全会等全区性大型会议2次以上，会议计划100%执行，大型会议圆满完成率达到100%；开展重大活动2次以上，重大活动计划执行率100%，重大活动圆满完成率达到100%；公文起草及办理的质量和效率,满足《机关工作标准化流程》要求；全年完成接待150批次以上，接待完成率100%。</w:t>
      </w:r>
    </w:p>
    <w:p>
      <w:pPr>
        <w:pStyle w:val="23"/>
      </w:pPr>
      <w:r>
        <w:t>（二）围绕决策部署，督查、收集信息，深化改革</w:t>
      </w:r>
    </w:p>
    <w:p>
      <w:pPr>
        <w:pStyle w:val="23"/>
      </w:pPr>
      <w:r>
        <w:t>绩效目标：围绕省市和区委、区政府的重大决策部署，围绕区领导重要批示和指示，围绕热点难点问题，明确责任、定出措施，按节点考核、按时间推进。通过调研课题就党和政府关注的问题，提出客观、有价值、有分量、有影响的意见建议，收集信息，反应民意，及时上报，促进决策民主化和科学化。围绕全区全面深化改革重大问题，提出全区中长期改革规划和年度工作要点，承办各地各单位的请示和备案事项，向区委全面改革委员会提出建议。</w:t>
      </w:r>
    </w:p>
    <w:p>
      <w:pPr>
        <w:pStyle w:val="23"/>
      </w:pPr>
      <w:r>
        <w:t>绩效指标：对省市和区委、区政府重大决策部署落实情况进行专项督查3次以上，区委重点工作任务督办率达到100%，督查督办按时办结率90%以上；围绕全区全面深化改革重大问题，提出全区中长期改革规划和年度工作要点，承办各地各单位的请示和备案事项，向区委全面改革委员会提出建议。</w:t>
      </w:r>
    </w:p>
    <w:p>
      <w:pPr>
        <w:pStyle w:val="23"/>
      </w:pPr>
      <w:r>
        <w:t>（三）线路畅通，系统运行稳定。</w:t>
      </w:r>
    </w:p>
    <w:p>
      <w:pPr>
        <w:pStyle w:val="23"/>
      </w:pPr>
      <w:r>
        <w:t>绩效目标：加快推进网上办公，进一步提升我区党委系统机关业务工作规范化、信息化水平，实现无纸化办公；保障区公务内网具有高可靠性和安全保密性，保证承载的应用系统正常运行，具备完备的网络安全保障及运营支撑体系。</w:t>
      </w:r>
    </w:p>
    <w:p>
      <w:pPr>
        <w:pStyle w:val="23"/>
      </w:pPr>
      <w:r>
        <w:t>绩效指标：进一步提高机关办公效率，机关节约办公用纸25%，实现公务内网纵向连接到乡镇及各区直单位，线路宽带不小于100M；实现7*24小时网络和业务系统运行状态实时监控，网络电路可用率达到99%以上，非不可抗力造成的公务内网业务故障处理时限在4小时以内。</w:t>
      </w:r>
    </w:p>
    <w:p>
      <w:pPr>
        <w:pStyle w:val="23"/>
      </w:pPr>
      <w:r>
        <w:t>（四）保密机要管理工作</w:t>
      </w:r>
    </w:p>
    <w:p>
      <w:pPr>
        <w:pStyle w:val="23"/>
      </w:pPr>
      <w:r>
        <w:t>绩效目标：做好保密机要工作，加大培训力度，确保不发生失、泄密情况。</w:t>
      </w:r>
    </w:p>
    <w:p>
      <w:pPr>
        <w:pStyle w:val="23"/>
      </w:pPr>
      <w:r>
        <w:t>绩效指标：机要保密工作完成率100%；业务培训覆盖率98%；保密机要知识普及率100%。</w:t>
      </w:r>
    </w:p>
    <w:p>
      <w:pPr>
        <w:pStyle w:val="23"/>
      </w:pPr>
      <w:r>
        <w:t>（五）征编党史，发挥存史鉴今的作用。</w:t>
      </w:r>
    </w:p>
    <w:p>
      <w:pPr>
        <w:pStyle w:val="23"/>
      </w:pPr>
      <w:r>
        <w:t>绩效目标：通过开展专题资料、口述资料、照片资料、人物资料等搜集工作，深化党史专题研究和资政课题研究工作，促进编辑专题资料、人物资料和口述资料，党史书稿编纂、印刷出版工作，实现党史以史鉴今、资政育人作用。</w:t>
      </w:r>
    </w:p>
    <w:p>
      <w:pPr>
        <w:pStyle w:val="23"/>
      </w:pPr>
      <w:r>
        <w:t>绩效指标：编纂《中国共产党河北省唐山市丰南区历史》第三卷；调研走访老党员、老革命3人以上，完善我区党史资料。</w:t>
      </w:r>
    </w:p>
    <w:p>
      <w:pPr>
        <w:pStyle w:val="23"/>
      </w:pPr>
      <w:r>
        <w:t>（六）发挥资政育人的作用。</w:t>
      </w:r>
    </w:p>
    <w:p>
      <w:pPr>
        <w:pStyle w:val="23"/>
      </w:pPr>
      <w:r>
        <w:t xml:space="preserve">绩效目标：举办全区党史征文、党史答题等多种形式，促进党史宣传教育工作，提升全区党史干部能力素质，扩大党史宣传效果。 </w:t>
      </w:r>
    </w:p>
    <w:p>
      <w:pPr>
        <w:pStyle w:val="23"/>
      </w:pPr>
      <w:r>
        <w:t xml:space="preserve">绩效指标：1.举办全区党史干部培训1次以上，提升全区党史干部能力素质。2.加强党史宣传教育工作，扩大党史宣传效果。3.开展党史征文、党史答题等活动1次以上，。 </w:t>
      </w:r>
    </w:p>
    <w:p>
      <w:pPr>
        <w:pStyle w:val="23"/>
      </w:pPr>
      <w:r>
        <w:t>（七）党组织战斗堡垒作用和党员先锋模范作用进一步增强。</w:t>
      </w:r>
    </w:p>
    <w:p>
      <w:pPr>
        <w:pStyle w:val="23"/>
      </w:pPr>
      <w:r>
        <w:t>绩效目标：对基层党组织开展分类指导，党支部建设标准化、规范化水平不断提升，“双报到”全面推进，党务干部教育培训覆盖面不断扩大，党组织组织力明显提升，全面进步全面过硬。</w:t>
      </w:r>
    </w:p>
    <w:p>
      <w:pPr>
        <w:pStyle w:val="23"/>
      </w:pPr>
      <w:r>
        <w:t>绩效指标：指导区直机关各级党组织加强基层组织建设，按时换届选举，加强党组织党建述职评议工作；充分发挥党组织的战斗堡垒作用；开展党员发展、教育、管理工作服务和党务干部的教育培训工作2次以上。</w:t>
      </w:r>
    </w:p>
    <w:p>
      <w:pPr>
        <w:pStyle w:val="23"/>
      </w:pPr>
      <w:r>
        <w:t>（八）党员干部行政效能显著提升。</w:t>
      </w:r>
    </w:p>
    <w:p>
      <w:pPr>
        <w:pStyle w:val="23"/>
      </w:pPr>
      <w:r>
        <w:t>绩效目标：持续纠正“四风”，推动机关不断转变作风、提高效能。深化运用监督执纪“四种形态”，党的纪律进一步严明，纪检干部业务能力不断提高，廉政教育效果明显。</w:t>
      </w:r>
    </w:p>
    <w:p>
      <w:pPr>
        <w:pStyle w:val="23"/>
      </w:pPr>
      <w:r>
        <w:t>绩效指标：干部职工满意度保持在95%以上，基层党组织满意率保持在95%以上。</w:t>
      </w:r>
    </w:p>
    <w:p>
      <w:pPr>
        <w:pStyle w:val="23"/>
      </w:pPr>
      <w:r>
        <w:t>（九）党的统一战线发挥积极作用。</w:t>
      </w:r>
    </w:p>
    <w:p>
      <w:pPr>
        <w:pStyle w:val="23"/>
      </w:pPr>
      <w:r>
        <w:t>绩效目标：加强党外人士思想政治引领，凝聚智慧和力量；制度机制进一步完善，工作方式方法不断创新，积极选树先进集体，开展志愿服务和特色文化活动丰富多彩。</w:t>
      </w:r>
    </w:p>
    <w:p>
      <w:pPr>
        <w:pStyle w:val="23"/>
      </w:pPr>
      <w:r>
        <w:t>绩效指标：七一、十一等重大节日开展重温入党誓词、演讲比赛、歌咏比赛等特色文化活动，干部职工满意度保持在95%以上。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w:t>
      </w:r>
    </w:p>
    <w:p>
      <w:pPr>
        <w:pStyle w:val="24"/>
      </w:pPr>
      <w:r>
        <w:t>制定完善预算绩效管理制度、资金管理办法、工作保障制度等，为全年预算绩效目标的实现奠定制度基础。</w:t>
      </w:r>
    </w:p>
    <w:p>
      <w:pPr>
        <w:pStyle w:val="24"/>
      </w:pPr>
      <w:r>
        <w:t>二、加强支出管理。</w:t>
      </w:r>
    </w:p>
    <w:p>
      <w:pPr>
        <w:pStyle w:val="24"/>
      </w:pPr>
      <w:r>
        <w:t>通过优化支出结构、编细编实预算、加快履行政府采购手续、尽快启动项目、及时支付资金、6月底前细化代编预算、按规定及时下达资金等多种措施，确保支出进度达标。</w:t>
      </w:r>
    </w:p>
    <w:p>
      <w:pPr>
        <w:pStyle w:val="24"/>
      </w:pPr>
      <w:r>
        <w:t>三、加强绩效运行监控。</w:t>
      </w:r>
    </w:p>
    <w:p>
      <w:pPr>
        <w:pStyle w:val="24"/>
      </w:pPr>
      <w:r>
        <w:t>按要求开展绩效运行监控，发现问题及时采取措施，确保绩效目标如期保质实现。</w:t>
      </w:r>
    </w:p>
    <w:p>
      <w:pPr>
        <w:pStyle w:val="24"/>
      </w:pPr>
      <w:r>
        <w:t>四、做好绩效自评。</w:t>
      </w:r>
    </w:p>
    <w:p>
      <w:pPr>
        <w:pStyle w:val="24"/>
      </w:pPr>
      <w:r>
        <w:t>按要求开展上年度部门预算绩效自评和重点评价工作，对评价中发现的问题及时整改，调整优化支出结构，提高财政资金使用效益。</w:t>
      </w:r>
    </w:p>
    <w:p>
      <w:pPr>
        <w:pStyle w:val="24"/>
      </w:pPr>
      <w:r>
        <w:t>五、规范财务资产管理。</w:t>
      </w:r>
    </w:p>
    <w:p>
      <w:pPr>
        <w:pStyle w:val="24"/>
      </w:pPr>
      <w:r>
        <w:t>完善财务管理制度，严格审批程序，加强固定资产登记、使用和报废处置管理，做到支出合理，物尽其用。</w:t>
      </w:r>
    </w:p>
    <w:p>
      <w:pPr>
        <w:pStyle w:val="24"/>
      </w:pPr>
      <w:r>
        <w:t>六、加强内部监督。</w:t>
      </w:r>
    </w:p>
    <w:p>
      <w:pPr>
        <w:pStyle w:val="24"/>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pPr>
      <w:r>
        <w:t>七、加强宣传培训调研等。</w:t>
      </w:r>
    </w:p>
    <w:p>
      <w:pPr>
        <w:pStyle w:val="24"/>
        <w:sectPr>
          <w:pgSz w:w="16840" w:h="11900" w:orient="landscape"/>
          <w:pgMar w:top="1361" w:right="1020" w:bottom="1361" w:left="1020" w:header="720" w:footer="720" w:gutter="0"/>
          <w:cols w:space="720" w:num="1"/>
        </w:sectPr>
      </w:pPr>
      <w:r>
        <w:t>加强人员培训，提高本部门职工业务素质；加强调研，提出优化财政资金配置、提高资金使用效益的意见意见；加大宣传力度，提高强化我单位干部职工预算绩效管理意识，促进预算绩效管理水平进一步提升。</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ind w:firstLine="840" w:firstLineChars="300"/>
        <w:jc w:val="left"/>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1、大型会议活动经费绩效目标表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13020725P00JD6L10005G</w:t>
            </w:r>
          </w:p>
        </w:tc>
        <w:tc>
          <w:tcPr>
            <w:tcW w:w="2835" w:type="dxa"/>
            <w:vAlign w:val="center"/>
          </w:tcPr>
          <w:p>
            <w:pPr>
              <w:pStyle w:val="11"/>
            </w:pPr>
            <w:r>
              <w:t>项目名称</w:t>
            </w:r>
          </w:p>
        </w:tc>
        <w:tc>
          <w:tcPr>
            <w:tcW w:w="6095" w:type="dxa"/>
            <w:gridSpan w:val="3"/>
            <w:vAlign w:val="center"/>
          </w:tcPr>
          <w:p>
            <w:pPr>
              <w:pStyle w:val="13"/>
            </w:pPr>
            <w:r>
              <w:t>大型会议活动经费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129.50</w:t>
            </w:r>
          </w:p>
        </w:tc>
        <w:tc>
          <w:tcPr>
            <w:tcW w:w="2835" w:type="dxa"/>
            <w:vAlign w:val="center"/>
          </w:tcPr>
          <w:p>
            <w:pPr>
              <w:pStyle w:val="11"/>
            </w:pPr>
            <w:r>
              <w:t>其中：财政    资金</w:t>
            </w:r>
          </w:p>
        </w:tc>
        <w:tc>
          <w:tcPr>
            <w:tcW w:w="2551" w:type="dxa"/>
            <w:vAlign w:val="center"/>
          </w:tcPr>
          <w:p>
            <w:pPr>
              <w:pStyle w:val="13"/>
            </w:pPr>
            <w:r>
              <w:t>129.50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精简会议、规范会议程序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1.精简会议、规范会议程序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会议召开数量</w:t>
            </w:r>
          </w:p>
        </w:tc>
        <w:tc>
          <w:tcPr>
            <w:tcW w:w="5386" w:type="dxa"/>
            <w:vAlign w:val="center"/>
          </w:tcPr>
          <w:p>
            <w:pPr>
              <w:pStyle w:val="13"/>
            </w:pPr>
            <w:r>
              <w:t>实际召开会议次数占应组织会议的比例</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人员参会率</w:t>
            </w:r>
          </w:p>
        </w:tc>
        <w:tc>
          <w:tcPr>
            <w:tcW w:w="5386" w:type="dxa"/>
            <w:vAlign w:val="center"/>
          </w:tcPr>
          <w:p>
            <w:pPr>
              <w:pStyle w:val="13"/>
            </w:pPr>
            <w:r>
              <w:t>每次会议实际参会人员比例</w:t>
            </w:r>
          </w:p>
        </w:tc>
        <w:tc>
          <w:tcPr>
            <w:tcW w:w="2268" w:type="dxa"/>
            <w:vAlign w:val="center"/>
          </w:tcPr>
          <w:p>
            <w:pPr>
              <w:pStyle w:val="13"/>
            </w:pPr>
            <w:r>
              <w:t>≥90%</w:t>
            </w:r>
          </w:p>
        </w:tc>
        <w:tc>
          <w:tcPr>
            <w:tcW w:w="1276" w:type="dxa"/>
            <w:vAlign w:val="center"/>
          </w:tcPr>
          <w:p>
            <w:pPr>
              <w:pStyle w:val="13"/>
            </w:pPr>
            <w:r>
              <w:t>签到册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按照要求和计划完成会议任务比例</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会议费开支标准</w:t>
            </w:r>
          </w:p>
        </w:tc>
        <w:tc>
          <w:tcPr>
            <w:tcW w:w="5386" w:type="dxa"/>
            <w:vAlign w:val="center"/>
          </w:tcPr>
          <w:p>
            <w:pPr>
              <w:pStyle w:val="13"/>
            </w:pPr>
            <w:r>
              <w:t>会议费开支标准</w:t>
            </w:r>
          </w:p>
        </w:tc>
        <w:tc>
          <w:tcPr>
            <w:tcW w:w="2268" w:type="dxa"/>
            <w:vAlign w:val="center"/>
          </w:tcPr>
          <w:p>
            <w:pPr>
              <w:pStyle w:val="13"/>
            </w:pPr>
            <w:r>
              <w:t>按文件规定</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大型会议控制率</w:t>
            </w:r>
          </w:p>
        </w:tc>
        <w:tc>
          <w:tcPr>
            <w:tcW w:w="5386" w:type="dxa"/>
            <w:vAlign w:val="center"/>
          </w:tcPr>
          <w:p>
            <w:pPr>
              <w:pStyle w:val="13"/>
            </w:pPr>
            <w:r>
              <w:t>召开的会议数量占实际会议数量的比例</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会议费用控制情况</w:t>
            </w:r>
          </w:p>
        </w:tc>
        <w:tc>
          <w:tcPr>
            <w:tcW w:w="5386" w:type="dxa"/>
            <w:vAlign w:val="center"/>
          </w:tcPr>
          <w:p>
            <w:pPr>
              <w:pStyle w:val="13"/>
            </w:pPr>
            <w:r>
              <w:t>反应会议占年会议费比例</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大型会议从细谋划安排</w:t>
            </w:r>
          </w:p>
        </w:tc>
        <w:tc>
          <w:tcPr>
            <w:tcW w:w="5386" w:type="dxa"/>
            <w:vAlign w:val="center"/>
          </w:tcPr>
          <w:p>
            <w:pPr>
              <w:pStyle w:val="13"/>
            </w:pPr>
            <w:r>
              <w:t>反应会议出现差错的情况</w:t>
            </w:r>
          </w:p>
        </w:tc>
        <w:tc>
          <w:tcPr>
            <w:tcW w:w="2268" w:type="dxa"/>
            <w:vAlign w:val="center"/>
          </w:tcPr>
          <w:p>
            <w:pPr>
              <w:pStyle w:val="13"/>
            </w:pPr>
            <w:r>
              <w:t>≤5%</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参会人员满意度</w:t>
            </w:r>
          </w:p>
        </w:tc>
        <w:tc>
          <w:tcPr>
            <w:tcW w:w="5386" w:type="dxa"/>
            <w:vAlign w:val="center"/>
          </w:tcPr>
          <w:p>
            <w:pPr>
              <w:pStyle w:val="13"/>
            </w:pPr>
            <w:r>
              <w:t>参会人员对会议组织的满意率</w:t>
            </w:r>
          </w:p>
        </w:tc>
        <w:tc>
          <w:tcPr>
            <w:tcW w:w="2268" w:type="dxa"/>
            <w:vAlign w:val="center"/>
          </w:tcPr>
          <w:p>
            <w:pPr>
              <w:pStyle w:val="13"/>
            </w:pPr>
            <w:r>
              <w:t>≥90%</w:t>
            </w:r>
          </w:p>
        </w:tc>
        <w:tc>
          <w:tcPr>
            <w:tcW w:w="1276" w:type="dxa"/>
            <w:vAlign w:val="center"/>
          </w:tcPr>
          <w:p>
            <w:pPr>
              <w:pStyle w:val="13"/>
            </w:pPr>
            <w:r>
              <w:t>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2、劳务派遣人员经费（劳务费）绩效目标表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13020725P00002210355H</w:t>
            </w:r>
          </w:p>
        </w:tc>
        <w:tc>
          <w:tcPr>
            <w:tcW w:w="2835" w:type="dxa"/>
            <w:vAlign w:val="center"/>
          </w:tcPr>
          <w:p>
            <w:pPr>
              <w:pStyle w:val="11"/>
            </w:pPr>
            <w:r>
              <w:t>项目名称</w:t>
            </w:r>
          </w:p>
        </w:tc>
        <w:tc>
          <w:tcPr>
            <w:tcW w:w="6095" w:type="dxa"/>
            <w:gridSpan w:val="3"/>
            <w:vAlign w:val="center"/>
          </w:tcPr>
          <w:p>
            <w:pPr>
              <w:pStyle w:val="13"/>
            </w:pPr>
            <w:r>
              <w:t>劳务派遣人员经费（劳务费）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10.98</w:t>
            </w:r>
          </w:p>
        </w:tc>
        <w:tc>
          <w:tcPr>
            <w:tcW w:w="2835" w:type="dxa"/>
            <w:vAlign w:val="center"/>
          </w:tcPr>
          <w:p>
            <w:pPr>
              <w:pStyle w:val="11"/>
            </w:pPr>
            <w:r>
              <w:t>其中：财政    资金</w:t>
            </w:r>
          </w:p>
        </w:tc>
        <w:tc>
          <w:tcPr>
            <w:tcW w:w="2551" w:type="dxa"/>
            <w:vAlign w:val="center"/>
          </w:tcPr>
          <w:p>
            <w:pPr>
              <w:pStyle w:val="13"/>
            </w:pPr>
            <w:r>
              <w:t>10.98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保障单位机关正常运转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1.保障单位机关正常运转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劳务派遣人数</w:t>
            </w:r>
          </w:p>
        </w:tc>
        <w:tc>
          <w:tcPr>
            <w:tcW w:w="5386" w:type="dxa"/>
            <w:vAlign w:val="center"/>
          </w:tcPr>
          <w:p>
            <w:pPr>
              <w:pStyle w:val="13"/>
            </w:pPr>
            <w:r>
              <w:t>反映签订劳务派遣合同人数情况</w:t>
            </w:r>
          </w:p>
        </w:tc>
        <w:tc>
          <w:tcPr>
            <w:tcW w:w="2268" w:type="dxa"/>
            <w:vAlign w:val="center"/>
          </w:tcPr>
          <w:p>
            <w:pPr>
              <w:pStyle w:val="13"/>
            </w:pPr>
            <w:r>
              <w:t>2人</w:t>
            </w:r>
          </w:p>
        </w:tc>
        <w:tc>
          <w:tcPr>
            <w:tcW w:w="1276" w:type="dxa"/>
            <w:vAlign w:val="center"/>
          </w:tcPr>
          <w:p>
            <w:pPr>
              <w:pStyle w:val="13"/>
            </w:pPr>
            <w:r>
              <w:t>人社局审批、上年末人数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职责任务完成情况</w:t>
            </w:r>
          </w:p>
        </w:tc>
        <w:tc>
          <w:tcPr>
            <w:tcW w:w="5386" w:type="dxa"/>
            <w:vAlign w:val="center"/>
          </w:tcPr>
          <w:p>
            <w:pPr>
              <w:pStyle w:val="13"/>
            </w:pPr>
            <w:r>
              <w:t>反映本职工作任务情况</w:t>
            </w:r>
          </w:p>
        </w:tc>
        <w:tc>
          <w:tcPr>
            <w:tcW w:w="2268" w:type="dxa"/>
            <w:vAlign w:val="center"/>
          </w:tcPr>
          <w:p>
            <w:pPr>
              <w:pStyle w:val="13"/>
            </w:pPr>
            <w:r>
              <w:t>较好完成</w:t>
            </w:r>
          </w:p>
        </w:tc>
        <w:tc>
          <w:tcPr>
            <w:tcW w:w="1276" w:type="dxa"/>
            <w:vAlign w:val="center"/>
          </w:tcPr>
          <w:p>
            <w:pPr>
              <w:pStyle w:val="13"/>
            </w:pPr>
            <w:r>
              <w:t>相关人事管理文件，如：机关事业单位劳务派遣人员管理办法等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工资发放及时性</w:t>
            </w:r>
          </w:p>
        </w:tc>
        <w:tc>
          <w:tcPr>
            <w:tcW w:w="5386" w:type="dxa"/>
            <w:vAlign w:val="center"/>
          </w:tcPr>
          <w:p>
            <w:pPr>
              <w:pStyle w:val="13"/>
            </w:pPr>
            <w:r>
              <w:t>反映按时足额发放工资的情况</w:t>
            </w:r>
          </w:p>
        </w:tc>
        <w:tc>
          <w:tcPr>
            <w:tcW w:w="2268" w:type="dxa"/>
            <w:vAlign w:val="center"/>
          </w:tcPr>
          <w:p>
            <w:pPr>
              <w:pStyle w:val="13"/>
            </w:pPr>
            <w:r>
              <w:t>及时足额发放</w:t>
            </w:r>
          </w:p>
        </w:tc>
        <w:tc>
          <w:tcPr>
            <w:tcW w:w="1276" w:type="dxa"/>
            <w:vAlign w:val="center"/>
          </w:tcPr>
          <w:p>
            <w:pPr>
              <w:pStyle w:val="13"/>
            </w:pPr>
            <w:r>
              <w:t>历史标准、合同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发放工资（补助）总金额</w:t>
            </w:r>
          </w:p>
        </w:tc>
        <w:tc>
          <w:tcPr>
            <w:tcW w:w="5386" w:type="dxa"/>
            <w:vAlign w:val="center"/>
          </w:tcPr>
          <w:p>
            <w:pPr>
              <w:pStyle w:val="13"/>
            </w:pPr>
            <w:r>
              <w:t>反映支付人员工资（补助）总金额情况</w:t>
            </w:r>
          </w:p>
        </w:tc>
        <w:tc>
          <w:tcPr>
            <w:tcW w:w="2268" w:type="dxa"/>
            <w:vAlign w:val="center"/>
          </w:tcPr>
          <w:p>
            <w:pPr>
              <w:pStyle w:val="13"/>
            </w:pPr>
            <w:r>
              <w:t>≤10.98万元</w:t>
            </w:r>
          </w:p>
        </w:tc>
        <w:tc>
          <w:tcPr>
            <w:tcW w:w="1276" w:type="dxa"/>
            <w:vAlign w:val="center"/>
          </w:tcPr>
          <w:p>
            <w:pPr>
              <w:pStyle w:val="13"/>
            </w:pPr>
            <w:r>
              <w:t>历史标准、合同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带动消费情况</w:t>
            </w:r>
          </w:p>
        </w:tc>
        <w:tc>
          <w:tcPr>
            <w:tcW w:w="5386" w:type="dxa"/>
            <w:vAlign w:val="center"/>
          </w:tcPr>
          <w:p>
            <w:pPr>
              <w:pStyle w:val="13"/>
            </w:pPr>
            <w:r>
              <w:t>反映带动消费情况</w:t>
            </w:r>
          </w:p>
        </w:tc>
        <w:tc>
          <w:tcPr>
            <w:tcW w:w="2268" w:type="dxa"/>
            <w:vAlign w:val="center"/>
          </w:tcPr>
          <w:p>
            <w:pPr>
              <w:pStyle w:val="13"/>
            </w:pPr>
            <w:r>
              <w:t>有效带动</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生活水平保障程度</w:t>
            </w:r>
          </w:p>
        </w:tc>
        <w:tc>
          <w:tcPr>
            <w:tcW w:w="5386" w:type="dxa"/>
            <w:vAlign w:val="center"/>
          </w:tcPr>
          <w:p>
            <w:pPr>
              <w:pStyle w:val="13"/>
            </w:pPr>
            <w:r>
              <w:t>反映工作人员生活水平情况</w:t>
            </w:r>
          </w:p>
        </w:tc>
        <w:tc>
          <w:tcPr>
            <w:tcW w:w="2268" w:type="dxa"/>
            <w:vAlign w:val="center"/>
          </w:tcPr>
          <w:p>
            <w:pPr>
              <w:pStyle w:val="13"/>
            </w:pPr>
            <w:r>
              <w:t>有效保障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聘用人员稳定程度</w:t>
            </w:r>
          </w:p>
        </w:tc>
        <w:tc>
          <w:tcPr>
            <w:tcW w:w="5386" w:type="dxa"/>
            <w:vAlign w:val="center"/>
          </w:tcPr>
          <w:p>
            <w:pPr>
              <w:pStyle w:val="13"/>
            </w:pPr>
            <w:r>
              <w:t>反映聘用人员稳定程度</w:t>
            </w:r>
          </w:p>
        </w:tc>
        <w:tc>
          <w:tcPr>
            <w:tcW w:w="2268" w:type="dxa"/>
            <w:vAlign w:val="center"/>
          </w:tcPr>
          <w:p>
            <w:pPr>
              <w:pStyle w:val="13"/>
            </w:pPr>
            <w:r>
              <w:t>保持稳定</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反映群众对工作人员服务满意程度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、区党政协同办公平台（OA）日常运维及软件开发服务经费绩效目标表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13020725P00NCTJ10028T</w:t>
            </w:r>
          </w:p>
        </w:tc>
        <w:tc>
          <w:tcPr>
            <w:tcW w:w="2835" w:type="dxa"/>
            <w:vAlign w:val="center"/>
          </w:tcPr>
          <w:p>
            <w:pPr>
              <w:pStyle w:val="11"/>
            </w:pPr>
            <w:r>
              <w:t>项目名称</w:t>
            </w:r>
          </w:p>
        </w:tc>
        <w:tc>
          <w:tcPr>
            <w:tcW w:w="6095" w:type="dxa"/>
            <w:gridSpan w:val="3"/>
            <w:vAlign w:val="center"/>
          </w:tcPr>
          <w:p>
            <w:pPr>
              <w:pStyle w:val="13"/>
            </w:pPr>
            <w:r>
              <w:t>区党政协同办公平台（OA）日常运维及软件开发服务经费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13.00</w:t>
            </w:r>
          </w:p>
        </w:tc>
        <w:tc>
          <w:tcPr>
            <w:tcW w:w="2835" w:type="dxa"/>
            <w:vAlign w:val="center"/>
          </w:tcPr>
          <w:p>
            <w:pPr>
              <w:pStyle w:val="11"/>
            </w:pPr>
            <w:r>
              <w:t>其中：财政    资金</w:t>
            </w:r>
          </w:p>
        </w:tc>
        <w:tc>
          <w:tcPr>
            <w:tcW w:w="2551" w:type="dxa"/>
            <w:vAlign w:val="center"/>
          </w:tcPr>
          <w:p>
            <w:pPr>
              <w:pStyle w:val="13"/>
            </w:pPr>
            <w:r>
              <w:t>13.00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保障全区OA协同办公系统正常运转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1.保障全区OA协同办公系统正常运转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网络办公可用率</w:t>
            </w:r>
          </w:p>
        </w:tc>
        <w:tc>
          <w:tcPr>
            <w:tcW w:w="5386" w:type="dxa"/>
            <w:vAlign w:val="center"/>
          </w:tcPr>
          <w:p>
            <w:pPr>
              <w:pStyle w:val="13"/>
            </w:pPr>
            <w:r>
              <w:t>网络办公可用率</w:t>
            </w:r>
          </w:p>
        </w:tc>
        <w:tc>
          <w:tcPr>
            <w:tcW w:w="2268" w:type="dxa"/>
            <w:vAlign w:val="center"/>
          </w:tcPr>
          <w:p>
            <w:pPr>
              <w:pStyle w:val="13"/>
            </w:pPr>
            <w:r>
              <w:t>≥98%</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网络故障</w:t>
            </w:r>
          </w:p>
        </w:tc>
        <w:tc>
          <w:tcPr>
            <w:tcW w:w="5386" w:type="dxa"/>
            <w:vAlign w:val="center"/>
          </w:tcPr>
          <w:p>
            <w:pPr>
              <w:pStyle w:val="13"/>
            </w:pPr>
            <w:r>
              <w:t>网络故障</w:t>
            </w:r>
          </w:p>
        </w:tc>
        <w:tc>
          <w:tcPr>
            <w:tcW w:w="2268" w:type="dxa"/>
            <w:vAlign w:val="center"/>
          </w:tcPr>
          <w:p>
            <w:pPr>
              <w:pStyle w:val="13"/>
            </w:pPr>
            <w:r>
              <w:t>≤1%</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资金支付及时性</w:t>
            </w:r>
          </w:p>
        </w:tc>
        <w:tc>
          <w:tcPr>
            <w:tcW w:w="5386" w:type="dxa"/>
            <w:vAlign w:val="center"/>
          </w:tcPr>
          <w:p>
            <w:pPr>
              <w:pStyle w:val="13"/>
            </w:pPr>
            <w:r>
              <w:t>反映资金按合同支付情况</w:t>
            </w:r>
          </w:p>
        </w:tc>
        <w:tc>
          <w:tcPr>
            <w:tcW w:w="2268" w:type="dxa"/>
            <w:vAlign w:val="center"/>
          </w:tcPr>
          <w:p>
            <w:pPr>
              <w:pStyle w:val="13"/>
            </w:pPr>
            <w:r>
              <w:t>及时</w:t>
            </w:r>
          </w:p>
        </w:tc>
        <w:tc>
          <w:tcPr>
            <w:tcW w:w="1276" w:type="dxa"/>
            <w:vAlign w:val="center"/>
          </w:tcPr>
          <w:p>
            <w:pPr>
              <w:pStyle w:val="13"/>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系统运行维护成本</w:t>
            </w:r>
          </w:p>
        </w:tc>
        <w:tc>
          <w:tcPr>
            <w:tcW w:w="5386" w:type="dxa"/>
            <w:vAlign w:val="center"/>
          </w:tcPr>
          <w:p>
            <w:pPr>
              <w:pStyle w:val="13"/>
            </w:pPr>
            <w:r>
              <w:t>反映系统维护成本情况</w:t>
            </w:r>
          </w:p>
        </w:tc>
        <w:tc>
          <w:tcPr>
            <w:tcW w:w="2268" w:type="dxa"/>
            <w:vAlign w:val="center"/>
          </w:tcPr>
          <w:p>
            <w:pPr>
              <w:pStyle w:val="13"/>
            </w:pPr>
            <w:r>
              <w:t>≤13万</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对信息系统可用性及稳定性的改善或提升程度</w:t>
            </w:r>
          </w:p>
        </w:tc>
        <w:tc>
          <w:tcPr>
            <w:tcW w:w="5386" w:type="dxa"/>
            <w:vAlign w:val="center"/>
          </w:tcPr>
          <w:p>
            <w:pPr>
              <w:pStyle w:val="13"/>
            </w:pPr>
            <w:r>
              <w:t>通过项目实施对信息系统可用性及稳定性的改善或提升程度</w:t>
            </w:r>
          </w:p>
        </w:tc>
        <w:tc>
          <w:tcPr>
            <w:tcW w:w="2268" w:type="dxa"/>
            <w:vAlign w:val="center"/>
          </w:tcPr>
          <w:p>
            <w:pPr>
              <w:pStyle w:val="13"/>
            </w:pPr>
            <w:r>
              <w:t>明显</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收益对象满意程度</w:t>
            </w:r>
          </w:p>
        </w:tc>
        <w:tc>
          <w:tcPr>
            <w:tcW w:w="5386" w:type="dxa"/>
            <w:vAlign w:val="center"/>
          </w:tcPr>
          <w:p>
            <w:pPr>
              <w:pStyle w:val="13"/>
            </w:pPr>
            <w:r>
              <w:t>反映收益对象满意程度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、区电子政务外网网络安全设备硬件质保、软件升级经费绩效目标表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13020725P00NCTJ10030R</w:t>
            </w:r>
          </w:p>
        </w:tc>
        <w:tc>
          <w:tcPr>
            <w:tcW w:w="2835" w:type="dxa"/>
            <w:vAlign w:val="center"/>
          </w:tcPr>
          <w:p>
            <w:pPr>
              <w:pStyle w:val="11"/>
            </w:pPr>
            <w:r>
              <w:t>项目名称</w:t>
            </w:r>
          </w:p>
        </w:tc>
        <w:tc>
          <w:tcPr>
            <w:tcW w:w="6095" w:type="dxa"/>
            <w:gridSpan w:val="3"/>
            <w:vAlign w:val="center"/>
          </w:tcPr>
          <w:p>
            <w:pPr>
              <w:pStyle w:val="13"/>
            </w:pPr>
            <w:r>
              <w:t>区电子政务外网网络安全设备硬件质保、软件升级经费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16.85</w:t>
            </w:r>
          </w:p>
        </w:tc>
        <w:tc>
          <w:tcPr>
            <w:tcW w:w="2835" w:type="dxa"/>
            <w:vAlign w:val="center"/>
          </w:tcPr>
          <w:p>
            <w:pPr>
              <w:pStyle w:val="11"/>
            </w:pPr>
            <w:r>
              <w:t>其中：财政    资金</w:t>
            </w:r>
          </w:p>
        </w:tc>
        <w:tc>
          <w:tcPr>
            <w:tcW w:w="2551" w:type="dxa"/>
            <w:vAlign w:val="center"/>
          </w:tcPr>
          <w:p>
            <w:pPr>
              <w:pStyle w:val="13"/>
            </w:pPr>
            <w:r>
              <w:t>16.85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保障公务外网网络安全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1.保障公务外网网络安全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网络办公可用率</w:t>
            </w:r>
          </w:p>
        </w:tc>
        <w:tc>
          <w:tcPr>
            <w:tcW w:w="5386" w:type="dxa"/>
            <w:vAlign w:val="center"/>
          </w:tcPr>
          <w:p>
            <w:pPr>
              <w:pStyle w:val="13"/>
            </w:pPr>
            <w:r>
              <w:t>网络办公可用率</w:t>
            </w:r>
          </w:p>
        </w:tc>
        <w:tc>
          <w:tcPr>
            <w:tcW w:w="2268" w:type="dxa"/>
            <w:vAlign w:val="center"/>
          </w:tcPr>
          <w:p>
            <w:pPr>
              <w:pStyle w:val="13"/>
            </w:pPr>
            <w:r>
              <w:t>≥98%</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网络故障</w:t>
            </w:r>
          </w:p>
        </w:tc>
        <w:tc>
          <w:tcPr>
            <w:tcW w:w="5386" w:type="dxa"/>
            <w:vAlign w:val="center"/>
          </w:tcPr>
          <w:p>
            <w:pPr>
              <w:pStyle w:val="13"/>
            </w:pPr>
            <w:r>
              <w:t>网络故障</w:t>
            </w:r>
          </w:p>
        </w:tc>
        <w:tc>
          <w:tcPr>
            <w:tcW w:w="2268" w:type="dxa"/>
            <w:vAlign w:val="center"/>
          </w:tcPr>
          <w:p>
            <w:pPr>
              <w:pStyle w:val="13"/>
            </w:pPr>
            <w:r>
              <w:t>≤1%</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网络连通率</w:t>
            </w:r>
          </w:p>
        </w:tc>
        <w:tc>
          <w:tcPr>
            <w:tcW w:w="5386" w:type="dxa"/>
            <w:vAlign w:val="center"/>
          </w:tcPr>
          <w:p>
            <w:pPr>
              <w:pStyle w:val="13"/>
            </w:pPr>
            <w:r>
              <w:t>网络连通率</w:t>
            </w:r>
          </w:p>
        </w:tc>
        <w:tc>
          <w:tcPr>
            <w:tcW w:w="2268" w:type="dxa"/>
            <w:vAlign w:val="center"/>
          </w:tcPr>
          <w:p>
            <w:pPr>
              <w:pStyle w:val="13"/>
            </w:pPr>
            <w:r>
              <w:t>≥99%</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网络安全建设项目总成本</w:t>
            </w:r>
          </w:p>
        </w:tc>
        <w:tc>
          <w:tcPr>
            <w:tcW w:w="5386" w:type="dxa"/>
            <w:vAlign w:val="center"/>
          </w:tcPr>
          <w:p>
            <w:pPr>
              <w:pStyle w:val="13"/>
            </w:pPr>
            <w:r>
              <w:t>项目总预算控制额</w:t>
            </w:r>
          </w:p>
        </w:tc>
        <w:tc>
          <w:tcPr>
            <w:tcW w:w="2268" w:type="dxa"/>
            <w:vAlign w:val="center"/>
          </w:tcPr>
          <w:p>
            <w:pPr>
              <w:pStyle w:val="13"/>
            </w:pPr>
            <w:r>
              <w:t>≤45万</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网络技术故障率</w:t>
            </w:r>
          </w:p>
        </w:tc>
        <w:tc>
          <w:tcPr>
            <w:tcW w:w="5386" w:type="dxa"/>
            <w:vAlign w:val="center"/>
          </w:tcPr>
          <w:p>
            <w:pPr>
              <w:pStyle w:val="13"/>
            </w:pPr>
            <w:r>
              <w:t>网络技术故障率</w:t>
            </w:r>
          </w:p>
        </w:tc>
        <w:tc>
          <w:tcPr>
            <w:tcW w:w="2268" w:type="dxa"/>
            <w:vAlign w:val="center"/>
          </w:tcPr>
          <w:p>
            <w:pPr>
              <w:pStyle w:val="13"/>
            </w:pPr>
            <w:r>
              <w:t>≤1%</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网络使用人员满意度</w:t>
            </w:r>
          </w:p>
        </w:tc>
        <w:tc>
          <w:tcPr>
            <w:tcW w:w="5386" w:type="dxa"/>
            <w:vAlign w:val="center"/>
          </w:tcPr>
          <w:p>
            <w:pPr>
              <w:pStyle w:val="13"/>
            </w:pPr>
            <w:r>
              <w:t>网络使用人员满意度</w:t>
            </w:r>
          </w:p>
        </w:tc>
        <w:tc>
          <w:tcPr>
            <w:tcW w:w="2268" w:type="dxa"/>
            <w:vAlign w:val="center"/>
          </w:tcPr>
          <w:p>
            <w:pPr>
              <w:pStyle w:val="13"/>
            </w:pPr>
            <w:r>
              <w:t>≥95%</w:t>
            </w:r>
          </w:p>
        </w:tc>
        <w:tc>
          <w:tcPr>
            <w:tcW w:w="1276" w:type="dxa"/>
            <w:vAlign w:val="center"/>
          </w:tcPr>
          <w:p>
            <w:pPr>
              <w:pStyle w:val="13"/>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、外地学习考察调研经费绩效目标表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13020725P00L02210006H</w:t>
            </w:r>
          </w:p>
        </w:tc>
        <w:tc>
          <w:tcPr>
            <w:tcW w:w="2835" w:type="dxa"/>
            <w:vAlign w:val="center"/>
          </w:tcPr>
          <w:p>
            <w:pPr>
              <w:pStyle w:val="11"/>
            </w:pPr>
            <w:r>
              <w:t>项目名称</w:t>
            </w:r>
          </w:p>
        </w:tc>
        <w:tc>
          <w:tcPr>
            <w:tcW w:w="6095" w:type="dxa"/>
            <w:gridSpan w:val="3"/>
            <w:vAlign w:val="center"/>
          </w:tcPr>
          <w:p>
            <w:pPr>
              <w:pStyle w:val="13"/>
            </w:pPr>
            <w:r>
              <w:t>外地学习考察调研经费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通过外出考察学习招商引资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1.通过外出考察学习招商引资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学习考察人员符合标准情况</w:t>
            </w:r>
          </w:p>
        </w:tc>
        <w:tc>
          <w:tcPr>
            <w:tcW w:w="5386" w:type="dxa"/>
            <w:vAlign w:val="center"/>
          </w:tcPr>
          <w:p>
            <w:pPr>
              <w:pStyle w:val="13"/>
            </w:pPr>
            <w:r>
              <w:t>外出考察人员是否严格按照文件规定</w:t>
            </w:r>
          </w:p>
        </w:tc>
        <w:tc>
          <w:tcPr>
            <w:tcW w:w="2268" w:type="dxa"/>
            <w:vAlign w:val="center"/>
          </w:tcPr>
          <w:p>
            <w:pPr>
              <w:pStyle w:val="13"/>
            </w:pPr>
            <w:r>
              <w:t>100%</w:t>
            </w:r>
          </w:p>
        </w:tc>
        <w:tc>
          <w:tcPr>
            <w:tcW w:w="1276" w:type="dxa"/>
            <w:vAlign w:val="center"/>
          </w:tcPr>
          <w:p>
            <w:pPr>
              <w:pStyle w:val="13"/>
            </w:pPr>
            <w:r>
              <w:t>文件规定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出行标准执行情况</w:t>
            </w:r>
          </w:p>
        </w:tc>
        <w:tc>
          <w:tcPr>
            <w:tcW w:w="5386" w:type="dxa"/>
            <w:vAlign w:val="center"/>
          </w:tcPr>
          <w:p>
            <w:pPr>
              <w:pStyle w:val="13"/>
            </w:pPr>
            <w:r>
              <w:t>外出考察人员是否严格按照我区差旅费标准规定</w:t>
            </w:r>
          </w:p>
        </w:tc>
        <w:tc>
          <w:tcPr>
            <w:tcW w:w="2268" w:type="dxa"/>
            <w:vAlign w:val="center"/>
          </w:tcPr>
          <w:p>
            <w:pPr>
              <w:pStyle w:val="13"/>
            </w:pPr>
            <w:r>
              <w:t>100%</w:t>
            </w:r>
          </w:p>
        </w:tc>
        <w:tc>
          <w:tcPr>
            <w:tcW w:w="1276" w:type="dxa"/>
            <w:vAlign w:val="center"/>
          </w:tcPr>
          <w:p>
            <w:pPr>
              <w:pStyle w:val="13"/>
            </w:pPr>
            <w:r>
              <w:t>文件规定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票据报销及时程度</w:t>
            </w:r>
          </w:p>
        </w:tc>
        <w:tc>
          <w:tcPr>
            <w:tcW w:w="5386" w:type="dxa"/>
            <w:vAlign w:val="center"/>
          </w:tcPr>
          <w:p>
            <w:pPr>
              <w:pStyle w:val="13"/>
            </w:pPr>
            <w:r>
              <w:t>归来后票据报销及时程度</w:t>
            </w:r>
          </w:p>
        </w:tc>
        <w:tc>
          <w:tcPr>
            <w:tcW w:w="2268" w:type="dxa"/>
            <w:vAlign w:val="center"/>
          </w:tcPr>
          <w:p>
            <w:pPr>
              <w:pStyle w:val="13"/>
            </w:pPr>
            <w:r>
              <w:t>≥3天</w:t>
            </w:r>
          </w:p>
        </w:tc>
        <w:tc>
          <w:tcPr>
            <w:tcW w:w="1276" w:type="dxa"/>
            <w:vAlign w:val="center"/>
          </w:tcPr>
          <w:p>
            <w:pPr>
              <w:pStyle w:val="13"/>
            </w:pPr>
            <w:r>
              <w:t>文件规定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差旅补助标准</w:t>
            </w:r>
          </w:p>
        </w:tc>
        <w:tc>
          <w:tcPr>
            <w:tcW w:w="5386" w:type="dxa"/>
            <w:vAlign w:val="center"/>
          </w:tcPr>
          <w:p>
            <w:pPr>
              <w:pStyle w:val="13"/>
            </w:pPr>
            <w:r>
              <w:t>按照市内交通80元/人/天，伙食补助100元/人/天</w:t>
            </w:r>
          </w:p>
        </w:tc>
        <w:tc>
          <w:tcPr>
            <w:tcW w:w="2268" w:type="dxa"/>
            <w:vAlign w:val="center"/>
          </w:tcPr>
          <w:p>
            <w:pPr>
              <w:pStyle w:val="13"/>
            </w:pPr>
            <w:r>
              <w:t>100%</w:t>
            </w:r>
          </w:p>
        </w:tc>
        <w:tc>
          <w:tcPr>
            <w:tcW w:w="1276" w:type="dxa"/>
            <w:vAlign w:val="center"/>
          </w:tcPr>
          <w:p>
            <w:pPr>
              <w:pStyle w:val="13"/>
            </w:pPr>
            <w:r>
              <w:t>文件规定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带动社会资金投资比</w:t>
            </w:r>
          </w:p>
        </w:tc>
        <w:tc>
          <w:tcPr>
            <w:tcW w:w="5386" w:type="dxa"/>
            <w:vAlign w:val="center"/>
          </w:tcPr>
          <w:p>
            <w:pPr>
              <w:pStyle w:val="13"/>
            </w:pPr>
            <w:r>
              <w:t>带动社会资金投入。</w:t>
            </w:r>
          </w:p>
        </w:tc>
        <w:tc>
          <w:tcPr>
            <w:tcW w:w="2268" w:type="dxa"/>
            <w:vAlign w:val="center"/>
          </w:tcPr>
          <w:p>
            <w:pPr>
              <w:pStyle w:val="13"/>
            </w:pPr>
            <w:r>
              <w:t>项目投资</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在全区产生的重要影响，得到广大受众的充分认可。</w:t>
            </w:r>
          </w:p>
        </w:tc>
        <w:tc>
          <w:tcPr>
            <w:tcW w:w="2268" w:type="dxa"/>
            <w:vAlign w:val="center"/>
          </w:tcPr>
          <w:p>
            <w:pPr>
              <w:pStyle w:val="13"/>
            </w:pPr>
            <w:r>
              <w:t>较大影响</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达到绿色产业标准</w:t>
            </w:r>
          </w:p>
        </w:tc>
        <w:tc>
          <w:tcPr>
            <w:tcW w:w="5386" w:type="dxa"/>
            <w:vAlign w:val="center"/>
          </w:tcPr>
          <w:p>
            <w:pPr>
              <w:pStyle w:val="13"/>
            </w:pPr>
            <w:r>
              <w:t>不对生态环境产生坏的影响，属于绿色生态产业。</w:t>
            </w:r>
          </w:p>
        </w:tc>
        <w:tc>
          <w:tcPr>
            <w:tcW w:w="2268" w:type="dxa"/>
            <w:vAlign w:val="center"/>
          </w:tcPr>
          <w:p>
            <w:pPr>
              <w:pStyle w:val="13"/>
            </w:pPr>
            <w:r>
              <w:t>生态环境保护</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我区人民群众经济发展的满意度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、网络管理运转工作经费绩效目标表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13020725P00NCTJ10031D</w:t>
            </w:r>
          </w:p>
        </w:tc>
        <w:tc>
          <w:tcPr>
            <w:tcW w:w="2835" w:type="dxa"/>
            <w:vAlign w:val="center"/>
          </w:tcPr>
          <w:p>
            <w:pPr>
              <w:pStyle w:val="11"/>
            </w:pPr>
            <w:r>
              <w:t>项目名称</w:t>
            </w:r>
          </w:p>
        </w:tc>
        <w:tc>
          <w:tcPr>
            <w:tcW w:w="6095" w:type="dxa"/>
            <w:gridSpan w:val="3"/>
            <w:vAlign w:val="center"/>
          </w:tcPr>
          <w:p>
            <w:pPr>
              <w:pStyle w:val="13"/>
            </w:pPr>
            <w:r>
              <w:t>网络管理运转工作经费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65.00</w:t>
            </w:r>
          </w:p>
        </w:tc>
        <w:tc>
          <w:tcPr>
            <w:tcW w:w="2835" w:type="dxa"/>
            <w:vAlign w:val="center"/>
          </w:tcPr>
          <w:p>
            <w:pPr>
              <w:pStyle w:val="11"/>
            </w:pPr>
            <w:r>
              <w:t>其中：财政    资金</w:t>
            </w:r>
          </w:p>
        </w:tc>
        <w:tc>
          <w:tcPr>
            <w:tcW w:w="2551" w:type="dxa"/>
            <w:vAlign w:val="center"/>
          </w:tcPr>
          <w:p>
            <w:pPr>
              <w:pStyle w:val="13"/>
            </w:pPr>
            <w:r>
              <w:t>65.00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保障网络机房、弱电机房等正常运转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1.保障网络机房、弱电机房等正常运转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日常维护设备（线路）数量</w:t>
            </w:r>
          </w:p>
        </w:tc>
        <w:tc>
          <w:tcPr>
            <w:tcW w:w="5386" w:type="dxa"/>
            <w:vAlign w:val="center"/>
          </w:tcPr>
          <w:p>
            <w:pPr>
              <w:pStyle w:val="13"/>
            </w:pPr>
            <w:r>
              <w:t>反映日常维护设备（线路）数量情况</w:t>
            </w:r>
          </w:p>
        </w:tc>
        <w:tc>
          <w:tcPr>
            <w:tcW w:w="2268" w:type="dxa"/>
            <w:vAlign w:val="center"/>
          </w:tcPr>
          <w:p>
            <w:pPr>
              <w:pStyle w:val="13"/>
            </w:pPr>
            <w:r>
              <w:t>≥10个</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系统正常运行率</w:t>
            </w:r>
          </w:p>
        </w:tc>
        <w:tc>
          <w:tcPr>
            <w:tcW w:w="5386" w:type="dxa"/>
            <w:vAlign w:val="center"/>
          </w:tcPr>
          <w:p>
            <w:pPr>
              <w:pStyle w:val="13"/>
            </w:pPr>
            <w:r>
              <w:t>系统正常运行时间（数量）/系统运行时间（数量）*100%</w:t>
            </w:r>
          </w:p>
        </w:tc>
        <w:tc>
          <w:tcPr>
            <w:tcW w:w="2268" w:type="dxa"/>
            <w:vAlign w:val="center"/>
          </w:tcPr>
          <w:p>
            <w:pPr>
              <w:pStyle w:val="13"/>
            </w:pPr>
            <w:r>
              <w:t>≥98%</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系统故障修复平均时间</w:t>
            </w:r>
          </w:p>
        </w:tc>
        <w:tc>
          <w:tcPr>
            <w:tcW w:w="5386" w:type="dxa"/>
            <w:vAlign w:val="center"/>
          </w:tcPr>
          <w:p>
            <w:pPr>
              <w:pStyle w:val="13"/>
            </w:pPr>
            <w:r>
              <w:t>反映系统故障及时修复情况</w:t>
            </w:r>
          </w:p>
        </w:tc>
        <w:tc>
          <w:tcPr>
            <w:tcW w:w="2268" w:type="dxa"/>
            <w:vAlign w:val="center"/>
          </w:tcPr>
          <w:p>
            <w:pPr>
              <w:pStyle w:val="13"/>
            </w:pPr>
            <w:r>
              <w:t>≤8小时</w:t>
            </w:r>
          </w:p>
        </w:tc>
        <w:tc>
          <w:tcPr>
            <w:tcW w:w="1276" w:type="dxa"/>
            <w:vAlign w:val="center"/>
          </w:tcPr>
          <w:p>
            <w:pPr>
              <w:pStyle w:val="13"/>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系统运行维护成本</w:t>
            </w:r>
          </w:p>
        </w:tc>
        <w:tc>
          <w:tcPr>
            <w:tcW w:w="5386" w:type="dxa"/>
            <w:vAlign w:val="center"/>
          </w:tcPr>
          <w:p>
            <w:pPr>
              <w:pStyle w:val="13"/>
            </w:pPr>
            <w:r>
              <w:t>反映系统维护成本情况</w:t>
            </w:r>
          </w:p>
        </w:tc>
        <w:tc>
          <w:tcPr>
            <w:tcW w:w="2268" w:type="dxa"/>
            <w:vAlign w:val="center"/>
          </w:tcPr>
          <w:p>
            <w:pPr>
              <w:pStyle w:val="13"/>
            </w:pPr>
            <w:r>
              <w:t>≤50万元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对延长设备生命周期、降低故障率的影响程度</w:t>
            </w:r>
          </w:p>
        </w:tc>
        <w:tc>
          <w:tcPr>
            <w:tcW w:w="5386" w:type="dxa"/>
            <w:vAlign w:val="center"/>
          </w:tcPr>
          <w:p>
            <w:pPr>
              <w:pStyle w:val="13"/>
            </w:pPr>
            <w:r>
              <w:t>通过项目的实施对延长设备生命周期、降低故障率的影响程度</w:t>
            </w:r>
          </w:p>
        </w:tc>
        <w:tc>
          <w:tcPr>
            <w:tcW w:w="2268" w:type="dxa"/>
            <w:vAlign w:val="center"/>
          </w:tcPr>
          <w:p>
            <w:pPr>
              <w:pStyle w:val="13"/>
            </w:pPr>
            <w:r>
              <w:t>明显</w:t>
            </w:r>
          </w:p>
        </w:tc>
        <w:tc>
          <w:tcPr>
            <w:tcW w:w="1276" w:type="dxa"/>
            <w:vAlign w:val="center"/>
          </w:tcPr>
          <w:p>
            <w:pPr>
              <w:pStyle w:val="13"/>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保障系统持续稳定运行</w:t>
            </w:r>
          </w:p>
        </w:tc>
        <w:tc>
          <w:tcPr>
            <w:tcW w:w="5386" w:type="dxa"/>
            <w:vAlign w:val="center"/>
          </w:tcPr>
          <w:p>
            <w:pPr>
              <w:pStyle w:val="13"/>
            </w:pPr>
            <w:r>
              <w:t>反映保障系统持续稳定运行情况</w:t>
            </w:r>
          </w:p>
        </w:tc>
        <w:tc>
          <w:tcPr>
            <w:tcW w:w="2268" w:type="dxa"/>
            <w:vAlign w:val="center"/>
          </w:tcPr>
          <w:p>
            <w:pPr>
              <w:pStyle w:val="13"/>
            </w:pPr>
            <w:r>
              <w:t>稳定运行</w:t>
            </w:r>
          </w:p>
        </w:tc>
        <w:tc>
          <w:tcPr>
            <w:tcW w:w="1276" w:type="dxa"/>
            <w:vAlign w:val="center"/>
          </w:tcPr>
          <w:p>
            <w:pPr>
              <w:pStyle w:val="13"/>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反映收益对象满意程度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、业务工作经费绩效目标表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13020725P002EN810004T</w:t>
            </w:r>
          </w:p>
        </w:tc>
        <w:tc>
          <w:tcPr>
            <w:tcW w:w="2835" w:type="dxa"/>
            <w:vAlign w:val="center"/>
          </w:tcPr>
          <w:p>
            <w:pPr>
              <w:pStyle w:val="11"/>
            </w:pPr>
            <w:r>
              <w:t>项目名称</w:t>
            </w:r>
          </w:p>
        </w:tc>
        <w:tc>
          <w:tcPr>
            <w:tcW w:w="6095" w:type="dxa"/>
            <w:gridSpan w:val="3"/>
            <w:vAlign w:val="center"/>
          </w:tcPr>
          <w:p>
            <w:pPr>
              <w:pStyle w:val="13"/>
            </w:pPr>
            <w:r>
              <w:t>业务工作经费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35.00</w:t>
            </w:r>
          </w:p>
        </w:tc>
        <w:tc>
          <w:tcPr>
            <w:tcW w:w="2835" w:type="dxa"/>
            <w:vAlign w:val="center"/>
          </w:tcPr>
          <w:p>
            <w:pPr>
              <w:pStyle w:val="11"/>
            </w:pPr>
            <w:r>
              <w:t>其中：财政    资金</w:t>
            </w:r>
          </w:p>
        </w:tc>
        <w:tc>
          <w:tcPr>
            <w:tcW w:w="2551" w:type="dxa"/>
            <w:vAlign w:val="center"/>
          </w:tcPr>
          <w:p>
            <w:pPr>
              <w:pStyle w:val="13"/>
            </w:pPr>
            <w:r>
              <w:t>35.00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保障单位机关正常运转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1.保障单位机关正常运转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办公设备购置数量</w:t>
            </w:r>
          </w:p>
        </w:tc>
        <w:tc>
          <w:tcPr>
            <w:tcW w:w="5386" w:type="dxa"/>
            <w:vAlign w:val="center"/>
          </w:tcPr>
          <w:p>
            <w:pPr>
              <w:pStyle w:val="13"/>
            </w:pPr>
            <w:r>
              <w:t>反映新增购置的办公设备数量情况</w:t>
            </w:r>
          </w:p>
        </w:tc>
        <w:tc>
          <w:tcPr>
            <w:tcW w:w="2268" w:type="dxa"/>
            <w:vAlign w:val="center"/>
          </w:tcPr>
          <w:p>
            <w:pPr>
              <w:pStyle w:val="13"/>
            </w:pPr>
            <w:r>
              <w:t>10台</w:t>
            </w:r>
          </w:p>
        </w:tc>
        <w:tc>
          <w:tcPr>
            <w:tcW w:w="1276" w:type="dxa"/>
            <w:vAlign w:val="center"/>
          </w:tcPr>
          <w:p>
            <w:pPr>
              <w:pStyle w:val="13"/>
            </w:pPr>
            <w:r>
              <w:t>购置计划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保障工作正常开展</w:t>
            </w:r>
          </w:p>
        </w:tc>
        <w:tc>
          <w:tcPr>
            <w:tcW w:w="5386" w:type="dxa"/>
            <w:vAlign w:val="center"/>
          </w:tcPr>
          <w:p>
            <w:pPr>
              <w:pStyle w:val="13"/>
            </w:pPr>
            <w:r>
              <w:t>反映办公设备设施满足需要情况</w:t>
            </w:r>
          </w:p>
        </w:tc>
        <w:tc>
          <w:tcPr>
            <w:tcW w:w="2268" w:type="dxa"/>
            <w:vAlign w:val="center"/>
          </w:tcPr>
          <w:p>
            <w:pPr>
              <w:pStyle w:val="13"/>
            </w:pPr>
            <w:r>
              <w:t>有效保障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运转经费及时保障</w:t>
            </w:r>
          </w:p>
        </w:tc>
        <w:tc>
          <w:tcPr>
            <w:tcW w:w="5386" w:type="dxa"/>
            <w:vAlign w:val="center"/>
          </w:tcPr>
          <w:p>
            <w:pPr>
              <w:pStyle w:val="13"/>
            </w:pPr>
            <w:r>
              <w:t>在规定时间内支付到位情况</w:t>
            </w:r>
          </w:p>
        </w:tc>
        <w:tc>
          <w:tcPr>
            <w:tcW w:w="2268" w:type="dxa"/>
            <w:vAlign w:val="center"/>
          </w:tcPr>
          <w:p>
            <w:pPr>
              <w:pStyle w:val="13"/>
            </w:pPr>
            <w:r>
              <w:t>及时保障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机关运转经费控制情况</w:t>
            </w:r>
          </w:p>
        </w:tc>
        <w:tc>
          <w:tcPr>
            <w:tcW w:w="5386" w:type="dxa"/>
            <w:vAlign w:val="center"/>
          </w:tcPr>
          <w:p>
            <w:pPr>
              <w:pStyle w:val="13"/>
            </w:pPr>
            <w:r>
              <w:t>机关运转经费低于上年</w:t>
            </w:r>
          </w:p>
        </w:tc>
        <w:tc>
          <w:tcPr>
            <w:tcW w:w="2268" w:type="dxa"/>
            <w:vAlign w:val="center"/>
          </w:tcPr>
          <w:p>
            <w:pPr>
              <w:pStyle w:val="13"/>
            </w:pPr>
            <w:r>
              <w:t>有效控制</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对办公环境和办公条件的改善或提升程度</w:t>
            </w:r>
          </w:p>
        </w:tc>
        <w:tc>
          <w:tcPr>
            <w:tcW w:w="5386" w:type="dxa"/>
            <w:vAlign w:val="center"/>
          </w:tcPr>
          <w:p>
            <w:pPr>
              <w:pStyle w:val="13"/>
            </w:pPr>
            <w:r>
              <w:t>反映对办公环境的改善或提升程度</w:t>
            </w:r>
          </w:p>
        </w:tc>
        <w:tc>
          <w:tcPr>
            <w:tcW w:w="2268" w:type="dxa"/>
            <w:vAlign w:val="center"/>
          </w:tcPr>
          <w:p>
            <w:pPr>
              <w:pStyle w:val="13"/>
            </w:pPr>
            <w:r>
              <w:t>明显</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反映工作人员满意程度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、劳务派遣人员经费（劳务费）绩效目标表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13020725P00002210354X</w:t>
            </w:r>
          </w:p>
        </w:tc>
        <w:tc>
          <w:tcPr>
            <w:tcW w:w="2835" w:type="dxa"/>
            <w:vAlign w:val="center"/>
          </w:tcPr>
          <w:p>
            <w:pPr>
              <w:pStyle w:val="11"/>
            </w:pPr>
            <w:r>
              <w:t>项目名称</w:t>
            </w:r>
          </w:p>
        </w:tc>
        <w:tc>
          <w:tcPr>
            <w:tcW w:w="6095" w:type="dxa"/>
            <w:gridSpan w:val="3"/>
            <w:vAlign w:val="center"/>
          </w:tcPr>
          <w:p>
            <w:pPr>
              <w:pStyle w:val="13"/>
            </w:pPr>
            <w:r>
              <w:t>劳务派遣人员经费（劳务费）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10.98</w:t>
            </w:r>
          </w:p>
        </w:tc>
        <w:tc>
          <w:tcPr>
            <w:tcW w:w="2835" w:type="dxa"/>
            <w:vAlign w:val="center"/>
          </w:tcPr>
          <w:p>
            <w:pPr>
              <w:pStyle w:val="11"/>
            </w:pPr>
            <w:r>
              <w:t>其中：财政    资金</w:t>
            </w:r>
          </w:p>
        </w:tc>
        <w:tc>
          <w:tcPr>
            <w:tcW w:w="2551" w:type="dxa"/>
            <w:vAlign w:val="center"/>
          </w:tcPr>
          <w:p>
            <w:pPr>
              <w:pStyle w:val="13"/>
            </w:pPr>
            <w:r>
              <w:t>10.98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保障单位机关正常运转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1.保障单位机关正常运转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劳务派遣人数</w:t>
            </w:r>
          </w:p>
        </w:tc>
        <w:tc>
          <w:tcPr>
            <w:tcW w:w="5386" w:type="dxa"/>
            <w:vAlign w:val="center"/>
          </w:tcPr>
          <w:p>
            <w:pPr>
              <w:pStyle w:val="13"/>
            </w:pPr>
            <w:r>
              <w:t>反映签订劳务派遣合同人数情况</w:t>
            </w:r>
          </w:p>
        </w:tc>
        <w:tc>
          <w:tcPr>
            <w:tcW w:w="2268" w:type="dxa"/>
            <w:vAlign w:val="center"/>
          </w:tcPr>
          <w:p>
            <w:pPr>
              <w:pStyle w:val="13"/>
            </w:pPr>
            <w:r>
              <w:t>2人</w:t>
            </w:r>
          </w:p>
        </w:tc>
        <w:tc>
          <w:tcPr>
            <w:tcW w:w="1276" w:type="dxa"/>
            <w:vAlign w:val="center"/>
          </w:tcPr>
          <w:p>
            <w:pPr>
              <w:pStyle w:val="13"/>
            </w:pPr>
            <w:r>
              <w:t>人社局审批、上年末人数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职责任务完成情况</w:t>
            </w:r>
          </w:p>
        </w:tc>
        <w:tc>
          <w:tcPr>
            <w:tcW w:w="5386" w:type="dxa"/>
            <w:vAlign w:val="center"/>
          </w:tcPr>
          <w:p>
            <w:pPr>
              <w:pStyle w:val="13"/>
            </w:pPr>
            <w:r>
              <w:t>反映本职工作任务情况</w:t>
            </w:r>
          </w:p>
        </w:tc>
        <w:tc>
          <w:tcPr>
            <w:tcW w:w="2268" w:type="dxa"/>
            <w:vAlign w:val="center"/>
          </w:tcPr>
          <w:p>
            <w:pPr>
              <w:pStyle w:val="13"/>
            </w:pPr>
            <w:r>
              <w:t>较好完成</w:t>
            </w:r>
          </w:p>
        </w:tc>
        <w:tc>
          <w:tcPr>
            <w:tcW w:w="1276" w:type="dxa"/>
            <w:vAlign w:val="center"/>
          </w:tcPr>
          <w:p>
            <w:pPr>
              <w:pStyle w:val="13"/>
            </w:pPr>
            <w:r>
              <w:t>相关人事管理文件，如：机关事业单位劳务派遣人员管理办法等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工资发放及时性</w:t>
            </w:r>
          </w:p>
        </w:tc>
        <w:tc>
          <w:tcPr>
            <w:tcW w:w="5386" w:type="dxa"/>
            <w:vAlign w:val="center"/>
          </w:tcPr>
          <w:p>
            <w:pPr>
              <w:pStyle w:val="13"/>
            </w:pPr>
            <w:r>
              <w:t>反映按时足额发放工资的情况</w:t>
            </w:r>
          </w:p>
        </w:tc>
        <w:tc>
          <w:tcPr>
            <w:tcW w:w="2268" w:type="dxa"/>
            <w:vAlign w:val="center"/>
          </w:tcPr>
          <w:p>
            <w:pPr>
              <w:pStyle w:val="13"/>
            </w:pPr>
            <w:r>
              <w:t>及时足额发放</w:t>
            </w:r>
          </w:p>
        </w:tc>
        <w:tc>
          <w:tcPr>
            <w:tcW w:w="1276" w:type="dxa"/>
            <w:vAlign w:val="center"/>
          </w:tcPr>
          <w:p>
            <w:pPr>
              <w:pStyle w:val="13"/>
            </w:pPr>
            <w:r>
              <w:t>历史标准、合同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发放工资（补助）总金额</w:t>
            </w:r>
          </w:p>
        </w:tc>
        <w:tc>
          <w:tcPr>
            <w:tcW w:w="5386" w:type="dxa"/>
            <w:vAlign w:val="center"/>
          </w:tcPr>
          <w:p>
            <w:pPr>
              <w:pStyle w:val="13"/>
            </w:pPr>
            <w:r>
              <w:t>反映支付人员工资（补助）总金额情况</w:t>
            </w:r>
          </w:p>
        </w:tc>
        <w:tc>
          <w:tcPr>
            <w:tcW w:w="2268" w:type="dxa"/>
            <w:vAlign w:val="center"/>
          </w:tcPr>
          <w:p>
            <w:pPr>
              <w:pStyle w:val="13"/>
            </w:pPr>
            <w:r>
              <w:t>≤10.98万元</w:t>
            </w:r>
          </w:p>
        </w:tc>
        <w:tc>
          <w:tcPr>
            <w:tcW w:w="1276" w:type="dxa"/>
            <w:vAlign w:val="center"/>
          </w:tcPr>
          <w:p>
            <w:pPr>
              <w:pStyle w:val="13"/>
            </w:pPr>
            <w:r>
              <w:t>历史标准、合同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带动消费情况</w:t>
            </w:r>
          </w:p>
        </w:tc>
        <w:tc>
          <w:tcPr>
            <w:tcW w:w="5386" w:type="dxa"/>
            <w:vAlign w:val="center"/>
          </w:tcPr>
          <w:p>
            <w:pPr>
              <w:pStyle w:val="13"/>
            </w:pPr>
            <w:r>
              <w:t>反映带动消费情况</w:t>
            </w:r>
          </w:p>
        </w:tc>
        <w:tc>
          <w:tcPr>
            <w:tcW w:w="2268" w:type="dxa"/>
            <w:vAlign w:val="center"/>
          </w:tcPr>
          <w:p>
            <w:pPr>
              <w:pStyle w:val="13"/>
            </w:pPr>
            <w:r>
              <w:t>有效带动</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生活水平保障程度</w:t>
            </w:r>
          </w:p>
        </w:tc>
        <w:tc>
          <w:tcPr>
            <w:tcW w:w="5386" w:type="dxa"/>
            <w:vAlign w:val="center"/>
          </w:tcPr>
          <w:p>
            <w:pPr>
              <w:pStyle w:val="13"/>
            </w:pPr>
            <w:r>
              <w:t>反映工作人员生活水平情况</w:t>
            </w:r>
          </w:p>
        </w:tc>
        <w:tc>
          <w:tcPr>
            <w:tcW w:w="2268" w:type="dxa"/>
            <w:vAlign w:val="center"/>
          </w:tcPr>
          <w:p>
            <w:pPr>
              <w:pStyle w:val="13"/>
            </w:pPr>
            <w:r>
              <w:t>有效保障</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聘用人员稳定程度</w:t>
            </w:r>
          </w:p>
        </w:tc>
        <w:tc>
          <w:tcPr>
            <w:tcW w:w="5386" w:type="dxa"/>
            <w:vAlign w:val="center"/>
          </w:tcPr>
          <w:p>
            <w:pPr>
              <w:pStyle w:val="13"/>
            </w:pPr>
            <w:r>
              <w:t>反映聘用人员稳定程度</w:t>
            </w:r>
          </w:p>
        </w:tc>
        <w:tc>
          <w:tcPr>
            <w:tcW w:w="2268" w:type="dxa"/>
            <w:vAlign w:val="center"/>
          </w:tcPr>
          <w:p>
            <w:pPr>
              <w:pStyle w:val="13"/>
            </w:pPr>
            <w:r>
              <w:t>保持稳定</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服务对象人群满意度</w:t>
            </w:r>
          </w:p>
        </w:tc>
        <w:tc>
          <w:tcPr>
            <w:tcW w:w="5386" w:type="dxa"/>
            <w:vAlign w:val="center"/>
          </w:tcPr>
          <w:p>
            <w:pPr>
              <w:pStyle w:val="13"/>
            </w:pPr>
            <w:r>
              <w:t>反映群众对工作人员服务满意程度</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、业务工作经费绩效目标表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13020725P00624R10016R</w:t>
            </w:r>
          </w:p>
        </w:tc>
        <w:tc>
          <w:tcPr>
            <w:tcW w:w="2835" w:type="dxa"/>
            <w:vAlign w:val="center"/>
          </w:tcPr>
          <w:p>
            <w:pPr>
              <w:pStyle w:val="11"/>
            </w:pPr>
            <w:r>
              <w:t>项目名称</w:t>
            </w:r>
          </w:p>
        </w:tc>
        <w:tc>
          <w:tcPr>
            <w:tcW w:w="6095" w:type="dxa"/>
            <w:gridSpan w:val="3"/>
            <w:vAlign w:val="center"/>
          </w:tcPr>
          <w:p>
            <w:pPr>
              <w:pStyle w:val="13"/>
            </w:pPr>
            <w:r>
              <w:t>业务工作经费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22.00</w:t>
            </w:r>
          </w:p>
        </w:tc>
        <w:tc>
          <w:tcPr>
            <w:tcW w:w="2835" w:type="dxa"/>
            <w:vAlign w:val="center"/>
          </w:tcPr>
          <w:p>
            <w:pPr>
              <w:pStyle w:val="11"/>
            </w:pPr>
            <w:r>
              <w:t>其中：财政    资金</w:t>
            </w:r>
          </w:p>
        </w:tc>
        <w:tc>
          <w:tcPr>
            <w:tcW w:w="2551" w:type="dxa"/>
            <w:vAlign w:val="center"/>
          </w:tcPr>
          <w:p>
            <w:pPr>
              <w:pStyle w:val="13"/>
            </w:pPr>
            <w:r>
              <w:t>22.00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加强党组织规范化建设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1.加强党组织规范化建设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入党积极分子、党务干部培训次数</w:t>
            </w:r>
          </w:p>
        </w:tc>
        <w:tc>
          <w:tcPr>
            <w:tcW w:w="5386" w:type="dxa"/>
            <w:vAlign w:val="center"/>
          </w:tcPr>
          <w:p>
            <w:pPr>
              <w:pStyle w:val="13"/>
            </w:pPr>
            <w:r>
              <w:t>组织入党积极分子、党务干部等培训次数</w:t>
            </w:r>
          </w:p>
        </w:tc>
        <w:tc>
          <w:tcPr>
            <w:tcW w:w="2268" w:type="dxa"/>
            <w:vAlign w:val="center"/>
          </w:tcPr>
          <w:p>
            <w:pPr>
              <w:pStyle w:val="13"/>
            </w:pPr>
            <w:r>
              <w:t>≥2次</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优良率</w:t>
            </w:r>
          </w:p>
        </w:tc>
        <w:tc>
          <w:tcPr>
            <w:tcW w:w="5386" w:type="dxa"/>
            <w:vAlign w:val="center"/>
          </w:tcPr>
          <w:p>
            <w:pPr>
              <w:pStyle w:val="13"/>
            </w:pPr>
            <w:r>
              <w:t>结项鉴定优秀等级项目数量占结项总数量的比例（百分比）</w:t>
            </w:r>
          </w:p>
        </w:tc>
        <w:tc>
          <w:tcPr>
            <w:tcW w:w="2268" w:type="dxa"/>
            <w:vAlign w:val="center"/>
          </w:tcPr>
          <w:p>
            <w:pPr>
              <w:pStyle w:val="13"/>
            </w:pPr>
            <w:r>
              <w:t>≥80%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按照要求和计划完成研究任务的项目在所有立项项目中的比例（百分比）</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党员学习考察、开展培训等的开支</w:t>
            </w:r>
          </w:p>
        </w:tc>
        <w:tc>
          <w:tcPr>
            <w:tcW w:w="5386" w:type="dxa"/>
            <w:vAlign w:val="center"/>
          </w:tcPr>
          <w:p>
            <w:pPr>
              <w:pStyle w:val="13"/>
            </w:pPr>
            <w:r>
              <w:t>党员学习考察、开展培训等的开支标准</w:t>
            </w:r>
          </w:p>
        </w:tc>
        <w:tc>
          <w:tcPr>
            <w:tcW w:w="2268" w:type="dxa"/>
            <w:vAlign w:val="center"/>
          </w:tcPr>
          <w:p>
            <w:pPr>
              <w:pStyle w:val="13"/>
            </w:pPr>
            <w:r>
              <w:t>≤1.5万元</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爱国主义教育基地参观学习人次</w:t>
            </w:r>
          </w:p>
        </w:tc>
        <w:tc>
          <w:tcPr>
            <w:tcW w:w="5386" w:type="dxa"/>
            <w:vAlign w:val="center"/>
          </w:tcPr>
          <w:p>
            <w:pPr>
              <w:pStyle w:val="13"/>
            </w:pPr>
            <w:r>
              <w:t>组织前往爱国主义教育基地参观的数量（人次）</w:t>
            </w:r>
          </w:p>
        </w:tc>
        <w:tc>
          <w:tcPr>
            <w:tcW w:w="2268" w:type="dxa"/>
            <w:vAlign w:val="center"/>
          </w:tcPr>
          <w:p>
            <w:pPr>
              <w:pStyle w:val="13"/>
            </w:pPr>
            <w:r>
              <w:t>≥300人</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社会主义核心价值观建设效果</w:t>
            </w:r>
          </w:p>
        </w:tc>
        <w:tc>
          <w:tcPr>
            <w:tcW w:w="5386" w:type="dxa"/>
            <w:vAlign w:val="center"/>
          </w:tcPr>
          <w:p>
            <w:pPr>
              <w:pStyle w:val="13"/>
            </w:pPr>
            <w:r>
              <w:t>反映文化产业在增强文化软实力，推动经济社会发展中的积极作用</w:t>
            </w:r>
          </w:p>
        </w:tc>
        <w:tc>
          <w:tcPr>
            <w:tcW w:w="2268" w:type="dxa"/>
            <w:vAlign w:val="center"/>
          </w:tcPr>
          <w:p>
            <w:pPr>
              <w:pStyle w:val="13"/>
            </w:pPr>
            <w:r>
              <w:t>区直机关党务工作者业务水进一步增强</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省级文明城市年度测评</w:t>
            </w:r>
          </w:p>
        </w:tc>
        <w:tc>
          <w:tcPr>
            <w:tcW w:w="5386" w:type="dxa"/>
            <w:vAlign w:val="center"/>
          </w:tcPr>
          <w:p>
            <w:pPr>
              <w:pStyle w:val="13"/>
            </w:pPr>
            <w:r>
              <w:t>反映我省省级文明城市创建情况</w:t>
            </w:r>
          </w:p>
        </w:tc>
        <w:tc>
          <w:tcPr>
            <w:tcW w:w="2268" w:type="dxa"/>
            <w:vAlign w:val="center"/>
          </w:tcPr>
          <w:p>
            <w:pPr>
              <w:pStyle w:val="13"/>
            </w:pPr>
            <w:r>
              <w:t>加强对窗口单位文明城市创建度督导检查工作。</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系列文化活动参与者满意度情况</w:t>
            </w:r>
          </w:p>
        </w:tc>
        <w:tc>
          <w:tcPr>
            <w:tcW w:w="5386" w:type="dxa"/>
            <w:vAlign w:val="center"/>
          </w:tcPr>
          <w:p>
            <w:pPr>
              <w:pStyle w:val="13"/>
            </w:pPr>
            <w:r>
              <w:t>系列文化活动参与者满意人数占参与人数的比例</w:t>
            </w:r>
          </w:p>
        </w:tc>
        <w:tc>
          <w:tcPr>
            <w:tcW w:w="2268" w:type="dxa"/>
            <w:vAlign w:val="center"/>
          </w:tcPr>
          <w:p>
            <w:pPr>
              <w:pStyle w:val="13"/>
            </w:pPr>
            <w:r>
              <w:t>≥90%</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0</w:t>
      </w:r>
      <w:r>
        <w:rPr>
          <w:rFonts w:ascii="方正仿宋_GBK" w:hAnsi="方正仿宋_GBK" w:eastAsia="方正仿宋_GBK" w:cs="方正仿宋_GBK"/>
          <w:color w:val="000000"/>
          <w:sz w:val="28"/>
        </w:rPr>
        <w:t>、党史业务工作经费绩效目标表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13020725P00CT60100054</w:t>
            </w:r>
          </w:p>
        </w:tc>
        <w:tc>
          <w:tcPr>
            <w:tcW w:w="2835" w:type="dxa"/>
            <w:vAlign w:val="center"/>
          </w:tcPr>
          <w:p>
            <w:pPr>
              <w:pStyle w:val="11"/>
            </w:pPr>
            <w:r>
              <w:t>项目名称</w:t>
            </w:r>
          </w:p>
        </w:tc>
        <w:tc>
          <w:tcPr>
            <w:tcW w:w="6095" w:type="dxa"/>
            <w:gridSpan w:val="3"/>
            <w:vAlign w:val="center"/>
          </w:tcPr>
          <w:p>
            <w:pPr>
              <w:pStyle w:val="13"/>
            </w:pPr>
            <w:r>
              <w:t>党史业务工作经费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5.20</w:t>
            </w:r>
          </w:p>
        </w:tc>
        <w:tc>
          <w:tcPr>
            <w:tcW w:w="2835" w:type="dxa"/>
            <w:vAlign w:val="center"/>
          </w:tcPr>
          <w:p>
            <w:pPr>
              <w:pStyle w:val="11"/>
            </w:pPr>
            <w:r>
              <w:t>其中：财政    资金</w:t>
            </w:r>
          </w:p>
        </w:tc>
        <w:tc>
          <w:tcPr>
            <w:tcW w:w="2551" w:type="dxa"/>
            <w:vAlign w:val="center"/>
          </w:tcPr>
          <w:p>
            <w:pPr>
              <w:pStyle w:val="13"/>
            </w:pPr>
            <w:r>
              <w:t>5.20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加强红色资源保护利用，建立全区党史资源数据库</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1.加强红色资源保护利用，建立全区党史资源数据库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著作数量</w:t>
            </w:r>
          </w:p>
        </w:tc>
        <w:tc>
          <w:tcPr>
            <w:tcW w:w="5386" w:type="dxa"/>
            <w:vAlign w:val="center"/>
          </w:tcPr>
          <w:p>
            <w:pPr>
              <w:pStyle w:val="13"/>
            </w:pPr>
            <w:r>
              <w:t>编纂著作数量</w:t>
            </w:r>
          </w:p>
        </w:tc>
        <w:tc>
          <w:tcPr>
            <w:tcW w:w="2268" w:type="dxa"/>
            <w:vAlign w:val="center"/>
          </w:tcPr>
          <w:p>
            <w:pPr>
              <w:pStyle w:val="13"/>
            </w:pPr>
            <w:r>
              <w:t>≥1本</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及时完成各项工作</w:t>
            </w:r>
          </w:p>
        </w:tc>
        <w:tc>
          <w:tcPr>
            <w:tcW w:w="5386" w:type="dxa"/>
            <w:vAlign w:val="center"/>
          </w:tcPr>
          <w:p>
            <w:pPr>
              <w:pStyle w:val="13"/>
            </w:pPr>
            <w:r>
              <w:t>及时完成各项工作比率</w:t>
            </w:r>
          </w:p>
        </w:tc>
        <w:tc>
          <w:tcPr>
            <w:tcW w:w="2268" w:type="dxa"/>
            <w:vAlign w:val="center"/>
          </w:tcPr>
          <w:p>
            <w:pPr>
              <w:pStyle w:val="13"/>
            </w:pPr>
            <w:r>
              <w:t>≥95%</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编写、宣传及时性</w:t>
            </w:r>
          </w:p>
        </w:tc>
        <w:tc>
          <w:tcPr>
            <w:tcW w:w="5386" w:type="dxa"/>
            <w:vAlign w:val="center"/>
          </w:tcPr>
          <w:p>
            <w:pPr>
              <w:pStyle w:val="13"/>
            </w:pPr>
            <w:r>
              <w:t>及时跟进任务开展宣传报道工作</w:t>
            </w:r>
          </w:p>
        </w:tc>
        <w:tc>
          <w:tcPr>
            <w:tcW w:w="2268" w:type="dxa"/>
            <w:vAlign w:val="center"/>
          </w:tcPr>
          <w:p>
            <w:pPr>
              <w:pStyle w:val="13"/>
            </w:pPr>
            <w:r>
              <w:t>≥700本</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机关运转经费</w:t>
            </w:r>
          </w:p>
        </w:tc>
        <w:tc>
          <w:tcPr>
            <w:tcW w:w="5386" w:type="dxa"/>
            <w:vAlign w:val="center"/>
          </w:tcPr>
          <w:p>
            <w:pPr>
              <w:pStyle w:val="13"/>
            </w:pPr>
            <w:r>
              <w:t>反映机关运转经费情况</w:t>
            </w:r>
          </w:p>
        </w:tc>
        <w:tc>
          <w:tcPr>
            <w:tcW w:w="2268" w:type="dxa"/>
            <w:vAlign w:val="center"/>
          </w:tcPr>
          <w:p>
            <w:pPr>
              <w:pStyle w:val="13"/>
            </w:pPr>
            <w:r>
              <w:t>≤0.65万元</w:t>
            </w:r>
          </w:p>
        </w:tc>
        <w:tc>
          <w:tcPr>
            <w:tcW w:w="1276" w:type="dxa"/>
            <w:vAlign w:val="center"/>
          </w:tcPr>
          <w:p>
            <w:pPr>
              <w:pStyle w:val="13"/>
            </w:pPr>
            <w:r>
              <w:t>历史标准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外宣品发放使用量占生产量的比例</w:t>
            </w:r>
          </w:p>
        </w:tc>
        <w:tc>
          <w:tcPr>
            <w:tcW w:w="5386" w:type="dxa"/>
            <w:vAlign w:val="center"/>
          </w:tcPr>
          <w:p>
            <w:pPr>
              <w:pStyle w:val="13"/>
            </w:pPr>
            <w:r>
              <w:t>反映外宣品的使用程度</w:t>
            </w:r>
          </w:p>
        </w:tc>
        <w:tc>
          <w:tcPr>
            <w:tcW w:w="2268" w:type="dxa"/>
            <w:vAlign w:val="center"/>
          </w:tcPr>
          <w:p>
            <w:pPr>
              <w:pStyle w:val="13"/>
            </w:pPr>
            <w:r>
              <w:t>≥70%</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系列文化活动参与者满意度情况</w:t>
            </w:r>
          </w:p>
        </w:tc>
        <w:tc>
          <w:tcPr>
            <w:tcW w:w="5386" w:type="dxa"/>
            <w:vAlign w:val="center"/>
          </w:tcPr>
          <w:p>
            <w:pPr>
              <w:pStyle w:val="13"/>
            </w:pPr>
            <w:r>
              <w:t>系列文化活动参与者满意人数占参与人数的比例</w:t>
            </w:r>
          </w:p>
        </w:tc>
        <w:tc>
          <w:tcPr>
            <w:tcW w:w="2268" w:type="dxa"/>
            <w:vAlign w:val="center"/>
          </w:tcPr>
          <w:p>
            <w:pPr>
              <w:pStyle w:val="13"/>
            </w:pPr>
            <w:r>
              <w:t>≥80%</w:t>
            </w:r>
          </w:p>
        </w:tc>
        <w:tc>
          <w:tcPr>
            <w:tcW w:w="1276" w:type="dxa"/>
            <w:vAlign w:val="center"/>
          </w:tcPr>
          <w:p>
            <w:pPr>
              <w:pStyle w:val="13"/>
            </w:pPr>
            <w:r>
              <w:t>经验标准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320中国共产党唐山市丰南区委员会办公室</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中国共产党唐山市丰南区委员会办公室（含所属单位）上年末固定资产金额为2066.51万元（详见下表）。本年度拟购置固定资产总额为15.00万元，已按要求列入政府采购预算，详见政府采购预算表。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320中国共产党唐山市丰南区委员会办公室</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2066.51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8</w:t>
            </w:r>
          </w:p>
        </w:tc>
        <w:tc>
          <w:tcPr>
            <w:tcW w:w="2835" w:type="dxa"/>
            <w:vAlign w:val="center"/>
          </w:tcPr>
          <w:p>
            <w:pPr>
              <w:pStyle w:val="12"/>
            </w:pPr>
            <w:r>
              <w:t>171.33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1</w:t>
            </w:r>
          </w:p>
        </w:tc>
        <w:tc>
          <w:tcPr>
            <w:tcW w:w="2835" w:type="dxa"/>
            <w:vAlign w:val="center"/>
          </w:tcPr>
          <w:p>
            <w:pPr>
              <w:pStyle w:val="12"/>
            </w:pPr>
            <w:r>
              <w:t>15.50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841</w:t>
            </w:r>
          </w:p>
        </w:tc>
        <w:tc>
          <w:tcPr>
            <w:tcW w:w="2835" w:type="dxa"/>
            <w:vAlign w:val="center"/>
          </w:tcPr>
          <w:p>
            <w:pPr>
              <w:pStyle w:val="12"/>
            </w:pPr>
            <w:r>
              <w:t>1879.68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BF8070"/>
    <w:multiLevelType w:val="singleLevel"/>
    <w:tmpl w:val="EFBF807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FkMmM3MmFmZmQ0NzFjZDU4YTQzNGUwMmM4ZmE4MzAifQ=="/>
  </w:docVars>
  <w:rsids>
    <w:rsidRoot w:val="00000000"/>
    <w:rsid w:val="1A74401F"/>
    <w:rsid w:val="731C5E6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43</Pages>
  <Words>12792</Words>
  <Characters>14915</Characters>
  <TotalTime>17</TotalTime>
  <ScaleCrop>false</ScaleCrop>
  <LinksUpToDate>false</LinksUpToDate>
  <CharactersWithSpaces>15117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2025-02-11T10:59:00Z</dcterms:created>
  <dc:creator>Administrator</dc:creator>
  <cp:lastModifiedBy>Administrator</cp:lastModifiedBy>
  <dcterms:modified xsi:type="dcterms:W3CDTF">2025-02-11T03:53:00Z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3435734DEDBC470A94A1B5F1113D104A</vt:lpwstr>
  </property>
</Properties>
</file>