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一、中国共产主义青年团唐山市丰南区委员会本级收支预算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一、中国共产主义青年团唐山市丰南区委员会本级收支预算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324001中国共产主义青年团唐山市丰南区委员会本级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103.50</w:t>
            </w:r>
          </w:p>
        </w:tc>
        <w:tc>
          <w:tcPr>
            <w:tcW w:w="4535" w:type="dxa"/>
            <w:vAlign w:val="center"/>
          </w:tcPr>
          <w:p>
            <w:pPr>
              <w:pStyle w:val="12"/>
            </w:pPr>
            <w:r>
              <w:t>一、一般公共服务支出</w:t>
            </w:r>
          </w:p>
        </w:tc>
        <w:tc>
          <w:tcPr>
            <w:tcW w:w="2126" w:type="dxa"/>
            <w:vAlign w:val="center"/>
          </w:tcPr>
          <w:p>
            <w:pPr>
              <w:pStyle w:val="11"/>
            </w:pPr>
            <w:r>
              <w:t>83.05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103.50</w:t>
            </w:r>
          </w:p>
        </w:tc>
        <w:tc>
          <w:tcPr>
            <w:tcW w:w="4535" w:type="dxa"/>
            <w:vAlign w:val="center"/>
          </w:tcPr>
          <w:p>
            <w:pPr>
              <w:pStyle w:val="14"/>
            </w:pPr>
            <w:r>
              <w:t>本年支出合计</w:t>
            </w:r>
          </w:p>
        </w:tc>
        <w:tc>
          <w:tcPr>
            <w:tcW w:w="2126" w:type="dxa"/>
            <w:vAlign w:val="center"/>
          </w:tcPr>
          <w:p>
            <w:pPr>
              <w:pStyle w:val="15"/>
            </w:pPr>
            <w:r>
              <w:t>103.50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103.50</w:t>
            </w:r>
          </w:p>
        </w:tc>
        <w:tc>
          <w:tcPr>
            <w:tcW w:w="4535" w:type="dxa"/>
            <w:vAlign w:val="center"/>
          </w:tcPr>
          <w:p>
            <w:pPr>
              <w:pStyle w:val="14"/>
            </w:pPr>
            <w:r>
              <w:t>支出总计</w:t>
            </w:r>
          </w:p>
        </w:tc>
        <w:tc>
          <w:tcPr>
            <w:tcW w:w="2126" w:type="dxa"/>
            <w:vAlign w:val="center"/>
          </w:tcPr>
          <w:p>
            <w:pPr>
              <w:pStyle w:val="15"/>
            </w:pPr>
            <w:r>
              <w:t>103.50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324001中国共产主义青年团唐山市丰南区委员会本级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103.50</w:t>
            </w:r>
          </w:p>
        </w:tc>
        <w:tc>
          <w:tcPr>
            <w:tcW w:w="1134" w:type="dxa"/>
            <w:vAlign w:val="center"/>
          </w:tcPr>
          <w:p>
            <w:pPr>
              <w:pStyle w:val="15"/>
            </w:pPr>
            <w:r>
              <w:t>103.50</w:t>
            </w:r>
          </w:p>
        </w:tc>
        <w:tc>
          <w:tcPr>
            <w:tcW w:w="1134" w:type="dxa"/>
            <w:vAlign w:val="center"/>
          </w:tcPr>
          <w:p>
            <w:pPr>
              <w:pStyle w:val="15"/>
            </w:pPr>
            <w:r>
              <w:t>103.50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83.05</w:t>
            </w:r>
          </w:p>
        </w:tc>
        <w:tc>
          <w:tcPr>
            <w:tcW w:w="1134" w:type="dxa"/>
            <w:vAlign w:val="center"/>
          </w:tcPr>
          <w:p>
            <w:pPr>
              <w:pStyle w:val="11"/>
            </w:pPr>
            <w:r>
              <w:t>83.05</w:t>
            </w:r>
          </w:p>
        </w:tc>
        <w:tc>
          <w:tcPr>
            <w:tcW w:w="1134" w:type="dxa"/>
            <w:vAlign w:val="center"/>
          </w:tcPr>
          <w:p>
            <w:pPr>
              <w:pStyle w:val="11"/>
            </w:pPr>
            <w:r>
              <w:t>83.05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83.05</w:t>
            </w:r>
          </w:p>
        </w:tc>
        <w:tc>
          <w:tcPr>
            <w:tcW w:w="1134" w:type="dxa"/>
            <w:vAlign w:val="center"/>
          </w:tcPr>
          <w:p>
            <w:pPr>
              <w:pStyle w:val="11"/>
            </w:pPr>
            <w:r>
              <w:t>83.05</w:t>
            </w:r>
          </w:p>
        </w:tc>
        <w:tc>
          <w:tcPr>
            <w:tcW w:w="1134" w:type="dxa"/>
            <w:vAlign w:val="center"/>
          </w:tcPr>
          <w:p>
            <w:pPr>
              <w:pStyle w:val="11"/>
            </w:pPr>
            <w:r>
              <w:t>83.05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57.85</w:t>
            </w:r>
          </w:p>
        </w:tc>
        <w:tc>
          <w:tcPr>
            <w:tcW w:w="1134" w:type="dxa"/>
            <w:vAlign w:val="center"/>
          </w:tcPr>
          <w:p>
            <w:pPr>
              <w:pStyle w:val="11"/>
            </w:pPr>
            <w:r>
              <w:t>57.85</w:t>
            </w:r>
          </w:p>
        </w:tc>
        <w:tc>
          <w:tcPr>
            <w:tcW w:w="1134" w:type="dxa"/>
            <w:vAlign w:val="center"/>
          </w:tcPr>
          <w:p>
            <w:pPr>
              <w:pStyle w:val="11"/>
            </w:pPr>
            <w:r>
              <w:t>57.85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25.20</w:t>
            </w:r>
          </w:p>
        </w:tc>
        <w:tc>
          <w:tcPr>
            <w:tcW w:w="1134" w:type="dxa"/>
            <w:vAlign w:val="center"/>
          </w:tcPr>
          <w:p>
            <w:pPr>
              <w:pStyle w:val="11"/>
            </w:pPr>
            <w:r>
              <w:t>25.20</w:t>
            </w:r>
          </w:p>
        </w:tc>
        <w:tc>
          <w:tcPr>
            <w:tcW w:w="1134" w:type="dxa"/>
            <w:vAlign w:val="center"/>
          </w:tcPr>
          <w:p>
            <w:pPr>
              <w:pStyle w:val="11"/>
            </w:pPr>
            <w:r>
              <w:t>25.20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7.32</w:t>
            </w:r>
          </w:p>
        </w:tc>
        <w:tc>
          <w:tcPr>
            <w:tcW w:w="1134" w:type="dxa"/>
            <w:vAlign w:val="center"/>
          </w:tcPr>
          <w:p>
            <w:pPr>
              <w:pStyle w:val="11"/>
            </w:pPr>
            <w:r>
              <w:t>7.32</w:t>
            </w:r>
          </w:p>
        </w:tc>
        <w:tc>
          <w:tcPr>
            <w:tcW w:w="1134" w:type="dxa"/>
            <w:vAlign w:val="center"/>
          </w:tcPr>
          <w:p>
            <w:pPr>
              <w:pStyle w:val="11"/>
            </w:pPr>
            <w:r>
              <w:t>7.32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7.32</w:t>
            </w:r>
          </w:p>
        </w:tc>
        <w:tc>
          <w:tcPr>
            <w:tcW w:w="1134" w:type="dxa"/>
            <w:vAlign w:val="center"/>
          </w:tcPr>
          <w:p>
            <w:pPr>
              <w:pStyle w:val="11"/>
            </w:pPr>
            <w:r>
              <w:t>7.32</w:t>
            </w:r>
          </w:p>
        </w:tc>
        <w:tc>
          <w:tcPr>
            <w:tcW w:w="1134" w:type="dxa"/>
            <w:vAlign w:val="center"/>
          </w:tcPr>
          <w:p>
            <w:pPr>
              <w:pStyle w:val="11"/>
            </w:pPr>
            <w:r>
              <w:t>7.32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7.32</w:t>
            </w:r>
          </w:p>
        </w:tc>
        <w:tc>
          <w:tcPr>
            <w:tcW w:w="1134" w:type="dxa"/>
            <w:vAlign w:val="center"/>
          </w:tcPr>
          <w:p>
            <w:pPr>
              <w:pStyle w:val="11"/>
            </w:pPr>
            <w:r>
              <w:t>7.32</w:t>
            </w:r>
          </w:p>
        </w:tc>
        <w:tc>
          <w:tcPr>
            <w:tcW w:w="1134" w:type="dxa"/>
            <w:vAlign w:val="center"/>
          </w:tcPr>
          <w:p>
            <w:pPr>
              <w:pStyle w:val="11"/>
            </w:pPr>
            <w:r>
              <w:t>7.32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6.72</w:t>
            </w:r>
          </w:p>
        </w:tc>
        <w:tc>
          <w:tcPr>
            <w:tcW w:w="1134" w:type="dxa"/>
            <w:vAlign w:val="center"/>
          </w:tcPr>
          <w:p>
            <w:pPr>
              <w:pStyle w:val="11"/>
            </w:pPr>
            <w:r>
              <w:t>6.72</w:t>
            </w:r>
          </w:p>
        </w:tc>
        <w:tc>
          <w:tcPr>
            <w:tcW w:w="1134" w:type="dxa"/>
            <w:vAlign w:val="center"/>
          </w:tcPr>
          <w:p>
            <w:pPr>
              <w:pStyle w:val="11"/>
            </w:pPr>
            <w:r>
              <w:t>6.72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6.72</w:t>
            </w:r>
          </w:p>
        </w:tc>
        <w:tc>
          <w:tcPr>
            <w:tcW w:w="1134" w:type="dxa"/>
            <w:vAlign w:val="center"/>
          </w:tcPr>
          <w:p>
            <w:pPr>
              <w:pStyle w:val="11"/>
            </w:pPr>
            <w:r>
              <w:t>6.72</w:t>
            </w:r>
          </w:p>
        </w:tc>
        <w:tc>
          <w:tcPr>
            <w:tcW w:w="1134" w:type="dxa"/>
            <w:vAlign w:val="center"/>
          </w:tcPr>
          <w:p>
            <w:pPr>
              <w:pStyle w:val="11"/>
            </w:pPr>
            <w:r>
              <w:t>6.72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3.15</w:t>
            </w:r>
          </w:p>
        </w:tc>
        <w:tc>
          <w:tcPr>
            <w:tcW w:w="1134" w:type="dxa"/>
            <w:vAlign w:val="center"/>
          </w:tcPr>
          <w:p>
            <w:pPr>
              <w:pStyle w:val="11"/>
            </w:pPr>
            <w:r>
              <w:t>3.15</w:t>
            </w:r>
          </w:p>
        </w:tc>
        <w:tc>
          <w:tcPr>
            <w:tcW w:w="1134" w:type="dxa"/>
            <w:vAlign w:val="center"/>
          </w:tcPr>
          <w:p>
            <w:pPr>
              <w:pStyle w:val="11"/>
            </w:pPr>
            <w:r>
              <w:t>3.15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3.57</w:t>
            </w:r>
          </w:p>
        </w:tc>
        <w:tc>
          <w:tcPr>
            <w:tcW w:w="1134" w:type="dxa"/>
            <w:vAlign w:val="center"/>
          </w:tcPr>
          <w:p>
            <w:pPr>
              <w:pStyle w:val="11"/>
            </w:pPr>
            <w:r>
              <w:t>3.57</w:t>
            </w:r>
          </w:p>
        </w:tc>
        <w:tc>
          <w:tcPr>
            <w:tcW w:w="1134" w:type="dxa"/>
            <w:vAlign w:val="center"/>
          </w:tcPr>
          <w:p>
            <w:pPr>
              <w:pStyle w:val="11"/>
            </w:pPr>
            <w:r>
              <w:t>3.57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6.41</w:t>
            </w:r>
          </w:p>
        </w:tc>
        <w:tc>
          <w:tcPr>
            <w:tcW w:w="1134" w:type="dxa"/>
            <w:vAlign w:val="center"/>
          </w:tcPr>
          <w:p>
            <w:pPr>
              <w:pStyle w:val="11"/>
            </w:pPr>
            <w:r>
              <w:t>6.41</w:t>
            </w:r>
          </w:p>
        </w:tc>
        <w:tc>
          <w:tcPr>
            <w:tcW w:w="1134" w:type="dxa"/>
            <w:vAlign w:val="center"/>
          </w:tcPr>
          <w:p>
            <w:pPr>
              <w:pStyle w:val="11"/>
            </w:pPr>
            <w:r>
              <w:t>6.41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6.41</w:t>
            </w:r>
          </w:p>
        </w:tc>
        <w:tc>
          <w:tcPr>
            <w:tcW w:w="1134" w:type="dxa"/>
            <w:vAlign w:val="center"/>
          </w:tcPr>
          <w:p>
            <w:pPr>
              <w:pStyle w:val="11"/>
            </w:pPr>
            <w:r>
              <w:t>6.41</w:t>
            </w:r>
          </w:p>
        </w:tc>
        <w:tc>
          <w:tcPr>
            <w:tcW w:w="1134" w:type="dxa"/>
            <w:vAlign w:val="center"/>
          </w:tcPr>
          <w:p>
            <w:pPr>
              <w:pStyle w:val="11"/>
            </w:pPr>
            <w:r>
              <w:t>6.41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6.41</w:t>
            </w:r>
          </w:p>
        </w:tc>
        <w:tc>
          <w:tcPr>
            <w:tcW w:w="1134" w:type="dxa"/>
            <w:vAlign w:val="center"/>
          </w:tcPr>
          <w:p>
            <w:pPr>
              <w:pStyle w:val="11"/>
            </w:pPr>
            <w:r>
              <w:t>6.41</w:t>
            </w:r>
          </w:p>
        </w:tc>
        <w:tc>
          <w:tcPr>
            <w:tcW w:w="1134" w:type="dxa"/>
            <w:vAlign w:val="center"/>
          </w:tcPr>
          <w:p>
            <w:pPr>
              <w:pStyle w:val="11"/>
            </w:pPr>
            <w:r>
              <w:t>6.41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324001中国共产主义青年团唐山市丰南区委员会本级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103.50</w:t>
            </w:r>
          </w:p>
        </w:tc>
        <w:tc>
          <w:tcPr>
            <w:tcW w:w="1361" w:type="dxa"/>
            <w:vAlign w:val="center"/>
          </w:tcPr>
          <w:p>
            <w:pPr>
              <w:pStyle w:val="15"/>
            </w:pPr>
            <w:r>
              <w:t>78.30</w:t>
            </w:r>
          </w:p>
        </w:tc>
        <w:tc>
          <w:tcPr>
            <w:tcW w:w="1361" w:type="dxa"/>
            <w:vAlign w:val="center"/>
          </w:tcPr>
          <w:p>
            <w:pPr>
              <w:pStyle w:val="15"/>
            </w:pPr>
            <w:r>
              <w:t>25.20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83.05</w:t>
            </w:r>
          </w:p>
        </w:tc>
        <w:tc>
          <w:tcPr>
            <w:tcW w:w="1361" w:type="dxa"/>
            <w:vAlign w:val="center"/>
          </w:tcPr>
          <w:p>
            <w:pPr>
              <w:pStyle w:val="11"/>
            </w:pPr>
            <w:r>
              <w:t>57.85</w:t>
            </w:r>
          </w:p>
        </w:tc>
        <w:tc>
          <w:tcPr>
            <w:tcW w:w="1361" w:type="dxa"/>
            <w:vAlign w:val="center"/>
          </w:tcPr>
          <w:p>
            <w:pPr>
              <w:pStyle w:val="11"/>
            </w:pPr>
            <w:r>
              <w:t>25.20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83.05</w:t>
            </w:r>
          </w:p>
        </w:tc>
        <w:tc>
          <w:tcPr>
            <w:tcW w:w="1361" w:type="dxa"/>
            <w:vAlign w:val="center"/>
          </w:tcPr>
          <w:p>
            <w:pPr>
              <w:pStyle w:val="11"/>
            </w:pPr>
            <w:r>
              <w:t>57.85</w:t>
            </w:r>
          </w:p>
        </w:tc>
        <w:tc>
          <w:tcPr>
            <w:tcW w:w="1361" w:type="dxa"/>
            <w:vAlign w:val="center"/>
          </w:tcPr>
          <w:p>
            <w:pPr>
              <w:pStyle w:val="11"/>
            </w:pPr>
            <w:r>
              <w:t>25.20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57.85</w:t>
            </w:r>
          </w:p>
        </w:tc>
        <w:tc>
          <w:tcPr>
            <w:tcW w:w="1361" w:type="dxa"/>
            <w:vAlign w:val="center"/>
          </w:tcPr>
          <w:p>
            <w:pPr>
              <w:pStyle w:val="11"/>
            </w:pPr>
            <w:r>
              <w:t>57.85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25.20</w:t>
            </w:r>
          </w:p>
        </w:tc>
        <w:tc>
          <w:tcPr>
            <w:tcW w:w="1361" w:type="dxa"/>
            <w:vAlign w:val="center"/>
          </w:tcPr>
          <w:p>
            <w:pPr>
              <w:pStyle w:val="11"/>
            </w:pPr>
          </w:p>
        </w:tc>
        <w:tc>
          <w:tcPr>
            <w:tcW w:w="1361" w:type="dxa"/>
            <w:vAlign w:val="center"/>
          </w:tcPr>
          <w:p>
            <w:pPr>
              <w:pStyle w:val="11"/>
            </w:pPr>
            <w:r>
              <w:t>25.20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7.32</w:t>
            </w:r>
          </w:p>
        </w:tc>
        <w:tc>
          <w:tcPr>
            <w:tcW w:w="1361" w:type="dxa"/>
            <w:vAlign w:val="center"/>
          </w:tcPr>
          <w:p>
            <w:pPr>
              <w:pStyle w:val="11"/>
            </w:pPr>
            <w:r>
              <w:t>7.32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7.32</w:t>
            </w:r>
          </w:p>
        </w:tc>
        <w:tc>
          <w:tcPr>
            <w:tcW w:w="1361" w:type="dxa"/>
            <w:vAlign w:val="center"/>
          </w:tcPr>
          <w:p>
            <w:pPr>
              <w:pStyle w:val="11"/>
            </w:pPr>
            <w:r>
              <w:t>7.32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7.32</w:t>
            </w:r>
          </w:p>
        </w:tc>
        <w:tc>
          <w:tcPr>
            <w:tcW w:w="1361" w:type="dxa"/>
            <w:vAlign w:val="center"/>
          </w:tcPr>
          <w:p>
            <w:pPr>
              <w:pStyle w:val="11"/>
            </w:pPr>
            <w:r>
              <w:t>7.32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6.72</w:t>
            </w:r>
          </w:p>
        </w:tc>
        <w:tc>
          <w:tcPr>
            <w:tcW w:w="1361" w:type="dxa"/>
            <w:vAlign w:val="center"/>
          </w:tcPr>
          <w:p>
            <w:pPr>
              <w:pStyle w:val="11"/>
            </w:pPr>
            <w:r>
              <w:t>6.72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6.72</w:t>
            </w:r>
          </w:p>
        </w:tc>
        <w:tc>
          <w:tcPr>
            <w:tcW w:w="1361" w:type="dxa"/>
            <w:vAlign w:val="center"/>
          </w:tcPr>
          <w:p>
            <w:pPr>
              <w:pStyle w:val="11"/>
            </w:pPr>
            <w:r>
              <w:t>6.72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3.15</w:t>
            </w:r>
          </w:p>
        </w:tc>
        <w:tc>
          <w:tcPr>
            <w:tcW w:w="1361" w:type="dxa"/>
            <w:vAlign w:val="center"/>
          </w:tcPr>
          <w:p>
            <w:pPr>
              <w:pStyle w:val="11"/>
            </w:pPr>
            <w:r>
              <w:t>3.15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3.57</w:t>
            </w:r>
          </w:p>
        </w:tc>
        <w:tc>
          <w:tcPr>
            <w:tcW w:w="1361" w:type="dxa"/>
            <w:vAlign w:val="center"/>
          </w:tcPr>
          <w:p>
            <w:pPr>
              <w:pStyle w:val="11"/>
            </w:pPr>
            <w:r>
              <w:t>3.57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6.41</w:t>
            </w:r>
          </w:p>
        </w:tc>
        <w:tc>
          <w:tcPr>
            <w:tcW w:w="1361" w:type="dxa"/>
            <w:vAlign w:val="center"/>
          </w:tcPr>
          <w:p>
            <w:pPr>
              <w:pStyle w:val="11"/>
            </w:pPr>
            <w:r>
              <w:t>6.41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6.41</w:t>
            </w:r>
          </w:p>
        </w:tc>
        <w:tc>
          <w:tcPr>
            <w:tcW w:w="1361" w:type="dxa"/>
            <w:vAlign w:val="center"/>
          </w:tcPr>
          <w:p>
            <w:pPr>
              <w:pStyle w:val="11"/>
            </w:pPr>
            <w:r>
              <w:t>6.41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6.41</w:t>
            </w:r>
          </w:p>
        </w:tc>
        <w:tc>
          <w:tcPr>
            <w:tcW w:w="1361" w:type="dxa"/>
            <w:vAlign w:val="center"/>
          </w:tcPr>
          <w:p>
            <w:pPr>
              <w:pStyle w:val="11"/>
            </w:pPr>
            <w:r>
              <w:t>6.41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324001中国共产主义青年团唐山市丰南区委员会本级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103.50</w:t>
            </w:r>
          </w:p>
        </w:tc>
        <w:tc>
          <w:tcPr>
            <w:tcW w:w="3402" w:type="dxa"/>
            <w:vAlign w:val="center"/>
          </w:tcPr>
          <w:p>
            <w:pPr>
              <w:pStyle w:val="12"/>
            </w:pPr>
            <w:r>
              <w:t>一、一般公共服务支出</w:t>
            </w:r>
          </w:p>
        </w:tc>
        <w:tc>
          <w:tcPr>
            <w:tcW w:w="1474" w:type="dxa"/>
            <w:vAlign w:val="center"/>
          </w:tcPr>
          <w:p>
            <w:pPr>
              <w:pStyle w:val="11"/>
            </w:pPr>
            <w:r>
              <w:t>83.05</w:t>
            </w:r>
          </w:p>
        </w:tc>
        <w:tc>
          <w:tcPr>
            <w:tcW w:w="1474" w:type="dxa"/>
            <w:vAlign w:val="center"/>
          </w:tcPr>
          <w:p>
            <w:pPr>
              <w:pStyle w:val="11"/>
            </w:pPr>
            <w:r>
              <w:t>83.05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7.32</w:t>
            </w:r>
          </w:p>
        </w:tc>
        <w:tc>
          <w:tcPr>
            <w:tcW w:w="1474" w:type="dxa"/>
            <w:vAlign w:val="center"/>
          </w:tcPr>
          <w:p>
            <w:pPr>
              <w:pStyle w:val="11"/>
            </w:pPr>
            <w:r>
              <w:t>7.32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6.72</w:t>
            </w:r>
          </w:p>
        </w:tc>
        <w:tc>
          <w:tcPr>
            <w:tcW w:w="1474" w:type="dxa"/>
            <w:vAlign w:val="center"/>
          </w:tcPr>
          <w:p>
            <w:pPr>
              <w:pStyle w:val="11"/>
            </w:pPr>
            <w:r>
              <w:t>6.72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6.41</w:t>
            </w:r>
          </w:p>
        </w:tc>
        <w:tc>
          <w:tcPr>
            <w:tcW w:w="1474" w:type="dxa"/>
            <w:vAlign w:val="center"/>
          </w:tcPr>
          <w:p>
            <w:pPr>
              <w:pStyle w:val="11"/>
            </w:pPr>
            <w:r>
              <w:t>6.41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103.50</w:t>
            </w:r>
          </w:p>
        </w:tc>
        <w:tc>
          <w:tcPr>
            <w:tcW w:w="3402" w:type="dxa"/>
            <w:vAlign w:val="center"/>
          </w:tcPr>
          <w:p>
            <w:pPr>
              <w:pStyle w:val="14"/>
            </w:pPr>
            <w:r>
              <w:t>本年支出合计</w:t>
            </w:r>
          </w:p>
        </w:tc>
        <w:tc>
          <w:tcPr>
            <w:tcW w:w="1474" w:type="dxa"/>
            <w:vAlign w:val="center"/>
          </w:tcPr>
          <w:p>
            <w:pPr>
              <w:pStyle w:val="15"/>
            </w:pPr>
            <w:r>
              <w:t>103.50</w:t>
            </w:r>
          </w:p>
        </w:tc>
        <w:tc>
          <w:tcPr>
            <w:tcW w:w="1474" w:type="dxa"/>
            <w:vAlign w:val="center"/>
          </w:tcPr>
          <w:p>
            <w:pPr>
              <w:pStyle w:val="15"/>
            </w:pPr>
            <w:r>
              <w:t>103.50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103.50</w:t>
            </w:r>
          </w:p>
        </w:tc>
        <w:tc>
          <w:tcPr>
            <w:tcW w:w="3402" w:type="dxa"/>
            <w:vAlign w:val="center"/>
          </w:tcPr>
          <w:p>
            <w:pPr>
              <w:pStyle w:val="14"/>
            </w:pPr>
            <w:r>
              <w:t>支出总计</w:t>
            </w:r>
          </w:p>
        </w:tc>
        <w:tc>
          <w:tcPr>
            <w:tcW w:w="1474" w:type="dxa"/>
            <w:vAlign w:val="center"/>
          </w:tcPr>
          <w:p>
            <w:pPr>
              <w:pStyle w:val="15"/>
            </w:pPr>
            <w:r>
              <w:t>103.50</w:t>
            </w:r>
          </w:p>
        </w:tc>
        <w:tc>
          <w:tcPr>
            <w:tcW w:w="1474" w:type="dxa"/>
            <w:vAlign w:val="center"/>
          </w:tcPr>
          <w:p>
            <w:pPr>
              <w:pStyle w:val="15"/>
            </w:pPr>
            <w:r>
              <w:t>103.50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324001中国共产主义青年团唐山市丰南区委员会本级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103.50</w:t>
            </w:r>
          </w:p>
        </w:tc>
        <w:tc>
          <w:tcPr>
            <w:tcW w:w="2551" w:type="dxa"/>
            <w:vAlign w:val="center"/>
          </w:tcPr>
          <w:p>
            <w:pPr>
              <w:pStyle w:val="15"/>
            </w:pPr>
            <w:r>
              <w:t>78.30</w:t>
            </w:r>
          </w:p>
        </w:tc>
        <w:tc>
          <w:tcPr>
            <w:tcW w:w="2551" w:type="dxa"/>
            <w:vAlign w:val="center"/>
          </w:tcPr>
          <w:p>
            <w:pPr>
              <w:pStyle w:val="15"/>
            </w:pPr>
            <w:r>
              <w:t>25.20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83.05</w:t>
            </w:r>
          </w:p>
        </w:tc>
        <w:tc>
          <w:tcPr>
            <w:tcW w:w="2551" w:type="dxa"/>
            <w:vAlign w:val="center"/>
          </w:tcPr>
          <w:p>
            <w:pPr>
              <w:pStyle w:val="11"/>
            </w:pPr>
            <w:r>
              <w:t>57.85</w:t>
            </w:r>
          </w:p>
        </w:tc>
        <w:tc>
          <w:tcPr>
            <w:tcW w:w="2551" w:type="dxa"/>
            <w:vAlign w:val="center"/>
          </w:tcPr>
          <w:p>
            <w:pPr>
              <w:pStyle w:val="11"/>
            </w:pPr>
            <w:r>
              <w:t>25.20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83.05</w:t>
            </w:r>
          </w:p>
        </w:tc>
        <w:tc>
          <w:tcPr>
            <w:tcW w:w="2551" w:type="dxa"/>
            <w:vAlign w:val="center"/>
          </w:tcPr>
          <w:p>
            <w:pPr>
              <w:pStyle w:val="11"/>
            </w:pPr>
            <w:r>
              <w:t>57.85</w:t>
            </w:r>
          </w:p>
        </w:tc>
        <w:tc>
          <w:tcPr>
            <w:tcW w:w="2551" w:type="dxa"/>
            <w:vAlign w:val="center"/>
          </w:tcPr>
          <w:p>
            <w:pPr>
              <w:pStyle w:val="11"/>
            </w:pPr>
            <w:r>
              <w:t>25.20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57.85</w:t>
            </w:r>
          </w:p>
        </w:tc>
        <w:tc>
          <w:tcPr>
            <w:tcW w:w="2551" w:type="dxa"/>
            <w:vAlign w:val="center"/>
          </w:tcPr>
          <w:p>
            <w:pPr>
              <w:pStyle w:val="11"/>
            </w:pPr>
            <w:r>
              <w:t>57.85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25.20</w:t>
            </w:r>
          </w:p>
        </w:tc>
        <w:tc>
          <w:tcPr>
            <w:tcW w:w="2551" w:type="dxa"/>
            <w:vAlign w:val="center"/>
          </w:tcPr>
          <w:p>
            <w:pPr>
              <w:pStyle w:val="11"/>
            </w:pPr>
          </w:p>
        </w:tc>
        <w:tc>
          <w:tcPr>
            <w:tcW w:w="2551" w:type="dxa"/>
            <w:vAlign w:val="center"/>
          </w:tcPr>
          <w:p>
            <w:pPr>
              <w:pStyle w:val="11"/>
            </w:pPr>
            <w:r>
              <w:t>25.20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7.32</w:t>
            </w:r>
          </w:p>
        </w:tc>
        <w:tc>
          <w:tcPr>
            <w:tcW w:w="2551" w:type="dxa"/>
            <w:vAlign w:val="center"/>
          </w:tcPr>
          <w:p>
            <w:pPr>
              <w:pStyle w:val="11"/>
            </w:pPr>
            <w:r>
              <w:t>7.32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7.32</w:t>
            </w:r>
          </w:p>
        </w:tc>
        <w:tc>
          <w:tcPr>
            <w:tcW w:w="2551" w:type="dxa"/>
            <w:vAlign w:val="center"/>
          </w:tcPr>
          <w:p>
            <w:pPr>
              <w:pStyle w:val="11"/>
            </w:pPr>
            <w:r>
              <w:t>7.32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7.32</w:t>
            </w:r>
          </w:p>
        </w:tc>
        <w:tc>
          <w:tcPr>
            <w:tcW w:w="2551" w:type="dxa"/>
            <w:vAlign w:val="center"/>
          </w:tcPr>
          <w:p>
            <w:pPr>
              <w:pStyle w:val="11"/>
            </w:pPr>
            <w:r>
              <w:t>7.32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6.72</w:t>
            </w:r>
          </w:p>
        </w:tc>
        <w:tc>
          <w:tcPr>
            <w:tcW w:w="2551" w:type="dxa"/>
            <w:vAlign w:val="center"/>
          </w:tcPr>
          <w:p>
            <w:pPr>
              <w:pStyle w:val="11"/>
            </w:pPr>
            <w:r>
              <w:t>6.72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6.72</w:t>
            </w:r>
          </w:p>
        </w:tc>
        <w:tc>
          <w:tcPr>
            <w:tcW w:w="2551" w:type="dxa"/>
            <w:vAlign w:val="center"/>
          </w:tcPr>
          <w:p>
            <w:pPr>
              <w:pStyle w:val="11"/>
            </w:pPr>
            <w:r>
              <w:t>6.72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3.15</w:t>
            </w:r>
          </w:p>
        </w:tc>
        <w:tc>
          <w:tcPr>
            <w:tcW w:w="2551" w:type="dxa"/>
            <w:vAlign w:val="center"/>
          </w:tcPr>
          <w:p>
            <w:pPr>
              <w:pStyle w:val="11"/>
            </w:pPr>
            <w:r>
              <w:t>3.15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3.57</w:t>
            </w:r>
          </w:p>
        </w:tc>
        <w:tc>
          <w:tcPr>
            <w:tcW w:w="2551" w:type="dxa"/>
            <w:vAlign w:val="center"/>
          </w:tcPr>
          <w:p>
            <w:pPr>
              <w:pStyle w:val="11"/>
            </w:pPr>
            <w:r>
              <w:t>3.57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6.41</w:t>
            </w:r>
          </w:p>
        </w:tc>
        <w:tc>
          <w:tcPr>
            <w:tcW w:w="2551" w:type="dxa"/>
            <w:vAlign w:val="center"/>
          </w:tcPr>
          <w:p>
            <w:pPr>
              <w:pStyle w:val="11"/>
            </w:pPr>
            <w:r>
              <w:t>6.41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6.41</w:t>
            </w:r>
          </w:p>
        </w:tc>
        <w:tc>
          <w:tcPr>
            <w:tcW w:w="2551" w:type="dxa"/>
            <w:vAlign w:val="center"/>
          </w:tcPr>
          <w:p>
            <w:pPr>
              <w:pStyle w:val="11"/>
            </w:pPr>
            <w:r>
              <w:t>6.41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6.41</w:t>
            </w:r>
          </w:p>
        </w:tc>
        <w:tc>
          <w:tcPr>
            <w:tcW w:w="2551" w:type="dxa"/>
            <w:vAlign w:val="center"/>
          </w:tcPr>
          <w:p>
            <w:pPr>
              <w:pStyle w:val="11"/>
            </w:pPr>
            <w:r>
              <w:t>6.41</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324001中国共产主义青年团唐山市丰南区委员会本级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78.30</w:t>
            </w:r>
          </w:p>
        </w:tc>
        <w:tc>
          <w:tcPr>
            <w:tcW w:w="2551" w:type="dxa"/>
            <w:vAlign w:val="center"/>
          </w:tcPr>
          <w:p>
            <w:pPr>
              <w:pStyle w:val="15"/>
            </w:pPr>
            <w:r>
              <w:t>69.80</w:t>
            </w:r>
          </w:p>
        </w:tc>
        <w:tc>
          <w:tcPr>
            <w:tcW w:w="2551" w:type="dxa"/>
            <w:vAlign w:val="center"/>
          </w:tcPr>
          <w:p>
            <w:pPr>
              <w:pStyle w:val="15"/>
            </w:pPr>
            <w:r>
              <w:t>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69.80</w:t>
            </w:r>
          </w:p>
        </w:tc>
        <w:tc>
          <w:tcPr>
            <w:tcW w:w="2551" w:type="dxa"/>
            <w:vAlign w:val="center"/>
          </w:tcPr>
          <w:p>
            <w:pPr>
              <w:pStyle w:val="11"/>
            </w:pPr>
            <w:r>
              <w:t>69.80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11.01</w:t>
            </w:r>
          </w:p>
        </w:tc>
        <w:tc>
          <w:tcPr>
            <w:tcW w:w="2551" w:type="dxa"/>
            <w:vAlign w:val="center"/>
          </w:tcPr>
          <w:p>
            <w:pPr>
              <w:pStyle w:val="11"/>
            </w:pPr>
            <w:r>
              <w:t>11.01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12.41</w:t>
            </w:r>
          </w:p>
        </w:tc>
        <w:tc>
          <w:tcPr>
            <w:tcW w:w="2551" w:type="dxa"/>
            <w:vAlign w:val="center"/>
          </w:tcPr>
          <w:p>
            <w:pPr>
              <w:pStyle w:val="11"/>
            </w:pPr>
            <w:r>
              <w:t>12.41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5.94</w:t>
            </w:r>
          </w:p>
        </w:tc>
        <w:tc>
          <w:tcPr>
            <w:tcW w:w="2551" w:type="dxa"/>
            <w:vAlign w:val="center"/>
          </w:tcPr>
          <w:p>
            <w:pPr>
              <w:pStyle w:val="11"/>
            </w:pPr>
            <w:r>
              <w:t>5.94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4.32</w:t>
            </w:r>
          </w:p>
        </w:tc>
        <w:tc>
          <w:tcPr>
            <w:tcW w:w="2551" w:type="dxa"/>
            <w:vAlign w:val="center"/>
          </w:tcPr>
          <w:p>
            <w:pPr>
              <w:pStyle w:val="11"/>
            </w:pPr>
            <w:r>
              <w:t>4.32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1.71</w:t>
            </w:r>
          </w:p>
        </w:tc>
        <w:tc>
          <w:tcPr>
            <w:tcW w:w="2551" w:type="dxa"/>
            <w:vAlign w:val="center"/>
          </w:tcPr>
          <w:p>
            <w:pPr>
              <w:pStyle w:val="11"/>
            </w:pPr>
            <w:r>
              <w:t>1.71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1.89</w:t>
            </w:r>
          </w:p>
        </w:tc>
        <w:tc>
          <w:tcPr>
            <w:tcW w:w="2551" w:type="dxa"/>
            <w:vAlign w:val="center"/>
          </w:tcPr>
          <w:p>
            <w:pPr>
              <w:pStyle w:val="11"/>
            </w:pPr>
            <w:r>
              <w:t>1.89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0.11</w:t>
            </w:r>
          </w:p>
        </w:tc>
        <w:tc>
          <w:tcPr>
            <w:tcW w:w="2551" w:type="dxa"/>
            <w:vAlign w:val="center"/>
          </w:tcPr>
          <w:p>
            <w:pPr>
              <w:pStyle w:val="11"/>
            </w:pPr>
            <w:r>
              <w:t>0.11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3.53</w:t>
            </w:r>
          </w:p>
        </w:tc>
        <w:tc>
          <w:tcPr>
            <w:tcW w:w="2551" w:type="dxa"/>
            <w:vAlign w:val="center"/>
          </w:tcPr>
          <w:p>
            <w:pPr>
              <w:pStyle w:val="11"/>
            </w:pPr>
            <w:r>
              <w:t>3.53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28.88</w:t>
            </w:r>
          </w:p>
        </w:tc>
        <w:tc>
          <w:tcPr>
            <w:tcW w:w="2551" w:type="dxa"/>
            <w:vAlign w:val="center"/>
          </w:tcPr>
          <w:p>
            <w:pPr>
              <w:pStyle w:val="11"/>
            </w:pPr>
            <w:r>
              <w:t>28.88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8.50</w:t>
            </w:r>
          </w:p>
        </w:tc>
        <w:tc>
          <w:tcPr>
            <w:tcW w:w="2551" w:type="dxa"/>
            <w:vAlign w:val="center"/>
          </w:tcPr>
          <w:p>
            <w:pPr>
              <w:pStyle w:val="11"/>
            </w:pPr>
          </w:p>
        </w:tc>
        <w:tc>
          <w:tcPr>
            <w:tcW w:w="2551" w:type="dxa"/>
            <w:vAlign w:val="center"/>
          </w:tcPr>
          <w:p>
            <w:pPr>
              <w:pStyle w:val="11"/>
            </w:pPr>
            <w:r>
              <w:t>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1.05</w:t>
            </w:r>
          </w:p>
        </w:tc>
        <w:tc>
          <w:tcPr>
            <w:tcW w:w="2551" w:type="dxa"/>
            <w:vAlign w:val="center"/>
          </w:tcPr>
          <w:p>
            <w:pPr>
              <w:pStyle w:val="11"/>
            </w:pPr>
          </w:p>
        </w:tc>
        <w:tc>
          <w:tcPr>
            <w:tcW w:w="2551" w:type="dxa"/>
            <w:vAlign w:val="center"/>
          </w:tcPr>
          <w:p>
            <w:pPr>
              <w:pStyle w:val="11"/>
            </w:pPr>
            <w: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1.42</w:t>
            </w:r>
          </w:p>
        </w:tc>
        <w:tc>
          <w:tcPr>
            <w:tcW w:w="2551" w:type="dxa"/>
            <w:vAlign w:val="center"/>
          </w:tcPr>
          <w:p>
            <w:pPr>
              <w:pStyle w:val="11"/>
            </w:pPr>
          </w:p>
        </w:tc>
        <w:tc>
          <w:tcPr>
            <w:tcW w:w="2551" w:type="dxa"/>
            <w:vAlign w:val="center"/>
          </w:tcPr>
          <w:p>
            <w:pPr>
              <w:pStyle w:val="11"/>
            </w:pPr>
            <w:r>
              <w:t>1.42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0.98</w:t>
            </w:r>
          </w:p>
        </w:tc>
        <w:tc>
          <w:tcPr>
            <w:tcW w:w="2551" w:type="dxa"/>
            <w:vAlign w:val="center"/>
          </w:tcPr>
          <w:p>
            <w:pPr>
              <w:pStyle w:val="11"/>
            </w:pPr>
          </w:p>
        </w:tc>
        <w:tc>
          <w:tcPr>
            <w:tcW w:w="2551" w:type="dxa"/>
            <w:vAlign w:val="center"/>
          </w:tcPr>
          <w:p>
            <w:pPr>
              <w:pStyle w:val="11"/>
            </w:pPr>
            <w:r>
              <w:t>0.98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0.49</w:t>
            </w:r>
          </w:p>
        </w:tc>
        <w:tc>
          <w:tcPr>
            <w:tcW w:w="2551" w:type="dxa"/>
            <w:vAlign w:val="center"/>
          </w:tcPr>
          <w:p>
            <w:pPr>
              <w:pStyle w:val="11"/>
            </w:pPr>
          </w:p>
        </w:tc>
        <w:tc>
          <w:tcPr>
            <w:tcW w:w="2551" w:type="dxa"/>
            <w:vAlign w:val="center"/>
          </w:tcPr>
          <w:p>
            <w:pPr>
              <w:pStyle w:val="11"/>
            </w:pPr>
            <w:r>
              <w:t>0.49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1.86</w:t>
            </w:r>
          </w:p>
        </w:tc>
        <w:tc>
          <w:tcPr>
            <w:tcW w:w="2551" w:type="dxa"/>
            <w:vAlign w:val="center"/>
          </w:tcPr>
          <w:p>
            <w:pPr>
              <w:pStyle w:val="11"/>
            </w:pPr>
          </w:p>
        </w:tc>
        <w:tc>
          <w:tcPr>
            <w:tcW w:w="2551" w:type="dxa"/>
            <w:vAlign w:val="center"/>
          </w:tcPr>
          <w:p>
            <w:pPr>
              <w:pStyle w:val="11"/>
            </w:pPr>
            <w:r>
              <w:t>1.86</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324001中国共产主义青年团唐山市丰南区委员会本级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324001中国共产主义青年团唐山市丰南区委员会本级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324001中国共产主义青年团唐山市丰南区委员会本级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2.50</w:t>
            </w:r>
          </w:p>
        </w:tc>
        <w:tc>
          <w:tcPr>
            <w:tcW w:w="2381" w:type="dxa"/>
            <w:vAlign w:val="center"/>
          </w:tcPr>
          <w:p>
            <w:pPr>
              <w:pStyle w:val="15"/>
            </w:pPr>
            <w:r>
              <w:t>2.50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二、公务用车购置及运维费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公务用车运行维护费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中国共产主义青年团唐山市</w:t>
      </w:r>
      <w:r>
        <w:rPr>
          <w:rFonts w:hint="eastAsia" w:asciiTheme="minorEastAsia" w:hAnsiTheme="minorEastAsia" w:eastAsiaTheme="minorEastAsia" w:cstheme="minorEastAsia"/>
          <w:b/>
          <w:bCs/>
          <w:color w:val="auto"/>
          <w:sz w:val="44"/>
        </w:rPr>
        <w:t>丰</w:t>
      </w:r>
      <w:r>
        <w:rPr>
          <w:rFonts w:ascii="方正小标宋_GBK" w:hAnsi="方正小标宋_GBK" w:eastAsia="方正小标宋_GBK" w:cs="方正小标宋_GBK"/>
          <w:b w:val="0"/>
          <w:color w:val="000000"/>
          <w:sz w:val="44"/>
        </w:rPr>
        <w:t>南区委员会本级2025年单位预算信息公开情况说明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按照《中华人民共和国预算法》、《地方预决算公开操作规程》和《关于进一步推进预算公开工作的实施意见》规定，现将中国共产主义青年团唐山市丰南区委员会本级2025年单位预算公开如下：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一）对全区团组织建设进行指导和管理。加强团干部配备和激励，加强思想、作风建设，团干部教育培训。</w:t>
      </w:r>
    </w:p>
    <w:p>
      <w:pPr>
        <w:pStyle w:val="17"/>
      </w:pPr>
      <w:r>
        <w:t>（二）有效利用网络和新媒体加强对青年的宣传力度，加强网络和新媒体正面宣传，用科学理论武装青年，用共同理想感召青年，用核心价值观引领青年，协助区教育部门做好学生的教育管理工作，维护学校稳定和社会安定团结。</w:t>
      </w:r>
    </w:p>
    <w:p>
      <w:pPr>
        <w:pStyle w:val="17"/>
      </w:pPr>
      <w:r>
        <w:t>（三）围绕青年思想动态和青年工作状况，研究青少年活动、青少年工作理论和思想教育问题开展调研活动。</w:t>
      </w:r>
    </w:p>
    <w:p>
      <w:pPr>
        <w:pStyle w:val="17"/>
      </w:pPr>
      <w:r>
        <w:t>（四）做好大中小学学生的教育管理工作，维护学校稳定和社会安定团结；推动青少年事务社会工作开展，提高源头治理力度，做好预防青少年违法犯罪工作。</w:t>
      </w:r>
    </w:p>
    <w:p>
      <w:pPr>
        <w:pStyle w:val="17"/>
      </w:pPr>
      <w:r>
        <w:t>（五）参与制定全区的青少年事业发展规划和青少年工作方针、政策;承担区委、区政府和团市委交办的有关事项。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中国共产主义青年团唐山市丰南区委员会本级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103.50万元，其中：一般公共预算收入103.50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主义青年团唐山市丰南区委员会本级年度单位预算中支出预算的总体情况。2025年支出预算103.50万元，其中基本支出78.30万元，包括人员经费69.80万元和日常公用经费8.50万元；项目支出25.20万元，主要为丰南团区委业务工作经费等。</w:t>
      </w:r>
    </w:p>
    <w:p>
      <w:pPr>
        <w:pStyle w:val="18"/>
      </w:pPr>
      <w:r>
        <w:t>3、比上年增减情况</w:t>
      </w:r>
    </w:p>
    <w:p>
      <w:pPr>
        <w:pStyle w:val="18"/>
      </w:pPr>
      <w:r>
        <w:t>2025年预算收支安排103.50万元，较2024年预算减少21.22万元，其中：基本支出增加2.44万元，主要为人员经费增加。项目支出减少23.66万元，主要为</w:t>
      </w:r>
      <w:r>
        <w:rPr>
          <w:rFonts w:hint="eastAsia" w:ascii="宋体" w:hAnsi="宋体" w:eastAsia="宋体" w:cs="宋体"/>
        </w:rPr>
        <w:t>丰</w:t>
      </w:r>
      <w:r>
        <w:t>南区发展型城市县域试点工作经费等减少。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2.50万元，其中因公出国（境）费0.00万元；公务用车购置及运维费2.50万元（其中：公务用车购置费为0.00万元，公务用车运维费2.50万元)；公务接待费0.00万元。与2024年相比增加0.00万元，增减变化的主要原因是无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jc w:val="left"/>
        <w:outlineLvl w:val="9"/>
      </w:pPr>
      <w:r>
        <w:rPr>
          <w:rFonts w:ascii="方正仿宋_GBK" w:hAnsi="方正仿宋_GBK" w:eastAsia="方正仿宋_GBK" w:cs="方正仿宋_GBK"/>
          <w:b/>
          <w:color w:val="000000"/>
          <w:sz w:val="28"/>
        </w:rPr>
        <w:t>1、劳务派遣人员工资费用（劳务费）绩效目标表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13020725P000022103442</w:t>
            </w:r>
          </w:p>
        </w:tc>
        <w:tc>
          <w:tcPr>
            <w:tcW w:w="2835" w:type="dxa"/>
            <w:vAlign w:val="center"/>
          </w:tcPr>
          <w:p>
            <w:pPr>
              <w:pStyle w:val="10"/>
            </w:pPr>
            <w:r>
              <w:t>项目名称</w:t>
            </w:r>
          </w:p>
        </w:tc>
        <w:tc>
          <w:tcPr>
            <w:tcW w:w="6095" w:type="dxa"/>
            <w:gridSpan w:val="3"/>
            <w:vAlign w:val="center"/>
          </w:tcPr>
          <w:p>
            <w:pPr>
              <w:pStyle w:val="12"/>
            </w:pPr>
            <w:r>
              <w:t>劳务派遣人员工资费用（劳务费）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5.20</w:t>
            </w:r>
          </w:p>
        </w:tc>
        <w:tc>
          <w:tcPr>
            <w:tcW w:w="2835" w:type="dxa"/>
            <w:vAlign w:val="center"/>
          </w:tcPr>
          <w:p>
            <w:pPr>
              <w:pStyle w:val="10"/>
            </w:pPr>
            <w:r>
              <w:t>其中：财政    资金</w:t>
            </w:r>
          </w:p>
        </w:tc>
        <w:tc>
          <w:tcPr>
            <w:tcW w:w="2551" w:type="dxa"/>
            <w:vAlign w:val="center"/>
          </w:tcPr>
          <w:p>
            <w:pPr>
              <w:pStyle w:val="12"/>
            </w:pPr>
            <w:r>
              <w:t>5.20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根据合同要求，支付1名劳务派遣人员工资，2025年预计共需资金5.2万元。工资标准2580元/月，全年工资3.1万元，保险2.1万元。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1.预期所要达成全年足额足月并及时按月发放人员工资，维护社会稳定。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劳务派遣人数</w:t>
            </w:r>
          </w:p>
        </w:tc>
        <w:tc>
          <w:tcPr>
            <w:tcW w:w="5386" w:type="dxa"/>
            <w:vAlign w:val="center"/>
          </w:tcPr>
          <w:p>
            <w:pPr>
              <w:pStyle w:val="12"/>
            </w:pPr>
            <w:r>
              <w:t>反映签订劳务派遣合同人数情况</w:t>
            </w:r>
          </w:p>
        </w:tc>
        <w:tc>
          <w:tcPr>
            <w:tcW w:w="2268" w:type="dxa"/>
            <w:vAlign w:val="center"/>
          </w:tcPr>
          <w:p>
            <w:pPr>
              <w:pStyle w:val="12"/>
            </w:pPr>
            <w:r>
              <w:t>1人</w:t>
            </w:r>
          </w:p>
        </w:tc>
        <w:tc>
          <w:tcPr>
            <w:tcW w:w="1276" w:type="dxa"/>
            <w:vAlign w:val="center"/>
          </w:tcPr>
          <w:p>
            <w:pPr>
              <w:pStyle w:val="12"/>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工资发放覆盖率</w:t>
            </w:r>
          </w:p>
        </w:tc>
        <w:tc>
          <w:tcPr>
            <w:tcW w:w="5386" w:type="dxa"/>
            <w:vAlign w:val="center"/>
          </w:tcPr>
          <w:p>
            <w:pPr>
              <w:pStyle w:val="12"/>
            </w:pPr>
            <w:r>
              <w:t>反映实际发放工资的覆盖程度情况，覆盖率=实发人数/应发人数</w:t>
            </w:r>
          </w:p>
        </w:tc>
        <w:tc>
          <w:tcPr>
            <w:tcW w:w="2268" w:type="dxa"/>
            <w:vAlign w:val="center"/>
          </w:tcPr>
          <w:p>
            <w:pPr>
              <w:pStyle w:val="12"/>
            </w:pPr>
            <w:r>
              <w:t>100%</w:t>
            </w:r>
          </w:p>
        </w:tc>
        <w:tc>
          <w:tcPr>
            <w:tcW w:w="1276" w:type="dxa"/>
            <w:vAlign w:val="center"/>
          </w:tcPr>
          <w:p>
            <w:pPr>
              <w:pStyle w:val="12"/>
            </w:pPr>
            <w:r>
              <w:t>根据人事管理文件，机关事业单位劳务派遣人员管理办法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工资发放及时性</w:t>
            </w:r>
          </w:p>
        </w:tc>
        <w:tc>
          <w:tcPr>
            <w:tcW w:w="5386" w:type="dxa"/>
            <w:vAlign w:val="center"/>
          </w:tcPr>
          <w:p>
            <w:pPr>
              <w:pStyle w:val="12"/>
            </w:pPr>
            <w:r>
              <w:t>反映按时足额发放工资的情况</w:t>
            </w:r>
          </w:p>
        </w:tc>
        <w:tc>
          <w:tcPr>
            <w:tcW w:w="2268" w:type="dxa"/>
            <w:vAlign w:val="center"/>
          </w:tcPr>
          <w:p>
            <w:pPr>
              <w:pStyle w:val="12"/>
            </w:pPr>
            <w:r>
              <w:t>及时足额发放</w:t>
            </w:r>
          </w:p>
        </w:tc>
        <w:tc>
          <w:tcPr>
            <w:tcW w:w="1276" w:type="dxa"/>
            <w:vAlign w:val="center"/>
          </w:tcPr>
          <w:p>
            <w:pPr>
              <w:pStyle w:val="12"/>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劳务派遣人员月工资标准</w:t>
            </w:r>
          </w:p>
        </w:tc>
        <w:tc>
          <w:tcPr>
            <w:tcW w:w="5386" w:type="dxa"/>
            <w:vAlign w:val="center"/>
          </w:tcPr>
          <w:p>
            <w:pPr>
              <w:pStyle w:val="12"/>
            </w:pPr>
            <w:r>
              <w:t>反映劳务派遣人员月工资标准情况</w:t>
            </w:r>
          </w:p>
        </w:tc>
        <w:tc>
          <w:tcPr>
            <w:tcW w:w="2268" w:type="dxa"/>
            <w:vAlign w:val="center"/>
          </w:tcPr>
          <w:p>
            <w:pPr>
              <w:pStyle w:val="12"/>
            </w:pPr>
            <w:r>
              <w:t>≥2200元/月</w:t>
            </w:r>
          </w:p>
        </w:tc>
        <w:tc>
          <w:tcPr>
            <w:tcW w:w="1276" w:type="dxa"/>
            <w:vAlign w:val="center"/>
          </w:tcPr>
          <w:p>
            <w:pPr>
              <w:pStyle w:val="12"/>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业务保障能力提升情况</w:t>
            </w:r>
          </w:p>
        </w:tc>
        <w:tc>
          <w:tcPr>
            <w:tcW w:w="5386" w:type="dxa"/>
            <w:vAlign w:val="center"/>
          </w:tcPr>
          <w:p>
            <w:pPr>
              <w:pStyle w:val="12"/>
            </w:pPr>
            <w:r>
              <w:t>反映业务保障能力提升情况</w:t>
            </w:r>
          </w:p>
        </w:tc>
        <w:tc>
          <w:tcPr>
            <w:tcW w:w="2268" w:type="dxa"/>
            <w:vAlign w:val="center"/>
          </w:tcPr>
          <w:p>
            <w:pPr>
              <w:pStyle w:val="12"/>
            </w:pPr>
            <w:r>
              <w:t>保障劳务派遣人员业务能力稳定提升</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反映社会稳定水平</w:t>
            </w:r>
          </w:p>
        </w:tc>
        <w:tc>
          <w:tcPr>
            <w:tcW w:w="2268" w:type="dxa"/>
            <w:vAlign w:val="center"/>
          </w:tcPr>
          <w:p>
            <w:pPr>
              <w:pStyle w:val="12"/>
            </w:pPr>
            <w:r>
              <w:t>保障劳务派遣人员工作保持稳定</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聘用人员稳定程度</w:t>
            </w:r>
          </w:p>
        </w:tc>
        <w:tc>
          <w:tcPr>
            <w:tcW w:w="5386" w:type="dxa"/>
            <w:vAlign w:val="center"/>
          </w:tcPr>
          <w:p>
            <w:pPr>
              <w:pStyle w:val="12"/>
            </w:pPr>
            <w:r>
              <w:t>反映聘用人员稳定程度</w:t>
            </w:r>
          </w:p>
        </w:tc>
        <w:tc>
          <w:tcPr>
            <w:tcW w:w="2268" w:type="dxa"/>
            <w:vAlign w:val="center"/>
          </w:tcPr>
          <w:p>
            <w:pPr>
              <w:pStyle w:val="12"/>
            </w:pPr>
            <w:r>
              <w:t>保持稳定</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2、业务工作经费绩效目标表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13020725P007000100014</w:t>
            </w:r>
          </w:p>
        </w:tc>
        <w:tc>
          <w:tcPr>
            <w:tcW w:w="2835" w:type="dxa"/>
            <w:vAlign w:val="center"/>
          </w:tcPr>
          <w:p>
            <w:pPr>
              <w:pStyle w:val="10"/>
            </w:pPr>
            <w:r>
              <w:t>项目名称</w:t>
            </w:r>
          </w:p>
        </w:tc>
        <w:tc>
          <w:tcPr>
            <w:tcW w:w="6095" w:type="dxa"/>
            <w:gridSpan w:val="3"/>
            <w:vAlign w:val="center"/>
          </w:tcPr>
          <w:p>
            <w:pPr>
              <w:pStyle w:val="12"/>
            </w:pPr>
            <w:r>
              <w:t>业务工作经费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据团中央省市等上级要求开展下列相关活动，2025年预计共需资金20万元，主要用于：团区委组织建设和宣传教育工作项目、团区委服务引导青少年工作项目、团区委维护青少年权益工作项目下支出办公费1万元，印刷费9万元，其他商品服务支出4万元，租赁费1万元，委托业务费5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1.扎实推进团区委业务工作活动场次不低于5场次。按要求合理安排预算项目支出。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完成项目数量</w:t>
            </w:r>
          </w:p>
        </w:tc>
        <w:tc>
          <w:tcPr>
            <w:tcW w:w="5386" w:type="dxa"/>
            <w:vAlign w:val="center"/>
          </w:tcPr>
          <w:p>
            <w:pPr>
              <w:pStyle w:val="12"/>
            </w:pPr>
            <w:r>
              <w:t>反映完成活动项目数量</w:t>
            </w:r>
          </w:p>
        </w:tc>
        <w:tc>
          <w:tcPr>
            <w:tcW w:w="2268" w:type="dxa"/>
            <w:vAlign w:val="center"/>
          </w:tcPr>
          <w:p>
            <w:pPr>
              <w:pStyle w:val="12"/>
            </w:pPr>
            <w:r>
              <w:t>&gt;5个</w:t>
            </w:r>
          </w:p>
        </w:tc>
        <w:tc>
          <w:tcPr>
            <w:tcW w:w="1276" w:type="dxa"/>
            <w:vAlign w:val="center"/>
          </w:tcPr>
          <w:p>
            <w:pPr>
              <w:pStyle w:val="12"/>
            </w:pPr>
            <w:r>
              <w:t>签订合同数量及验收报告单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综合业务管理工作完成率</w:t>
            </w:r>
          </w:p>
        </w:tc>
        <w:tc>
          <w:tcPr>
            <w:tcW w:w="5386" w:type="dxa"/>
            <w:vAlign w:val="center"/>
          </w:tcPr>
          <w:p>
            <w:pPr>
              <w:pStyle w:val="12"/>
            </w:pPr>
            <w:r>
              <w:t>反映综合业务管理工作完成率</w:t>
            </w:r>
          </w:p>
        </w:tc>
        <w:tc>
          <w:tcPr>
            <w:tcW w:w="2268" w:type="dxa"/>
            <w:vAlign w:val="center"/>
          </w:tcPr>
          <w:p>
            <w:pPr>
              <w:pStyle w:val="12"/>
            </w:pPr>
            <w:r>
              <w:t>≥80%</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反映资金按合同支付情况</w:t>
            </w:r>
          </w:p>
        </w:tc>
        <w:tc>
          <w:tcPr>
            <w:tcW w:w="2268" w:type="dxa"/>
            <w:vAlign w:val="center"/>
          </w:tcPr>
          <w:p>
            <w:pPr>
              <w:pStyle w:val="12"/>
            </w:pPr>
            <w:r>
              <w:t>及时支付</w:t>
            </w:r>
          </w:p>
        </w:tc>
        <w:tc>
          <w:tcPr>
            <w:tcW w:w="1276" w:type="dxa"/>
            <w:vAlign w:val="center"/>
          </w:tcPr>
          <w:p>
            <w:pPr>
              <w:pStyle w:val="12"/>
            </w:pPr>
            <w:r>
              <w:t>合同、项目计划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成本控制情况</w:t>
            </w:r>
          </w:p>
        </w:tc>
        <w:tc>
          <w:tcPr>
            <w:tcW w:w="5386" w:type="dxa"/>
            <w:vAlign w:val="center"/>
          </w:tcPr>
          <w:p>
            <w:pPr>
              <w:pStyle w:val="12"/>
            </w:pPr>
            <w:r>
              <w:t>反映同项目下举办活动所需成本下降或低于行业标准</w:t>
            </w:r>
          </w:p>
        </w:tc>
        <w:tc>
          <w:tcPr>
            <w:tcW w:w="2268" w:type="dxa"/>
            <w:vAlign w:val="center"/>
          </w:tcPr>
          <w:p>
            <w:pPr>
              <w:pStyle w:val="12"/>
            </w:pPr>
            <w:r>
              <w:t>有效控制</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各项目活动完成情况</w:t>
            </w:r>
          </w:p>
        </w:tc>
        <w:tc>
          <w:tcPr>
            <w:tcW w:w="5386" w:type="dxa"/>
            <w:vAlign w:val="center"/>
          </w:tcPr>
          <w:p>
            <w:pPr>
              <w:pStyle w:val="12"/>
            </w:pPr>
            <w:r>
              <w:t>反映工作任务预期经济效益目标实现程度</w:t>
            </w:r>
          </w:p>
        </w:tc>
        <w:tc>
          <w:tcPr>
            <w:tcW w:w="2268" w:type="dxa"/>
            <w:vAlign w:val="center"/>
          </w:tcPr>
          <w:p>
            <w:pPr>
              <w:pStyle w:val="12"/>
            </w:pPr>
            <w:r>
              <w:t>有效完成</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落实人民群众的知情权、表达权、参与权和监督权</w:t>
            </w:r>
          </w:p>
        </w:tc>
        <w:tc>
          <w:tcPr>
            <w:tcW w:w="5386" w:type="dxa"/>
            <w:vAlign w:val="center"/>
          </w:tcPr>
          <w:p>
            <w:pPr>
              <w:pStyle w:val="12"/>
            </w:pPr>
            <w:r>
              <w:t>反映落实人民群众的知情权、表达权、参与权和监督权</w:t>
            </w:r>
          </w:p>
        </w:tc>
        <w:tc>
          <w:tcPr>
            <w:tcW w:w="2268" w:type="dxa"/>
            <w:vAlign w:val="center"/>
          </w:tcPr>
          <w:p>
            <w:pPr>
              <w:pStyle w:val="12"/>
            </w:pPr>
            <w:r>
              <w:t>充分落实</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宣传资料重复利用率（%）</w:t>
            </w:r>
          </w:p>
        </w:tc>
        <w:tc>
          <w:tcPr>
            <w:tcW w:w="5386" w:type="dxa"/>
            <w:vAlign w:val="center"/>
          </w:tcPr>
          <w:p>
            <w:pPr>
              <w:pStyle w:val="12"/>
            </w:pPr>
            <w:r>
              <w:t>反映同项目下举办活动所需宣传资料重复利用率</w:t>
            </w:r>
          </w:p>
        </w:tc>
        <w:tc>
          <w:tcPr>
            <w:tcW w:w="2268" w:type="dxa"/>
            <w:vAlign w:val="center"/>
          </w:tcPr>
          <w:p>
            <w:pPr>
              <w:pStyle w:val="12"/>
            </w:pPr>
            <w:r>
              <w:t>≥60%</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保证人才队伍可持续建设</w:t>
            </w:r>
          </w:p>
        </w:tc>
        <w:tc>
          <w:tcPr>
            <w:tcW w:w="5386" w:type="dxa"/>
            <w:vAlign w:val="center"/>
          </w:tcPr>
          <w:p>
            <w:pPr>
              <w:pStyle w:val="12"/>
            </w:pPr>
            <w:r>
              <w:t>反映保证人才队伍可持续建设情况</w:t>
            </w:r>
          </w:p>
        </w:tc>
        <w:tc>
          <w:tcPr>
            <w:tcW w:w="2268" w:type="dxa"/>
            <w:vAlign w:val="center"/>
          </w:tcPr>
          <w:p>
            <w:pPr>
              <w:pStyle w:val="12"/>
            </w:pPr>
            <w:r>
              <w:t>明显提高</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bookmarkStart w:id="1" w:name="_GoBack"/>
      <w:bookmarkEnd w:id="1"/>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324001中国共产主义青年团唐山市丰南区委员会本级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中国共产主义青年团唐山市丰南区委员会本级上年末固定资产金额为22.65万元（详见下表）。本年度拟购置固定资产总额为0.00万元，已按要求列入政府采购预算，详见政府采购预算表。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324001中国共产主义青年团唐山市丰南区委员会本级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22.65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12.75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11</w:t>
            </w:r>
          </w:p>
        </w:tc>
        <w:tc>
          <w:tcPr>
            <w:tcW w:w="2835" w:type="dxa"/>
            <w:vAlign w:val="center"/>
          </w:tcPr>
          <w:p>
            <w:pPr>
              <w:pStyle w:val="11"/>
            </w:pPr>
            <w:r>
              <w:t>9.90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B195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TotalTime>4</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2025-02-06T15:04:00Z</dcterms:created>
  <dc:creator>Administrator</dc:creator>
  <cp:lastModifiedBy>Administrator</cp:lastModifiedBy>
  <dcterms:modified xsi:type="dcterms:W3CDTF">2025-02-06T07:12:41Z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