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20" w:name="_GoBack"/>
      <w:bookmarkEnd w:id="20"/>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22</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324中国共产主义青年团唐山市丰南区委员会</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103.50</w:t>
            </w:r>
          </w:p>
        </w:tc>
        <w:tc>
          <w:tcPr>
            <w:tcW w:w="4535" w:type="dxa"/>
            <w:vAlign w:val="center"/>
          </w:tcPr>
          <w:p>
            <w:pPr>
              <w:pStyle w:val="13"/>
            </w:pPr>
            <w:r>
              <w:t>一、一般公共服务支出</w:t>
            </w:r>
          </w:p>
        </w:tc>
        <w:tc>
          <w:tcPr>
            <w:tcW w:w="2126" w:type="dxa"/>
            <w:vAlign w:val="center"/>
          </w:tcPr>
          <w:p>
            <w:pPr>
              <w:pStyle w:val="12"/>
            </w:pPr>
            <w:r>
              <w:t>83.05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7.32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6.72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6.41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103.50</w:t>
            </w:r>
          </w:p>
        </w:tc>
        <w:tc>
          <w:tcPr>
            <w:tcW w:w="4535" w:type="dxa"/>
            <w:vAlign w:val="center"/>
          </w:tcPr>
          <w:p>
            <w:pPr>
              <w:pStyle w:val="15"/>
            </w:pPr>
            <w:r>
              <w:t>本年支出合计</w:t>
            </w:r>
          </w:p>
        </w:tc>
        <w:tc>
          <w:tcPr>
            <w:tcW w:w="2126" w:type="dxa"/>
            <w:vAlign w:val="center"/>
          </w:tcPr>
          <w:p>
            <w:pPr>
              <w:pStyle w:val="16"/>
            </w:pPr>
            <w:r>
              <w:t>103.50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103.50</w:t>
            </w:r>
          </w:p>
        </w:tc>
        <w:tc>
          <w:tcPr>
            <w:tcW w:w="4535" w:type="dxa"/>
            <w:vAlign w:val="center"/>
          </w:tcPr>
          <w:p>
            <w:pPr>
              <w:pStyle w:val="15"/>
            </w:pPr>
            <w:r>
              <w:t>支出总计</w:t>
            </w:r>
          </w:p>
        </w:tc>
        <w:tc>
          <w:tcPr>
            <w:tcW w:w="2126" w:type="dxa"/>
            <w:vAlign w:val="center"/>
          </w:tcPr>
          <w:p>
            <w:pPr>
              <w:pStyle w:val="16"/>
            </w:pPr>
            <w:r>
              <w:t>103.50</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324中国共产主义青年团唐山市丰南区委员会</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103.50</w:t>
            </w:r>
          </w:p>
        </w:tc>
        <w:tc>
          <w:tcPr>
            <w:tcW w:w="1134" w:type="dxa"/>
            <w:vAlign w:val="center"/>
          </w:tcPr>
          <w:p>
            <w:pPr>
              <w:pStyle w:val="16"/>
            </w:pPr>
            <w:r>
              <w:t>103.50</w:t>
            </w:r>
          </w:p>
        </w:tc>
        <w:tc>
          <w:tcPr>
            <w:tcW w:w="1134" w:type="dxa"/>
            <w:vAlign w:val="center"/>
          </w:tcPr>
          <w:p>
            <w:pPr>
              <w:pStyle w:val="16"/>
            </w:pPr>
            <w:r>
              <w:t>103.50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83.05</w:t>
            </w:r>
          </w:p>
        </w:tc>
        <w:tc>
          <w:tcPr>
            <w:tcW w:w="1134" w:type="dxa"/>
            <w:vAlign w:val="center"/>
          </w:tcPr>
          <w:p>
            <w:pPr>
              <w:pStyle w:val="12"/>
            </w:pPr>
            <w:r>
              <w:t>83.05</w:t>
            </w:r>
          </w:p>
        </w:tc>
        <w:tc>
          <w:tcPr>
            <w:tcW w:w="1134" w:type="dxa"/>
            <w:vAlign w:val="center"/>
          </w:tcPr>
          <w:p>
            <w:pPr>
              <w:pStyle w:val="12"/>
            </w:pPr>
            <w:r>
              <w:t>83.05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20129</w:t>
            </w:r>
          </w:p>
        </w:tc>
        <w:tc>
          <w:tcPr>
            <w:tcW w:w="1559" w:type="dxa"/>
            <w:vAlign w:val="center"/>
          </w:tcPr>
          <w:p>
            <w:pPr>
              <w:pStyle w:val="13"/>
            </w:pPr>
            <w:r>
              <w:t>群众团体事务</w:t>
            </w:r>
          </w:p>
        </w:tc>
        <w:tc>
          <w:tcPr>
            <w:tcW w:w="1134" w:type="dxa"/>
            <w:vAlign w:val="center"/>
          </w:tcPr>
          <w:p>
            <w:pPr>
              <w:pStyle w:val="12"/>
            </w:pPr>
            <w:r>
              <w:t>83.05</w:t>
            </w:r>
          </w:p>
        </w:tc>
        <w:tc>
          <w:tcPr>
            <w:tcW w:w="1134" w:type="dxa"/>
            <w:vAlign w:val="center"/>
          </w:tcPr>
          <w:p>
            <w:pPr>
              <w:pStyle w:val="12"/>
            </w:pPr>
            <w:r>
              <w:t>83.05</w:t>
            </w:r>
          </w:p>
        </w:tc>
        <w:tc>
          <w:tcPr>
            <w:tcW w:w="1134" w:type="dxa"/>
            <w:vAlign w:val="center"/>
          </w:tcPr>
          <w:p>
            <w:pPr>
              <w:pStyle w:val="12"/>
            </w:pPr>
            <w:r>
              <w:t>83.05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2012901</w:t>
            </w:r>
          </w:p>
        </w:tc>
        <w:tc>
          <w:tcPr>
            <w:tcW w:w="1559" w:type="dxa"/>
            <w:vAlign w:val="center"/>
          </w:tcPr>
          <w:p>
            <w:pPr>
              <w:pStyle w:val="13"/>
            </w:pPr>
            <w:r>
              <w:t>行政运行</w:t>
            </w:r>
          </w:p>
        </w:tc>
        <w:tc>
          <w:tcPr>
            <w:tcW w:w="1134" w:type="dxa"/>
            <w:vAlign w:val="center"/>
          </w:tcPr>
          <w:p>
            <w:pPr>
              <w:pStyle w:val="12"/>
            </w:pPr>
            <w:r>
              <w:t>57.85</w:t>
            </w:r>
          </w:p>
        </w:tc>
        <w:tc>
          <w:tcPr>
            <w:tcW w:w="1134" w:type="dxa"/>
            <w:vAlign w:val="center"/>
          </w:tcPr>
          <w:p>
            <w:pPr>
              <w:pStyle w:val="12"/>
            </w:pPr>
            <w:r>
              <w:t>57.85</w:t>
            </w:r>
          </w:p>
        </w:tc>
        <w:tc>
          <w:tcPr>
            <w:tcW w:w="1134" w:type="dxa"/>
            <w:vAlign w:val="center"/>
          </w:tcPr>
          <w:p>
            <w:pPr>
              <w:pStyle w:val="12"/>
            </w:pPr>
            <w:r>
              <w:t>57.85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2012902</w:t>
            </w:r>
          </w:p>
        </w:tc>
        <w:tc>
          <w:tcPr>
            <w:tcW w:w="1559" w:type="dxa"/>
            <w:vAlign w:val="center"/>
          </w:tcPr>
          <w:p>
            <w:pPr>
              <w:pStyle w:val="13"/>
            </w:pPr>
            <w:r>
              <w:t>一般行政管理事务</w:t>
            </w:r>
          </w:p>
        </w:tc>
        <w:tc>
          <w:tcPr>
            <w:tcW w:w="1134" w:type="dxa"/>
            <w:vAlign w:val="center"/>
          </w:tcPr>
          <w:p>
            <w:pPr>
              <w:pStyle w:val="12"/>
            </w:pPr>
            <w:r>
              <w:t>25.20</w:t>
            </w:r>
          </w:p>
        </w:tc>
        <w:tc>
          <w:tcPr>
            <w:tcW w:w="1134" w:type="dxa"/>
            <w:vAlign w:val="center"/>
          </w:tcPr>
          <w:p>
            <w:pPr>
              <w:pStyle w:val="12"/>
            </w:pPr>
            <w:r>
              <w:t>25.20</w:t>
            </w:r>
          </w:p>
        </w:tc>
        <w:tc>
          <w:tcPr>
            <w:tcW w:w="1134" w:type="dxa"/>
            <w:vAlign w:val="center"/>
          </w:tcPr>
          <w:p>
            <w:pPr>
              <w:pStyle w:val="12"/>
            </w:pPr>
            <w:r>
              <w:t>25.20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7.32</w:t>
            </w:r>
          </w:p>
        </w:tc>
        <w:tc>
          <w:tcPr>
            <w:tcW w:w="1134" w:type="dxa"/>
            <w:vAlign w:val="center"/>
          </w:tcPr>
          <w:p>
            <w:pPr>
              <w:pStyle w:val="12"/>
            </w:pPr>
            <w:r>
              <w:t>7.32</w:t>
            </w:r>
          </w:p>
        </w:tc>
        <w:tc>
          <w:tcPr>
            <w:tcW w:w="1134" w:type="dxa"/>
            <w:vAlign w:val="center"/>
          </w:tcPr>
          <w:p>
            <w:pPr>
              <w:pStyle w:val="12"/>
            </w:pPr>
            <w:r>
              <w:t>7.32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7.32</w:t>
            </w:r>
          </w:p>
        </w:tc>
        <w:tc>
          <w:tcPr>
            <w:tcW w:w="1134" w:type="dxa"/>
            <w:vAlign w:val="center"/>
          </w:tcPr>
          <w:p>
            <w:pPr>
              <w:pStyle w:val="12"/>
            </w:pPr>
            <w:r>
              <w:t>7.32</w:t>
            </w:r>
          </w:p>
        </w:tc>
        <w:tc>
          <w:tcPr>
            <w:tcW w:w="1134" w:type="dxa"/>
            <w:vAlign w:val="center"/>
          </w:tcPr>
          <w:p>
            <w:pPr>
              <w:pStyle w:val="12"/>
            </w:pPr>
            <w:r>
              <w:t>7.32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7.32</w:t>
            </w:r>
          </w:p>
        </w:tc>
        <w:tc>
          <w:tcPr>
            <w:tcW w:w="1134" w:type="dxa"/>
            <w:vAlign w:val="center"/>
          </w:tcPr>
          <w:p>
            <w:pPr>
              <w:pStyle w:val="12"/>
            </w:pPr>
            <w:r>
              <w:t>7.32</w:t>
            </w:r>
          </w:p>
        </w:tc>
        <w:tc>
          <w:tcPr>
            <w:tcW w:w="1134" w:type="dxa"/>
            <w:vAlign w:val="center"/>
          </w:tcPr>
          <w:p>
            <w:pPr>
              <w:pStyle w:val="12"/>
            </w:pPr>
            <w:r>
              <w:t>7.32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6.72</w:t>
            </w:r>
          </w:p>
        </w:tc>
        <w:tc>
          <w:tcPr>
            <w:tcW w:w="1134" w:type="dxa"/>
            <w:vAlign w:val="center"/>
          </w:tcPr>
          <w:p>
            <w:pPr>
              <w:pStyle w:val="12"/>
            </w:pPr>
            <w:r>
              <w:t>6.72</w:t>
            </w:r>
          </w:p>
        </w:tc>
        <w:tc>
          <w:tcPr>
            <w:tcW w:w="1134" w:type="dxa"/>
            <w:vAlign w:val="center"/>
          </w:tcPr>
          <w:p>
            <w:pPr>
              <w:pStyle w:val="12"/>
            </w:pPr>
            <w:r>
              <w:t>6.72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6.72</w:t>
            </w:r>
          </w:p>
        </w:tc>
        <w:tc>
          <w:tcPr>
            <w:tcW w:w="1134" w:type="dxa"/>
            <w:vAlign w:val="center"/>
          </w:tcPr>
          <w:p>
            <w:pPr>
              <w:pStyle w:val="12"/>
            </w:pPr>
            <w:r>
              <w:t>6.72</w:t>
            </w:r>
          </w:p>
        </w:tc>
        <w:tc>
          <w:tcPr>
            <w:tcW w:w="1134" w:type="dxa"/>
            <w:vAlign w:val="center"/>
          </w:tcPr>
          <w:p>
            <w:pPr>
              <w:pStyle w:val="12"/>
            </w:pPr>
            <w:r>
              <w:t>6.72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3.15</w:t>
            </w:r>
          </w:p>
        </w:tc>
        <w:tc>
          <w:tcPr>
            <w:tcW w:w="1134" w:type="dxa"/>
            <w:vAlign w:val="center"/>
          </w:tcPr>
          <w:p>
            <w:pPr>
              <w:pStyle w:val="12"/>
            </w:pPr>
            <w:r>
              <w:t>3.15</w:t>
            </w:r>
          </w:p>
        </w:tc>
        <w:tc>
          <w:tcPr>
            <w:tcW w:w="1134" w:type="dxa"/>
            <w:vAlign w:val="center"/>
          </w:tcPr>
          <w:p>
            <w:pPr>
              <w:pStyle w:val="12"/>
            </w:pPr>
            <w:r>
              <w:t>3.15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2101103</w:t>
            </w:r>
          </w:p>
        </w:tc>
        <w:tc>
          <w:tcPr>
            <w:tcW w:w="1559" w:type="dxa"/>
            <w:vAlign w:val="center"/>
          </w:tcPr>
          <w:p>
            <w:pPr>
              <w:pStyle w:val="13"/>
            </w:pPr>
            <w:r>
              <w:t>公务员医疗补助</w:t>
            </w:r>
          </w:p>
        </w:tc>
        <w:tc>
          <w:tcPr>
            <w:tcW w:w="1134" w:type="dxa"/>
            <w:vAlign w:val="center"/>
          </w:tcPr>
          <w:p>
            <w:pPr>
              <w:pStyle w:val="12"/>
            </w:pPr>
            <w:r>
              <w:t>3.57</w:t>
            </w:r>
          </w:p>
        </w:tc>
        <w:tc>
          <w:tcPr>
            <w:tcW w:w="1134" w:type="dxa"/>
            <w:vAlign w:val="center"/>
          </w:tcPr>
          <w:p>
            <w:pPr>
              <w:pStyle w:val="12"/>
            </w:pPr>
            <w:r>
              <w:t>3.57</w:t>
            </w:r>
          </w:p>
        </w:tc>
        <w:tc>
          <w:tcPr>
            <w:tcW w:w="1134" w:type="dxa"/>
            <w:vAlign w:val="center"/>
          </w:tcPr>
          <w:p>
            <w:pPr>
              <w:pStyle w:val="12"/>
            </w:pPr>
            <w:r>
              <w:t>3.57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6.41</w:t>
            </w:r>
          </w:p>
        </w:tc>
        <w:tc>
          <w:tcPr>
            <w:tcW w:w="1134" w:type="dxa"/>
            <w:vAlign w:val="center"/>
          </w:tcPr>
          <w:p>
            <w:pPr>
              <w:pStyle w:val="12"/>
            </w:pPr>
            <w:r>
              <w:t>6.41</w:t>
            </w:r>
          </w:p>
        </w:tc>
        <w:tc>
          <w:tcPr>
            <w:tcW w:w="1134" w:type="dxa"/>
            <w:vAlign w:val="center"/>
          </w:tcPr>
          <w:p>
            <w:pPr>
              <w:pStyle w:val="12"/>
            </w:pPr>
            <w:r>
              <w:t>6.41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6.41</w:t>
            </w:r>
          </w:p>
        </w:tc>
        <w:tc>
          <w:tcPr>
            <w:tcW w:w="1134" w:type="dxa"/>
            <w:vAlign w:val="center"/>
          </w:tcPr>
          <w:p>
            <w:pPr>
              <w:pStyle w:val="12"/>
            </w:pPr>
            <w:r>
              <w:t>6.41</w:t>
            </w:r>
          </w:p>
        </w:tc>
        <w:tc>
          <w:tcPr>
            <w:tcW w:w="1134" w:type="dxa"/>
            <w:vAlign w:val="center"/>
          </w:tcPr>
          <w:p>
            <w:pPr>
              <w:pStyle w:val="12"/>
            </w:pPr>
            <w:r>
              <w:t>6.41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6.41</w:t>
            </w:r>
          </w:p>
        </w:tc>
        <w:tc>
          <w:tcPr>
            <w:tcW w:w="1134" w:type="dxa"/>
            <w:vAlign w:val="center"/>
          </w:tcPr>
          <w:p>
            <w:pPr>
              <w:pStyle w:val="12"/>
            </w:pPr>
            <w:r>
              <w:t>6.41</w:t>
            </w:r>
          </w:p>
        </w:tc>
        <w:tc>
          <w:tcPr>
            <w:tcW w:w="1134" w:type="dxa"/>
            <w:vAlign w:val="center"/>
          </w:tcPr>
          <w:p>
            <w:pPr>
              <w:pStyle w:val="12"/>
            </w:pPr>
            <w:r>
              <w:t>6.41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324中国共产主义青年团唐山市丰南区委员会</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103.50</w:t>
            </w:r>
          </w:p>
        </w:tc>
        <w:tc>
          <w:tcPr>
            <w:tcW w:w="1361" w:type="dxa"/>
            <w:vAlign w:val="center"/>
          </w:tcPr>
          <w:p>
            <w:pPr>
              <w:pStyle w:val="16"/>
            </w:pPr>
            <w:r>
              <w:t>78.30</w:t>
            </w:r>
          </w:p>
        </w:tc>
        <w:tc>
          <w:tcPr>
            <w:tcW w:w="1361" w:type="dxa"/>
            <w:vAlign w:val="center"/>
          </w:tcPr>
          <w:p>
            <w:pPr>
              <w:pStyle w:val="16"/>
            </w:pPr>
            <w:r>
              <w:t>25.20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83.05</w:t>
            </w:r>
          </w:p>
        </w:tc>
        <w:tc>
          <w:tcPr>
            <w:tcW w:w="1361" w:type="dxa"/>
            <w:vAlign w:val="center"/>
          </w:tcPr>
          <w:p>
            <w:pPr>
              <w:pStyle w:val="12"/>
            </w:pPr>
            <w:r>
              <w:t>57.85</w:t>
            </w:r>
          </w:p>
        </w:tc>
        <w:tc>
          <w:tcPr>
            <w:tcW w:w="1361" w:type="dxa"/>
            <w:vAlign w:val="center"/>
          </w:tcPr>
          <w:p>
            <w:pPr>
              <w:pStyle w:val="12"/>
            </w:pPr>
            <w:r>
              <w:t>25.20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20129</w:t>
            </w:r>
          </w:p>
        </w:tc>
        <w:tc>
          <w:tcPr>
            <w:tcW w:w="4535" w:type="dxa"/>
            <w:vAlign w:val="center"/>
          </w:tcPr>
          <w:p>
            <w:pPr>
              <w:pStyle w:val="13"/>
            </w:pPr>
            <w:r>
              <w:t>群众团体事务</w:t>
            </w:r>
          </w:p>
        </w:tc>
        <w:tc>
          <w:tcPr>
            <w:tcW w:w="1361" w:type="dxa"/>
            <w:vAlign w:val="center"/>
          </w:tcPr>
          <w:p>
            <w:pPr>
              <w:pStyle w:val="12"/>
            </w:pPr>
            <w:r>
              <w:t>83.05</w:t>
            </w:r>
          </w:p>
        </w:tc>
        <w:tc>
          <w:tcPr>
            <w:tcW w:w="1361" w:type="dxa"/>
            <w:vAlign w:val="center"/>
          </w:tcPr>
          <w:p>
            <w:pPr>
              <w:pStyle w:val="12"/>
            </w:pPr>
            <w:r>
              <w:t>57.85</w:t>
            </w:r>
          </w:p>
        </w:tc>
        <w:tc>
          <w:tcPr>
            <w:tcW w:w="1361" w:type="dxa"/>
            <w:vAlign w:val="center"/>
          </w:tcPr>
          <w:p>
            <w:pPr>
              <w:pStyle w:val="12"/>
            </w:pPr>
            <w:r>
              <w:t>25.20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2012901</w:t>
            </w:r>
          </w:p>
        </w:tc>
        <w:tc>
          <w:tcPr>
            <w:tcW w:w="4535" w:type="dxa"/>
            <w:vAlign w:val="center"/>
          </w:tcPr>
          <w:p>
            <w:pPr>
              <w:pStyle w:val="13"/>
            </w:pPr>
            <w:r>
              <w:t>行政运行</w:t>
            </w:r>
          </w:p>
        </w:tc>
        <w:tc>
          <w:tcPr>
            <w:tcW w:w="1361" w:type="dxa"/>
            <w:vAlign w:val="center"/>
          </w:tcPr>
          <w:p>
            <w:pPr>
              <w:pStyle w:val="12"/>
            </w:pPr>
            <w:r>
              <w:t>57.85</w:t>
            </w:r>
          </w:p>
        </w:tc>
        <w:tc>
          <w:tcPr>
            <w:tcW w:w="1361" w:type="dxa"/>
            <w:vAlign w:val="center"/>
          </w:tcPr>
          <w:p>
            <w:pPr>
              <w:pStyle w:val="12"/>
            </w:pPr>
            <w:r>
              <w:t>57.85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2012902</w:t>
            </w:r>
          </w:p>
        </w:tc>
        <w:tc>
          <w:tcPr>
            <w:tcW w:w="4535" w:type="dxa"/>
            <w:vAlign w:val="center"/>
          </w:tcPr>
          <w:p>
            <w:pPr>
              <w:pStyle w:val="13"/>
            </w:pPr>
            <w:r>
              <w:t>一般行政管理事务</w:t>
            </w:r>
          </w:p>
        </w:tc>
        <w:tc>
          <w:tcPr>
            <w:tcW w:w="1361" w:type="dxa"/>
            <w:vAlign w:val="center"/>
          </w:tcPr>
          <w:p>
            <w:pPr>
              <w:pStyle w:val="12"/>
            </w:pPr>
            <w:r>
              <w:t>25.20</w:t>
            </w:r>
          </w:p>
        </w:tc>
        <w:tc>
          <w:tcPr>
            <w:tcW w:w="1361" w:type="dxa"/>
            <w:vAlign w:val="center"/>
          </w:tcPr>
          <w:p>
            <w:pPr>
              <w:pStyle w:val="12"/>
            </w:pPr>
          </w:p>
        </w:tc>
        <w:tc>
          <w:tcPr>
            <w:tcW w:w="1361" w:type="dxa"/>
            <w:vAlign w:val="center"/>
          </w:tcPr>
          <w:p>
            <w:pPr>
              <w:pStyle w:val="12"/>
            </w:pPr>
            <w:r>
              <w:t>25.20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7.32</w:t>
            </w:r>
          </w:p>
        </w:tc>
        <w:tc>
          <w:tcPr>
            <w:tcW w:w="1361" w:type="dxa"/>
            <w:vAlign w:val="center"/>
          </w:tcPr>
          <w:p>
            <w:pPr>
              <w:pStyle w:val="12"/>
            </w:pPr>
            <w:r>
              <w:t>7.32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7.32</w:t>
            </w:r>
          </w:p>
        </w:tc>
        <w:tc>
          <w:tcPr>
            <w:tcW w:w="1361" w:type="dxa"/>
            <w:vAlign w:val="center"/>
          </w:tcPr>
          <w:p>
            <w:pPr>
              <w:pStyle w:val="12"/>
            </w:pPr>
            <w:r>
              <w:t>7.32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7.32</w:t>
            </w:r>
          </w:p>
        </w:tc>
        <w:tc>
          <w:tcPr>
            <w:tcW w:w="1361" w:type="dxa"/>
            <w:vAlign w:val="center"/>
          </w:tcPr>
          <w:p>
            <w:pPr>
              <w:pStyle w:val="12"/>
            </w:pPr>
            <w:r>
              <w:t>7.32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6.72</w:t>
            </w:r>
          </w:p>
        </w:tc>
        <w:tc>
          <w:tcPr>
            <w:tcW w:w="1361" w:type="dxa"/>
            <w:vAlign w:val="center"/>
          </w:tcPr>
          <w:p>
            <w:pPr>
              <w:pStyle w:val="12"/>
            </w:pPr>
            <w:r>
              <w:t>6.72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6.72</w:t>
            </w:r>
          </w:p>
        </w:tc>
        <w:tc>
          <w:tcPr>
            <w:tcW w:w="1361" w:type="dxa"/>
            <w:vAlign w:val="center"/>
          </w:tcPr>
          <w:p>
            <w:pPr>
              <w:pStyle w:val="12"/>
            </w:pPr>
            <w:r>
              <w:t>6.72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3.15</w:t>
            </w:r>
          </w:p>
        </w:tc>
        <w:tc>
          <w:tcPr>
            <w:tcW w:w="1361" w:type="dxa"/>
            <w:vAlign w:val="center"/>
          </w:tcPr>
          <w:p>
            <w:pPr>
              <w:pStyle w:val="12"/>
            </w:pPr>
            <w:r>
              <w:t>3.15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2101103</w:t>
            </w:r>
          </w:p>
        </w:tc>
        <w:tc>
          <w:tcPr>
            <w:tcW w:w="4535" w:type="dxa"/>
            <w:vAlign w:val="center"/>
          </w:tcPr>
          <w:p>
            <w:pPr>
              <w:pStyle w:val="13"/>
            </w:pPr>
            <w:r>
              <w:t>公务员医疗补助</w:t>
            </w:r>
          </w:p>
        </w:tc>
        <w:tc>
          <w:tcPr>
            <w:tcW w:w="1361" w:type="dxa"/>
            <w:vAlign w:val="center"/>
          </w:tcPr>
          <w:p>
            <w:pPr>
              <w:pStyle w:val="12"/>
            </w:pPr>
            <w:r>
              <w:t>3.57</w:t>
            </w:r>
          </w:p>
        </w:tc>
        <w:tc>
          <w:tcPr>
            <w:tcW w:w="1361" w:type="dxa"/>
            <w:vAlign w:val="center"/>
          </w:tcPr>
          <w:p>
            <w:pPr>
              <w:pStyle w:val="12"/>
            </w:pPr>
            <w:r>
              <w:t>3.57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6.41</w:t>
            </w:r>
          </w:p>
        </w:tc>
        <w:tc>
          <w:tcPr>
            <w:tcW w:w="1361" w:type="dxa"/>
            <w:vAlign w:val="center"/>
          </w:tcPr>
          <w:p>
            <w:pPr>
              <w:pStyle w:val="12"/>
            </w:pPr>
            <w:r>
              <w:t>6.41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6.41</w:t>
            </w:r>
          </w:p>
        </w:tc>
        <w:tc>
          <w:tcPr>
            <w:tcW w:w="1361" w:type="dxa"/>
            <w:vAlign w:val="center"/>
          </w:tcPr>
          <w:p>
            <w:pPr>
              <w:pStyle w:val="12"/>
            </w:pPr>
            <w:r>
              <w:t>6.41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6.41</w:t>
            </w:r>
          </w:p>
        </w:tc>
        <w:tc>
          <w:tcPr>
            <w:tcW w:w="1361" w:type="dxa"/>
            <w:vAlign w:val="center"/>
          </w:tcPr>
          <w:p>
            <w:pPr>
              <w:pStyle w:val="12"/>
            </w:pPr>
            <w:r>
              <w:t>6.41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324中国共产主义青年团唐山市丰南区委员会</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103.50</w:t>
            </w:r>
          </w:p>
        </w:tc>
        <w:tc>
          <w:tcPr>
            <w:tcW w:w="3402" w:type="dxa"/>
            <w:vAlign w:val="center"/>
          </w:tcPr>
          <w:p>
            <w:pPr>
              <w:pStyle w:val="13"/>
            </w:pPr>
            <w:r>
              <w:t>一、一般公共服务支出</w:t>
            </w:r>
          </w:p>
        </w:tc>
        <w:tc>
          <w:tcPr>
            <w:tcW w:w="1474" w:type="dxa"/>
            <w:vAlign w:val="center"/>
          </w:tcPr>
          <w:p>
            <w:pPr>
              <w:pStyle w:val="12"/>
            </w:pPr>
            <w:r>
              <w:t>83.05</w:t>
            </w:r>
          </w:p>
        </w:tc>
        <w:tc>
          <w:tcPr>
            <w:tcW w:w="1474" w:type="dxa"/>
            <w:vAlign w:val="center"/>
          </w:tcPr>
          <w:p>
            <w:pPr>
              <w:pStyle w:val="12"/>
            </w:pPr>
            <w:r>
              <w:t>83.05</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7.32</w:t>
            </w:r>
          </w:p>
        </w:tc>
        <w:tc>
          <w:tcPr>
            <w:tcW w:w="1474" w:type="dxa"/>
            <w:vAlign w:val="center"/>
          </w:tcPr>
          <w:p>
            <w:pPr>
              <w:pStyle w:val="12"/>
            </w:pPr>
            <w:r>
              <w:t>7.32</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6.72</w:t>
            </w:r>
          </w:p>
        </w:tc>
        <w:tc>
          <w:tcPr>
            <w:tcW w:w="1474" w:type="dxa"/>
            <w:vAlign w:val="center"/>
          </w:tcPr>
          <w:p>
            <w:pPr>
              <w:pStyle w:val="12"/>
            </w:pPr>
            <w:r>
              <w:t>6.72</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6.41</w:t>
            </w:r>
          </w:p>
        </w:tc>
        <w:tc>
          <w:tcPr>
            <w:tcW w:w="1474" w:type="dxa"/>
            <w:vAlign w:val="center"/>
          </w:tcPr>
          <w:p>
            <w:pPr>
              <w:pStyle w:val="12"/>
            </w:pPr>
            <w:r>
              <w:t>6.41</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103.50</w:t>
            </w:r>
          </w:p>
        </w:tc>
        <w:tc>
          <w:tcPr>
            <w:tcW w:w="3402" w:type="dxa"/>
            <w:vAlign w:val="center"/>
          </w:tcPr>
          <w:p>
            <w:pPr>
              <w:pStyle w:val="15"/>
            </w:pPr>
            <w:r>
              <w:t>本年支出合计</w:t>
            </w:r>
          </w:p>
        </w:tc>
        <w:tc>
          <w:tcPr>
            <w:tcW w:w="1474" w:type="dxa"/>
            <w:vAlign w:val="center"/>
          </w:tcPr>
          <w:p>
            <w:pPr>
              <w:pStyle w:val="16"/>
            </w:pPr>
            <w:r>
              <w:t>103.50</w:t>
            </w:r>
          </w:p>
        </w:tc>
        <w:tc>
          <w:tcPr>
            <w:tcW w:w="1474" w:type="dxa"/>
            <w:vAlign w:val="center"/>
          </w:tcPr>
          <w:p>
            <w:pPr>
              <w:pStyle w:val="16"/>
            </w:pPr>
            <w:r>
              <w:t>103.50</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103.50</w:t>
            </w:r>
          </w:p>
        </w:tc>
        <w:tc>
          <w:tcPr>
            <w:tcW w:w="3402" w:type="dxa"/>
            <w:vAlign w:val="center"/>
          </w:tcPr>
          <w:p>
            <w:pPr>
              <w:pStyle w:val="15"/>
            </w:pPr>
            <w:r>
              <w:t>支出总计</w:t>
            </w:r>
          </w:p>
        </w:tc>
        <w:tc>
          <w:tcPr>
            <w:tcW w:w="1474" w:type="dxa"/>
            <w:vAlign w:val="center"/>
          </w:tcPr>
          <w:p>
            <w:pPr>
              <w:pStyle w:val="16"/>
            </w:pPr>
            <w:r>
              <w:t>103.50</w:t>
            </w:r>
          </w:p>
        </w:tc>
        <w:tc>
          <w:tcPr>
            <w:tcW w:w="1474" w:type="dxa"/>
            <w:vAlign w:val="center"/>
          </w:tcPr>
          <w:p>
            <w:pPr>
              <w:pStyle w:val="16"/>
            </w:pPr>
            <w:r>
              <w:t>103.50</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324中国共产主义青年团唐山市丰南区委员会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103.50</w:t>
            </w:r>
          </w:p>
        </w:tc>
        <w:tc>
          <w:tcPr>
            <w:tcW w:w="2551" w:type="dxa"/>
            <w:vAlign w:val="center"/>
          </w:tcPr>
          <w:p>
            <w:pPr>
              <w:pStyle w:val="16"/>
            </w:pPr>
            <w:r>
              <w:t>78.30</w:t>
            </w:r>
          </w:p>
        </w:tc>
        <w:tc>
          <w:tcPr>
            <w:tcW w:w="2551" w:type="dxa"/>
            <w:vAlign w:val="center"/>
          </w:tcPr>
          <w:p>
            <w:pPr>
              <w:pStyle w:val="16"/>
            </w:pPr>
            <w:r>
              <w:t>25.20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83.05</w:t>
            </w:r>
          </w:p>
        </w:tc>
        <w:tc>
          <w:tcPr>
            <w:tcW w:w="2551" w:type="dxa"/>
            <w:vAlign w:val="center"/>
          </w:tcPr>
          <w:p>
            <w:pPr>
              <w:pStyle w:val="12"/>
            </w:pPr>
            <w:r>
              <w:t>57.85</w:t>
            </w:r>
          </w:p>
        </w:tc>
        <w:tc>
          <w:tcPr>
            <w:tcW w:w="2551" w:type="dxa"/>
            <w:vAlign w:val="center"/>
          </w:tcPr>
          <w:p>
            <w:pPr>
              <w:pStyle w:val="12"/>
            </w:pPr>
            <w:r>
              <w:t>25.20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20129</w:t>
            </w:r>
          </w:p>
        </w:tc>
        <w:tc>
          <w:tcPr>
            <w:tcW w:w="4535" w:type="dxa"/>
            <w:vAlign w:val="center"/>
          </w:tcPr>
          <w:p>
            <w:pPr>
              <w:pStyle w:val="13"/>
            </w:pPr>
            <w:r>
              <w:t>群众团体事务</w:t>
            </w:r>
          </w:p>
        </w:tc>
        <w:tc>
          <w:tcPr>
            <w:tcW w:w="2551" w:type="dxa"/>
            <w:vAlign w:val="center"/>
          </w:tcPr>
          <w:p>
            <w:pPr>
              <w:pStyle w:val="12"/>
            </w:pPr>
            <w:r>
              <w:t>83.05</w:t>
            </w:r>
          </w:p>
        </w:tc>
        <w:tc>
          <w:tcPr>
            <w:tcW w:w="2551" w:type="dxa"/>
            <w:vAlign w:val="center"/>
          </w:tcPr>
          <w:p>
            <w:pPr>
              <w:pStyle w:val="12"/>
            </w:pPr>
            <w:r>
              <w:t>57.85</w:t>
            </w:r>
          </w:p>
        </w:tc>
        <w:tc>
          <w:tcPr>
            <w:tcW w:w="2551" w:type="dxa"/>
            <w:vAlign w:val="center"/>
          </w:tcPr>
          <w:p>
            <w:pPr>
              <w:pStyle w:val="12"/>
            </w:pPr>
            <w:r>
              <w:t>25.20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2012901</w:t>
            </w:r>
          </w:p>
        </w:tc>
        <w:tc>
          <w:tcPr>
            <w:tcW w:w="4535" w:type="dxa"/>
            <w:vAlign w:val="center"/>
          </w:tcPr>
          <w:p>
            <w:pPr>
              <w:pStyle w:val="13"/>
            </w:pPr>
            <w:r>
              <w:t>行政运行</w:t>
            </w:r>
          </w:p>
        </w:tc>
        <w:tc>
          <w:tcPr>
            <w:tcW w:w="2551" w:type="dxa"/>
            <w:vAlign w:val="center"/>
          </w:tcPr>
          <w:p>
            <w:pPr>
              <w:pStyle w:val="12"/>
            </w:pPr>
            <w:r>
              <w:t>57.85</w:t>
            </w:r>
          </w:p>
        </w:tc>
        <w:tc>
          <w:tcPr>
            <w:tcW w:w="2551" w:type="dxa"/>
            <w:vAlign w:val="center"/>
          </w:tcPr>
          <w:p>
            <w:pPr>
              <w:pStyle w:val="12"/>
            </w:pPr>
            <w:r>
              <w:t>57.85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2012902</w:t>
            </w:r>
          </w:p>
        </w:tc>
        <w:tc>
          <w:tcPr>
            <w:tcW w:w="4535" w:type="dxa"/>
            <w:vAlign w:val="center"/>
          </w:tcPr>
          <w:p>
            <w:pPr>
              <w:pStyle w:val="13"/>
            </w:pPr>
            <w:r>
              <w:t>一般行政管理事务</w:t>
            </w:r>
          </w:p>
        </w:tc>
        <w:tc>
          <w:tcPr>
            <w:tcW w:w="2551" w:type="dxa"/>
            <w:vAlign w:val="center"/>
          </w:tcPr>
          <w:p>
            <w:pPr>
              <w:pStyle w:val="12"/>
            </w:pPr>
            <w:r>
              <w:t>25.20</w:t>
            </w:r>
          </w:p>
        </w:tc>
        <w:tc>
          <w:tcPr>
            <w:tcW w:w="2551" w:type="dxa"/>
            <w:vAlign w:val="center"/>
          </w:tcPr>
          <w:p>
            <w:pPr>
              <w:pStyle w:val="12"/>
            </w:pPr>
          </w:p>
        </w:tc>
        <w:tc>
          <w:tcPr>
            <w:tcW w:w="2551" w:type="dxa"/>
            <w:vAlign w:val="center"/>
          </w:tcPr>
          <w:p>
            <w:pPr>
              <w:pStyle w:val="12"/>
            </w:pPr>
            <w:r>
              <w:t>25.20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7.32</w:t>
            </w:r>
          </w:p>
        </w:tc>
        <w:tc>
          <w:tcPr>
            <w:tcW w:w="2551" w:type="dxa"/>
            <w:vAlign w:val="center"/>
          </w:tcPr>
          <w:p>
            <w:pPr>
              <w:pStyle w:val="12"/>
            </w:pPr>
            <w:r>
              <w:t>7.32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7.32</w:t>
            </w:r>
          </w:p>
        </w:tc>
        <w:tc>
          <w:tcPr>
            <w:tcW w:w="2551" w:type="dxa"/>
            <w:vAlign w:val="center"/>
          </w:tcPr>
          <w:p>
            <w:pPr>
              <w:pStyle w:val="12"/>
            </w:pPr>
            <w:r>
              <w:t>7.32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7.32</w:t>
            </w:r>
          </w:p>
        </w:tc>
        <w:tc>
          <w:tcPr>
            <w:tcW w:w="2551" w:type="dxa"/>
            <w:vAlign w:val="center"/>
          </w:tcPr>
          <w:p>
            <w:pPr>
              <w:pStyle w:val="12"/>
            </w:pPr>
            <w:r>
              <w:t>7.32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6.72</w:t>
            </w:r>
          </w:p>
        </w:tc>
        <w:tc>
          <w:tcPr>
            <w:tcW w:w="2551" w:type="dxa"/>
            <w:vAlign w:val="center"/>
          </w:tcPr>
          <w:p>
            <w:pPr>
              <w:pStyle w:val="12"/>
            </w:pPr>
            <w:r>
              <w:t>6.72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6.72</w:t>
            </w:r>
          </w:p>
        </w:tc>
        <w:tc>
          <w:tcPr>
            <w:tcW w:w="2551" w:type="dxa"/>
            <w:vAlign w:val="center"/>
          </w:tcPr>
          <w:p>
            <w:pPr>
              <w:pStyle w:val="12"/>
            </w:pPr>
            <w:r>
              <w:t>6.72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3.15</w:t>
            </w:r>
          </w:p>
        </w:tc>
        <w:tc>
          <w:tcPr>
            <w:tcW w:w="2551" w:type="dxa"/>
            <w:vAlign w:val="center"/>
          </w:tcPr>
          <w:p>
            <w:pPr>
              <w:pStyle w:val="12"/>
            </w:pPr>
            <w:r>
              <w:t>3.15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2101103</w:t>
            </w:r>
          </w:p>
        </w:tc>
        <w:tc>
          <w:tcPr>
            <w:tcW w:w="4535" w:type="dxa"/>
            <w:vAlign w:val="center"/>
          </w:tcPr>
          <w:p>
            <w:pPr>
              <w:pStyle w:val="13"/>
            </w:pPr>
            <w:r>
              <w:t>公务员医疗补助</w:t>
            </w:r>
          </w:p>
        </w:tc>
        <w:tc>
          <w:tcPr>
            <w:tcW w:w="2551" w:type="dxa"/>
            <w:vAlign w:val="center"/>
          </w:tcPr>
          <w:p>
            <w:pPr>
              <w:pStyle w:val="12"/>
            </w:pPr>
            <w:r>
              <w:t>3.57</w:t>
            </w:r>
          </w:p>
        </w:tc>
        <w:tc>
          <w:tcPr>
            <w:tcW w:w="2551" w:type="dxa"/>
            <w:vAlign w:val="center"/>
          </w:tcPr>
          <w:p>
            <w:pPr>
              <w:pStyle w:val="12"/>
            </w:pPr>
            <w:r>
              <w:t>3.57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6.41</w:t>
            </w:r>
          </w:p>
        </w:tc>
        <w:tc>
          <w:tcPr>
            <w:tcW w:w="2551" w:type="dxa"/>
            <w:vAlign w:val="center"/>
          </w:tcPr>
          <w:p>
            <w:pPr>
              <w:pStyle w:val="12"/>
            </w:pPr>
            <w:r>
              <w:t>6.41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6.41</w:t>
            </w:r>
          </w:p>
        </w:tc>
        <w:tc>
          <w:tcPr>
            <w:tcW w:w="2551" w:type="dxa"/>
            <w:vAlign w:val="center"/>
          </w:tcPr>
          <w:p>
            <w:pPr>
              <w:pStyle w:val="12"/>
            </w:pPr>
            <w:r>
              <w:t>6.41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6.41</w:t>
            </w:r>
          </w:p>
        </w:tc>
        <w:tc>
          <w:tcPr>
            <w:tcW w:w="2551" w:type="dxa"/>
            <w:vAlign w:val="center"/>
          </w:tcPr>
          <w:p>
            <w:pPr>
              <w:pStyle w:val="12"/>
            </w:pPr>
            <w:r>
              <w:t>6.41</w:t>
            </w:r>
          </w:p>
        </w:tc>
        <w:tc>
          <w:tcPr>
            <w:tcW w:w="255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324中国共产主义青年团唐山市丰南区委员会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78.30</w:t>
            </w:r>
          </w:p>
        </w:tc>
        <w:tc>
          <w:tcPr>
            <w:tcW w:w="2551" w:type="dxa"/>
            <w:vAlign w:val="center"/>
          </w:tcPr>
          <w:p>
            <w:pPr>
              <w:pStyle w:val="16"/>
            </w:pPr>
            <w:r>
              <w:t>69.80</w:t>
            </w:r>
          </w:p>
        </w:tc>
        <w:tc>
          <w:tcPr>
            <w:tcW w:w="2551" w:type="dxa"/>
            <w:vAlign w:val="center"/>
          </w:tcPr>
          <w:p>
            <w:pPr>
              <w:pStyle w:val="16"/>
            </w:pPr>
            <w:r>
              <w:t>8.50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69.80</w:t>
            </w:r>
          </w:p>
        </w:tc>
        <w:tc>
          <w:tcPr>
            <w:tcW w:w="2551" w:type="dxa"/>
            <w:vAlign w:val="center"/>
          </w:tcPr>
          <w:p>
            <w:pPr>
              <w:pStyle w:val="12"/>
            </w:pPr>
            <w:r>
              <w:t>69.80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11.01</w:t>
            </w:r>
          </w:p>
        </w:tc>
        <w:tc>
          <w:tcPr>
            <w:tcW w:w="2551" w:type="dxa"/>
            <w:vAlign w:val="center"/>
          </w:tcPr>
          <w:p>
            <w:pPr>
              <w:pStyle w:val="12"/>
            </w:pPr>
            <w:r>
              <w:t>11.01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12.41</w:t>
            </w:r>
          </w:p>
        </w:tc>
        <w:tc>
          <w:tcPr>
            <w:tcW w:w="2551" w:type="dxa"/>
            <w:vAlign w:val="center"/>
          </w:tcPr>
          <w:p>
            <w:pPr>
              <w:pStyle w:val="12"/>
            </w:pPr>
            <w:r>
              <w:t>12.41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5.94</w:t>
            </w:r>
          </w:p>
        </w:tc>
        <w:tc>
          <w:tcPr>
            <w:tcW w:w="2551" w:type="dxa"/>
            <w:vAlign w:val="center"/>
          </w:tcPr>
          <w:p>
            <w:pPr>
              <w:pStyle w:val="12"/>
            </w:pPr>
            <w:r>
              <w:t>5.94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4.32</w:t>
            </w:r>
          </w:p>
        </w:tc>
        <w:tc>
          <w:tcPr>
            <w:tcW w:w="2551" w:type="dxa"/>
            <w:vAlign w:val="center"/>
          </w:tcPr>
          <w:p>
            <w:pPr>
              <w:pStyle w:val="12"/>
            </w:pPr>
            <w:r>
              <w:t>4.32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1.71</w:t>
            </w:r>
          </w:p>
        </w:tc>
        <w:tc>
          <w:tcPr>
            <w:tcW w:w="2551" w:type="dxa"/>
            <w:vAlign w:val="center"/>
          </w:tcPr>
          <w:p>
            <w:pPr>
              <w:pStyle w:val="12"/>
            </w:pPr>
            <w:r>
              <w:t>1.71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1.89</w:t>
            </w:r>
          </w:p>
        </w:tc>
        <w:tc>
          <w:tcPr>
            <w:tcW w:w="2551" w:type="dxa"/>
            <w:vAlign w:val="center"/>
          </w:tcPr>
          <w:p>
            <w:pPr>
              <w:pStyle w:val="12"/>
            </w:pPr>
            <w:r>
              <w:t>1.89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0.11</w:t>
            </w:r>
          </w:p>
        </w:tc>
        <w:tc>
          <w:tcPr>
            <w:tcW w:w="2551" w:type="dxa"/>
            <w:vAlign w:val="center"/>
          </w:tcPr>
          <w:p>
            <w:pPr>
              <w:pStyle w:val="12"/>
            </w:pPr>
            <w:r>
              <w:t>0.11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3.53</w:t>
            </w:r>
          </w:p>
        </w:tc>
        <w:tc>
          <w:tcPr>
            <w:tcW w:w="2551" w:type="dxa"/>
            <w:vAlign w:val="center"/>
          </w:tcPr>
          <w:p>
            <w:pPr>
              <w:pStyle w:val="12"/>
            </w:pPr>
            <w:r>
              <w:t>3.53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28.88</w:t>
            </w:r>
          </w:p>
        </w:tc>
        <w:tc>
          <w:tcPr>
            <w:tcW w:w="2551" w:type="dxa"/>
            <w:vAlign w:val="center"/>
          </w:tcPr>
          <w:p>
            <w:pPr>
              <w:pStyle w:val="12"/>
            </w:pPr>
            <w:r>
              <w:t>28.88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8.50</w:t>
            </w:r>
          </w:p>
        </w:tc>
        <w:tc>
          <w:tcPr>
            <w:tcW w:w="2551" w:type="dxa"/>
            <w:vAlign w:val="center"/>
          </w:tcPr>
          <w:p>
            <w:pPr>
              <w:pStyle w:val="12"/>
            </w:pPr>
          </w:p>
        </w:tc>
        <w:tc>
          <w:tcPr>
            <w:tcW w:w="2551" w:type="dxa"/>
            <w:vAlign w:val="center"/>
          </w:tcPr>
          <w:p>
            <w:pPr>
              <w:pStyle w:val="12"/>
            </w:pPr>
            <w:r>
              <w:t>8.50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1.05</w:t>
            </w:r>
          </w:p>
        </w:tc>
        <w:tc>
          <w:tcPr>
            <w:tcW w:w="2551" w:type="dxa"/>
            <w:vAlign w:val="center"/>
          </w:tcPr>
          <w:p>
            <w:pPr>
              <w:pStyle w:val="12"/>
            </w:pPr>
          </w:p>
        </w:tc>
        <w:tc>
          <w:tcPr>
            <w:tcW w:w="2551" w:type="dxa"/>
            <w:vAlign w:val="center"/>
          </w:tcPr>
          <w:p>
            <w:pPr>
              <w:pStyle w:val="12"/>
            </w:pPr>
            <w:r>
              <w:t>1.05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1.42</w:t>
            </w:r>
          </w:p>
        </w:tc>
        <w:tc>
          <w:tcPr>
            <w:tcW w:w="2551" w:type="dxa"/>
            <w:vAlign w:val="center"/>
          </w:tcPr>
          <w:p>
            <w:pPr>
              <w:pStyle w:val="12"/>
            </w:pPr>
          </w:p>
        </w:tc>
        <w:tc>
          <w:tcPr>
            <w:tcW w:w="2551" w:type="dxa"/>
            <w:vAlign w:val="center"/>
          </w:tcPr>
          <w:p>
            <w:pPr>
              <w:pStyle w:val="12"/>
            </w:pPr>
            <w:r>
              <w:t>1.42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0.20</w:t>
            </w:r>
          </w:p>
        </w:tc>
        <w:tc>
          <w:tcPr>
            <w:tcW w:w="2551" w:type="dxa"/>
            <w:vAlign w:val="center"/>
          </w:tcPr>
          <w:p>
            <w:pPr>
              <w:pStyle w:val="12"/>
            </w:pPr>
          </w:p>
        </w:tc>
        <w:tc>
          <w:tcPr>
            <w:tcW w:w="2551" w:type="dxa"/>
            <w:vAlign w:val="center"/>
          </w:tcPr>
          <w:p>
            <w:pPr>
              <w:pStyle w:val="12"/>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0.98</w:t>
            </w:r>
          </w:p>
        </w:tc>
        <w:tc>
          <w:tcPr>
            <w:tcW w:w="2551" w:type="dxa"/>
            <w:vAlign w:val="center"/>
          </w:tcPr>
          <w:p>
            <w:pPr>
              <w:pStyle w:val="12"/>
            </w:pPr>
          </w:p>
        </w:tc>
        <w:tc>
          <w:tcPr>
            <w:tcW w:w="2551" w:type="dxa"/>
            <w:vAlign w:val="center"/>
          </w:tcPr>
          <w:p>
            <w:pPr>
              <w:pStyle w:val="12"/>
            </w:pPr>
            <w:r>
              <w:t>0.98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0.49</w:t>
            </w:r>
          </w:p>
        </w:tc>
        <w:tc>
          <w:tcPr>
            <w:tcW w:w="2551" w:type="dxa"/>
            <w:vAlign w:val="center"/>
          </w:tcPr>
          <w:p>
            <w:pPr>
              <w:pStyle w:val="12"/>
            </w:pPr>
          </w:p>
        </w:tc>
        <w:tc>
          <w:tcPr>
            <w:tcW w:w="2551" w:type="dxa"/>
            <w:vAlign w:val="center"/>
          </w:tcPr>
          <w:p>
            <w:pPr>
              <w:pStyle w:val="12"/>
            </w:pPr>
            <w:r>
              <w:t>0.49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2.50</w:t>
            </w:r>
          </w:p>
        </w:tc>
        <w:tc>
          <w:tcPr>
            <w:tcW w:w="2551" w:type="dxa"/>
            <w:vAlign w:val="center"/>
          </w:tcPr>
          <w:p>
            <w:pPr>
              <w:pStyle w:val="12"/>
            </w:pPr>
          </w:p>
        </w:tc>
        <w:tc>
          <w:tcPr>
            <w:tcW w:w="2551" w:type="dxa"/>
            <w:vAlign w:val="center"/>
          </w:tcPr>
          <w:p>
            <w:pPr>
              <w:pStyle w:val="12"/>
            </w:pPr>
            <w:r>
              <w:t>2.50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1.86</w:t>
            </w:r>
          </w:p>
        </w:tc>
        <w:tc>
          <w:tcPr>
            <w:tcW w:w="2551" w:type="dxa"/>
            <w:vAlign w:val="center"/>
          </w:tcPr>
          <w:p>
            <w:pPr>
              <w:pStyle w:val="12"/>
            </w:pPr>
          </w:p>
        </w:tc>
        <w:tc>
          <w:tcPr>
            <w:tcW w:w="2551" w:type="dxa"/>
            <w:vAlign w:val="center"/>
          </w:tcPr>
          <w:p>
            <w:pPr>
              <w:pStyle w:val="12"/>
            </w:pPr>
            <w:r>
              <w:t>1.86</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324中国共产主义青年团唐山市丰南区委员会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324中国共产主义青年团唐山市丰南区委员会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324中国共产主义青年团唐山市丰南区委员会</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2.50</w:t>
            </w:r>
          </w:p>
        </w:tc>
        <w:tc>
          <w:tcPr>
            <w:tcW w:w="2381" w:type="dxa"/>
            <w:vAlign w:val="center"/>
          </w:tcPr>
          <w:p>
            <w:pPr>
              <w:pStyle w:val="16"/>
            </w:pPr>
            <w:r>
              <w:t>2.50</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二、公务用车购置及运维费</w:t>
            </w:r>
          </w:p>
        </w:tc>
        <w:tc>
          <w:tcPr>
            <w:tcW w:w="2381" w:type="dxa"/>
            <w:vAlign w:val="center"/>
          </w:tcPr>
          <w:p>
            <w:pPr>
              <w:pStyle w:val="12"/>
            </w:pPr>
            <w:r>
              <w:t>2.50</w:t>
            </w:r>
          </w:p>
        </w:tc>
        <w:tc>
          <w:tcPr>
            <w:tcW w:w="2381" w:type="dxa"/>
            <w:vAlign w:val="center"/>
          </w:tcPr>
          <w:p>
            <w:pPr>
              <w:pStyle w:val="12"/>
            </w:pPr>
            <w:r>
              <w:t>2.50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公务用车运行维护费</w:t>
            </w:r>
          </w:p>
        </w:tc>
        <w:tc>
          <w:tcPr>
            <w:tcW w:w="2381" w:type="dxa"/>
            <w:vAlign w:val="center"/>
          </w:tcPr>
          <w:p>
            <w:pPr>
              <w:pStyle w:val="12"/>
            </w:pPr>
            <w:r>
              <w:t>2.50</w:t>
            </w:r>
          </w:p>
        </w:tc>
        <w:tc>
          <w:tcPr>
            <w:tcW w:w="2381" w:type="dxa"/>
            <w:vAlign w:val="center"/>
          </w:tcPr>
          <w:p>
            <w:pPr>
              <w:pStyle w:val="12"/>
            </w:pPr>
            <w:r>
              <w:t>2.50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三、公务接待费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中国共产主义青年团唐山市丰南区委员会2025年部门预算信息公开情况说明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中国共产主义青年团唐山市丰南区委员会2025年部门预算信息公开情况说明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按照《中华人民共和国预算法》、《地方预决算公开操作规程》和《关于进一步推进预算公开工作的实施意见》规定，现将中国共产主义青年团唐山市丰南区委员会2025年部门预算公开如下：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（一）对全区团组织建设进行指导和管理。加强团干部配备和激励，加强思想、作风建设，团干部教育培训。</w:t>
      </w:r>
    </w:p>
    <w:p>
      <w:pPr>
        <w:pStyle w:val="18"/>
      </w:pPr>
      <w:r>
        <w:t>（二）有效利用网络和新媒体加强对青年的宣传力度，加强网络和新媒体正面宣传，用科学理论武装青年，用共同理想感召青年，用核心价值观引领青年，协助区教育部门做好学生的教育管理工作，维护学校稳定和社会安定团结。</w:t>
      </w:r>
    </w:p>
    <w:p>
      <w:pPr>
        <w:pStyle w:val="18"/>
      </w:pPr>
      <w:r>
        <w:t>（三）围绕青年思想动态和青年工作状况，研究青少年活动、青少年工作理论和思想教育问题开展调研活动。</w:t>
      </w:r>
    </w:p>
    <w:p>
      <w:pPr>
        <w:pStyle w:val="18"/>
      </w:pPr>
      <w:r>
        <w:t>（四）做好大中小学学生的教育管理工作，维护学校稳定和社会安定团结；推动青少年事务社会工作开展，提高源头治理力度，做好预防青少年违法犯罪工作。</w:t>
      </w:r>
    </w:p>
    <w:p>
      <w:pPr>
        <w:pStyle w:val="18"/>
      </w:pPr>
      <w:r>
        <w:t>（五）参与制定全区的青少年事业发展规划和青少年工作方针、政策;承担区委、区政府和团市委交办的有关事项。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3"/>
            </w:pPr>
            <w:r>
              <w:t>中国共产主义青年团唐山市丰南区委员会本级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按照预算管理有关规定，目前部门预算的编制实行综合预算管理，即全部收入和支出都反映在预算中。中国共产主义青年团唐山市丰南区委员会机关及所属事业单位的收支包含在部门预算中。</w:t>
      </w:r>
    </w:p>
    <w:p>
      <w:pPr>
        <w:pStyle w:val="19"/>
      </w:pPr>
      <w:r>
        <w:t>1、收入说明</w:t>
      </w:r>
    </w:p>
    <w:p>
      <w:pPr>
        <w:pStyle w:val="19"/>
      </w:pPr>
      <w:r>
        <w:t>反映本部门当年全部收入。2025年预算收入103.50万元，其中：一般公共预算收入103.50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中国共产主义青年团唐山市丰南区委员会年度部门预算中支出预算的总体情况。2025年支出预算103.50万元，其中基本支出78.30万元，包括人员经费69.80万元和日常公用经费8.50万元；项目支出25.20万元，主要为丰南团区委业务工作经费等。</w:t>
      </w:r>
    </w:p>
    <w:p>
      <w:pPr>
        <w:pStyle w:val="19"/>
      </w:pPr>
      <w:r>
        <w:t>3、比上年增减情况</w:t>
      </w:r>
    </w:p>
    <w:p>
      <w:pPr>
        <w:pStyle w:val="19"/>
      </w:pPr>
      <w:r>
        <w:t>2025年预算收支安排103.50万元，较2024年预算减少21.22万元，其中：基本支出增加2.44万元，主要为人员经费增加。项目支出减少23.66万元，主要为丰南区发展型城市县域试点工作经费等减少。</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2025年，我部门机关运行经费共计安排8.50万元，主要用于日常维修、办公用房水电费、办公用房取暖费、办公用房物业管理费等日常运行支出。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2.50万元，其中因公出国（境）费0.00万元；公务用车购置及运维费2.50万元（其中：公务用车购置费为0.00万元，公务用车运维费2.50万元)；公务接待费0.00万元。与2024年相比增加0.00万元，增减变化的主要原因是没有增减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团委的总体绩效目标在于全面促进青年的成长与发展，通过加强组织建设与管理，确保团委工作的高效运行与团队协作。我们致力于引领青年树立正确的世界观、人生观和价值观，弘扬社会主义核心价值观，同时关注青年的心理健康，提供必要的心理辅导与支持。在社会服务与公益方面，团委将积极组织青年参与志愿服务和公益活动，增强他们的社会责任感和实践能力。此外，我们还将不断创新工作方法，利用新媒体等技术手段拓宽工作覆盖面，加强品牌建设，打造具有特色的团委工作项目。为确保目标的达成，我们将建立健全绩效评估体系，定期对工作进行评估与总结，并根据实际情况进行灵活调整。通过这些努力，团委将致力于成为青年成长道路上的坚实后盾，为青年事业的发展贡献力量。</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（一）团组织建设以组织建设和宣传教育为契机，全方位构建青年发展新格局。</w:t>
      </w:r>
    </w:p>
    <w:p>
      <w:pPr>
        <w:pStyle w:val="23"/>
      </w:pPr>
      <w:r>
        <w:t>绩效目标：要强化团干部教育培训，加强思想和作风建设；加强基层团组织、少先队组织建设，加强青年志愿组织和青年社会组织及青少年活动阵地的指导和管理；基层团组织服务能力不断提高。</w:t>
      </w:r>
    </w:p>
    <w:p>
      <w:pPr>
        <w:pStyle w:val="23"/>
      </w:pPr>
      <w:r>
        <w:t>绩效指标：青年中心标准化建设阵地覆盖率≥60%；反映项目资金的支出与项目完成效果率≥90%；反映组织建设或平台建设阵地、人员、制度达标数占总数的比率≥80%；开展相关活动不低于5场次；</w:t>
      </w:r>
    </w:p>
    <w:p>
      <w:pPr>
        <w:pStyle w:val="23"/>
      </w:pPr>
      <w:r>
        <w:t>（二）以共青团基层组织改革为主线，筑牢筑实基层团建基础，深入推进全面从严治团。</w:t>
      </w:r>
    </w:p>
    <w:p>
      <w:pPr>
        <w:pStyle w:val="23"/>
      </w:pPr>
      <w:r>
        <w:t>绩效目标：构建团的网络新媒体工作阵地，运用新媒体全方位推进团的工作；利用重要节点节日、各类阵地、各种形式进行思想引导，培养青年骨干，打造适应青少年特点的文化产品。维护青少年队伍稳定，促进和谐社会建设。</w:t>
      </w:r>
    </w:p>
    <w:p>
      <w:pPr>
        <w:pStyle w:val="23"/>
      </w:pPr>
      <w:r>
        <w:t>绩效指标：反映对团干部培训人数占总数的比例≥80%；反映青年网宣队伍发展壮大速度≥10%；各类思想引导类活动的参与度≥80%；开展相关活动不低于2场次；</w:t>
      </w:r>
    </w:p>
    <w:p>
      <w:pPr>
        <w:pStyle w:val="23"/>
      </w:pPr>
      <w:r>
        <w:t>（三）服务引导带领广大青年在丰南高质量发展的新征程中建功立业</w:t>
      </w:r>
    </w:p>
    <w:p>
      <w:pPr>
        <w:pStyle w:val="23"/>
      </w:pPr>
      <w:r>
        <w:t>绩效目标：做好少先队、青年对象的团结教育、引导、服务工作，为全区经济社会发展贡献力量。深化乡镇、街道团组织格局上创新工作。</w:t>
      </w:r>
    </w:p>
    <w:p>
      <w:pPr>
        <w:pStyle w:val="23"/>
      </w:pPr>
      <w:r>
        <w:t>绩效指标：项目的举办效果满意值≥90%；项目预算资金预算产出和效果比例100%；</w:t>
      </w:r>
    </w:p>
    <w:p>
      <w:pPr>
        <w:pStyle w:val="23"/>
      </w:pPr>
      <w:r>
        <w:t>（四）加强青少年事务社会工作，加强法治宣传教育，促进青少年健康成长。</w:t>
      </w:r>
    </w:p>
    <w:p>
      <w:pPr>
        <w:pStyle w:val="23"/>
      </w:pPr>
      <w:r>
        <w:t>绩效目标：增强青少年学法、尊法、守法、用法意识，推动青少年事务社会工作有效开展。强化社会维权工作者队伍建设，切实帮助青少年解决学习、工作、生活中遇到的实际困难。</w:t>
      </w:r>
    </w:p>
    <w:p>
      <w:pPr>
        <w:pStyle w:val="23"/>
      </w:pPr>
      <w:r>
        <w:t>绩效指标：反映中小学校法制教育的普及情况≥100%；项目预算资金预算产出和效果比例100%；</w:t>
      </w:r>
    </w:p>
    <w:p>
      <w:pPr>
        <w:pStyle w:val="23"/>
      </w:pPr>
      <w:r>
        <w:t>（五）工作任务圆满完成，促进共青团事业发展。</w:t>
      </w:r>
    </w:p>
    <w:p>
      <w:pPr>
        <w:pStyle w:val="23"/>
      </w:pPr>
      <w:r>
        <w:t>绩效目标：高质量完成全区青少年发展规划和方针政策的制定，圆满完成区委、区政府和省市团委交办的各项任务。</w:t>
      </w:r>
    </w:p>
    <w:p>
      <w:pPr>
        <w:pStyle w:val="23"/>
      </w:pPr>
      <w:r>
        <w:t>绩效指标：反映团区委所有工作的效果完成情况的满意度100%</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实现本年度团组织建设和宣传教育、丰南团区委服务、引导青少年工作、丰南团区委维护青少年法制宣传活动、纵深推进全国青年发展型县域试点工作，聚焦主责主业，不断加强青少年思想政治引领。围绕中心工作，积极发挥青年生力军作用。服务青年成长，纵深推进全国青年发展型县域试点工作，将全面从严治团，持续加强团的自身建设。并从以下几个方面进行工作保障：</w:t>
      </w:r>
    </w:p>
    <w:p>
      <w:pPr>
        <w:pStyle w:val="24"/>
      </w:pPr>
      <w:r>
        <w:t>1.完善制度建设。包括制定完善预算绩效管理制度、资金管理办法、工作保障制度等，为全年预算绩效目标的实现奠定制度基础。</w:t>
      </w:r>
    </w:p>
    <w:p>
      <w:pPr>
        <w:pStyle w:val="24"/>
      </w:pPr>
      <w:r>
        <w:t>2.加强支出管理。通过优化支出结构、编细编实预算、加快履行政府采购手续、尽快启动项目、及时支付资金、6月底前细化代编预算、按规定及时下达资金等多种措施，确保支出进度达标。</w:t>
      </w:r>
    </w:p>
    <w:p>
      <w:pPr>
        <w:pStyle w:val="24"/>
      </w:pPr>
      <w:r>
        <w:t>3.加强绩效运行监控。按要求开展绩效运行监控，发现问题及时采取措施，确保绩效目标如期保质实现。</w:t>
      </w:r>
    </w:p>
    <w:p>
      <w:pPr>
        <w:pStyle w:val="24"/>
      </w:pPr>
      <w:r>
        <w:t>4.做好绩效自评。按要求开展上年度部门预算绩效自评和重点评价工作，对评价中发现的问题及时整改，调整优化支出结构，提高财政资金使用效益。</w:t>
      </w:r>
    </w:p>
    <w:p>
      <w:pPr>
        <w:pStyle w:val="24"/>
      </w:pPr>
      <w:r>
        <w:t>5.规范财务资产管理。完善财务管理制度，严格审批程序，加强固定资产登记、使用和报废处置管理，做到支出合理，物尽其用。</w:t>
      </w:r>
    </w:p>
    <w:p>
      <w:pPr>
        <w:pStyle w:val="24"/>
      </w:pPr>
      <w:r>
        <w:t>6.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4"/>
        <w:sectPr>
          <w:pgSz w:w="16840" w:h="11900" w:orient="landscape"/>
          <w:pgMar w:top="1361" w:right="1020" w:bottom="1361" w:left="1020" w:header="720" w:footer="720" w:gutter="0"/>
        </w:sectPr>
      </w:pPr>
      <w:r>
        <w:t>7.加强宣传培训调研等。加强人员培训，提高本部门职工业务素质；加强调研，提出优化财政资金配置、提高资金使用效益的意见意见；加大宣传力度，强化预算绩效管理意识，促进预算绩效管理水平进一步提升。</w:t>
      </w:r>
    </w:p>
    <w:p>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rPr>
          <w:rFonts w:ascii="黑体" w:hAnsi="黑体" w:eastAsia="黑体" w:cs="黑体"/>
          <w:color w:val="000000"/>
          <w:sz w:val="32"/>
        </w:rPr>
      </w:pPr>
    </w:p>
    <w:p>
      <w:pPr>
        <w:spacing w:before="10" w:after="10" w:line="360" w:lineRule="auto"/>
        <w:ind w:firstLine="640"/>
        <w:jc w:val="left"/>
        <w:outlineLvl w:val="2"/>
        <w:rPr>
          <w:rFonts w:hint="eastAsia" w:ascii="黑体" w:hAnsi="黑体" w:eastAsia="黑体" w:cs="黑体"/>
          <w:color w:val="000000"/>
          <w:sz w:val="32"/>
          <w:lang w:eastAsia="zh-CN"/>
        </w:rPr>
        <w:sectPr>
          <w:pgSz w:w="16840" w:h="11900" w:orient="landscape"/>
          <w:pgMar w:top="1361" w:right="1020" w:bottom="1134" w:left="1020" w:header="720" w:footer="720" w:gutter="0"/>
        </w:sectPr>
      </w:pPr>
      <w:r>
        <w:rPr>
          <w:rFonts w:hint="eastAsia" w:ascii="黑体" w:hAnsi="黑体" w:eastAsia="黑体" w:cs="黑体"/>
          <w:color w:val="000000"/>
          <w:sz w:val="32"/>
          <w:lang w:eastAsia="zh-CN"/>
        </w:rPr>
        <w:t>无</w:t>
      </w:r>
    </w:p>
    <w:p>
      <w:pPr>
        <w:spacing w:before="10" w:after="10" w:line="360" w:lineRule="auto"/>
        <w:ind w:firstLine="640"/>
        <w:jc w:val="left"/>
        <w:outlineLvl w:val="2"/>
        <w:sectPr>
          <w:pgSz w:w="16840" w:h="11900" w:orient="landscape"/>
          <w:pgMar w:top="1361" w:right="1020" w:bottom="1134" w:left="1020" w:header="720" w:footer="720" w:gutter="0"/>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1、劳务派遣人员工资费用（劳务费）绩效目标表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13020725P000022103442</w:t>
            </w:r>
          </w:p>
        </w:tc>
        <w:tc>
          <w:tcPr>
            <w:tcW w:w="2835" w:type="dxa"/>
            <w:vAlign w:val="center"/>
          </w:tcPr>
          <w:p>
            <w:pPr>
              <w:pStyle w:val="11"/>
            </w:pPr>
            <w:r>
              <w:t>项目名称</w:t>
            </w:r>
          </w:p>
        </w:tc>
        <w:tc>
          <w:tcPr>
            <w:tcW w:w="6095" w:type="dxa"/>
            <w:gridSpan w:val="3"/>
            <w:vAlign w:val="center"/>
          </w:tcPr>
          <w:p>
            <w:pPr>
              <w:pStyle w:val="13"/>
            </w:pPr>
            <w:r>
              <w:t>劳务派遣人员工资费用（劳务费）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5.20</w:t>
            </w:r>
          </w:p>
        </w:tc>
        <w:tc>
          <w:tcPr>
            <w:tcW w:w="2835" w:type="dxa"/>
            <w:vAlign w:val="center"/>
          </w:tcPr>
          <w:p>
            <w:pPr>
              <w:pStyle w:val="11"/>
            </w:pPr>
            <w:r>
              <w:t>其中：财政    资金</w:t>
            </w:r>
          </w:p>
        </w:tc>
        <w:tc>
          <w:tcPr>
            <w:tcW w:w="2551" w:type="dxa"/>
            <w:vAlign w:val="center"/>
          </w:tcPr>
          <w:p>
            <w:pPr>
              <w:pStyle w:val="13"/>
            </w:pPr>
            <w:r>
              <w:t>5.20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根据合同要求，支付1名劳务派遣人员工资，2025年预计共需资金5.2万元。工资标准2580元/月，全年工资3.1万元，保险2.1万元。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1.预期所要达成全年足额足月并及时按月发放人员工资，维护社会稳定。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劳务派遣人数</w:t>
            </w:r>
          </w:p>
        </w:tc>
        <w:tc>
          <w:tcPr>
            <w:tcW w:w="5386" w:type="dxa"/>
            <w:vAlign w:val="center"/>
          </w:tcPr>
          <w:p>
            <w:pPr>
              <w:pStyle w:val="13"/>
            </w:pPr>
            <w:r>
              <w:t>反映签订劳务派遣合同人数情况</w:t>
            </w:r>
          </w:p>
        </w:tc>
        <w:tc>
          <w:tcPr>
            <w:tcW w:w="2268" w:type="dxa"/>
            <w:vAlign w:val="center"/>
          </w:tcPr>
          <w:p>
            <w:pPr>
              <w:pStyle w:val="13"/>
            </w:pPr>
            <w:r>
              <w:t>1人</w:t>
            </w:r>
          </w:p>
        </w:tc>
        <w:tc>
          <w:tcPr>
            <w:tcW w:w="1276" w:type="dxa"/>
            <w:vAlign w:val="center"/>
          </w:tcPr>
          <w:p>
            <w:pPr>
              <w:pStyle w:val="13"/>
            </w:pPr>
            <w:r>
              <w:t>聘用合同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工资发放覆盖率</w:t>
            </w:r>
          </w:p>
        </w:tc>
        <w:tc>
          <w:tcPr>
            <w:tcW w:w="5386" w:type="dxa"/>
            <w:vAlign w:val="center"/>
          </w:tcPr>
          <w:p>
            <w:pPr>
              <w:pStyle w:val="13"/>
            </w:pPr>
            <w:r>
              <w:t>反映实际发放工资的覆盖程度情况，覆盖率=实发人数/应发人数</w:t>
            </w:r>
          </w:p>
        </w:tc>
        <w:tc>
          <w:tcPr>
            <w:tcW w:w="2268" w:type="dxa"/>
            <w:vAlign w:val="center"/>
          </w:tcPr>
          <w:p>
            <w:pPr>
              <w:pStyle w:val="13"/>
            </w:pPr>
            <w:r>
              <w:t>100%</w:t>
            </w:r>
          </w:p>
        </w:tc>
        <w:tc>
          <w:tcPr>
            <w:tcW w:w="1276" w:type="dxa"/>
            <w:vAlign w:val="center"/>
          </w:tcPr>
          <w:p>
            <w:pPr>
              <w:pStyle w:val="13"/>
            </w:pPr>
            <w:r>
              <w:t>根据人事管理文件，机关事业单位劳务派遣人员管理办法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工资发放及时性</w:t>
            </w:r>
          </w:p>
        </w:tc>
        <w:tc>
          <w:tcPr>
            <w:tcW w:w="5386" w:type="dxa"/>
            <w:vAlign w:val="center"/>
          </w:tcPr>
          <w:p>
            <w:pPr>
              <w:pStyle w:val="13"/>
            </w:pPr>
            <w:r>
              <w:t>反映按时足额发放工资的情况</w:t>
            </w:r>
          </w:p>
        </w:tc>
        <w:tc>
          <w:tcPr>
            <w:tcW w:w="2268" w:type="dxa"/>
            <w:vAlign w:val="center"/>
          </w:tcPr>
          <w:p>
            <w:pPr>
              <w:pStyle w:val="13"/>
            </w:pPr>
            <w:r>
              <w:t>及时足额发放</w:t>
            </w:r>
          </w:p>
        </w:tc>
        <w:tc>
          <w:tcPr>
            <w:tcW w:w="1276" w:type="dxa"/>
            <w:vAlign w:val="center"/>
          </w:tcPr>
          <w:p>
            <w:pPr>
              <w:pStyle w:val="13"/>
            </w:pPr>
            <w:r>
              <w:t>历史标准、合同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劳务派遣人员月工资标准</w:t>
            </w:r>
          </w:p>
        </w:tc>
        <w:tc>
          <w:tcPr>
            <w:tcW w:w="5386" w:type="dxa"/>
            <w:vAlign w:val="center"/>
          </w:tcPr>
          <w:p>
            <w:pPr>
              <w:pStyle w:val="13"/>
            </w:pPr>
            <w:r>
              <w:t>反映劳务派遣人员月工资标准情况</w:t>
            </w:r>
          </w:p>
        </w:tc>
        <w:tc>
          <w:tcPr>
            <w:tcW w:w="2268" w:type="dxa"/>
            <w:vAlign w:val="center"/>
          </w:tcPr>
          <w:p>
            <w:pPr>
              <w:pStyle w:val="13"/>
            </w:pPr>
            <w:r>
              <w:t>≥2200元/月</w:t>
            </w:r>
          </w:p>
        </w:tc>
        <w:tc>
          <w:tcPr>
            <w:tcW w:w="1276" w:type="dxa"/>
            <w:vAlign w:val="center"/>
          </w:tcPr>
          <w:p>
            <w:pPr>
              <w:pStyle w:val="13"/>
            </w:pPr>
            <w:r>
              <w:t>历史标准、合同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业务保障能力提升情况</w:t>
            </w:r>
          </w:p>
        </w:tc>
        <w:tc>
          <w:tcPr>
            <w:tcW w:w="5386" w:type="dxa"/>
            <w:vAlign w:val="center"/>
          </w:tcPr>
          <w:p>
            <w:pPr>
              <w:pStyle w:val="13"/>
            </w:pPr>
            <w:r>
              <w:t>反映业务保障能力提升情况</w:t>
            </w:r>
          </w:p>
        </w:tc>
        <w:tc>
          <w:tcPr>
            <w:tcW w:w="2268" w:type="dxa"/>
            <w:vAlign w:val="center"/>
          </w:tcPr>
          <w:p>
            <w:pPr>
              <w:pStyle w:val="13"/>
            </w:pPr>
            <w:r>
              <w:t>保障劳务派遣人员业务能力稳定提升</w:t>
            </w:r>
          </w:p>
        </w:tc>
        <w:tc>
          <w:tcPr>
            <w:tcW w:w="1276" w:type="dxa"/>
            <w:vAlign w:val="center"/>
          </w:tcPr>
          <w:p>
            <w:pPr>
              <w:pStyle w:val="13"/>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社会稳定水平</w:t>
            </w:r>
          </w:p>
        </w:tc>
        <w:tc>
          <w:tcPr>
            <w:tcW w:w="5386" w:type="dxa"/>
            <w:vAlign w:val="center"/>
          </w:tcPr>
          <w:p>
            <w:pPr>
              <w:pStyle w:val="13"/>
            </w:pPr>
            <w:r>
              <w:t>反映社会稳定水平</w:t>
            </w:r>
          </w:p>
        </w:tc>
        <w:tc>
          <w:tcPr>
            <w:tcW w:w="2268" w:type="dxa"/>
            <w:vAlign w:val="center"/>
          </w:tcPr>
          <w:p>
            <w:pPr>
              <w:pStyle w:val="13"/>
            </w:pPr>
            <w:r>
              <w:t>保障劳务派遣人员工作保持稳定</w:t>
            </w:r>
          </w:p>
        </w:tc>
        <w:tc>
          <w:tcPr>
            <w:tcW w:w="1276" w:type="dxa"/>
            <w:vAlign w:val="center"/>
          </w:tcPr>
          <w:p>
            <w:pPr>
              <w:pStyle w:val="13"/>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聘用人员稳定程度</w:t>
            </w:r>
          </w:p>
        </w:tc>
        <w:tc>
          <w:tcPr>
            <w:tcW w:w="5386" w:type="dxa"/>
            <w:vAlign w:val="center"/>
          </w:tcPr>
          <w:p>
            <w:pPr>
              <w:pStyle w:val="13"/>
            </w:pPr>
            <w:r>
              <w:t>反映聘用人员稳定程度</w:t>
            </w:r>
          </w:p>
        </w:tc>
        <w:tc>
          <w:tcPr>
            <w:tcW w:w="2268" w:type="dxa"/>
            <w:vAlign w:val="center"/>
          </w:tcPr>
          <w:p>
            <w:pPr>
              <w:pStyle w:val="13"/>
            </w:pPr>
            <w:r>
              <w:t>保持稳定</w:t>
            </w:r>
          </w:p>
        </w:tc>
        <w:tc>
          <w:tcPr>
            <w:tcW w:w="1276" w:type="dxa"/>
            <w:vAlign w:val="center"/>
          </w:tcPr>
          <w:p>
            <w:pPr>
              <w:pStyle w:val="13"/>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服务对象人群满意度</w:t>
            </w:r>
          </w:p>
        </w:tc>
        <w:tc>
          <w:tcPr>
            <w:tcW w:w="5386" w:type="dxa"/>
            <w:vAlign w:val="center"/>
          </w:tcPr>
          <w:p>
            <w:pPr>
              <w:pStyle w:val="13"/>
            </w:pPr>
            <w:r>
              <w:t>反映群众对工作人员满意程度</w:t>
            </w:r>
          </w:p>
        </w:tc>
        <w:tc>
          <w:tcPr>
            <w:tcW w:w="2268" w:type="dxa"/>
            <w:vAlign w:val="center"/>
          </w:tcPr>
          <w:p>
            <w:pPr>
              <w:pStyle w:val="13"/>
            </w:pPr>
            <w:r>
              <w:t>≥80%</w:t>
            </w:r>
          </w:p>
        </w:tc>
        <w:tc>
          <w:tcPr>
            <w:tcW w:w="1276" w:type="dxa"/>
            <w:vAlign w:val="center"/>
          </w:tcPr>
          <w:p>
            <w:pPr>
              <w:pStyle w:val="13"/>
            </w:pPr>
            <w:r>
              <w:t>经验标准</w:t>
            </w:r>
          </w:p>
        </w:tc>
      </w:tr>
    </w:tbl>
    <w:p>
      <w:pPr>
        <w:sectPr>
          <w:type w:val="continuous"/>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2、业务工作经费绩效目标表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13020725P007000100014</w:t>
            </w:r>
          </w:p>
        </w:tc>
        <w:tc>
          <w:tcPr>
            <w:tcW w:w="2835" w:type="dxa"/>
            <w:vAlign w:val="center"/>
          </w:tcPr>
          <w:p>
            <w:pPr>
              <w:pStyle w:val="11"/>
            </w:pPr>
            <w:r>
              <w:t>项目名称</w:t>
            </w:r>
          </w:p>
        </w:tc>
        <w:tc>
          <w:tcPr>
            <w:tcW w:w="6095" w:type="dxa"/>
            <w:gridSpan w:val="3"/>
            <w:vAlign w:val="center"/>
          </w:tcPr>
          <w:p>
            <w:pPr>
              <w:pStyle w:val="13"/>
            </w:pPr>
            <w:r>
              <w:t>业务工作经费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w:t>
            </w:r>
          </w:p>
        </w:tc>
        <w:tc>
          <w:tcPr>
            <w:tcW w:w="2835" w:type="dxa"/>
            <w:vAlign w:val="center"/>
          </w:tcPr>
          <w:p>
            <w:pPr>
              <w:pStyle w:val="11"/>
            </w:pPr>
            <w:r>
              <w:t>其中：财政    资金</w:t>
            </w:r>
          </w:p>
        </w:tc>
        <w:tc>
          <w:tcPr>
            <w:tcW w:w="2551" w:type="dxa"/>
            <w:vAlign w:val="center"/>
          </w:tcPr>
          <w:p>
            <w:pPr>
              <w:pStyle w:val="13"/>
            </w:pPr>
            <w:r>
              <w:t>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据团中央省市等上级要求开展下列相关活动，2025年预计共需资金20万元，主要用于：团区委组织建设和宣传教育工作项目、团区委服务引导青少年工作项目、团区委维护青少年权益工作项目下支出办公费1万元，印刷费9万元，其他商品服务支出4万元，租赁费1万元，委托业务费5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1.扎实推进团区委业务工作活动场次不低于5场次。按要求合理安排预算项目支出。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完成项目数量</w:t>
            </w:r>
          </w:p>
        </w:tc>
        <w:tc>
          <w:tcPr>
            <w:tcW w:w="5386" w:type="dxa"/>
            <w:vAlign w:val="center"/>
          </w:tcPr>
          <w:p>
            <w:pPr>
              <w:pStyle w:val="13"/>
            </w:pPr>
            <w:r>
              <w:t>反映完成活动项目数量</w:t>
            </w:r>
          </w:p>
        </w:tc>
        <w:tc>
          <w:tcPr>
            <w:tcW w:w="2268" w:type="dxa"/>
            <w:vAlign w:val="center"/>
          </w:tcPr>
          <w:p>
            <w:pPr>
              <w:pStyle w:val="13"/>
            </w:pPr>
            <w:r>
              <w:t>&gt;5个</w:t>
            </w:r>
          </w:p>
        </w:tc>
        <w:tc>
          <w:tcPr>
            <w:tcW w:w="1276" w:type="dxa"/>
            <w:vAlign w:val="center"/>
          </w:tcPr>
          <w:p>
            <w:pPr>
              <w:pStyle w:val="13"/>
            </w:pPr>
            <w:r>
              <w:t>签订合同数量及验收报告单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综合业务管理工作完成率</w:t>
            </w:r>
          </w:p>
        </w:tc>
        <w:tc>
          <w:tcPr>
            <w:tcW w:w="5386" w:type="dxa"/>
            <w:vAlign w:val="center"/>
          </w:tcPr>
          <w:p>
            <w:pPr>
              <w:pStyle w:val="13"/>
            </w:pPr>
            <w:r>
              <w:t>反映综合业务管理工作完成率</w:t>
            </w:r>
          </w:p>
        </w:tc>
        <w:tc>
          <w:tcPr>
            <w:tcW w:w="2268" w:type="dxa"/>
            <w:vAlign w:val="center"/>
          </w:tcPr>
          <w:p>
            <w:pPr>
              <w:pStyle w:val="13"/>
            </w:pPr>
            <w:r>
              <w:t>≥80%</w:t>
            </w:r>
          </w:p>
        </w:tc>
        <w:tc>
          <w:tcPr>
            <w:tcW w:w="1276" w:type="dxa"/>
            <w:vAlign w:val="center"/>
          </w:tcPr>
          <w:p>
            <w:pPr>
              <w:pStyle w:val="13"/>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资金支付及时性</w:t>
            </w:r>
          </w:p>
        </w:tc>
        <w:tc>
          <w:tcPr>
            <w:tcW w:w="5386" w:type="dxa"/>
            <w:vAlign w:val="center"/>
          </w:tcPr>
          <w:p>
            <w:pPr>
              <w:pStyle w:val="13"/>
            </w:pPr>
            <w:r>
              <w:t>反映资金按合同支付情况</w:t>
            </w:r>
          </w:p>
        </w:tc>
        <w:tc>
          <w:tcPr>
            <w:tcW w:w="2268" w:type="dxa"/>
            <w:vAlign w:val="center"/>
          </w:tcPr>
          <w:p>
            <w:pPr>
              <w:pStyle w:val="13"/>
            </w:pPr>
            <w:r>
              <w:t>及时支付</w:t>
            </w:r>
          </w:p>
        </w:tc>
        <w:tc>
          <w:tcPr>
            <w:tcW w:w="1276" w:type="dxa"/>
            <w:vAlign w:val="center"/>
          </w:tcPr>
          <w:p>
            <w:pPr>
              <w:pStyle w:val="13"/>
            </w:pPr>
            <w:r>
              <w:t>合同、项目计划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成本控制情况</w:t>
            </w:r>
          </w:p>
        </w:tc>
        <w:tc>
          <w:tcPr>
            <w:tcW w:w="5386" w:type="dxa"/>
            <w:vAlign w:val="center"/>
          </w:tcPr>
          <w:p>
            <w:pPr>
              <w:pStyle w:val="13"/>
            </w:pPr>
            <w:r>
              <w:t>反映同项目下举办活动所需成本下降或低于行业标准</w:t>
            </w:r>
          </w:p>
        </w:tc>
        <w:tc>
          <w:tcPr>
            <w:tcW w:w="2268" w:type="dxa"/>
            <w:vAlign w:val="center"/>
          </w:tcPr>
          <w:p>
            <w:pPr>
              <w:pStyle w:val="13"/>
            </w:pPr>
            <w:r>
              <w:t>有效控制</w:t>
            </w:r>
          </w:p>
        </w:tc>
        <w:tc>
          <w:tcPr>
            <w:tcW w:w="1276" w:type="dxa"/>
            <w:vAlign w:val="center"/>
          </w:tcPr>
          <w:p>
            <w:pPr>
              <w:pStyle w:val="13"/>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各项目活动完成情况</w:t>
            </w:r>
          </w:p>
        </w:tc>
        <w:tc>
          <w:tcPr>
            <w:tcW w:w="5386" w:type="dxa"/>
            <w:vAlign w:val="center"/>
          </w:tcPr>
          <w:p>
            <w:pPr>
              <w:pStyle w:val="13"/>
            </w:pPr>
            <w:r>
              <w:t>反映工作任务预期经济效益目标实现程度</w:t>
            </w:r>
          </w:p>
        </w:tc>
        <w:tc>
          <w:tcPr>
            <w:tcW w:w="2268" w:type="dxa"/>
            <w:vAlign w:val="center"/>
          </w:tcPr>
          <w:p>
            <w:pPr>
              <w:pStyle w:val="13"/>
            </w:pPr>
            <w:r>
              <w:t>有效完成</w:t>
            </w:r>
          </w:p>
        </w:tc>
        <w:tc>
          <w:tcPr>
            <w:tcW w:w="1276" w:type="dxa"/>
            <w:vAlign w:val="center"/>
          </w:tcPr>
          <w:p>
            <w:pPr>
              <w:pStyle w:val="13"/>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落实人民群众的知情权、表达权、参与权和监督权</w:t>
            </w:r>
          </w:p>
        </w:tc>
        <w:tc>
          <w:tcPr>
            <w:tcW w:w="5386" w:type="dxa"/>
            <w:vAlign w:val="center"/>
          </w:tcPr>
          <w:p>
            <w:pPr>
              <w:pStyle w:val="13"/>
            </w:pPr>
            <w:r>
              <w:t>反映落实人民群众的知情权、表达权、参与权和监督权</w:t>
            </w:r>
          </w:p>
        </w:tc>
        <w:tc>
          <w:tcPr>
            <w:tcW w:w="2268" w:type="dxa"/>
            <w:vAlign w:val="center"/>
          </w:tcPr>
          <w:p>
            <w:pPr>
              <w:pStyle w:val="13"/>
            </w:pPr>
            <w:r>
              <w:t>充分落实</w:t>
            </w:r>
          </w:p>
        </w:tc>
        <w:tc>
          <w:tcPr>
            <w:tcW w:w="1276" w:type="dxa"/>
            <w:vAlign w:val="center"/>
          </w:tcPr>
          <w:p>
            <w:pPr>
              <w:pStyle w:val="13"/>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宣传资料重复利用率（%）</w:t>
            </w:r>
          </w:p>
        </w:tc>
        <w:tc>
          <w:tcPr>
            <w:tcW w:w="5386" w:type="dxa"/>
            <w:vAlign w:val="center"/>
          </w:tcPr>
          <w:p>
            <w:pPr>
              <w:pStyle w:val="13"/>
            </w:pPr>
            <w:r>
              <w:t>反映同项目下举办活动所需宣传资料重复利用率</w:t>
            </w:r>
          </w:p>
        </w:tc>
        <w:tc>
          <w:tcPr>
            <w:tcW w:w="2268" w:type="dxa"/>
            <w:vAlign w:val="center"/>
          </w:tcPr>
          <w:p>
            <w:pPr>
              <w:pStyle w:val="13"/>
            </w:pPr>
            <w:r>
              <w:t>≥60%</w:t>
            </w:r>
          </w:p>
        </w:tc>
        <w:tc>
          <w:tcPr>
            <w:tcW w:w="1276" w:type="dxa"/>
            <w:vAlign w:val="center"/>
          </w:tcPr>
          <w:p>
            <w:pPr>
              <w:pStyle w:val="13"/>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保证人才队伍可持续建设</w:t>
            </w:r>
          </w:p>
        </w:tc>
        <w:tc>
          <w:tcPr>
            <w:tcW w:w="5386" w:type="dxa"/>
            <w:vAlign w:val="center"/>
          </w:tcPr>
          <w:p>
            <w:pPr>
              <w:pStyle w:val="13"/>
            </w:pPr>
            <w:r>
              <w:t>反映保证人才队伍可持续建设情况</w:t>
            </w:r>
          </w:p>
        </w:tc>
        <w:tc>
          <w:tcPr>
            <w:tcW w:w="2268" w:type="dxa"/>
            <w:vAlign w:val="center"/>
          </w:tcPr>
          <w:p>
            <w:pPr>
              <w:pStyle w:val="13"/>
            </w:pPr>
            <w:r>
              <w:t>明显提高</w:t>
            </w:r>
          </w:p>
        </w:tc>
        <w:tc>
          <w:tcPr>
            <w:tcW w:w="1276" w:type="dxa"/>
            <w:vAlign w:val="center"/>
          </w:tcPr>
          <w:p>
            <w:pPr>
              <w:pStyle w:val="13"/>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服务对象人群满意度</w:t>
            </w:r>
          </w:p>
        </w:tc>
        <w:tc>
          <w:tcPr>
            <w:tcW w:w="5386" w:type="dxa"/>
            <w:vAlign w:val="center"/>
          </w:tcPr>
          <w:p>
            <w:pPr>
              <w:pStyle w:val="13"/>
            </w:pPr>
            <w:r>
              <w:t>反映群众对工作人员满意程度</w:t>
            </w:r>
          </w:p>
        </w:tc>
        <w:tc>
          <w:tcPr>
            <w:tcW w:w="2268" w:type="dxa"/>
            <w:vAlign w:val="center"/>
          </w:tcPr>
          <w:p>
            <w:pPr>
              <w:pStyle w:val="13"/>
            </w:pPr>
            <w:r>
              <w:t>≥80%</w:t>
            </w:r>
          </w:p>
        </w:tc>
        <w:tc>
          <w:tcPr>
            <w:tcW w:w="1276" w:type="dxa"/>
            <w:vAlign w:val="center"/>
          </w:tcPr>
          <w:p>
            <w:pPr>
              <w:pStyle w:val="13"/>
            </w:pPr>
            <w:r>
              <w:t>经验标准</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324中国共产主义青年团唐山市丰南区委员会</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中国共产主义青年团唐山市丰南区委员会（含所属单位）上年末固定资产金额为22.65万元（详见下表）。本年度拟购置固定资产总额为0.00万元，已按要求列入政府采购预算，详见政府采购预算表。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324中国共产主义青年团唐山市丰南区委员会</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22.65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r>
              <w:t>1</w:t>
            </w:r>
          </w:p>
        </w:tc>
        <w:tc>
          <w:tcPr>
            <w:tcW w:w="2835" w:type="dxa"/>
            <w:vAlign w:val="center"/>
          </w:tcPr>
          <w:p>
            <w:pPr>
              <w:pStyle w:val="12"/>
            </w:pPr>
            <w:r>
              <w:t>12.75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11</w:t>
            </w:r>
          </w:p>
        </w:tc>
        <w:tc>
          <w:tcPr>
            <w:tcW w:w="2835" w:type="dxa"/>
            <w:vAlign w:val="center"/>
          </w:tcPr>
          <w:p>
            <w:pPr>
              <w:pStyle w:val="12"/>
            </w:pPr>
            <w:r>
              <w:t>9.90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731A2E"/>
    <w:rsid w:val="420E0295"/>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24</Pages>
  <TotalTime>4</TotalTime>
  <ScaleCrop>false</ScaleCrop>
  <LinksUpToDate>false</LinksUpToDate>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2025-02-06T15:08:00Z</dcterms:created>
  <dc:creator>Administrator</dc:creator>
  <cp:lastModifiedBy>Administrator</cp:lastModifiedBy>
  <dcterms:modified xsi:type="dcterms:W3CDTF">2025-02-06T07:14:22Z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