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hint="eastAsia"/>
          <w:sz w:val="40"/>
          <w:szCs w:val="40"/>
        </w:rPr>
        <w:t>部门年度绩效自评工作报告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 xml:space="preserve">（ </w:t>
      </w:r>
      <w:r>
        <w:rPr>
          <w:rFonts w:ascii="方正楷体简体" w:eastAsia="方正楷体简体"/>
          <w:sz w:val="30"/>
          <w:szCs w:val="30"/>
        </w:rPr>
        <w:t>2023</w:t>
      </w:r>
      <w:r>
        <w:rPr>
          <w:rFonts w:ascii="方正楷体简体" w:eastAsia="方正楷体简体" w:hint="eastAsia"/>
          <w:sz w:val="30"/>
          <w:szCs w:val="30"/>
        </w:rPr>
        <w:t xml:space="preserve">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部门（单位）名称：</w:t>
      </w:r>
      <w:r>
        <w:rPr>
          <w:rFonts w:eastAsia="方正仿宋简体"/>
          <w:sz w:val="30"/>
          <w:szCs w:val="30"/>
          <w:u w:val="single"/>
        </w:rPr>
        <w:t>唐山市丰南区农业农村局</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rPr>
          <w:rFonts w:eastAsia="方正仿宋简体"/>
          <w:sz w:val="30"/>
          <w:szCs w:val="30"/>
        </w:rPr>
      </w:pPr>
      <w:r>
        <w:rPr>
          <w:rFonts w:eastAsia="方正仿宋简体"/>
          <w:sz w:val="30"/>
          <w:szCs w:val="30"/>
        </w:rPr>
        <w:t>　　　　　　　　　　　　　　　　2024年2月20日　</w:t>
      </w:r>
    </w:p>
    <w:p>
      <w:pPr>
        <w:spacing w:line="580" w:lineRule="exact"/>
        <w:rPr>
          <w:rFonts w:eastAsia="方正仿宋简体"/>
          <w:sz w:val="30"/>
          <w:szCs w:val="30"/>
        </w:rPr>
      </w:pPr>
    </w:p>
    <w:p>
      <w:pPr>
        <w:spacing w:line="580" w:lineRule="exact"/>
        <w:rPr>
          <w:rFonts w:eastAsia="方正仿宋简体"/>
          <w:sz w:val="30"/>
          <w:szCs w:val="30"/>
        </w:rPr>
      </w:pPr>
    </w:p>
    <w:p>
      <w:pPr>
        <w:spacing w:line="580" w:lineRule="exact"/>
        <w:jc w:val="center"/>
        <w:rPr>
          <w:rFonts w:eastAsia="方正楷体简体" w:hint="eastAsia"/>
          <w:sz w:val="30"/>
          <w:szCs w:val="30"/>
        </w:rPr>
      </w:pPr>
    </w:p>
    <w:p>
      <w:pPr>
        <w:spacing w:line="520" w:lineRule="exact"/>
        <w:ind w:firstLineChars="200" w:firstLine="428"/>
        <w:rPr>
          <w:rFonts w:eastAsia="方正仿宋简体" w:hint="eastAsia"/>
          <w:sz w:val="30"/>
          <w:szCs w:val="30"/>
        </w:rPr>
      </w:pPr>
      <w:r>
        <w:t>  </w:t>
      </w:r>
      <w:r>
        <w:rPr>
          <w:rFonts w:ascii="仿宋" w:eastAsia="仿宋" w:hint="eastAsia"/>
          <w:sz w:val="32"/>
          <w:szCs w:val="32"/>
        </w:rPr>
        <w:t>按照丰财监【202</w:t>
      </w:r>
      <w:r>
        <w:rPr>
          <w:rFonts w:ascii="仿宋" w:eastAsia="仿宋"/>
          <w:sz w:val="32"/>
          <w:szCs w:val="32"/>
        </w:rPr>
        <w:t>4</w:t>
      </w:r>
      <w:r>
        <w:rPr>
          <w:rFonts w:ascii="仿宋" w:eastAsia="仿宋" w:hint="eastAsia"/>
          <w:sz w:val="32"/>
          <w:szCs w:val="32"/>
        </w:rPr>
        <w:t>】1号《关于全面开展202</w:t>
      </w:r>
      <w:r>
        <w:rPr>
          <w:rFonts w:ascii="仿宋" w:eastAsia="仿宋"/>
          <w:sz w:val="32"/>
          <w:szCs w:val="32"/>
        </w:rPr>
        <w:t>3</w:t>
      </w:r>
      <w:r>
        <w:rPr>
          <w:rFonts w:ascii="仿宋" w:eastAsia="仿宋" w:hint="eastAsia"/>
          <w:sz w:val="32"/>
          <w:szCs w:val="32"/>
        </w:rPr>
        <w:t>年度财政支出绩效评</w:t>
      </w:r>
      <w:r>
        <w:rPr>
          <w:rFonts w:ascii="仿宋" w:eastAsia="仿宋"/>
          <w:sz w:val="32"/>
          <w:szCs w:val="32"/>
        </w:rPr>
        <w:t>价</w:t>
      </w:r>
      <w:r>
        <w:rPr>
          <w:rFonts w:ascii="仿宋" w:eastAsia="仿宋" w:hint="eastAsia"/>
          <w:sz w:val="32"/>
          <w:szCs w:val="32"/>
        </w:rPr>
        <w:t>工作的通知》要求，为做好202</w:t>
      </w:r>
      <w:r>
        <w:rPr>
          <w:rFonts w:ascii="仿宋" w:eastAsia="仿宋"/>
          <w:sz w:val="32"/>
          <w:szCs w:val="32"/>
        </w:rPr>
        <w:t>3</w:t>
      </w:r>
      <w:r>
        <w:rPr>
          <w:rFonts w:ascii="仿宋" w:eastAsia="仿宋" w:hint="eastAsia"/>
          <w:sz w:val="32"/>
          <w:szCs w:val="32"/>
        </w:rPr>
        <w:t>年度财政支持项目绩效评价工作，我局将财政局下达文件下发到各业务科室，并对202</w:t>
      </w:r>
      <w:r>
        <w:rPr>
          <w:rFonts w:ascii="仿宋" w:eastAsia="仿宋"/>
          <w:sz w:val="32"/>
          <w:szCs w:val="32"/>
        </w:rPr>
        <w:t>3</w:t>
      </w:r>
      <w:r>
        <w:rPr>
          <w:rFonts w:ascii="仿宋" w:eastAsia="仿宋" w:hint="eastAsia"/>
          <w:sz w:val="32"/>
          <w:szCs w:val="32"/>
        </w:rPr>
        <w:t>年度财政支持项目进行了梳理，对此项工作做出了具体部署，要求一定要按照财政局文件要求开展好202</w:t>
      </w:r>
      <w:r>
        <w:rPr>
          <w:rFonts w:ascii="仿宋" w:eastAsia="仿宋"/>
          <w:sz w:val="32"/>
          <w:szCs w:val="32"/>
        </w:rPr>
        <w:t>3</w:t>
      </w:r>
      <w:r>
        <w:rPr>
          <w:rFonts w:ascii="仿宋" w:eastAsia="仿宋" w:hint="eastAsia"/>
          <w:sz w:val="32"/>
          <w:szCs w:val="32"/>
        </w:rPr>
        <w:t>年度财政支持项目绩效评价工作，具体情况报告如下。</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一、绩效自评工作组织开展情况</w:t>
      </w:r>
    </w:p>
    <w:p>
      <w:pPr>
        <w:spacing w:after="0" w:line="520" w:lineRule="exact"/>
        <w:ind w:firstLineChars="200" w:firstLine="648"/>
        <w:rPr>
          <w:rFonts w:ascii="仿宋" w:eastAsia="仿宋" w:hint="eastAsia"/>
          <w:sz w:val="32"/>
          <w:szCs w:val="32"/>
        </w:rPr>
      </w:pPr>
      <w:r>
        <w:rPr>
          <w:rFonts w:ascii="仿宋" w:eastAsia="仿宋" w:hint="eastAsia"/>
          <w:sz w:val="32"/>
          <w:szCs w:val="32"/>
        </w:rPr>
        <w:t>根据项目实施情况，我局对202</w:t>
      </w:r>
      <w:r>
        <w:rPr>
          <w:rFonts w:ascii="仿宋" w:eastAsia="仿宋"/>
          <w:sz w:val="32"/>
          <w:szCs w:val="32"/>
        </w:rPr>
        <w:t>3</w:t>
      </w:r>
      <w:r>
        <w:rPr>
          <w:rFonts w:ascii="仿宋" w:eastAsia="仿宋" w:hint="eastAsia"/>
          <w:sz w:val="32"/>
          <w:szCs w:val="32"/>
        </w:rPr>
        <w:t>年需要进行绩效评价的2</w:t>
      </w:r>
      <w:r>
        <w:rPr>
          <w:rFonts w:ascii="仿宋" w:eastAsia="仿宋"/>
          <w:sz w:val="32"/>
          <w:szCs w:val="32"/>
        </w:rPr>
        <w:t>51</w:t>
      </w:r>
      <w:r>
        <w:rPr>
          <w:rFonts w:ascii="仿宋" w:eastAsia="仿宋" w:hint="eastAsia"/>
          <w:sz w:val="32"/>
          <w:szCs w:val="32"/>
        </w:rPr>
        <w:t>个财政支出项目进行了绩效评价工作。预算资金</w:t>
      </w:r>
      <w:r>
        <w:rPr>
          <w:rFonts w:ascii="仿宋" w:eastAsia="仿宋"/>
          <w:sz w:val="32"/>
          <w:szCs w:val="32"/>
        </w:rPr>
        <w:t>79004.780619</w:t>
      </w:r>
      <w:r>
        <w:rPr>
          <w:rFonts w:ascii="仿宋" w:eastAsia="仿宋" w:hint="eastAsia"/>
          <w:sz w:val="32"/>
          <w:szCs w:val="32"/>
        </w:rPr>
        <w:t>万元(上级资金</w:t>
      </w:r>
      <w:r>
        <w:rPr>
          <w:rFonts w:ascii="仿宋" w:eastAsia="仿宋"/>
          <w:sz w:val="32"/>
          <w:szCs w:val="32"/>
        </w:rPr>
        <w:t>52856.611082</w:t>
      </w:r>
      <w:r>
        <w:rPr>
          <w:rFonts w:ascii="仿宋" w:eastAsia="仿宋" w:hint="eastAsia"/>
          <w:sz w:val="32"/>
          <w:szCs w:val="32"/>
        </w:rPr>
        <w:t>万元、债券资金</w:t>
      </w:r>
      <w:r>
        <w:rPr>
          <w:rFonts w:ascii="仿宋" w:eastAsia="仿宋"/>
          <w:sz w:val="32"/>
          <w:szCs w:val="32"/>
        </w:rPr>
        <w:t>830.609717</w:t>
      </w:r>
      <w:r>
        <w:rPr>
          <w:rFonts w:ascii="仿宋" w:eastAsia="仿宋" w:hint="eastAsia"/>
          <w:sz w:val="32"/>
          <w:szCs w:val="32"/>
        </w:rPr>
        <w:t>万元、区级资金</w:t>
      </w:r>
      <w:r>
        <w:rPr>
          <w:rFonts w:ascii="仿宋" w:eastAsia="仿宋"/>
          <w:sz w:val="32"/>
          <w:szCs w:val="32"/>
        </w:rPr>
        <w:t>25317.55982</w:t>
      </w:r>
      <w:r>
        <w:rPr>
          <w:rFonts w:ascii="仿宋" w:eastAsia="仿宋" w:hint="eastAsia"/>
          <w:sz w:val="32"/>
          <w:szCs w:val="32"/>
        </w:rPr>
        <w:t>万元），202</w:t>
      </w:r>
      <w:r>
        <w:rPr>
          <w:rFonts w:ascii="仿宋" w:eastAsia="仿宋"/>
          <w:sz w:val="32"/>
          <w:szCs w:val="32"/>
        </w:rPr>
        <w:t>3</w:t>
      </w:r>
      <w:r>
        <w:rPr>
          <w:rFonts w:ascii="仿宋" w:eastAsia="仿宋" w:hint="eastAsia"/>
          <w:sz w:val="32"/>
          <w:szCs w:val="32"/>
        </w:rPr>
        <w:t>年支出资金</w:t>
      </w:r>
      <w:r>
        <w:rPr>
          <w:rFonts w:ascii="仿宋" w:eastAsia="仿宋"/>
          <w:sz w:val="32"/>
          <w:szCs w:val="32"/>
        </w:rPr>
        <w:t>49803.343711</w:t>
      </w:r>
      <w:r>
        <w:rPr>
          <w:rFonts w:ascii="仿宋" w:eastAsia="仿宋" w:hint="eastAsia"/>
          <w:sz w:val="32"/>
          <w:szCs w:val="32"/>
        </w:rPr>
        <w:t>万元（上级</w:t>
      </w:r>
      <w:r>
        <w:rPr>
          <w:rFonts w:ascii="仿宋" w:eastAsia="仿宋"/>
          <w:sz w:val="32"/>
          <w:szCs w:val="32"/>
        </w:rPr>
        <w:t>27605.720457</w:t>
      </w:r>
      <w:r>
        <w:rPr>
          <w:rFonts w:ascii="仿宋" w:eastAsia="仿宋" w:hint="eastAsia"/>
          <w:sz w:val="32"/>
          <w:szCs w:val="32"/>
        </w:rPr>
        <w:t>万元、债券资金</w:t>
      </w:r>
      <w:r>
        <w:rPr>
          <w:rFonts w:ascii="仿宋" w:eastAsia="仿宋"/>
          <w:sz w:val="32"/>
          <w:szCs w:val="32"/>
        </w:rPr>
        <w:t>830.609717</w:t>
      </w:r>
      <w:r>
        <w:rPr>
          <w:rFonts w:ascii="仿宋" w:eastAsia="仿宋" w:hint="eastAsia"/>
          <w:sz w:val="32"/>
          <w:szCs w:val="32"/>
        </w:rPr>
        <w:t>万元、区级</w:t>
      </w:r>
      <w:r>
        <w:rPr>
          <w:rFonts w:ascii="仿宋" w:eastAsia="仿宋"/>
          <w:sz w:val="32"/>
          <w:szCs w:val="32"/>
        </w:rPr>
        <w:t>21367.013537</w:t>
      </w:r>
      <w:r>
        <w:rPr>
          <w:rFonts w:ascii="仿宋" w:eastAsia="仿宋" w:hint="eastAsia"/>
          <w:sz w:val="32"/>
          <w:szCs w:val="32"/>
        </w:rPr>
        <w:t>万元)。我局202</w:t>
      </w:r>
      <w:r>
        <w:rPr>
          <w:rFonts w:ascii="仿宋" w:eastAsia="仿宋"/>
          <w:sz w:val="32"/>
          <w:szCs w:val="32"/>
        </w:rPr>
        <w:t>3</w:t>
      </w:r>
      <w:r>
        <w:rPr>
          <w:rFonts w:ascii="仿宋" w:eastAsia="仿宋" w:hint="eastAsia"/>
          <w:sz w:val="32"/>
          <w:szCs w:val="32"/>
        </w:rPr>
        <w:t>年度绩效自评工作采取各项目实施单位的主管领导为组长，相关业务科室负责人和业务骨干组成评价小组分领域行业分头进行评价，严格按照项目年度目标和目标任务完成情况进行评价打分，查找存在问题，明确整改措施。对业务科室进行的项目自评情况我局指定财务科进行汇总，并撰写评价报告。</w:t>
      </w:r>
    </w:p>
    <w:p>
      <w:pPr>
        <w:spacing w:after="0" w:line="520" w:lineRule="exact"/>
        <w:ind w:firstLineChars="200" w:firstLine="648"/>
        <w:rPr>
          <w:rFonts w:ascii="仿宋" w:eastAsia="仿宋" w:hint="eastAsia"/>
          <w:sz w:val="32"/>
          <w:szCs w:val="32"/>
        </w:rPr>
      </w:pPr>
      <w:r>
        <w:rPr>
          <w:rFonts w:ascii="仿宋" w:eastAsia="仿宋" w:hint="eastAsia"/>
          <w:sz w:val="32"/>
          <w:szCs w:val="32"/>
        </w:rPr>
        <w:t>我局部门年度预算由业务科室提出预算项目和金额，财务进行汇总上报局领导通过后报财政局。我局日常项目支出由各业务科室进行项目实施，资金支出由经办人、业务科室负责人、主管局长、局长进行审批，财务履行支出手续。</w:t>
      </w:r>
    </w:p>
    <w:p>
      <w:pPr>
        <w:numPr>
          <w:ilvl w:val="0"/>
          <w:numId w:val="1"/>
        </w:numPr>
        <w:spacing w:after="0" w:line="520" w:lineRule="exact"/>
        <w:ind w:left="0" w:firstLineChars="200" w:firstLine="648"/>
        <w:rPr>
          <w:rFonts w:ascii="仿宋" w:eastAsia="仿宋" w:hint="eastAsia"/>
          <w:sz w:val="32"/>
          <w:szCs w:val="32"/>
        </w:rPr>
      </w:pPr>
      <w:r>
        <w:rPr>
          <w:rFonts w:ascii="仿宋" w:eastAsia="仿宋" w:hint="eastAsia"/>
          <w:sz w:val="32"/>
          <w:szCs w:val="32"/>
        </w:rPr>
        <w:t>评价方法：我局对202</w:t>
      </w:r>
      <w:r>
        <w:rPr>
          <w:rFonts w:ascii="仿宋" w:eastAsia="仿宋"/>
          <w:sz w:val="32"/>
          <w:szCs w:val="32"/>
        </w:rPr>
        <w:t>3</w:t>
      </w:r>
      <w:r>
        <w:rPr>
          <w:rFonts w:ascii="仿宋" w:eastAsia="仿宋" w:hint="eastAsia"/>
          <w:sz w:val="32"/>
          <w:szCs w:val="32"/>
        </w:rPr>
        <w:t>年财政支持项目评价采取的方法是主管领导负责，业务科室组织自评，评价结果上报的自我评价方式。</w:t>
      </w:r>
    </w:p>
    <w:p>
      <w:pPr>
        <w:numPr>
          <w:ilvl w:val="0"/>
          <w:numId w:val="1"/>
        </w:numPr>
        <w:spacing w:after="0" w:line="520" w:lineRule="exact"/>
        <w:ind w:left="0" w:firstLineChars="200" w:firstLine="648"/>
        <w:rPr>
          <w:rFonts w:ascii="仿宋" w:eastAsia="仿宋" w:hint="eastAsia"/>
          <w:sz w:val="32"/>
          <w:szCs w:val="32"/>
        </w:rPr>
      </w:pPr>
      <w:r>
        <w:rPr>
          <w:rFonts w:ascii="仿宋" w:eastAsia="仿宋" w:hint="eastAsia"/>
          <w:sz w:val="32"/>
          <w:szCs w:val="32"/>
        </w:rPr>
        <w:t>评价指标设定：按照《202</w:t>
      </w:r>
      <w:r>
        <w:rPr>
          <w:rFonts w:ascii="仿宋" w:eastAsia="仿宋"/>
          <w:sz w:val="32"/>
          <w:szCs w:val="32"/>
        </w:rPr>
        <w:t>3</w:t>
      </w:r>
      <w:r>
        <w:rPr>
          <w:rFonts w:ascii="仿宋" w:eastAsia="仿宋" w:hint="eastAsia"/>
          <w:sz w:val="32"/>
          <w:szCs w:val="32"/>
        </w:rPr>
        <w:t>年农业农村局部门职责目录申报》中设定的绩效目标设置、以及绩效指标设置情况设定相关管理绩效指标和结果绩效指标。</w:t>
      </w:r>
    </w:p>
    <w:p>
      <w:pPr>
        <w:numPr>
          <w:ilvl w:val="0"/>
          <w:numId w:val="1"/>
        </w:numPr>
        <w:spacing w:after="0" w:line="520" w:lineRule="exact"/>
        <w:ind w:left="0" w:firstLineChars="200" w:firstLine="648"/>
        <w:rPr>
          <w:rFonts w:ascii="仿宋" w:eastAsia="仿宋" w:hint="eastAsia"/>
          <w:sz w:val="32"/>
          <w:szCs w:val="32"/>
        </w:rPr>
      </w:pPr>
      <w:r>
        <w:rPr>
          <w:rFonts w:ascii="仿宋" w:eastAsia="仿宋" w:hint="eastAsia"/>
          <w:sz w:val="32"/>
          <w:szCs w:val="32"/>
        </w:rPr>
        <w:t>评价结果判定：项目评价由主管领导根据项目实施情况和项目技术要求由主管领导组织2-3名业务骨干对负责项目进行绩效评价打分，确定评价结果。</w:t>
      </w:r>
    </w:p>
    <w:p>
      <w:pPr>
        <w:numPr>
          <w:ilvl w:val="0"/>
          <w:numId w:val="1"/>
        </w:numPr>
        <w:spacing w:after="0" w:line="520" w:lineRule="exact"/>
        <w:ind w:left="0" w:firstLineChars="200" w:firstLine="648"/>
        <w:rPr>
          <w:rFonts w:ascii="仿宋" w:eastAsia="仿宋" w:hint="eastAsia"/>
          <w:sz w:val="32"/>
          <w:szCs w:val="32"/>
        </w:rPr>
      </w:pPr>
      <w:r>
        <w:rPr>
          <w:rFonts w:ascii="仿宋" w:eastAsia="仿宋" w:hint="eastAsia"/>
          <w:sz w:val="32"/>
          <w:szCs w:val="32"/>
        </w:rPr>
        <w:t>项目评价结果：2</w:t>
      </w:r>
      <w:r>
        <w:rPr>
          <w:rFonts w:ascii="仿宋" w:eastAsia="仿宋"/>
          <w:sz w:val="32"/>
          <w:szCs w:val="32"/>
        </w:rPr>
        <w:t>51</w:t>
      </w:r>
      <w:r>
        <w:rPr>
          <w:rFonts w:ascii="仿宋" w:eastAsia="仿宋" w:hint="eastAsia"/>
          <w:sz w:val="32"/>
          <w:szCs w:val="32"/>
        </w:rPr>
        <w:t>个财政支持项目绩效评价中</w:t>
      </w:r>
      <w:r>
        <w:rPr>
          <w:rFonts w:ascii="仿宋" w:eastAsia="仿宋"/>
          <w:sz w:val="32"/>
          <w:szCs w:val="32"/>
        </w:rPr>
        <w:t>22</w:t>
      </w:r>
      <w:r>
        <w:rPr>
          <w:rFonts w:ascii="仿宋" w:eastAsia="仿宋" w:hint="eastAsia"/>
          <w:sz w:val="32"/>
          <w:szCs w:val="32"/>
          <w:lang w:val="en-US" w:eastAsia="zh-CN"/>
        </w:rPr>
        <w:t>7</w:t>
      </w:r>
      <w:r>
        <w:rPr>
          <w:rFonts w:ascii="仿宋" w:eastAsia="仿宋" w:hint="eastAsia"/>
          <w:sz w:val="32"/>
          <w:szCs w:val="32"/>
        </w:rPr>
        <w:t>个项目部门绩效评价等次</w:t>
      </w:r>
      <w:r>
        <w:rPr>
          <w:rFonts w:ascii="仿宋" w:eastAsia="仿宋"/>
          <w:sz w:val="32"/>
          <w:szCs w:val="32"/>
        </w:rPr>
        <w:t>为</w:t>
      </w:r>
      <w:r>
        <w:rPr>
          <w:rFonts w:ascii="仿宋" w:eastAsia="仿宋" w:hint="eastAsia"/>
          <w:sz w:val="32"/>
          <w:szCs w:val="32"/>
        </w:rPr>
        <w:t>优、</w:t>
      </w:r>
      <w:r>
        <w:rPr>
          <w:rFonts w:ascii="仿宋" w:eastAsia="仿宋"/>
          <w:sz w:val="32"/>
          <w:szCs w:val="32"/>
        </w:rPr>
        <w:t>11</w:t>
      </w:r>
      <w:r>
        <w:rPr>
          <w:rFonts w:ascii="仿宋" w:eastAsia="仿宋" w:hint="eastAsia"/>
          <w:sz w:val="32"/>
          <w:szCs w:val="32"/>
        </w:rPr>
        <w:t>个项目部门绩效评价等次</w:t>
      </w:r>
      <w:r>
        <w:rPr>
          <w:rFonts w:ascii="仿宋" w:eastAsia="仿宋"/>
          <w:sz w:val="32"/>
          <w:szCs w:val="32"/>
        </w:rPr>
        <w:t>为</w:t>
      </w:r>
      <w:r>
        <w:rPr>
          <w:rFonts w:ascii="仿宋" w:eastAsia="仿宋" w:hint="eastAsia"/>
          <w:sz w:val="32"/>
          <w:szCs w:val="32"/>
        </w:rPr>
        <w:t>良、</w:t>
      </w:r>
      <w:r>
        <w:rPr>
          <w:rFonts w:ascii="仿宋" w:eastAsia="仿宋"/>
          <w:sz w:val="32"/>
          <w:szCs w:val="32"/>
        </w:rPr>
        <w:t>1</w:t>
      </w:r>
      <w:r>
        <w:rPr>
          <w:rFonts w:ascii="仿宋" w:eastAsia="仿宋" w:hint="eastAsia"/>
          <w:sz w:val="32"/>
          <w:szCs w:val="32"/>
          <w:lang w:val="en-US" w:eastAsia="zh-CN"/>
        </w:rPr>
        <w:t>3</w:t>
      </w:r>
      <w:r>
        <w:rPr>
          <w:rFonts w:ascii="仿宋" w:eastAsia="仿宋" w:hint="eastAsia"/>
          <w:sz w:val="32"/>
          <w:szCs w:val="32"/>
        </w:rPr>
        <w:t>个项目评定等次为差。</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二、绩效目标实现情况</w:t>
      </w:r>
    </w:p>
    <w:p>
      <w:pPr>
        <w:tabs>
          <w:tab w:val="left" w:pos="0"/>
        </w:tabs>
        <w:spacing w:after="0" w:line="520" w:lineRule="exact"/>
        <w:ind w:firstLine="644"/>
        <w:rPr>
          <w:rFonts w:ascii="仿宋" w:eastAsia="仿宋"/>
          <w:sz w:val="32"/>
          <w:szCs w:val="32"/>
        </w:rPr>
      </w:pPr>
      <w:r>
        <w:rPr>
          <w:rFonts w:ascii="仿宋" w:eastAsia="仿宋"/>
          <w:sz w:val="32"/>
          <w:szCs w:val="32"/>
        </w:rPr>
        <w:t>我单位2023年</w:t>
      </w:r>
      <w:r>
        <w:rPr>
          <w:rFonts w:ascii="仿宋" w:eastAsia="仿宋" w:hint="eastAsia"/>
          <w:sz w:val="32"/>
          <w:szCs w:val="32"/>
        </w:rPr>
        <w:t>狠抓项目建设，着力推进农业高质量发展。一是积极争取上级资金项目。今年共争取到省级以上支农项目资金2.29亿元。同时，抢抓机遇，积极谋划国债项目，总投资9.35亿元69个村居的污水处理项目（拟申请债券资金7.45亿元）、总投资3.01亿元的黄各庄镇乡村振兴环境整治综合提升项目（拟申请债券资金2.4亿元）、总投资4.39亿元的岔河镇基础设施提升改造项目（拟申请债券资金3.5亿元）、总投资1.3亿元占地5.15万亩的高标准农田（拟申请债券资金1.23亿元）、总投资1.62亿元的黑沿子镇乡村振兴基础设施提升项目（拟申请债券资金1.29亿元）等债券项目已全部入库。二是推动农业重点项目建设。实施投资22.86亿元的通威“蟹光一体”产业园、投资7.5亿元的乐源君丰牧业奶牛养殖、投资5.7亿元的融通农发牧原生猪养殖等12个亿元以上重点农业产业化项目，计划总投资86.96亿元，已开工8个，完工1个，完成投资25.2亿元。其中海景洲渔业园区、融通生猪养殖项目被列为省级农业产业化重点项目。三是加快集群化生产基地建设。依托丰南经济开发区农产品加工园区打造农产品加工产业集群，产值达到32亿元。建设东部设施蔬菜、西部休闲采摘、南部水产养殖、北部辣椒种植、中部丰越泥鳅等五大市级以上农业园区。与唐山文旅合作，谋划实施投资11.2亿元的惠丰农业园区智慧农旅融合项目。以黑沿子渔业园区为重点，谋划申报国家级现代农业产业园。四是实施农产品加工业提升行动。依托施尔得、利民荣丰、鼎新蔬菜、三商食品4家省级农业产业化龙头企业，大力发展中央厨房预制菜产业。实施强龙行动，施尔得被省推荐为国家级农业龙头企业，全区市级以上农业龙头企业达到30家（省级9家）、农业联合体12家。全年农产品加工业产值与农业总产值比值达到1.7：1。五是加快推进农业绿色发展。新增绿色食品认证7个，累计达到38个，居全市首位。丰源香粮油公司被评为省级绿色优质农产品全产业链标准化生产基地，“三定两创一公开”农产品质量安全网格化监管经验做法在全省推广。丰源香、壹谷粒、雪丰等3家绿色生产主体获唐山市“食品安全示范单位”。全区主要粮食作物测土配方施肥技术覆盖率达到95%以上；绿色防控率达到56%以上，统防统治率达到52%以上；畜禽粪污综合利用率达到95.8%，秸秆综合利用率达到99.04%，农膜回收率达到95.25%。</w:t>
      </w:r>
    </w:p>
    <w:p>
      <w:pPr>
        <w:tabs>
          <w:tab w:val="left" w:pos="0"/>
        </w:tabs>
        <w:spacing w:after="0" w:line="520" w:lineRule="exact"/>
        <w:ind w:firstLine="644"/>
        <w:rPr>
          <w:rFonts w:ascii="仿宋" w:eastAsia="仿宋" w:hint="eastAsia"/>
          <w:sz w:val="32"/>
          <w:szCs w:val="32"/>
          <w:highlight w:val="yellow"/>
        </w:rPr>
      </w:pPr>
      <w:r>
        <w:rPr>
          <w:rFonts w:ascii="仿宋" w:eastAsia="仿宋" w:hint="eastAsia"/>
          <w:sz w:val="32"/>
          <w:szCs w:val="32"/>
        </w:rPr>
        <w:t>分析对2</w:t>
      </w:r>
      <w:r>
        <w:rPr>
          <w:rFonts w:ascii="仿宋" w:eastAsia="仿宋"/>
          <w:sz w:val="32"/>
          <w:szCs w:val="32"/>
        </w:rPr>
        <w:t>5</w:t>
      </w:r>
      <w:r>
        <w:rPr>
          <w:rFonts w:ascii="仿宋" w:eastAsia="仿宋" w:hint="eastAsia"/>
          <w:sz w:val="32"/>
          <w:szCs w:val="32"/>
          <w:lang w:val="en-US" w:eastAsia="zh-CN"/>
        </w:rPr>
        <w:t>1</w:t>
      </w:r>
      <w:r>
        <w:rPr>
          <w:rFonts w:ascii="仿宋" w:eastAsia="仿宋" w:hint="eastAsia"/>
          <w:sz w:val="32"/>
          <w:szCs w:val="32"/>
        </w:rPr>
        <w:t>个财政支出项目绩效评价看，</w:t>
      </w:r>
      <w:r>
        <w:rPr>
          <w:rFonts w:ascii="仿宋" w:eastAsia="仿宋"/>
          <w:sz w:val="32"/>
          <w:szCs w:val="32"/>
        </w:rPr>
        <w:t>有</w:t>
      </w:r>
      <w:r>
        <w:rPr>
          <w:rFonts w:ascii="仿宋" w:eastAsia="仿宋" w:hint="eastAsia"/>
          <w:sz w:val="32"/>
          <w:szCs w:val="32"/>
          <w:lang w:val="en-US" w:eastAsia="zh-CN"/>
        </w:rPr>
        <w:t>13</w:t>
      </w:r>
      <w:r>
        <w:rPr>
          <w:rFonts w:ascii="仿宋" w:eastAsia="仿宋" w:hint="eastAsia"/>
          <w:sz w:val="32"/>
          <w:szCs w:val="32"/>
        </w:rPr>
        <w:t>个项目</w:t>
      </w:r>
      <w:r>
        <w:rPr>
          <w:rFonts w:ascii="仿宋" w:eastAsia="仿宋"/>
          <w:sz w:val="32"/>
          <w:szCs w:val="32"/>
        </w:rPr>
        <w:t>合计3444.15万元</w:t>
      </w:r>
      <w:r>
        <w:rPr>
          <w:rFonts w:ascii="仿宋" w:eastAsia="仿宋" w:hint="eastAsia"/>
          <w:sz w:val="32"/>
          <w:szCs w:val="32"/>
        </w:rPr>
        <w:t>评定等次为差。</w:t>
      </w:r>
      <w:r>
        <w:rPr>
          <w:rFonts w:ascii="仿宋" w:eastAsia="仿宋"/>
          <w:sz w:val="32"/>
          <w:szCs w:val="32"/>
        </w:rPr>
        <w:t>包括：</w:t>
      </w:r>
      <w:r>
        <w:rPr>
          <w:rFonts w:ascii="仿宋" w:eastAsia="仿宋" w:hint="eastAsia"/>
          <w:sz w:val="32"/>
          <w:szCs w:val="32"/>
          <w:lang w:eastAsia="zh-CN"/>
        </w:rPr>
        <w:t>㈠、</w:t>
      </w:r>
      <w:r>
        <w:rPr>
          <w:rFonts w:ascii="仿宋" w:eastAsia="仿宋" w:hint="eastAsia"/>
          <w:sz w:val="32"/>
          <w:szCs w:val="32"/>
        </w:rPr>
        <w:t>以前年度专款-下达2022年市本级农业生产发展资金（奶业振兴扶持）（唐财农[2022]96号）</w:t>
      </w:r>
      <w:r>
        <w:rPr>
          <w:rFonts w:ascii="仿宋" w:eastAsia="仿宋" w:hint="eastAsia"/>
          <w:sz w:val="32"/>
          <w:szCs w:val="32"/>
          <w:lang w:eastAsia="zh-CN"/>
        </w:rPr>
        <w:t>、下达2023年市级农业生产发展资金（奶业振兴）（唐财农[2023]47号）</w:t>
      </w:r>
      <w:r>
        <w:rPr>
          <w:rFonts w:ascii="仿宋" w:eastAsia="仿宋" w:hint="eastAsia"/>
          <w:sz w:val="32"/>
          <w:szCs w:val="32"/>
          <w:lang w:val="en-US" w:eastAsia="zh-CN"/>
        </w:rPr>
        <w:t>共42万元</w:t>
      </w:r>
      <w:r>
        <w:rPr>
          <w:rFonts w:ascii="仿宋" w:eastAsia="仿宋" w:hint="eastAsia"/>
          <w:sz w:val="32"/>
          <w:szCs w:val="32"/>
          <w:lang w:eastAsia="zh-CN"/>
        </w:rPr>
        <w:t>，</w:t>
      </w:r>
      <w:r>
        <w:rPr>
          <w:rFonts w:ascii="仿宋" w:eastAsia="仿宋" w:hint="eastAsia"/>
          <w:sz w:val="32"/>
          <w:szCs w:val="32"/>
        </w:rPr>
        <w:t>计划</w:t>
      </w:r>
      <w:r>
        <w:rPr>
          <w:rFonts w:ascii="仿宋" w:eastAsia="仿宋" w:hint="eastAsia"/>
          <w:sz w:val="32"/>
          <w:szCs w:val="32"/>
          <w:lang w:val="en-US" w:eastAsia="zh-CN"/>
        </w:rPr>
        <w:t>这两笔</w:t>
      </w:r>
      <w:r>
        <w:rPr>
          <w:rFonts w:ascii="仿宋" w:eastAsia="仿宋" w:hint="eastAsia"/>
          <w:sz w:val="32"/>
          <w:szCs w:val="32"/>
        </w:rPr>
        <w:t>资金打包采购，目前项目正在实施当中。</w:t>
      </w:r>
      <w:r>
        <w:rPr>
          <w:rFonts w:ascii="仿宋" w:eastAsia="仿宋" w:hint="eastAsia"/>
          <w:sz w:val="32"/>
          <w:szCs w:val="32"/>
          <w:lang w:eastAsia="zh-CN"/>
        </w:rPr>
        <w:t>㈡、</w:t>
      </w:r>
      <w:r>
        <w:rPr>
          <w:rFonts w:ascii="仿宋" w:eastAsia="仿宋"/>
          <w:sz w:val="32"/>
          <w:szCs w:val="32"/>
        </w:rPr>
        <w:t>以前年度专款-下达2022年中央农业资源及生态保护补助资金、提前下达2023年省级农业生产发展资金（唐财农[2022]116号）、下达2023年中央农业生态资源保护资金（唐财农[2023]37号）共437.24万元，主要原因为1、我区覆膜作物主要为棉花、花生等作物，其中棉花占比90%以上，根据种植习惯，棉花种植农户于2022年3月底前已完成覆膜工作，导致2022年地膜科学使用回收项目无法正常实施。2、地膜科学使用回收项目为跨年度实施，2022年完成应用作物摸底调查、实施方案制定等工作，经与上级主管部门沟通，项目在2023年实施。3、目前中央资金下达我区397.32万元，用于推广0.015毫米加厚地膜12.748万亩，每亩补贴30元；推广生物降解地膜0.248万亩，每亩补贴60元，省级资金下达我区9.92万元，用于推广生物降解地膜，每亩补贴40元，加厚。我区加厚地膜任务量大，省市财政无资金支持，我局积极申请2023年区级配套资金，但未获批。3、目前已完成项目招投标、供货，地膜在2024年春季使用。㈢、</w:t>
      </w:r>
      <w:r>
        <w:rPr>
          <w:rFonts w:ascii="仿宋" w:eastAsia="仿宋" w:hint="eastAsia"/>
          <w:sz w:val="32"/>
          <w:szCs w:val="32"/>
        </w:rPr>
        <w:t>下达2023年中央农业防灾减灾和水利救灾资金（防灾救灾第十一批—小麦控旺镇压）（唐财农[2023]124号）</w:t>
      </w:r>
      <w:r>
        <w:rPr>
          <w:rFonts w:ascii="仿宋" w:eastAsia="仿宋"/>
          <w:sz w:val="32"/>
          <w:szCs w:val="32"/>
        </w:rPr>
        <w:t>计18万元，方案待市局批复。</w:t>
      </w:r>
      <w:r>
        <w:rPr>
          <w:rFonts w:ascii="仿宋" w:eastAsia="仿宋" w:hint="eastAsia"/>
          <w:sz w:val="32"/>
          <w:szCs w:val="32"/>
          <w:lang w:eastAsia="zh-CN"/>
        </w:rPr>
        <w:t>㈣、以前年度专款-提前下达2022年省级农业生产发展资金（唐财农[2021]123号）-地下水超采综合治理高效节水灌溉项目、以前年度专款-调整2022年地下水超采综合治理试点省级补助资金（高效节水灌溉）（唐财农[2022]73号）</w:t>
      </w:r>
      <w:r>
        <w:rPr>
          <w:rFonts w:ascii="仿宋" w:eastAsia="仿宋" w:hint="eastAsia"/>
          <w:sz w:val="32"/>
          <w:szCs w:val="32"/>
          <w:lang w:val="en-US" w:eastAsia="zh-CN"/>
        </w:rPr>
        <w:t>共164.91万元，属于供销社系统自主实施项目。㈤、关于下达2023年产粮大县奖励资金预算-产油大县-唐财建[2023]40号，537万元，已制定方案,2024年12底之前完成。㈥、下达2023年生态保护支撑体系等专项（草原防火方向等项目）中央基建投资（唐财建[2023]111号），1000万元，因资金下达较晚，正在组织实施。㈦</w:t>
      </w:r>
      <w:r>
        <w:rPr>
          <w:rFonts w:ascii="仿宋" w:eastAsia="仿宋"/>
          <w:sz w:val="32"/>
          <w:szCs w:val="32"/>
        </w:rPr>
        <w:t>、以前年度专款-下达2022年成品油价格调整对渔业补助资金（2021年度）（唐财农[2022]102号）-其他渔业安全生产方面的等项目计210万元，主要原</w:t>
      </w:r>
      <w:r>
        <w:rPr>
          <w:rFonts w:ascii="仿宋" w:eastAsia="仿宋" w:hint="eastAsia"/>
          <w:sz w:val="32"/>
          <w:szCs w:val="32"/>
        </w:rPr>
        <w:t>因</w:t>
      </w:r>
      <w:r>
        <w:rPr>
          <w:rFonts w:ascii="仿宋" w:eastAsia="仿宋"/>
          <w:sz w:val="32"/>
          <w:szCs w:val="32"/>
        </w:rPr>
        <w:t>为</w:t>
      </w:r>
      <w:r>
        <w:rPr>
          <w:rFonts w:ascii="仿宋" w:eastAsia="仿宋" w:hint="eastAsia"/>
          <w:sz w:val="32"/>
          <w:szCs w:val="32"/>
        </w:rPr>
        <w:t>开展海洋涉渔“三无”船舶专项整治行动，拟将该项目实施重点由船上设备配备，变为丰南区涧河渔港智慧渔港系统建设项目，现已完成方案设计。</w:t>
      </w:r>
      <w:r>
        <w:rPr>
          <w:rFonts w:ascii="仿宋" w:eastAsia="仿宋" w:hint="eastAsia"/>
          <w:sz w:val="32"/>
          <w:szCs w:val="32"/>
          <w:lang w:eastAsia="zh-CN"/>
        </w:rPr>
        <w:t>㈧</w:t>
      </w:r>
      <w:r>
        <w:rPr>
          <w:rFonts w:ascii="仿宋" w:eastAsia="仿宋"/>
          <w:sz w:val="32"/>
          <w:szCs w:val="32"/>
        </w:rPr>
        <w:t>、下达2023年成品油价格调整对渔业补助资金（2022年度）（唐财农[2023]80号）-丰南区黑沿子中心渔港综合服务保障能力提升项目计1000万元，主要原因为该项资金是2023年10月底拨付，我局项目正在谋划中，加快实施进度。</w:t>
      </w:r>
      <w:r>
        <w:rPr>
          <w:rFonts w:ascii="仿宋" w:eastAsia="仿宋" w:hint="eastAsia"/>
          <w:sz w:val="32"/>
          <w:szCs w:val="32"/>
          <w:lang w:eastAsia="zh-CN"/>
        </w:rPr>
        <w:t>㈨</w:t>
      </w:r>
      <w:r>
        <w:rPr>
          <w:rFonts w:ascii="仿宋" w:eastAsia="仿宋"/>
          <w:sz w:val="32"/>
          <w:szCs w:val="32"/>
        </w:rPr>
        <w:t>、以前年度专款-下达2022年市级农业综合发展资金（农业废弃物综合治理补助--农药包装废弃物回收试点补助）（唐财农[2022]19号）计35万</w:t>
      </w:r>
      <w:bookmarkStart w:id="0" w:name="_GoBack"/>
      <w:bookmarkEnd w:id="0"/>
      <w:r>
        <w:rPr>
          <w:rFonts w:ascii="仿宋" w:eastAsia="仿宋"/>
          <w:sz w:val="32"/>
          <w:szCs w:val="32"/>
        </w:rPr>
        <w:t>元，主要原因为由于季节原因工作不能正常开展，2024年继续实施。</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三、绩效目标设定质量情况</w:t>
      </w:r>
    </w:p>
    <w:p>
      <w:pPr>
        <w:spacing w:after="0" w:line="520" w:lineRule="exact"/>
        <w:ind w:firstLineChars="200" w:firstLine="648"/>
        <w:rPr>
          <w:rFonts w:ascii="仿宋" w:eastAsia="仿宋" w:hint="eastAsia"/>
          <w:sz w:val="32"/>
          <w:szCs w:val="32"/>
        </w:rPr>
      </w:pPr>
      <w:r>
        <w:rPr>
          <w:rFonts w:ascii="仿宋" w:eastAsia="仿宋" w:hint="eastAsia"/>
          <w:sz w:val="32"/>
          <w:szCs w:val="32"/>
        </w:rPr>
        <w:t>由于在年初预算编制进行项目绩效目标设定时上级资金刚刚下达，上级对资金使用和项目任务清单尚不能下达，因此造成年初预算中的绩效目标不够准确，同时区级项目资金由于项目资金压减，项目建设内容不能够全部完成，造成实际完成的任务目标和年初设定的绩效目标存在差距。另外，部分上级项目由于资金下达晚，项目当年不能完成，造成项目绩效目标不能如期完成。</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四、整改措施及结果应用</w:t>
      </w:r>
    </w:p>
    <w:p>
      <w:pPr>
        <w:numPr>
          <w:ilvl w:val="0"/>
          <w:numId w:val="2"/>
        </w:numPr>
        <w:spacing w:after="0" w:line="520" w:lineRule="exact"/>
        <w:ind w:left="0" w:firstLineChars="200" w:firstLine="648"/>
        <w:rPr>
          <w:rFonts w:ascii="仿宋" w:eastAsia="仿宋" w:hint="eastAsia"/>
          <w:sz w:val="32"/>
          <w:szCs w:val="32"/>
        </w:rPr>
      </w:pPr>
      <w:r>
        <w:rPr>
          <w:rFonts w:ascii="仿宋" w:eastAsia="仿宋" w:hint="eastAsia"/>
          <w:sz w:val="32"/>
          <w:szCs w:val="32"/>
        </w:rPr>
        <w:t>问题分析：回顾202</w:t>
      </w:r>
      <w:r>
        <w:rPr>
          <w:rFonts w:ascii="仿宋" w:eastAsia="仿宋"/>
          <w:sz w:val="32"/>
          <w:szCs w:val="32"/>
        </w:rPr>
        <w:t>3</w:t>
      </w:r>
      <w:r>
        <w:rPr>
          <w:rFonts w:ascii="仿宋" w:eastAsia="仿宋" w:hint="eastAsia"/>
          <w:sz w:val="32"/>
          <w:szCs w:val="32"/>
        </w:rPr>
        <w:t>年度我局项目完成和资金支出情况，存在的主要问题是由于我局一些项目的实施影响因素较多，造成项目资金支出跨年度，影响项目实施效果。造成项目资金支出较慢的原因主要是项目建设完成后需要通过各级验收等环节，同时有些项目是跨年度项目当年不能全部支出，另外有些项目资金是预下达额度，具体项目建设内容尚未明确，项目不能实施。</w:t>
      </w:r>
    </w:p>
    <w:p>
      <w:pPr>
        <w:numPr>
          <w:ilvl w:val="0"/>
          <w:numId w:val="2"/>
        </w:numPr>
        <w:spacing w:after="0" w:line="520" w:lineRule="exact"/>
        <w:ind w:left="0" w:firstLineChars="200" w:firstLine="648"/>
        <w:rPr>
          <w:rFonts w:ascii="仿宋" w:eastAsia="仿宋" w:hint="eastAsia"/>
          <w:sz w:val="32"/>
          <w:szCs w:val="32"/>
        </w:rPr>
      </w:pPr>
      <w:r>
        <w:rPr>
          <w:rFonts w:ascii="仿宋" w:eastAsia="仿宋" w:hint="eastAsia"/>
          <w:sz w:val="32"/>
          <w:szCs w:val="32"/>
        </w:rPr>
        <w:t>主要建议：上级项目应在上一预算年度提前下达，便于预算编制和统筹财政资金，同时给项目执行提供足够时间。</w:t>
      </w:r>
    </w:p>
    <w:p>
      <w:pPr>
        <w:numPr>
          <w:ilvl w:val="0"/>
          <w:numId w:val="2"/>
        </w:numPr>
        <w:spacing w:line="520" w:lineRule="exact"/>
        <w:ind w:left="0" w:firstLineChars="200" w:firstLine="648"/>
        <w:rPr>
          <w:rFonts w:ascii="仿宋" w:eastAsia="仿宋" w:hint="eastAsia"/>
          <w:sz w:val="32"/>
          <w:szCs w:val="32"/>
        </w:rPr>
      </w:pPr>
      <w:r>
        <w:rPr>
          <w:rFonts w:ascii="仿宋" w:eastAsia="仿宋" w:hint="eastAsia"/>
          <w:sz w:val="32"/>
          <w:szCs w:val="32"/>
        </w:rPr>
        <w:t>结果应用:针对我局存在的项目实施中存在年初绩效指标设置同项目执行过程中存在不同步的问题，深究其原因主要是项目实施过程中变更较多，从而造成绩效目标设置质量不理想。因此，我局要求上级重点项目实施方案或项目实施计划要一经确定就不能随意变动，需要变动调整的要经过党组会议或局长办公会议通过，并制定补充方案或实施计划。同时，结合上年度项目资金支出情况，结合下年度本项目实施内容调整项目支出构成，避免在项目实施过程中进行调整。</w:t>
      </w:r>
    </w:p>
    <w:p>
      <w:pPr>
        <w:spacing w:line="520" w:lineRule="exact"/>
        <w:ind w:firstLineChars="200" w:firstLine="608"/>
        <w:rPr>
          <w:rFonts w:eastAsia="方正仿宋简体"/>
          <w:sz w:val="30"/>
          <w:szCs w:val="30"/>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Arial Unicode MS"/>
    <w:panose1 w:val="02010601030101010101"/>
    <w:charset w:val="86"/>
    <w:family w:val="auto"/>
    <w:pitch w:val="variable"/>
    <w:sig w:usb0="00000000" w:usb1="00000000" w:usb2="00000000" w:usb3="00000000" w:csb0="00040000" w:csb1="00000000"/>
  </w:font>
  <w:font w:name="方正小标宋简体">
    <w:altName w:val="Arial Unicode MS"/>
    <w:panose1 w:val="03000509000000000000"/>
    <w:charset w:val="86"/>
    <w:family w:val="script"/>
    <w:pitch w:val="variable"/>
    <w:sig w:usb0="00000000" w:usb1="00000000" w:usb2="00000000" w:usb3="00000000" w:csb0="00040000" w:csb1="00000000"/>
  </w:font>
  <w:font w:name="方正楷体简体">
    <w:altName w:val="Arial Unicode MS"/>
    <w:panose1 w:val="03000509000000000000"/>
    <w:charset w:val="86"/>
    <w:family w:val="script"/>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方正黑体简体">
    <w:altName w:val="Arial Unicode MS"/>
    <w:panose1 w:val="03000509000000000000"/>
    <w:charset w:val="86"/>
    <w:family w:val="script"/>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A"/>
    <w:multiLevelType w:val="singleLevel"/>
    <w:tmpl w:val="0000000A"/>
    <w:lvl w:ilvl="0">
      <w:start w:val="1"/>
      <w:numFmt w:val="decimal"/>
      <w:lvlRestart w:val="0"/>
      <w:suff w:val="nothing"/>
      <w:lvlText w:val="%1、"/>
      <w:lvlJc w:val="left"/>
      <w:pPr>
        <w:tabs>
          <w:tab w:val="num" w:pos="0"/>
        </w:tabs>
        <w:ind w:left="0" w:hanging="0"/>
      </w:pPr>
    </w:lvl>
  </w:abstractNum>
  <w:abstractNum w:abstractNumId="1">
    <w:nsid w:val="00000007"/>
    <w:multiLevelType w:val="singleLevel"/>
    <w:tmpl w:val="00000007"/>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NTZjYmEwMGY5NzcyZDhmYTAwYzRlNGYzNzQxNjI2NDAifQ=="/>
    <w:docVar w:name="KSO_WPS_MARK_KEY" w:val="dd7dee78-3ec5-4af6-b685-69a5be1338bb"/>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E70332B-2965-4F58-BF47-8D314795274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TotalTime>
  <Application>Yozo_Office27021597764231179</Application>
  <Pages>7</Pages>
  <Words>0</Words>
  <Characters>2972</Characters>
  <Lines>0</Lines>
  <Paragraphs>43</Paragraphs>
  <CharactersWithSpaces>3963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农村</cp:lastModifiedBy>
  <cp:revision>1</cp:revision>
  <cp:lastPrinted>2024-07-05T10:15:00Z</cp:lastPrinted>
  <dcterms:created xsi:type="dcterms:W3CDTF">2023-03-06T07:19:00Z</dcterms:created>
  <dcterms:modified xsi:type="dcterms:W3CDTF">2024-07-12T03:33:56Z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C5C9273F8EBE4A50B2FEB91E313C6871_12</vt:lpwstr>
  </property>
</Properties>
</file>