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327001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：唐山市丰南区公安局(本级)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r>
        <w:rPr>
          <w:rFonts w:hint="eastAsia" w:ascii="黑体" w:hAnsi="黑体" w:eastAsia="黑体" w:cs="黑体"/>
          <w:b/>
          <w:bCs/>
          <w:sz w:val="32"/>
          <w:szCs w:val="36"/>
          <w:highlight w:val="yellow"/>
        </w:rPr>
        <w:t>注：</w:t>
      </w:r>
      <w:r>
        <w:rPr>
          <w:rFonts w:hint="eastAsia" w:ascii="楷体_GB2312" w:hAnsi="楷体_GB2312" w:eastAsia="楷体_GB2312" w:cs="楷体_GB2312"/>
          <w:color w:val="000000" w:themeColor="text1"/>
          <w:kern w:val="0"/>
          <w:sz w:val="32"/>
          <w:szCs w:val="32"/>
          <w:highlight w:val="yellow"/>
          <w14:textFill>
            <w14:solidFill>
              <w14:schemeClr w14:val="tx1"/>
            </w14:solidFill>
          </w14:textFill>
        </w:rPr>
        <w:t>此页仅加盖公章使用，不在公开的文本中显示</w:t>
      </w: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唐山市丰南区公安局</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widowControl/>
        <w:spacing w:line="600" w:lineRule="exact"/>
        <w:jc w:val="center"/>
        <w:rPr>
          <w:rFonts w:ascii="黑体" w:hAnsi="黑体" w:eastAsia="黑体" w:cs="黑体"/>
          <w:bCs/>
          <w:sz w:val="32"/>
          <w:szCs w:val="32"/>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ind w:firstLine="640" w:firstLineChars="200"/>
        <w:rPr>
          <w:rFonts w:ascii="仿宋" w:hAnsi="仿宋" w:eastAsia="仿宋"/>
          <w:sz w:val="32"/>
          <w:szCs w:val="32"/>
        </w:rPr>
      </w:pPr>
      <w:r>
        <w:rPr>
          <w:rFonts w:hint="eastAsia" w:ascii="仿宋" w:hAnsi="仿宋" w:eastAsia="仿宋"/>
          <w:sz w:val="32"/>
          <w:szCs w:val="32"/>
        </w:rPr>
        <w:t>（一）交通管理</w:t>
      </w:r>
    </w:p>
    <w:p>
      <w:pPr>
        <w:ind w:firstLine="640" w:firstLineChars="200"/>
        <w:rPr>
          <w:rFonts w:hint="eastAsia" w:ascii="仿宋" w:hAnsi="仿宋" w:eastAsia="仿宋"/>
          <w:sz w:val="32"/>
          <w:szCs w:val="32"/>
        </w:rPr>
      </w:pPr>
      <w:r>
        <w:rPr>
          <w:rFonts w:hint="eastAsia" w:ascii="仿宋" w:hAnsi="仿宋" w:eastAsia="仿宋"/>
          <w:sz w:val="32"/>
          <w:szCs w:val="32"/>
        </w:rPr>
        <w:t xml:space="preserve"> 疏导交通,查处违章，保证道路畅通，降低城区整体的车辆发案率，改善丰南区的道路交通状况。</w:t>
      </w:r>
    </w:p>
    <w:p>
      <w:pPr>
        <w:ind w:firstLine="640" w:firstLineChars="200"/>
        <w:rPr>
          <w:rFonts w:hint="eastAsia" w:ascii="仿宋" w:hAnsi="仿宋" w:eastAsia="仿宋"/>
          <w:sz w:val="32"/>
          <w:szCs w:val="32"/>
        </w:rPr>
      </w:pPr>
      <w:r>
        <w:rPr>
          <w:rFonts w:hint="eastAsia" w:ascii="仿宋" w:hAnsi="仿宋" w:eastAsia="仿宋"/>
          <w:sz w:val="32"/>
          <w:szCs w:val="32"/>
        </w:rPr>
        <w:t>（二）维护国家安全</w:t>
      </w:r>
    </w:p>
    <w:p>
      <w:pPr>
        <w:ind w:firstLine="640" w:firstLineChars="200"/>
        <w:rPr>
          <w:rFonts w:hint="eastAsia" w:ascii="仿宋" w:hAnsi="仿宋" w:eastAsia="仿宋"/>
          <w:sz w:val="32"/>
          <w:szCs w:val="32"/>
        </w:rPr>
      </w:pPr>
      <w:r>
        <w:rPr>
          <w:rFonts w:hint="eastAsia" w:ascii="仿宋" w:hAnsi="仿宋" w:eastAsia="仿宋"/>
          <w:sz w:val="32"/>
          <w:szCs w:val="32"/>
        </w:rPr>
        <w:t xml:space="preserve"> 国内安全保卫：针对境内极端宗教等敌对势力、敌对组织和敌对分子，在民族宗教、社科高校、新闻出版、涉外及其他特殊领域，运用专门力量和手段，开展情报信息、专案侦察和防范保卫工作。及时发现情报、线索，有效防范影响政治安全的重大敏感事件，阻止境内外敌对势力在网上进行集中的反动宣传、建立政治舞台和活动阵地。</w:t>
      </w:r>
    </w:p>
    <w:p>
      <w:pPr>
        <w:ind w:firstLine="640" w:firstLineChars="200"/>
        <w:rPr>
          <w:rFonts w:hint="eastAsia" w:ascii="仿宋" w:hAnsi="仿宋" w:eastAsia="仿宋"/>
          <w:sz w:val="32"/>
          <w:szCs w:val="32"/>
        </w:rPr>
      </w:pPr>
      <w:r>
        <w:rPr>
          <w:rFonts w:hint="eastAsia" w:ascii="仿宋" w:hAnsi="仿宋" w:eastAsia="仿宋"/>
          <w:sz w:val="32"/>
          <w:szCs w:val="32"/>
        </w:rPr>
        <w:t xml:space="preserve"> 反恐冲突：搜集、分析、研判涉恐情报信息，掌握恐怖活动特点和动向；做好涉恐重点人管控和涉恐情报线索核查；指导、协调有关单位开展反恐怖防范工作；开展区级应急处突拉动演练；不断完善各类反恐应急预案；组织、指导、协调、参与个人极端事件、群体性事件等紧急突发事件的处置和大型活动安保工作。提高反恐处突能力，最大限度地减少人员伤亡和社会危害，维护我区的政治安定和社会稳定，保护国家和群众的生命财产安全；突发事件得到及时处置，大型活动成功举办。</w:t>
      </w:r>
    </w:p>
    <w:p>
      <w:pPr>
        <w:ind w:firstLine="640" w:firstLineChars="200"/>
        <w:rPr>
          <w:rFonts w:hint="eastAsia" w:ascii="仿宋" w:hAnsi="仿宋" w:eastAsia="仿宋"/>
          <w:sz w:val="32"/>
          <w:szCs w:val="32"/>
        </w:rPr>
      </w:pPr>
      <w:r>
        <w:rPr>
          <w:rFonts w:hint="eastAsia" w:ascii="仿宋" w:hAnsi="仿宋" w:eastAsia="仿宋"/>
          <w:sz w:val="32"/>
          <w:szCs w:val="32"/>
        </w:rPr>
        <w:t>网络安全：组织、开展网络安全保卫工作，监督、检察、指导信息安全登记保护工作；开展互联网信息巡查处置、舆情引导反制工作。上网场所安全技术措施和上网实名制有效落实，属地网站违法有害信息能够及时发现和处置；预警涉稳涉恐情报信息，破获网上维稳专案，落实全区重要信息系统和政府网站等级保护工作，网络与信息安全事件得到有效控制。</w:t>
      </w:r>
    </w:p>
    <w:p>
      <w:pPr>
        <w:ind w:firstLine="640" w:firstLineChars="200"/>
        <w:rPr>
          <w:rFonts w:hint="eastAsia" w:ascii="仿宋" w:hAnsi="仿宋" w:eastAsia="仿宋"/>
          <w:sz w:val="32"/>
          <w:szCs w:val="32"/>
        </w:rPr>
      </w:pPr>
      <w:r>
        <w:rPr>
          <w:rFonts w:hint="eastAsia" w:ascii="仿宋" w:hAnsi="仿宋" w:eastAsia="仿宋"/>
          <w:sz w:val="32"/>
          <w:szCs w:val="32"/>
        </w:rPr>
        <w:t>（三）打击防范违法犯罪</w:t>
      </w:r>
    </w:p>
    <w:p>
      <w:pPr>
        <w:ind w:firstLine="640" w:firstLineChars="200"/>
        <w:rPr>
          <w:rFonts w:hint="eastAsia" w:ascii="仿宋" w:hAnsi="仿宋" w:eastAsia="仿宋"/>
          <w:sz w:val="32"/>
          <w:szCs w:val="32"/>
        </w:rPr>
      </w:pPr>
      <w:r>
        <w:rPr>
          <w:rFonts w:hint="eastAsia" w:ascii="仿宋" w:hAnsi="仿宋" w:eastAsia="仿宋"/>
          <w:sz w:val="32"/>
          <w:szCs w:val="32"/>
        </w:rPr>
        <w:t xml:space="preserve"> 刑事侦察：区级重大经济犯罪案、毒品违法犯罪案、网络违法犯罪案、食品药品安全犯罪案、环境安全犯罪案的侦查工作，直接立案侦办重特大案件。严厉打重大经济犯罪案、毒品违法犯罪案、网络违法犯罪案、食品药品安全犯罪案、环境安全犯罪等，维护社会经济秩序，保护人民生命安全，维护社会长治久安。</w:t>
      </w:r>
    </w:p>
    <w:p>
      <w:pPr>
        <w:ind w:firstLine="640" w:firstLineChars="200"/>
        <w:rPr>
          <w:rFonts w:hint="eastAsia" w:ascii="仿宋" w:hAnsi="仿宋" w:eastAsia="仿宋"/>
          <w:sz w:val="32"/>
          <w:szCs w:val="32"/>
        </w:rPr>
      </w:pPr>
      <w:r>
        <w:rPr>
          <w:rFonts w:hint="eastAsia" w:ascii="仿宋" w:hAnsi="仿宋" w:eastAsia="仿宋"/>
          <w:sz w:val="32"/>
          <w:szCs w:val="32"/>
        </w:rPr>
        <w:t>（四）社会面管控</w:t>
      </w:r>
    </w:p>
    <w:p>
      <w:pPr>
        <w:ind w:firstLine="640" w:firstLineChars="200"/>
        <w:rPr>
          <w:rFonts w:hint="eastAsia" w:ascii="仿宋" w:hAnsi="仿宋" w:eastAsia="仿宋"/>
          <w:sz w:val="32"/>
          <w:szCs w:val="32"/>
        </w:rPr>
      </w:pPr>
      <w:r>
        <w:rPr>
          <w:rFonts w:hint="eastAsia" w:ascii="仿宋" w:hAnsi="仿宋" w:eastAsia="仿宋"/>
          <w:sz w:val="32"/>
          <w:szCs w:val="32"/>
        </w:rPr>
        <w:t xml:space="preserve"> 巡逻防控：组织开展巡逻防控工作，有效遏制街面可防性案件发案，提升人民群众安全感和满意率。</w:t>
      </w:r>
    </w:p>
    <w:p>
      <w:pPr>
        <w:ind w:firstLine="640" w:firstLineChars="200"/>
        <w:rPr>
          <w:rFonts w:hint="eastAsia" w:ascii="仿宋" w:hAnsi="仿宋" w:eastAsia="仿宋"/>
          <w:sz w:val="32"/>
          <w:szCs w:val="32"/>
        </w:rPr>
      </w:pPr>
      <w:r>
        <w:rPr>
          <w:rFonts w:hint="eastAsia" w:ascii="仿宋" w:hAnsi="仿宋" w:eastAsia="仿宋"/>
          <w:sz w:val="32"/>
          <w:szCs w:val="32"/>
        </w:rPr>
        <w:t xml:space="preserve"> 人口及户籍管理：对常住、暂住、重点人口和出租房屋进行治安管理；区级居民提供身份证、户口薄、准迁证、迁移证等特种证件管理工作。通过信息采集、登记等手段，加强对常住、暂住、重点人口和出租房屋的管理，掌握底数和变化情况；有效保障全区居民对居民身份证等证件业务办理和持有需求。</w:t>
      </w:r>
    </w:p>
    <w:p>
      <w:pPr>
        <w:ind w:firstLine="640" w:firstLineChars="200"/>
        <w:rPr>
          <w:rFonts w:hint="eastAsia" w:ascii="仿宋" w:hAnsi="仿宋" w:eastAsia="仿宋"/>
          <w:sz w:val="32"/>
          <w:szCs w:val="32"/>
        </w:rPr>
      </w:pPr>
      <w:r>
        <w:rPr>
          <w:rFonts w:hint="eastAsia" w:ascii="仿宋" w:hAnsi="仿宋" w:eastAsia="仿宋"/>
          <w:sz w:val="32"/>
          <w:szCs w:val="32"/>
        </w:rPr>
        <w:t xml:space="preserve"> 治安管理：派出所规范化建设、负责护城河工作建设，对区级内部单位、行业场所、金融、保安、枪械、危爆物品等进行管理，区级治安案件查处，掌握区级治安形势。提高护城河科技化、信息化水平、整体查控能力；减少涉及枪械及危险、爆炸物品的案事件发生；确保全区输油气管道和电力设施平稳运行；规范全区保安服务市场；掌握全区治安形势，指导治安防范和管理，实现创建目标。</w:t>
      </w:r>
    </w:p>
    <w:p>
      <w:pPr>
        <w:ind w:firstLine="640" w:firstLineChars="200"/>
        <w:rPr>
          <w:rFonts w:hint="eastAsia" w:ascii="仿宋" w:hAnsi="仿宋" w:eastAsia="仿宋"/>
          <w:sz w:val="32"/>
          <w:szCs w:val="32"/>
        </w:rPr>
      </w:pPr>
      <w:r>
        <w:rPr>
          <w:rFonts w:hint="eastAsia" w:ascii="仿宋" w:hAnsi="仿宋" w:eastAsia="仿宋"/>
          <w:sz w:val="32"/>
          <w:szCs w:val="32"/>
        </w:rPr>
        <w:t>出入境及外国人管理：公安机关出入境管理工作，管理全区公民非公务活动出境和来区级境外人员，依法组织侦办和查处涉外案（事）件；组织指导区级边防治安管理、渔船民管理以及打击海上走私、贩毒、偷渡工作；管理区级出入境证件的管理工作。强化境外人员管理，有效打击骗取出入境证件、偷越国边境、妨害国边境管理案件；强化出入境证件申办管理工作，提高群众满意度。</w:t>
      </w:r>
    </w:p>
    <w:p>
      <w:pPr>
        <w:ind w:firstLine="640" w:firstLineChars="200"/>
        <w:rPr>
          <w:rFonts w:hint="eastAsia" w:ascii="仿宋" w:hAnsi="仿宋" w:eastAsia="仿宋"/>
          <w:sz w:val="32"/>
          <w:szCs w:val="32"/>
        </w:rPr>
      </w:pPr>
      <w:r>
        <w:rPr>
          <w:rFonts w:hint="eastAsia" w:ascii="仿宋" w:hAnsi="仿宋" w:eastAsia="仿宋"/>
          <w:sz w:val="32"/>
          <w:szCs w:val="32"/>
        </w:rPr>
        <w:t>（五）羁押监管</w:t>
      </w:r>
    </w:p>
    <w:p>
      <w:pPr>
        <w:ind w:firstLine="640" w:firstLineChars="200"/>
        <w:rPr>
          <w:rFonts w:hint="eastAsia" w:ascii="仿宋" w:hAnsi="仿宋" w:eastAsia="仿宋"/>
          <w:sz w:val="32"/>
          <w:szCs w:val="32"/>
        </w:rPr>
      </w:pPr>
      <w:r>
        <w:rPr>
          <w:rFonts w:hint="eastAsia" w:ascii="仿宋" w:hAnsi="仿宋" w:eastAsia="仿宋"/>
          <w:sz w:val="32"/>
          <w:szCs w:val="32"/>
        </w:rPr>
        <w:t xml:space="preserve"> 公安监管场所业务工作及在押人员的监管教育、安全防范工作，查处安全事故；指导监所硬件设施建设；指导区级公安监管部门做好教育感化深挖犯罪工作。提升全区公安监所管理和安全防范水平。</w:t>
      </w:r>
    </w:p>
    <w:p>
      <w:pPr>
        <w:ind w:firstLine="640" w:firstLineChars="200"/>
        <w:rPr>
          <w:rFonts w:hint="eastAsia" w:ascii="仿宋" w:hAnsi="仿宋" w:eastAsia="仿宋"/>
          <w:sz w:val="32"/>
          <w:szCs w:val="32"/>
        </w:rPr>
      </w:pPr>
      <w:r>
        <w:rPr>
          <w:rFonts w:hint="eastAsia" w:ascii="仿宋" w:hAnsi="仿宋" w:eastAsia="仿宋"/>
          <w:sz w:val="32"/>
          <w:szCs w:val="32"/>
        </w:rPr>
        <w:t>（六）公安科学技术建设</w:t>
      </w:r>
    </w:p>
    <w:p>
      <w:pPr>
        <w:ind w:firstLine="640" w:firstLineChars="200"/>
        <w:rPr>
          <w:rFonts w:hint="eastAsia" w:ascii="仿宋" w:hAnsi="仿宋" w:eastAsia="仿宋"/>
          <w:sz w:val="32"/>
          <w:szCs w:val="32"/>
        </w:rPr>
      </w:pPr>
      <w:r>
        <w:rPr>
          <w:rFonts w:hint="eastAsia" w:ascii="仿宋" w:hAnsi="仿宋" w:eastAsia="仿宋"/>
          <w:sz w:val="32"/>
          <w:szCs w:val="32"/>
        </w:rPr>
        <w:t xml:space="preserve"> 刑事科学技术：参与、直接办理重特大刑事案件、治安案件、事故和灾害等现场勘查及尸体检验工作；区级疑难案件痕迹、生物、理化、毒化、文件、影像、电子等各类物证的检验鉴定、复核及心理测试技术工作；承担有较大影响案件的气味追踪、犯罪物证气味鉴别，以及重大活动安保、安检等任务。提高鉴定准确率，有效辅助案件侦破工作。</w:t>
      </w:r>
    </w:p>
    <w:p>
      <w:pPr>
        <w:ind w:firstLine="640" w:firstLineChars="200"/>
        <w:rPr>
          <w:rFonts w:hint="eastAsia" w:ascii="仿宋" w:hAnsi="仿宋" w:eastAsia="仿宋"/>
          <w:sz w:val="32"/>
          <w:szCs w:val="32"/>
        </w:rPr>
      </w:pPr>
      <w:r>
        <w:rPr>
          <w:rFonts w:hint="eastAsia" w:ascii="仿宋" w:hAnsi="仿宋" w:eastAsia="仿宋"/>
          <w:sz w:val="32"/>
          <w:szCs w:val="32"/>
        </w:rPr>
        <w:t>情报信息工作：负责搜集、汇总、分析、研判技侦手段获取的情报信息；使用技侦装备侦查办理案件、查证犯罪线索，加强重点人管控；对技侦侦控系统进行建设、升级和维护，购置技侦手段专用设备。提高情报信息搜集、研判、分析能力、对重点人管控能力，保障技侦系统正常运转，有效辅助案件侦破工作。</w:t>
      </w:r>
    </w:p>
    <w:p>
      <w:pPr>
        <w:ind w:firstLine="640" w:firstLineChars="200"/>
        <w:rPr>
          <w:rFonts w:hint="eastAsia" w:ascii="仿宋" w:hAnsi="仿宋" w:eastAsia="仿宋"/>
          <w:sz w:val="32"/>
          <w:szCs w:val="32"/>
        </w:rPr>
      </w:pPr>
      <w:r>
        <w:rPr>
          <w:rFonts w:hint="eastAsia" w:ascii="仿宋" w:hAnsi="仿宋" w:eastAsia="仿宋"/>
          <w:sz w:val="32"/>
          <w:szCs w:val="32"/>
        </w:rPr>
        <w:t>公安信息化建设：组织实施公安信息化建设，对信息化系统进行维护工作。全面提升我区公安机关信息化建设水平。</w:t>
      </w:r>
    </w:p>
    <w:p>
      <w:pPr>
        <w:ind w:firstLine="640" w:firstLineChars="200"/>
        <w:rPr>
          <w:rFonts w:hint="eastAsia" w:ascii="仿宋" w:hAnsi="仿宋" w:eastAsia="仿宋"/>
          <w:sz w:val="32"/>
          <w:szCs w:val="32"/>
        </w:rPr>
      </w:pPr>
      <w:r>
        <w:rPr>
          <w:rFonts w:hint="eastAsia" w:ascii="仿宋" w:hAnsi="仿宋" w:eastAsia="仿宋"/>
          <w:sz w:val="32"/>
          <w:szCs w:val="32"/>
        </w:rPr>
        <w:t>（七）公安政务管理</w:t>
      </w:r>
    </w:p>
    <w:p>
      <w:pPr>
        <w:ind w:firstLine="640" w:firstLineChars="200"/>
        <w:rPr>
          <w:rFonts w:hint="eastAsia" w:ascii="仿宋" w:hAnsi="仿宋" w:eastAsia="仿宋"/>
          <w:sz w:val="32"/>
          <w:szCs w:val="32"/>
        </w:rPr>
      </w:pPr>
      <w:r>
        <w:rPr>
          <w:rFonts w:hint="eastAsia" w:ascii="仿宋" w:hAnsi="仿宋" w:eastAsia="仿宋"/>
          <w:sz w:val="32"/>
          <w:szCs w:val="32"/>
        </w:rPr>
        <w:t xml:space="preserve"> 综合业务管理：指导、办理劳动教养、收容教养案件审批及听证、行政复议、国家赔偿、行政诉讼案件、涉警信访工作；组织、指导、开展区级公安机关警务督察和内部审计；负责指挥调度、情报分析研判等。加大督查力度，促进民警执法规范化，妥善处理信访案件，提高群众满意度。</w:t>
      </w:r>
    </w:p>
    <w:p>
      <w:pPr>
        <w:ind w:firstLine="640" w:firstLineChars="200"/>
        <w:rPr>
          <w:rFonts w:hint="eastAsia" w:ascii="仿宋" w:hAnsi="仿宋" w:eastAsia="仿宋"/>
          <w:sz w:val="32"/>
          <w:szCs w:val="32"/>
        </w:rPr>
      </w:pPr>
      <w:r>
        <w:rPr>
          <w:rFonts w:hint="eastAsia" w:ascii="仿宋" w:hAnsi="仿宋" w:eastAsia="仿宋"/>
          <w:sz w:val="32"/>
          <w:szCs w:val="32"/>
        </w:rPr>
        <w:t>（八）维护社会稳定和国家安全</w:t>
      </w:r>
    </w:p>
    <w:p>
      <w:pPr>
        <w:ind w:firstLine="640" w:firstLineChars="200"/>
        <w:rPr>
          <w:rFonts w:hint="eastAsia" w:ascii="仿宋" w:hAnsi="仿宋" w:eastAsia="仿宋"/>
          <w:sz w:val="32"/>
          <w:szCs w:val="32"/>
        </w:rPr>
      </w:pPr>
      <w:r>
        <w:rPr>
          <w:rFonts w:hint="eastAsia" w:ascii="仿宋" w:hAnsi="仿宋" w:eastAsia="仿宋"/>
          <w:sz w:val="32"/>
          <w:szCs w:val="32"/>
        </w:rPr>
        <w:t xml:space="preserve"> 协调维护社会稳定和国家安全：指导、协调和督导各级各部门排查、化解影响社会稳定的重大不稳定隐患、群体性事件和突发事件及影响国家安全的事件。预防减少不稳定因素的发生，有效化解不稳定隐患、群体性事件和突发事件，维护国家安全工作。</w:t>
      </w:r>
    </w:p>
    <w:p>
      <w:pPr>
        <w:ind w:firstLine="640" w:firstLineChars="200"/>
        <w:rPr>
          <w:rFonts w:hint="eastAsia" w:ascii="仿宋" w:hAnsi="仿宋" w:eastAsia="仿宋"/>
          <w:sz w:val="32"/>
          <w:szCs w:val="32"/>
        </w:rPr>
      </w:pPr>
      <w:r>
        <w:rPr>
          <w:rFonts w:hint="eastAsia" w:ascii="仿宋" w:hAnsi="仿宋" w:eastAsia="仿宋"/>
          <w:sz w:val="32"/>
          <w:szCs w:val="32"/>
        </w:rPr>
        <w:t>（九）推进平安河北建设</w:t>
      </w:r>
    </w:p>
    <w:p>
      <w:pPr>
        <w:ind w:firstLine="640" w:firstLineChars="200"/>
        <w:rPr>
          <w:rFonts w:hint="eastAsia" w:ascii="仿宋" w:hAnsi="仿宋" w:eastAsia="仿宋"/>
          <w:sz w:val="32"/>
          <w:szCs w:val="32"/>
        </w:rPr>
      </w:pPr>
      <w:r>
        <w:rPr>
          <w:rFonts w:hint="eastAsia" w:ascii="仿宋" w:hAnsi="仿宋" w:eastAsia="仿宋"/>
          <w:sz w:val="32"/>
          <w:szCs w:val="32"/>
        </w:rPr>
        <w:t xml:space="preserve"> 大要案协调保障：对县直有关政法部门牵头办理的社会影响力加大、跨区域等重特大案件侦办、办案经费进行指导、协调，确保案件及时侦破。深化平安铁路建设，健全治安防控体系，夯实基层基础，确保年内不发生爆炸铁路和颠覆列车重大案事件，不发生群体性冲击铁路等重大事件，净化沿线治安和列车运行安全环境，确保县内铁路沿线治安秩序稳定。</w:t>
      </w:r>
    </w:p>
    <w:p>
      <w:pPr>
        <w:ind w:firstLine="640" w:firstLineChars="200"/>
        <w:rPr>
          <w:rFonts w:hint="eastAsia" w:ascii="仿宋" w:hAnsi="仿宋" w:eastAsia="仿宋"/>
          <w:sz w:val="32"/>
          <w:szCs w:val="32"/>
        </w:rPr>
      </w:pPr>
      <w:r>
        <w:rPr>
          <w:rFonts w:hint="eastAsia" w:ascii="仿宋" w:hAnsi="仿宋" w:eastAsia="仿宋"/>
          <w:sz w:val="32"/>
          <w:szCs w:val="32"/>
        </w:rPr>
        <w:t>（十）政法事务管理</w:t>
      </w:r>
    </w:p>
    <w:p>
      <w:pPr>
        <w:ind w:firstLine="640" w:firstLineChars="200"/>
        <w:rPr>
          <w:rFonts w:hint="eastAsia" w:ascii="仿宋" w:hAnsi="仿宋" w:eastAsia="仿宋"/>
          <w:sz w:val="32"/>
          <w:szCs w:val="32"/>
        </w:rPr>
      </w:pPr>
      <w:r>
        <w:rPr>
          <w:rFonts w:hint="eastAsia" w:ascii="仿宋" w:hAnsi="仿宋" w:eastAsia="仿宋"/>
          <w:sz w:val="32"/>
          <w:szCs w:val="32"/>
        </w:rPr>
        <w:t xml:space="preserve"> 综合业务管理：建设政法队伍，保障政法系统因公牺牲伤残特困干警资助等合法权益，开展区级政法系统宣传教育和政法网维护管理和信息化建设，构建政法网络安全体系，指导各级政法信息网络中心业务工作开展。对生活确实困难的涉法涉诉信访人进行救助，促进信访案件化解，提高涉法涉诉信访案件息诉数量。</w:t>
      </w:r>
      <w:r>
        <w:rPr>
          <w:rFonts w:hint="eastAsia" w:ascii="仿宋" w:hAnsi="仿宋" w:eastAsia="仿宋"/>
          <w:sz w:val="32"/>
          <w:szCs w:val="32"/>
          <w:lang w:eastAsia="zh-CN"/>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697"/>
        <w:gridCol w:w="2022"/>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keepNext w:val="0"/>
              <w:keepLines w:val="0"/>
              <w:suppressLineNumbers w:val="0"/>
              <w:spacing w:before="0" w:beforeAutospacing="0" w:after="0" w:afterAutospacing="0" w:line="560" w:lineRule="exact"/>
              <w:ind w:left="0" w:right="0"/>
              <w:jc w:val="center"/>
              <w:rPr>
                <w:rFonts w:hint="default"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4697" w:type="dxa"/>
            <w:vAlign w:val="center"/>
          </w:tcPr>
          <w:p>
            <w:pPr>
              <w:keepNext w:val="0"/>
              <w:keepLines w:val="0"/>
              <w:suppressLineNumbers w:val="0"/>
              <w:spacing w:before="0" w:beforeAutospacing="0" w:after="0" w:afterAutospacing="0" w:line="560" w:lineRule="exact"/>
              <w:ind w:left="0" w:right="0"/>
              <w:jc w:val="center"/>
              <w:rPr>
                <w:rFonts w:hint="default"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022" w:type="dxa"/>
            <w:vAlign w:val="center"/>
          </w:tcPr>
          <w:p>
            <w:pPr>
              <w:keepNext w:val="0"/>
              <w:keepLines w:val="0"/>
              <w:suppressLineNumbers w:val="0"/>
              <w:spacing w:before="0" w:beforeAutospacing="0" w:after="0" w:afterAutospacing="0" w:line="560" w:lineRule="exact"/>
              <w:ind w:left="0" w:right="0"/>
              <w:jc w:val="center"/>
              <w:rPr>
                <w:rFonts w:hint="default"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1876" w:type="dxa"/>
            <w:vAlign w:val="center"/>
          </w:tcPr>
          <w:p>
            <w:pPr>
              <w:keepNext w:val="0"/>
              <w:keepLines w:val="0"/>
              <w:suppressLineNumbers w:val="0"/>
              <w:spacing w:before="0" w:beforeAutospacing="0" w:after="0" w:afterAutospacing="0" w:line="560" w:lineRule="exact"/>
              <w:ind w:left="0" w:right="0"/>
              <w:jc w:val="center"/>
              <w:rPr>
                <w:rFonts w:hint="default"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keepNext w:val="0"/>
              <w:keepLines w:val="0"/>
              <w:suppressLineNumbers w:val="0"/>
              <w:spacing w:before="0" w:beforeAutospacing="0" w:after="0" w:afterAutospacing="0" w:line="560" w:lineRule="exact"/>
              <w:ind w:left="0" w:right="0"/>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val="en-US" w:eastAsia="zh-CN"/>
              </w:rPr>
              <w:t>1</w:t>
            </w:r>
          </w:p>
        </w:tc>
        <w:tc>
          <w:tcPr>
            <w:tcW w:w="4697" w:type="dxa"/>
          </w:tcPr>
          <w:p>
            <w:pPr>
              <w:keepNext w:val="0"/>
              <w:keepLines w:val="0"/>
              <w:suppressLineNumbers w:val="0"/>
              <w:spacing w:before="0" w:beforeAutospacing="0" w:after="0" w:afterAutospacing="0" w:line="560" w:lineRule="exact"/>
              <w:ind w:left="0" w:right="0"/>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唐山市丰南区公安局本级</w:t>
            </w:r>
          </w:p>
        </w:tc>
        <w:tc>
          <w:tcPr>
            <w:tcW w:w="2022" w:type="dxa"/>
          </w:tcPr>
          <w:p>
            <w:pPr>
              <w:keepNext w:val="0"/>
              <w:keepLines w:val="0"/>
              <w:suppressLineNumbers w:val="0"/>
              <w:spacing w:before="0" w:beforeAutospacing="0" w:after="0" w:afterAutospacing="0" w:line="560" w:lineRule="exact"/>
              <w:ind w:left="0" w:right="0"/>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1876" w:type="dxa"/>
          </w:tcPr>
          <w:p>
            <w:pPr>
              <w:keepNext w:val="0"/>
              <w:keepLines w:val="0"/>
              <w:suppressLineNumbers w:val="0"/>
              <w:spacing w:before="0" w:beforeAutospacing="0" w:after="0" w:afterAutospacing="0" w:line="560" w:lineRule="exact"/>
              <w:ind w:left="0" w:right="0"/>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keepNext w:val="0"/>
              <w:keepLines w:val="0"/>
              <w:suppressLineNumbers w:val="0"/>
              <w:spacing w:before="0" w:beforeAutospacing="0" w:after="0" w:afterAutospacing="0" w:line="560" w:lineRule="exact"/>
              <w:ind w:left="0" w:right="0"/>
              <w:jc w:val="left"/>
              <w:rPr>
                <w:rFonts w:hint="default"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keepNext w:val="0"/>
              <w:keepLines w:val="0"/>
              <w:suppressLineNumbers w:val="0"/>
              <w:spacing w:before="0" w:beforeAutospacing="0" w:after="0" w:afterAutospacing="0" w:line="560" w:lineRule="exact"/>
              <w:ind w:left="0" w:right="0" w:firstLine="560" w:firstLineChars="200"/>
              <w:jc w:val="left"/>
              <w:rPr>
                <w:rFonts w:hint="default"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编制部门（单位）：唐山市丰南区公安局(本级)</w:t>
            </w:r>
          </w:p>
        </w:tc>
        <w:tc>
          <w:tcPr>
            <w:tcW w:w="1262" w:type="pct"/>
            <w:gridSpan w:val="2"/>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15,311.39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13,382.31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23,171.19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23,185.10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586.94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23,758.13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23,758.13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编制部门（单位）：唐山市丰南区公安局(本级)                                                                                                         </w:t>
            </w:r>
          </w:p>
        </w:tc>
        <w:tc>
          <w:tcPr>
            <w:tcW w:w="3405" w:type="dxa"/>
            <w:gridSpan w:val="4"/>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23,171.19</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23,171.19</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13,412.41</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13,412.41</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20402</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公安</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13,412.41</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13,412.41</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2040201</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5,443.56</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5,443.56</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2040202</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479.75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479.75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2040219</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信息化建设</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1,398.34</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1,398.34</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2040220</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执法办案</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5,036.25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5,036.25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2040299</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其他公安支出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1,054.50</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1,054.50</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980.88</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980.88</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979.03</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979.03</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418.25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418.25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560.78</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560.78</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20807</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就业补助</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2080711</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就业见习补贴</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511.78</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511.78</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511.78</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511.78</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206.22</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206.22</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305.55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305.55</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406.32</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406.32</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406.32</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406.32</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406.32</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406.32</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其他政府性基金及对应专项债务收入安排的支出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2290402</w:t>
            </w:r>
          </w:p>
        </w:tc>
        <w:tc>
          <w:tcPr>
            <w:tcW w:w="1160"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其他地方自行试点项目收益专项债券收入安排的支出</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7,859.80</w:t>
            </w:r>
          </w:p>
        </w:tc>
        <w:tc>
          <w:tcPr>
            <w:tcW w:w="103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编制部门（单位）：唐山市丰南区公安局(本级)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23,185.10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7,400.84</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15,784.26</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人大事务</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2010101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13,382.31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5,503.71</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7,878.60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公安</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13,382.31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5,503.71</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7,878.60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2040201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5,403.51</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5,402.51</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2040202</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474.82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474.82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2040219</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信息化建设</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1,388.24</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1,388.24</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2040220</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执法办案</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5,069.42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101.20</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4,968.22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2040299</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其他公安支出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1,046.32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1,046.32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980.88</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979.03</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979.03</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979.03</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418.25</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418.25</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560.78</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560.78</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20807</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就业补助</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2080711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就业见习补贴</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511.78</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511.78</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511.78</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511.78</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206.22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206.22</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305.55</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305.55</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6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6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7,859.80</w:t>
            </w:r>
          </w:p>
        </w:tc>
        <w:tc>
          <w:tcPr>
            <w:tcW w:w="60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编制部门（单位）：唐山市丰南区公安局(本级)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15,311.39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44.01</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44.01</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13,381.31</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13,381.31</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980.88</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980.88</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511.78</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511.78</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406.32</w:t>
            </w: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406.32</w:t>
            </w: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23,171.19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23,184.10</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15,324.30</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585.94</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573.03</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573.03</w:t>
            </w: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585.94</w:t>
            </w:r>
          </w:p>
        </w:tc>
        <w:tc>
          <w:tcPr>
            <w:tcW w:w="895"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23,757.13</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23,757.13</w:t>
            </w:r>
          </w:p>
        </w:tc>
        <w:tc>
          <w:tcPr>
            <w:tcW w:w="520" w:type="pct"/>
            <w:tcBorders>
              <w:top w:val="nil"/>
              <w:left w:val="nil"/>
              <w:bottom w:val="single" w:color="000000" w:sz="8"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sz w:val="20"/>
                <w:szCs w:val="20"/>
                <w:highlight w:val="none"/>
              </w:rPr>
            </w:pPr>
          </w:p>
          <w:p>
            <w:pPr>
              <w:keepNext w:val="0"/>
              <w:keepLines w:val="0"/>
              <w:suppressLineNumbers w:val="0"/>
              <w:spacing w:before="0" w:beforeAutospacing="0" w:after="0" w:afterAutospacing="0"/>
              <w:ind w:left="0" w:right="0"/>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15,897.33</w:t>
            </w:r>
          </w:p>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7,859.80</w:t>
            </w:r>
          </w:p>
        </w:tc>
        <w:tc>
          <w:tcPr>
            <w:tcW w:w="520" w:type="pct"/>
            <w:tcBorders>
              <w:top w:val="nil"/>
              <w:left w:val="nil"/>
              <w:bottom w:val="single" w:color="000000" w:sz="8" w:space="0"/>
              <w:right w:val="single" w:color="000000" w:sz="8"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36"/>
        <w:gridCol w:w="3416"/>
        <w:gridCol w:w="959"/>
        <w:gridCol w:w="544"/>
        <w:gridCol w:w="599"/>
        <w:gridCol w:w="384"/>
        <w:gridCol w:w="1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编制部门（单位）：唐山市丰南区公安局(本级)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15,324.30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7,400.84</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7,923.46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人大事务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2010101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13,381.31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5,503.71</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7,877.60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公安</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13,381.31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5,503.71</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7,877.60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2040201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5,402.51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5,402.51</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2040202</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474.82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2040219</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信息化建设</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2040220</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执法办案</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5,069.42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101.20</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4,968.22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2040299</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其他公安支出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1,046.32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979.03</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979.03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979.03</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418.25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418.25</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560.78</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20807</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就业补助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2080711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就业见习补贴</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511.78</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511.78</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206.22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206.22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305.55</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406.32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编制部门（单位）：唐山市丰南区公安局(本级)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keepNext w:val="0"/>
              <w:keepLines w:val="0"/>
              <w:suppressLineNumbers w:val="0"/>
              <w:spacing w:before="0" w:beforeAutospacing="0" w:after="0" w:afterAutospacing="0"/>
              <w:ind w:left="0" w:right="0"/>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6,075.14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750.16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1,403.20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69.99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1,843.29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20.42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859.16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227.41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563.04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84.61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128.58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206.22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305.55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20.57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17.78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406.32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243.17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572.98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443.20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116.10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23.66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50.84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31.56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192.49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6,648.12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752.72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编制部门（单位）：唐山市丰南区公安局(本级)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7,859.80</w:t>
            </w:r>
          </w:p>
        </w:tc>
        <w:tc>
          <w:tcPr>
            <w:tcW w:w="528"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7,859.80</w:t>
            </w:r>
          </w:p>
        </w:tc>
        <w:tc>
          <w:tcPr>
            <w:tcW w:w="534"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7,859.80</w:t>
            </w:r>
          </w:p>
        </w:tc>
        <w:tc>
          <w:tcPr>
            <w:tcW w:w="97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28"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34"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97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7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62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28"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34"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97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70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62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28"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534"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7,859.80</w:t>
            </w:r>
          </w:p>
        </w:tc>
        <w:tc>
          <w:tcPr>
            <w:tcW w:w="973"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编制部门（单位）：唐山市丰南区公安局(本级)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注：本表反映部门本年度国有资本经营预算财政拨款收入、支出及结转和结余情况。（如无相关数据，则需注明空表列示）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编制部门（单位）：唐山市丰南区公安局(本级)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spacing w:before="0" w:beforeAutospacing="0" w:after="0" w:afterAutospacing="0"/>
              <w:ind w:left="0" w:right="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83.77</w:t>
            </w:r>
          </w:p>
        </w:tc>
        <w:tc>
          <w:tcPr>
            <w:tcW w:w="528"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77.43</w:t>
            </w:r>
          </w:p>
        </w:tc>
        <w:tc>
          <w:tcPr>
            <w:tcW w:w="407"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25.21</w:t>
            </w:r>
          </w:p>
        </w:tc>
        <w:tc>
          <w:tcPr>
            <w:tcW w:w="458"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52.22</w:t>
            </w:r>
          </w:p>
        </w:tc>
        <w:tc>
          <w:tcPr>
            <w:tcW w:w="33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6.34</w:t>
            </w:r>
          </w:p>
        </w:tc>
        <w:tc>
          <w:tcPr>
            <w:tcW w:w="366" w:type="pct"/>
            <w:gridSpan w:val="2"/>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71.01</w:t>
            </w:r>
          </w:p>
        </w:tc>
        <w:tc>
          <w:tcPr>
            <w:tcW w:w="488"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71.01</w:t>
            </w:r>
          </w:p>
        </w:tc>
        <w:tc>
          <w:tcPr>
            <w:tcW w:w="442"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25.15</w:t>
            </w:r>
          </w:p>
        </w:tc>
        <w:tc>
          <w:tcPr>
            <w:tcW w:w="407"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45.86</w:t>
            </w:r>
          </w:p>
        </w:tc>
        <w:tc>
          <w:tcPr>
            <w:tcW w:w="511" w:type="pct"/>
            <w:tcBorders>
              <w:top w:val="nil"/>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202</w:t>
      </w:r>
      <w:r>
        <w:rPr>
          <w:rFonts w:hint="eastAsia" w:ascii="黑体" w:hAnsi="宋体" w:eastAsia="黑体" w:cs="黑体"/>
          <w:i w:val="0"/>
          <w:iCs w:val="0"/>
          <w:caps w:val="0"/>
          <w:color w:val="000000"/>
          <w:spacing w:val="0"/>
          <w:sz w:val="72"/>
          <w:szCs w:val="72"/>
          <w:highlight w:val="none"/>
          <w:shd w:val="clear" w:fill="FFFFFF"/>
          <w:lang w:val="en-US" w:eastAsia="zh-CN"/>
        </w:rPr>
        <w:t>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eastAsia" w:ascii="Times New Roman" w:hAnsi="Times New Roman" w:eastAsia="宋体" w:cs="Times New Roman"/>
          <w:highlight w:val="none"/>
          <w:lang w:eastAsia="zh-CN"/>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23758.13</w:t>
      </w:r>
      <w:r>
        <w:rPr>
          <w:rFonts w:hint="default" w:ascii="Times New Roman" w:hAnsi="Times New Roman" w:eastAsia="仿宋_GB2312" w:cs="Times New Roman"/>
          <w:kern w:val="2"/>
          <w:sz w:val="32"/>
          <w:szCs w:val="32"/>
          <w:lang w:eastAsia="zh-CN"/>
        </w:rPr>
        <w:t>万元。与2022年度决算</w:t>
      </w:r>
      <w:r>
        <w:rPr>
          <w:rFonts w:hint="default" w:ascii="Times New Roman" w:hAnsi="Times New Roman" w:eastAsia="仿宋_GB2312" w:cs="Times New Roman"/>
          <w:sz w:val="32"/>
          <w:szCs w:val="32"/>
        </w:rPr>
        <w:t>15035.13</w:t>
      </w:r>
      <w:r>
        <w:rPr>
          <w:rFonts w:hint="eastAsia" w:ascii="仿宋_GB2312" w:hAnsi="Times New Roman" w:eastAsia="仿宋_GB2312" w:cs="DengXian-Regular"/>
          <w:sz w:val="32"/>
          <w:szCs w:val="32"/>
        </w:rPr>
        <w:t>万元</w:t>
      </w:r>
      <w:r>
        <w:rPr>
          <w:rFonts w:hint="default" w:ascii="Times New Roman" w:hAnsi="Times New Roman" w:eastAsia="仿宋_GB2312" w:cs="Times New Roman"/>
          <w:kern w:val="2"/>
          <w:sz w:val="32"/>
          <w:szCs w:val="32"/>
          <w:lang w:eastAsia="zh-CN"/>
        </w:rPr>
        <w:t>相比，收支各</w:t>
      </w:r>
      <w:r>
        <w:rPr>
          <w:rFonts w:hint="eastAsia" w:ascii="Times New Roman" w:hAnsi="Times New Roman" w:eastAsia="仿宋_GB2312" w:cs="Times New Roman"/>
          <w:kern w:val="2"/>
          <w:sz w:val="32"/>
          <w:szCs w:val="32"/>
          <w:lang w:val="en-US" w:eastAsia="zh-CN"/>
        </w:rPr>
        <w:t>增加8723</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58.02</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增加了财政收入，减少了结余。</w:t>
      </w:r>
      <w:r>
        <w:rPr>
          <w:rFonts w:hint="default" w:ascii="Times New Roman" w:hAnsi="Times New Roman" w:eastAsia="Arial" w:cs="Times New Roman"/>
          <w:i w:val="0"/>
          <w:iCs w:val="0"/>
          <w:caps w:val="0"/>
          <w:color w:val="000000"/>
          <w:spacing w:val="0"/>
          <w:sz w:val="18"/>
          <w:szCs w:val="18"/>
          <w:highlight w:val="none"/>
          <w:shd w:val="clear" w:fill="FFFFFF"/>
        </w:rPr>
        <w:t> </w:t>
      </w:r>
      <w:r>
        <w:rPr>
          <w:rFonts w:hint="eastAsia" w:ascii="Times New Roman" w:hAnsi="Times New Roman" w:eastAsia="宋体" w:cs="Times New Roman"/>
          <w:highlight w:val="none"/>
          <w:lang w:eastAsia="zh-CN"/>
        </w:rPr>
        <w:drawing>
          <wp:inline distT="0" distB="0" distL="114300" distR="114300">
            <wp:extent cx="5080000" cy="3810000"/>
            <wp:effectExtent l="4445" t="4445" r="20955" b="1460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23171.19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，其中：财政拨款收入23171.19万元，占100%；上级补助收入0万元，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黑体" w:cs="Times New Roman"/>
          <w:kern w:val="2"/>
          <w:sz w:val="32"/>
          <w:szCs w:val="32"/>
          <w:lang w:val="en-US" w:eastAsia="zh-CN" w:bidi="ar-SA"/>
        </w:rPr>
      </w:pPr>
      <w:r>
        <w:rPr>
          <w:rFonts w:hint="default" w:ascii="Times New Roman" w:hAnsi="Times New Roman" w:eastAsia="仿宋_GB2312" w:cs="Times New Roman"/>
          <w:kern w:val="2"/>
          <w:sz w:val="32"/>
          <w:szCs w:val="32"/>
          <w:lang w:val="zh-CN" w:eastAsia="zh-CN"/>
        </w:rPr>
        <w:drawing>
          <wp:anchor distT="0" distB="0" distL="114300" distR="114300" simplePos="0" relativeHeight="251667456" behindDoc="1" locked="0" layoutInCell="1" allowOverlap="1">
            <wp:simplePos x="0" y="0"/>
            <wp:positionH relativeFrom="column">
              <wp:posOffset>2540</wp:posOffset>
            </wp:positionH>
            <wp:positionV relativeFrom="paragraph">
              <wp:posOffset>1569085</wp:posOffset>
            </wp:positionV>
            <wp:extent cx="5110480" cy="2599690"/>
            <wp:effectExtent l="4445" t="4445" r="9525" b="5715"/>
            <wp:wrapTight wrapText="bothSides">
              <wp:wrapPolygon>
                <wp:start x="-19" y="-37"/>
                <wp:lineTo x="-19" y="21489"/>
                <wp:lineTo x="21560" y="21489"/>
                <wp:lineTo x="21560" y="-37"/>
                <wp:lineTo x="-19" y="-37"/>
              </wp:wrapPolygon>
            </wp:wrapTight>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23185.1万元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7400.84万元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占31.92%；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15784.26万元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占68.08%；</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年度财政拨款本年收入23171.19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w:t>
      </w:r>
      <w:r>
        <w:rPr>
          <w:rFonts w:hint="eastAsia" w:ascii="Times New Roman" w:hAnsi="Times New Roman" w:eastAsia="仿宋_GB2312" w:cs="Times New Roman"/>
          <w:color w:val="auto"/>
          <w:kern w:val="2"/>
          <w:sz w:val="32"/>
          <w:szCs w:val="32"/>
          <w:lang w:val="en-US" w:eastAsia="zh-CN" w:bidi="ar-SA"/>
        </w:rPr>
        <w:t>2022年度财政拨款</w:t>
      </w:r>
      <w:r>
        <w:rPr>
          <w:rFonts w:hint="eastAsia" w:ascii="仿宋_GB2312" w:hAnsi="Times New Roman" w:eastAsia="仿宋_GB2312" w:cs="DengXian-Regular"/>
          <w:sz w:val="32"/>
          <w:szCs w:val="32"/>
        </w:rPr>
        <w:t>收入</w:t>
      </w:r>
      <w:r>
        <w:rPr>
          <w:rFonts w:hint="default" w:ascii="Times New Roman" w:hAnsi="Times New Roman" w:eastAsia="仿宋_GB2312" w:cs="Times New Roman"/>
          <w:sz w:val="32"/>
          <w:szCs w:val="32"/>
        </w:rPr>
        <w:t>14405.47</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default" w:ascii="Times New Roman" w:hAnsi="Times New Roman" w:eastAsia="仿宋_GB2312" w:cs="Times New Roman"/>
          <w:color w:val="auto"/>
          <w:kern w:val="2"/>
          <w:sz w:val="32"/>
          <w:szCs w:val="32"/>
          <w:lang w:val="zh-CN" w:eastAsia="zh-CN" w:bidi="ar-SA"/>
        </w:rPr>
        <w:t>比上年</w:t>
      </w:r>
      <w:r>
        <w:rPr>
          <w:rFonts w:hint="eastAsia" w:ascii="Times New Roman" w:hAnsi="Times New Roman" w:eastAsia="仿宋_GB2312" w:cs="Times New Roman"/>
          <w:color w:val="auto"/>
          <w:kern w:val="2"/>
          <w:sz w:val="32"/>
          <w:szCs w:val="32"/>
          <w:lang w:val="en-US" w:eastAsia="zh-CN" w:bidi="ar-SA"/>
        </w:rPr>
        <w:t>增加8765.72</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60.85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增加了政府性基金预算财政收入</w:t>
      </w:r>
      <w:r>
        <w:rPr>
          <w:rFonts w:hint="default" w:ascii="Times New Roman" w:hAnsi="Times New Roman" w:eastAsia="仿宋_GB2312" w:cs="Times New Roman"/>
          <w:color w:val="auto"/>
          <w:kern w:val="2"/>
          <w:sz w:val="32"/>
          <w:szCs w:val="32"/>
          <w:lang w:val="zh-CN" w:eastAsia="zh-CN" w:bidi="ar-SA"/>
        </w:rPr>
        <w:t>；本年支出 23184.1元，</w:t>
      </w:r>
      <w:r>
        <w:rPr>
          <w:rFonts w:hint="eastAsia" w:ascii="Times New Roman" w:hAnsi="Times New Roman" w:eastAsia="仿宋_GB2312" w:cs="Times New Roman"/>
          <w:color w:val="auto"/>
          <w:kern w:val="2"/>
          <w:sz w:val="32"/>
          <w:szCs w:val="32"/>
          <w:lang w:val="en-US" w:eastAsia="zh-CN" w:bidi="ar-SA"/>
        </w:rPr>
        <w:t>2022年支出</w:t>
      </w:r>
      <w:r>
        <w:rPr>
          <w:rFonts w:hint="default" w:ascii="Times New Roman" w:hAnsi="Times New Roman" w:eastAsia="仿宋_GB2312" w:cs="Times New Roman"/>
          <w:sz w:val="32"/>
          <w:szCs w:val="32"/>
        </w:rPr>
        <w:t>14448.19</w:t>
      </w:r>
      <w:r>
        <w:rPr>
          <w:rFonts w:hint="eastAsia" w:ascii="仿宋_GB2312" w:hAnsi="Times New Roman" w:eastAsia="仿宋_GB2312" w:cs="DengXian-Regular"/>
          <w:sz w:val="32"/>
          <w:szCs w:val="32"/>
        </w:rPr>
        <w:t>万元</w:t>
      </w:r>
      <w:r>
        <w:rPr>
          <w:rFonts w:hint="default" w:ascii="Times New Roman" w:hAnsi="Times New Roman" w:eastAsia="仿宋_GB2312" w:cs="Times New Roman"/>
          <w:color w:val="auto"/>
          <w:kern w:val="2"/>
          <w:sz w:val="32"/>
          <w:szCs w:val="32"/>
          <w:lang w:val="zh-CN" w:eastAsia="zh-CN" w:bidi="ar-SA"/>
        </w:rPr>
        <w:t>比上年增加</w:t>
      </w:r>
      <w:r>
        <w:rPr>
          <w:rFonts w:hint="eastAsia" w:ascii="Times New Roman" w:hAnsi="Times New Roman" w:eastAsia="仿宋_GB2312" w:cs="Times New Roman"/>
          <w:color w:val="auto"/>
          <w:kern w:val="2"/>
          <w:sz w:val="32"/>
          <w:szCs w:val="32"/>
          <w:lang w:val="en-US" w:eastAsia="zh-CN" w:bidi="ar-SA"/>
        </w:rPr>
        <w:t>8735.91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60.46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增加了项目政府性基金预算支出</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一般公共预算财政拨款本年收入15311.39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905.92</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增加了项目预算收入</w:t>
      </w:r>
      <w:r>
        <w:rPr>
          <w:rFonts w:hint="default" w:ascii="Times New Roman" w:hAnsi="Times New Roman" w:eastAsia="仿宋_GB2312" w:cs="Times New Roman"/>
          <w:kern w:val="2"/>
          <w:sz w:val="32"/>
          <w:szCs w:val="32"/>
          <w:lang w:val="zh-CN"/>
        </w:rPr>
        <w:t>；本年支出 15324.3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918.83</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6.36</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增加了项目支出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政府性基金预算财政拨款本年收入7859.8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元，比上年增加7859.8万元，增长</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增加了政府性基金预算财政收入</w:t>
      </w:r>
      <w:r>
        <w:rPr>
          <w:rFonts w:hint="default" w:ascii="Times New Roman" w:hAnsi="Times New Roman" w:eastAsia="仿宋_GB2312" w:cs="Times New Roman"/>
          <w:kern w:val="2"/>
          <w:sz w:val="32"/>
          <w:szCs w:val="32"/>
          <w:lang w:val="zh-CN"/>
        </w:rPr>
        <w:t>；本年支出 7859.8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元，比上年增加7859.8万元，增长</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增加了政府性基金支出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年度财政拨款本年收入23,171.19万元，完成年初预算</w:t>
      </w:r>
      <w:r>
        <w:rPr>
          <w:rFonts w:hint="eastAsia" w:ascii="Times New Roman" w:hAnsi="Times New Roman" w:eastAsia="仿宋_GB2312" w:cs="Times New Roman"/>
          <w:color w:val="auto"/>
          <w:kern w:val="2"/>
          <w:sz w:val="32"/>
          <w:szCs w:val="32"/>
          <w:lang w:val="en-US" w:eastAsia="zh-CN" w:bidi="ar-SA"/>
        </w:rPr>
        <w:t>20510.39万元</w:t>
      </w:r>
      <w:r>
        <w:rPr>
          <w:rFonts w:hint="default" w:ascii="Times New Roman" w:hAnsi="Times New Roman" w:eastAsia="仿宋_GB2312" w:cs="Times New Roman"/>
          <w:color w:val="auto"/>
          <w:kern w:val="2"/>
          <w:sz w:val="32"/>
          <w:szCs w:val="32"/>
          <w:lang w:val="zh-CN" w:eastAsia="zh-CN" w:bidi="ar-SA"/>
        </w:rPr>
        <w:t>的112.97%，比年初预算增加</w:t>
      </w:r>
      <w:r>
        <w:rPr>
          <w:rFonts w:hint="eastAsia" w:ascii="Times New Roman" w:hAnsi="Times New Roman" w:eastAsia="仿宋_GB2312" w:cs="Times New Roman"/>
          <w:color w:val="auto"/>
          <w:kern w:val="2"/>
          <w:sz w:val="32"/>
          <w:szCs w:val="32"/>
          <w:lang w:val="en-US" w:eastAsia="zh-CN" w:bidi="ar-SA"/>
        </w:rPr>
        <w:t>2660.8</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en-US" w:eastAsia="zh-CN" w:bidi="ar-SA"/>
        </w:rPr>
        <w:t>由于</w:t>
      </w:r>
      <w:r>
        <w:rPr>
          <w:rFonts w:hint="eastAsia" w:ascii="仿宋_GB2312" w:hAnsi="Times New Roman" w:eastAsia="仿宋_GB2312" w:cs="DengXian-Regular"/>
          <w:sz w:val="32"/>
          <w:szCs w:val="32"/>
          <w:lang w:eastAsia="zh-CN"/>
        </w:rPr>
        <w:t>按警员套改原则，增加了基本工资支出，</w:t>
      </w:r>
      <w:r>
        <w:rPr>
          <w:rFonts w:hint="eastAsia" w:ascii="仿宋_GB2312" w:hAnsi="Times New Roman" w:eastAsia="仿宋_GB2312" w:cs="DengXian-Regular"/>
          <w:sz w:val="32"/>
          <w:szCs w:val="32"/>
          <w:lang w:val="en-US" w:eastAsia="zh-CN"/>
        </w:rPr>
        <w:t>由于</w:t>
      </w:r>
      <w:r>
        <w:rPr>
          <w:rFonts w:hint="eastAsia" w:ascii="Times New Roman" w:hAnsi="Times New Roman" w:eastAsia="仿宋_GB2312" w:cs="Times New Roman"/>
          <w:color w:val="auto"/>
          <w:kern w:val="2"/>
          <w:sz w:val="32"/>
          <w:szCs w:val="32"/>
          <w:lang w:val="en-US" w:eastAsia="zh-CN" w:bidi="ar-SA"/>
        </w:rPr>
        <w:t>公安工作需要，增加了项目支出和结转结余支出</w:t>
      </w:r>
      <w:r>
        <w:rPr>
          <w:rFonts w:hint="default" w:ascii="Times New Roman" w:hAnsi="Times New Roman" w:eastAsia="仿宋_GB2312" w:cs="Times New Roman"/>
          <w:color w:val="auto"/>
          <w:kern w:val="2"/>
          <w:sz w:val="32"/>
          <w:szCs w:val="32"/>
          <w:lang w:val="zh-CN" w:eastAsia="zh-CN" w:bidi="ar-SA"/>
        </w:rPr>
        <w:t>；本年支出23,184.1万元，完成年初预算的113.04%，比年初预算增加</w:t>
      </w:r>
      <w:r>
        <w:rPr>
          <w:rFonts w:hint="eastAsia" w:ascii="Times New Roman" w:hAnsi="Times New Roman" w:eastAsia="仿宋_GB2312" w:cs="Times New Roman"/>
          <w:color w:val="auto"/>
          <w:kern w:val="2"/>
          <w:sz w:val="32"/>
          <w:szCs w:val="32"/>
          <w:lang w:val="en-US" w:eastAsia="zh-CN" w:bidi="ar-SA"/>
        </w:rPr>
        <w:t>2673.71</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en-US" w:eastAsia="zh-CN" w:bidi="ar-SA"/>
        </w:rPr>
        <w:t>由于</w:t>
      </w:r>
      <w:r>
        <w:rPr>
          <w:rFonts w:hint="eastAsia" w:ascii="仿宋_GB2312" w:hAnsi="Times New Roman" w:eastAsia="仿宋_GB2312" w:cs="DengXian-Regular"/>
          <w:sz w:val="32"/>
          <w:szCs w:val="32"/>
          <w:lang w:eastAsia="zh-CN"/>
        </w:rPr>
        <w:t>按警员套改原则，增加了基本工资支出，</w:t>
      </w:r>
      <w:r>
        <w:rPr>
          <w:rFonts w:hint="eastAsia" w:ascii="仿宋_GB2312" w:hAnsi="Times New Roman" w:eastAsia="仿宋_GB2312" w:cs="DengXian-Regular"/>
          <w:sz w:val="32"/>
          <w:szCs w:val="32"/>
          <w:lang w:val="en-US" w:eastAsia="zh-CN"/>
        </w:rPr>
        <w:t>由于</w:t>
      </w:r>
      <w:r>
        <w:rPr>
          <w:rFonts w:hint="eastAsia" w:ascii="Times New Roman" w:hAnsi="Times New Roman" w:eastAsia="仿宋_GB2312" w:cs="Times New Roman"/>
          <w:color w:val="auto"/>
          <w:kern w:val="2"/>
          <w:sz w:val="32"/>
          <w:szCs w:val="32"/>
          <w:lang w:val="en-US" w:eastAsia="zh-CN" w:bidi="ar-SA"/>
        </w:rPr>
        <w:t>公安工作需要，增加了项目支出和结转结余支出</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收入15311.39万元，完成年初预算的 122.39%，比年初预算增加</w:t>
      </w:r>
      <w:r>
        <w:rPr>
          <w:rFonts w:hint="eastAsia" w:ascii="Times New Roman" w:hAnsi="Times New Roman" w:eastAsia="仿宋_GB2312" w:cs="Times New Roman"/>
          <w:kern w:val="2"/>
          <w:sz w:val="32"/>
          <w:szCs w:val="32"/>
          <w:lang w:val="en-US" w:eastAsia="zh-CN"/>
        </w:rPr>
        <w:t>612.11</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由于</w:t>
      </w:r>
      <w:r>
        <w:rPr>
          <w:rFonts w:hint="eastAsia" w:ascii="仿宋_GB2312" w:hAnsi="Times New Roman" w:eastAsia="仿宋_GB2312" w:cs="DengXian-Regular"/>
          <w:sz w:val="32"/>
          <w:szCs w:val="32"/>
          <w:lang w:eastAsia="zh-CN"/>
        </w:rPr>
        <w:t>按警员套改原则，增加了基本工资支出，</w:t>
      </w:r>
      <w:r>
        <w:rPr>
          <w:rFonts w:hint="eastAsia" w:ascii="仿宋_GB2312" w:hAnsi="Times New Roman" w:eastAsia="仿宋_GB2312" w:cs="DengXian-Regular"/>
          <w:sz w:val="32"/>
          <w:szCs w:val="32"/>
          <w:lang w:val="en-US" w:eastAsia="zh-CN"/>
        </w:rPr>
        <w:t>由于</w:t>
      </w:r>
      <w:r>
        <w:rPr>
          <w:rFonts w:hint="eastAsia" w:ascii="Times New Roman" w:hAnsi="Times New Roman" w:eastAsia="仿宋_GB2312" w:cs="Times New Roman"/>
          <w:color w:val="auto"/>
          <w:kern w:val="2"/>
          <w:sz w:val="32"/>
          <w:szCs w:val="32"/>
          <w:lang w:val="en-US" w:eastAsia="zh-CN" w:bidi="ar-SA"/>
        </w:rPr>
        <w:t>公安工作需要，增加了项目支出和结转结余支出</w:t>
      </w:r>
      <w:r>
        <w:rPr>
          <w:rFonts w:hint="default" w:ascii="Times New Roman" w:hAnsi="Times New Roman" w:eastAsia="仿宋_GB2312" w:cs="Times New Roman"/>
          <w:kern w:val="2"/>
          <w:sz w:val="32"/>
          <w:szCs w:val="32"/>
          <w:lang w:val="zh-CN"/>
        </w:rPr>
        <w:t>。本年支出15324.3万元，完成年初预算的122.49%，比年初预算增加</w:t>
      </w:r>
      <w:r>
        <w:rPr>
          <w:rFonts w:hint="eastAsia" w:ascii="Times New Roman" w:hAnsi="Times New Roman" w:eastAsia="仿宋_GB2312" w:cs="Times New Roman"/>
          <w:kern w:val="2"/>
          <w:sz w:val="32"/>
          <w:szCs w:val="32"/>
          <w:lang w:val="en-US" w:eastAsia="zh-CN"/>
        </w:rPr>
        <w:t>625.02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由于</w:t>
      </w:r>
      <w:r>
        <w:rPr>
          <w:rFonts w:hint="eastAsia" w:ascii="仿宋_GB2312" w:hAnsi="Times New Roman" w:eastAsia="仿宋_GB2312" w:cs="DengXian-Regular"/>
          <w:sz w:val="32"/>
          <w:szCs w:val="32"/>
          <w:lang w:eastAsia="zh-CN"/>
        </w:rPr>
        <w:t>按警员套改原则，增加了基本工资支出，</w:t>
      </w:r>
      <w:r>
        <w:rPr>
          <w:rFonts w:hint="eastAsia" w:ascii="仿宋_GB2312" w:hAnsi="Times New Roman" w:eastAsia="仿宋_GB2312" w:cs="DengXian-Regular"/>
          <w:sz w:val="32"/>
          <w:szCs w:val="32"/>
          <w:lang w:val="en-US" w:eastAsia="zh-CN"/>
        </w:rPr>
        <w:t>由于</w:t>
      </w:r>
      <w:r>
        <w:rPr>
          <w:rFonts w:hint="eastAsia" w:ascii="Times New Roman" w:hAnsi="Times New Roman" w:eastAsia="仿宋_GB2312" w:cs="Times New Roman"/>
          <w:color w:val="auto"/>
          <w:kern w:val="2"/>
          <w:sz w:val="32"/>
          <w:szCs w:val="32"/>
          <w:lang w:val="en-US" w:eastAsia="zh-CN" w:bidi="ar-SA"/>
        </w:rPr>
        <w:t>公安工作需要，增加了项目支出和结转结余支出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drawing>
          <wp:anchor distT="0" distB="0" distL="114300" distR="114300" simplePos="0" relativeHeight="251668480" behindDoc="0" locked="0" layoutInCell="1" allowOverlap="1">
            <wp:simplePos x="0" y="0"/>
            <wp:positionH relativeFrom="column">
              <wp:posOffset>158115</wp:posOffset>
            </wp:positionH>
            <wp:positionV relativeFrom="paragraph">
              <wp:posOffset>337185</wp:posOffset>
            </wp:positionV>
            <wp:extent cx="5080000" cy="2649220"/>
            <wp:effectExtent l="4445" t="4445" r="20955" b="13335"/>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80" w:lineRule="exact"/>
        <w:ind w:firstLine="640" w:firstLineChars="200"/>
        <w:jc w:val="left"/>
        <w:textAlignment w:val="auto"/>
        <w:rPr>
          <w:rFonts w:hint="default" w:ascii="Times New Roman" w:hAnsi="Times New Roman" w:eastAsia="仿宋_GB2312" w:cs="Times New Roman"/>
          <w:kern w:val="2"/>
          <w:sz w:val="32"/>
          <w:szCs w:val="32"/>
          <w:lang w:val="zh-CN"/>
        </w:rPr>
      </w:pPr>
      <w:bookmarkStart w:id="0" w:name="_GoBack"/>
      <w:r>
        <w:rPr>
          <w:rFonts w:hint="default" w:ascii="Times New Roman" w:hAnsi="Times New Roman" w:eastAsia="仿宋_GB2312" w:cs="Times New Roman"/>
          <w:kern w:val="2"/>
          <w:sz w:val="32"/>
          <w:szCs w:val="32"/>
          <w:lang w:val="zh-CN"/>
        </w:rPr>
        <w:drawing>
          <wp:anchor distT="0" distB="0" distL="114300" distR="114300" simplePos="0" relativeHeight="251669504" behindDoc="0" locked="0" layoutInCell="1" allowOverlap="1">
            <wp:simplePos x="0" y="0"/>
            <wp:positionH relativeFrom="column">
              <wp:posOffset>285750</wp:posOffset>
            </wp:positionH>
            <wp:positionV relativeFrom="paragraph">
              <wp:posOffset>2816225</wp:posOffset>
            </wp:positionV>
            <wp:extent cx="5080000" cy="2848610"/>
            <wp:effectExtent l="4445" t="4445" r="20955" b="23495"/>
            <wp:wrapSquare wrapText="bothSides"/>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End w:id="0"/>
      <w:r>
        <w:rPr>
          <w:rFonts w:hint="eastAsia" w:ascii="Times New Roman" w:hAnsi="Times New Roman" w:eastAsia="仿宋_GB2312" w:cs="Times New Roman"/>
          <w:kern w:val="2"/>
          <w:sz w:val="32"/>
          <w:szCs w:val="32"/>
          <w:lang w:val="en-US" w:eastAsia="zh-CN"/>
        </w:rPr>
        <w:t>2.</w:t>
      </w:r>
      <w:r>
        <w:rPr>
          <w:rFonts w:hint="default" w:ascii="Times New Roman" w:hAnsi="Times New Roman" w:eastAsia="仿宋_GB2312" w:cs="Times New Roman"/>
          <w:kern w:val="2"/>
          <w:sz w:val="32"/>
          <w:szCs w:val="32"/>
          <w:lang w:val="zh-CN"/>
        </w:rPr>
        <w:t>政府性基金预算财政拨款本年收入7859.8万元，完成年初预算的98.25%，比年初预算</w:t>
      </w:r>
      <w:r>
        <w:rPr>
          <w:rFonts w:hint="eastAsia" w:ascii="Times New Roman" w:hAnsi="Times New Roman" w:eastAsia="仿宋_GB2312" w:cs="Times New Roman"/>
          <w:kern w:val="2"/>
          <w:sz w:val="32"/>
          <w:szCs w:val="32"/>
          <w:lang w:val="en-US" w:eastAsia="zh-CN"/>
        </w:rPr>
        <w:t>减少140.2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唐山市丰南区惠民治理服务项目开展工作后，按照合同和实际情况进行付款，结转结余140.2万元</w:t>
      </w:r>
      <w:r>
        <w:rPr>
          <w:rFonts w:hint="default" w:ascii="Times New Roman" w:hAnsi="Times New Roman" w:eastAsia="仿宋_GB2312" w:cs="Times New Roman"/>
          <w:kern w:val="2"/>
          <w:sz w:val="32"/>
          <w:szCs w:val="32"/>
          <w:lang w:val="zh-CN"/>
        </w:rPr>
        <w:t>；本年支出7,859.8万元，完成年初预算的98.25%，比年初预算</w:t>
      </w:r>
      <w:r>
        <w:rPr>
          <w:rFonts w:hint="eastAsia" w:ascii="Times New Roman" w:hAnsi="Times New Roman" w:eastAsia="仿宋_GB2312" w:cs="Times New Roman"/>
          <w:kern w:val="2"/>
          <w:sz w:val="32"/>
          <w:szCs w:val="32"/>
          <w:lang w:val="en-US" w:eastAsia="zh-CN"/>
        </w:rPr>
        <w:t>减少140.2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唐山市丰南区惠民治理服务项目开展工作后，按照合同和实际情况进行付款，结转结余140.2万元</w:t>
      </w:r>
      <w:r>
        <w:rPr>
          <w:rFonts w:hint="default" w:ascii="Times New Roman" w:hAnsi="Times New Roman" w:eastAsia="仿宋_GB2312" w:cs="Times New Roman"/>
          <w:kern w:val="2"/>
          <w:sz w:val="32"/>
          <w:szCs w:val="32"/>
          <w:lang w:val="zh-CN"/>
        </w:rPr>
        <w:t>。</w:t>
      </w:r>
    </w:p>
    <w:p>
      <w:pPr>
        <w:numPr>
          <w:ilvl w:val="0"/>
          <w:numId w:val="0"/>
        </w:numPr>
        <w:autoSpaceDE w:val="0"/>
        <w:autoSpaceDN w:val="0"/>
        <w:adjustRightInd w:val="0"/>
        <w:spacing w:line="580" w:lineRule="exact"/>
        <w:ind w:left="720" w:leftChars="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年度财政拨款支出23,184.1万元，主要用于以下方面：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一般公共服务（类）支出44.01万元，占0.19%；公共安全类（类）支出13,381.31万元，占57.72%；社会保障和就业 （类）支出980.88万元，占4.23%；卫生健康（类）支出511.78万元，占2.21%；住房保障（类）支出406.32万元，占1.75%；其他（类）支出7,859.8万元，占33.9%。</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年度财政拨款基本支出7,400.84万元，其中：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人员经费6648.12万元，主要包括基本工资</w:t>
      </w:r>
      <w:r>
        <w:rPr>
          <w:rFonts w:hint="eastAsia" w:ascii="Times New Roman" w:hAnsi="Times New Roman" w:eastAsia="仿宋_GB2312" w:cs="Times New Roman"/>
          <w:color w:val="auto"/>
          <w:kern w:val="2"/>
          <w:sz w:val="32"/>
          <w:szCs w:val="32"/>
          <w:lang w:val="en-US" w:eastAsia="zh-CN" w:bidi="ar-SA"/>
        </w:rPr>
        <w:t>1403.2万元</w:t>
      </w:r>
      <w:r>
        <w:rPr>
          <w:rFonts w:hint="default" w:ascii="Times New Roman" w:hAnsi="Times New Roman" w:eastAsia="仿宋_GB2312" w:cs="Times New Roman"/>
          <w:color w:val="auto"/>
          <w:kern w:val="2"/>
          <w:sz w:val="32"/>
          <w:szCs w:val="32"/>
          <w:lang w:val="zh-CN" w:eastAsia="zh-CN" w:bidi="ar-SA"/>
        </w:rPr>
        <w:t>、津贴补贴</w:t>
      </w:r>
      <w:r>
        <w:rPr>
          <w:rFonts w:hint="eastAsia" w:ascii="Times New Roman" w:hAnsi="Times New Roman" w:eastAsia="仿宋_GB2312" w:cs="Times New Roman"/>
          <w:color w:val="auto"/>
          <w:kern w:val="2"/>
          <w:sz w:val="32"/>
          <w:szCs w:val="32"/>
          <w:lang w:val="en-US" w:eastAsia="zh-CN" w:bidi="ar-SA"/>
        </w:rPr>
        <w:t>1843.29万元</w:t>
      </w:r>
      <w:r>
        <w:rPr>
          <w:rFonts w:hint="default" w:ascii="Times New Roman" w:hAnsi="Times New Roman" w:eastAsia="仿宋_GB2312" w:cs="Times New Roman"/>
          <w:color w:val="auto"/>
          <w:kern w:val="2"/>
          <w:sz w:val="32"/>
          <w:szCs w:val="32"/>
          <w:lang w:val="zh-CN" w:eastAsia="zh-CN" w:bidi="ar-SA"/>
        </w:rPr>
        <w:t>、奖金</w:t>
      </w:r>
      <w:r>
        <w:rPr>
          <w:rFonts w:hint="eastAsia" w:ascii="Times New Roman" w:hAnsi="Times New Roman" w:eastAsia="仿宋_GB2312" w:cs="Times New Roman"/>
          <w:color w:val="auto"/>
          <w:kern w:val="2"/>
          <w:sz w:val="32"/>
          <w:szCs w:val="32"/>
          <w:lang w:val="en-US" w:eastAsia="zh-CN" w:bidi="ar-SA"/>
        </w:rPr>
        <w:t>859.16万元</w:t>
      </w:r>
      <w:r>
        <w:rPr>
          <w:rFonts w:hint="default" w:ascii="Times New Roman" w:hAnsi="Times New Roman" w:eastAsia="仿宋_GB2312" w:cs="Times New Roman"/>
          <w:color w:val="auto"/>
          <w:kern w:val="2"/>
          <w:sz w:val="32"/>
          <w:szCs w:val="32"/>
          <w:lang w:val="zh-CN" w:eastAsia="zh-CN" w:bidi="ar-SA"/>
        </w:rPr>
        <w:t>、绩效工资</w:t>
      </w:r>
      <w:r>
        <w:rPr>
          <w:rFonts w:hint="eastAsia" w:ascii="Times New Roman" w:hAnsi="Times New Roman" w:eastAsia="仿宋_GB2312" w:cs="Times New Roman"/>
          <w:color w:val="auto"/>
          <w:kern w:val="2"/>
          <w:sz w:val="32"/>
          <w:szCs w:val="32"/>
          <w:lang w:val="en-US" w:eastAsia="zh-CN" w:bidi="ar-SA"/>
        </w:rPr>
        <w:t>227.41万元</w:t>
      </w:r>
      <w:r>
        <w:rPr>
          <w:rFonts w:hint="default" w:ascii="Times New Roman" w:hAnsi="Times New Roman" w:eastAsia="仿宋_GB2312" w:cs="Times New Roman"/>
          <w:color w:val="auto"/>
          <w:kern w:val="2"/>
          <w:sz w:val="32"/>
          <w:szCs w:val="32"/>
          <w:lang w:val="zh-CN" w:eastAsia="zh-CN" w:bidi="ar-SA"/>
        </w:rPr>
        <w:t>、机关事业部门基本养老保险缴费</w:t>
      </w:r>
      <w:r>
        <w:rPr>
          <w:rFonts w:hint="eastAsia" w:ascii="Times New Roman" w:hAnsi="Times New Roman" w:eastAsia="仿宋_GB2312" w:cs="Times New Roman"/>
          <w:color w:val="auto"/>
          <w:kern w:val="2"/>
          <w:sz w:val="32"/>
          <w:szCs w:val="32"/>
          <w:lang w:val="en-US" w:eastAsia="zh-CN" w:bidi="ar-SA"/>
        </w:rPr>
        <w:t>563.04万元</w:t>
      </w:r>
      <w:r>
        <w:rPr>
          <w:rFonts w:hint="default" w:ascii="Times New Roman" w:hAnsi="Times New Roman" w:eastAsia="仿宋_GB2312" w:cs="Times New Roman"/>
          <w:color w:val="auto"/>
          <w:kern w:val="2"/>
          <w:sz w:val="32"/>
          <w:szCs w:val="32"/>
          <w:lang w:val="zh-CN" w:eastAsia="zh-CN" w:bidi="ar-SA"/>
        </w:rPr>
        <w:t>、职工基本医疗保险缴费</w:t>
      </w:r>
      <w:r>
        <w:rPr>
          <w:rFonts w:hint="eastAsia" w:ascii="Times New Roman" w:hAnsi="Times New Roman" w:eastAsia="仿宋_GB2312" w:cs="Times New Roman"/>
          <w:color w:val="auto"/>
          <w:kern w:val="2"/>
          <w:sz w:val="32"/>
          <w:szCs w:val="32"/>
          <w:lang w:val="en-US" w:eastAsia="zh-CN" w:bidi="ar-SA"/>
        </w:rPr>
        <w:t>206.22万元</w:t>
      </w:r>
      <w:r>
        <w:rPr>
          <w:rFonts w:hint="default" w:ascii="Times New Roman" w:hAnsi="Times New Roman" w:eastAsia="仿宋_GB2312" w:cs="Times New Roman"/>
          <w:color w:val="auto"/>
          <w:kern w:val="2"/>
          <w:sz w:val="32"/>
          <w:szCs w:val="32"/>
          <w:lang w:val="zh-CN" w:eastAsia="zh-CN" w:bidi="ar-SA"/>
        </w:rPr>
        <w:t>、公务员医疗补助缴费</w:t>
      </w:r>
      <w:r>
        <w:rPr>
          <w:rFonts w:hint="eastAsia" w:ascii="Times New Roman" w:hAnsi="Times New Roman" w:eastAsia="仿宋_GB2312" w:cs="Times New Roman"/>
          <w:color w:val="auto"/>
          <w:kern w:val="2"/>
          <w:sz w:val="32"/>
          <w:szCs w:val="32"/>
          <w:lang w:val="en-US" w:eastAsia="zh-CN" w:bidi="ar-SA"/>
        </w:rPr>
        <w:t>305.55万元</w:t>
      </w:r>
      <w:r>
        <w:rPr>
          <w:rFonts w:hint="default" w:ascii="Times New Roman" w:hAnsi="Times New Roman" w:eastAsia="仿宋_GB2312" w:cs="Times New Roman"/>
          <w:color w:val="auto"/>
          <w:kern w:val="2"/>
          <w:sz w:val="32"/>
          <w:szCs w:val="32"/>
          <w:lang w:val="zh-CN" w:eastAsia="zh-CN" w:bidi="ar-SA"/>
        </w:rPr>
        <w:t>、住房公积金</w:t>
      </w:r>
      <w:r>
        <w:rPr>
          <w:rFonts w:hint="eastAsia" w:ascii="Times New Roman" w:hAnsi="Times New Roman" w:eastAsia="仿宋_GB2312" w:cs="Times New Roman"/>
          <w:color w:val="auto"/>
          <w:kern w:val="2"/>
          <w:sz w:val="32"/>
          <w:szCs w:val="32"/>
          <w:lang w:val="en-US" w:eastAsia="zh-CN" w:bidi="ar-SA"/>
        </w:rPr>
        <w:t>406.32万元</w:t>
      </w:r>
      <w:r>
        <w:rPr>
          <w:rFonts w:hint="default" w:ascii="Times New Roman" w:hAnsi="Times New Roman" w:eastAsia="仿宋_GB2312" w:cs="Times New Roman"/>
          <w:color w:val="auto"/>
          <w:kern w:val="2"/>
          <w:sz w:val="32"/>
          <w:szCs w:val="32"/>
          <w:lang w:val="zh-CN" w:eastAsia="zh-CN" w:bidi="ar-SA"/>
        </w:rPr>
        <w:t>、其他社会保障缴费</w:t>
      </w:r>
      <w:r>
        <w:rPr>
          <w:rFonts w:hint="eastAsia" w:ascii="Times New Roman" w:hAnsi="Times New Roman" w:eastAsia="仿宋_GB2312" w:cs="Times New Roman"/>
          <w:color w:val="auto"/>
          <w:kern w:val="2"/>
          <w:sz w:val="32"/>
          <w:szCs w:val="32"/>
          <w:lang w:val="en-US" w:eastAsia="zh-CN" w:bidi="ar-SA"/>
        </w:rPr>
        <w:t>17.78万元</w:t>
      </w:r>
      <w:r>
        <w:rPr>
          <w:rFonts w:hint="default" w:ascii="Times New Roman" w:hAnsi="Times New Roman" w:eastAsia="仿宋_GB2312" w:cs="Times New Roman"/>
          <w:color w:val="auto"/>
          <w:kern w:val="2"/>
          <w:sz w:val="32"/>
          <w:szCs w:val="32"/>
          <w:lang w:val="zh-CN" w:eastAsia="zh-CN" w:bidi="ar-SA"/>
        </w:rPr>
        <w:t>、其他工资福利支出</w:t>
      </w:r>
      <w:r>
        <w:rPr>
          <w:rFonts w:hint="eastAsia" w:ascii="Times New Roman" w:hAnsi="Times New Roman" w:eastAsia="仿宋_GB2312" w:cs="Times New Roman"/>
          <w:color w:val="auto"/>
          <w:kern w:val="2"/>
          <w:sz w:val="32"/>
          <w:szCs w:val="32"/>
          <w:lang w:val="en-US" w:eastAsia="zh-CN" w:bidi="ar-SA"/>
        </w:rPr>
        <w:t>243.17万元</w:t>
      </w:r>
      <w:r>
        <w:rPr>
          <w:rFonts w:hint="default" w:ascii="Times New Roman" w:hAnsi="Times New Roman" w:eastAsia="仿宋_GB2312" w:cs="Times New Roman"/>
          <w:color w:val="auto"/>
          <w:kern w:val="2"/>
          <w:sz w:val="32"/>
          <w:szCs w:val="32"/>
          <w:lang w:val="zh-CN" w:eastAsia="zh-CN" w:bidi="ar-SA"/>
        </w:rPr>
        <w:t>、离休费</w:t>
      </w:r>
      <w:r>
        <w:rPr>
          <w:rFonts w:hint="eastAsia" w:ascii="Times New Roman" w:hAnsi="Times New Roman" w:eastAsia="仿宋_GB2312" w:cs="Times New Roman"/>
          <w:color w:val="auto"/>
          <w:kern w:val="2"/>
          <w:sz w:val="32"/>
          <w:szCs w:val="32"/>
          <w:lang w:val="en-US" w:eastAsia="zh-CN" w:bidi="ar-SA"/>
        </w:rPr>
        <w:t>0.16万元</w:t>
      </w:r>
      <w:r>
        <w:rPr>
          <w:rFonts w:hint="default" w:ascii="Times New Roman" w:hAnsi="Times New Roman" w:eastAsia="仿宋_GB2312" w:cs="Times New Roman"/>
          <w:color w:val="auto"/>
          <w:kern w:val="2"/>
          <w:sz w:val="32"/>
          <w:szCs w:val="32"/>
          <w:lang w:val="zh-CN" w:eastAsia="zh-CN" w:bidi="ar-SA"/>
        </w:rPr>
        <w:t>、 退休费</w:t>
      </w:r>
      <w:r>
        <w:rPr>
          <w:rFonts w:hint="eastAsia" w:ascii="Times New Roman" w:hAnsi="Times New Roman" w:eastAsia="仿宋_GB2312" w:cs="Times New Roman"/>
          <w:color w:val="auto"/>
          <w:kern w:val="2"/>
          <w:sz w:val="32"/>
          <w:szCs w:val="32"/>
          <w:lang w:val="en-US" w:eastAsia="zh-CN" w:bidi="ar-SA"/>
        </w:rPr>
        <w:t>443.2万元</w:t>
      </w:r>
      <w:r>
        <w:rPr>
          <w:rFonts w:hint="default" w:ascii="Times New Roman" w:hAnsi="Times New Roman" w:eastAsia="仿宋_GB2312" w:cs="Times New Roman"/>
          <w:color w:val="auto"/>
          <w:kern w:val="2"/>
          <w:sz w:val="32"/>
          <w:szCs w:val="32"/>
          <w:lang w:val="zh-CN" w:eastAsia="zh-CN" w:bidi="ar-SA"/>
        </w:rPr>
        <w:t>、 抚恤金</w:t>
      </w:r>
      <w:r>
        <w:rPr>
          <w:rFonts w:hint="eastAsia" w:ascii="Times New Roman" w:hAnsi="Times New Roman" w:eastAsia="仿宋_GB2312" w:cs="Times New Roman"/>
          <w:color w:val="auto"/>
          <w:kern w:val="2"/>
          <w:sz w:val="32"/>
          <w:szCs w:val="32"/>
          <w:lang w:val="en-US" w:eastAsia="zh-CN" w:bidi="ar-SA"/>
        </w:rPr>
        <w:t>4.63万元</w:t>
      </w:r>
      <w:r>
        <w:rPr>
          <w:rFonts w:hint="default" w:ascii="Times New Roman" w:hAnsi="Times New Roman" w:eastAsia="仿宋_GB2312" w:cs="Times New Roman"/>
          <w:color w:val="auto"/>
          <w:kern w:val="2"/>
          <w:sz w:val="32"/>
          <w:szCs w:val="32"/>
          <w:lang w:val="zh-CN" w:eastAsia="zh-CN" w:bidi="ar-SA"/>
        </w:rPr>
        <w:t>、生活补助</w:t>
      </w:r>
      <w:r>
        <w:rPr>
          <w:rFonts w:hint="eastAsia" w:ascii="Times New Roman" w:hAnsi="Times New Roman" w:eastAsia="仿宋_GB2312" w:cs="Times New Roman"/>
          <w:color w:val="auto"/>
          <w:kern w:val="2"/>
          <w:sz w:val="32"/>
          <w:szCs w:val="32"/>
          <w:lang w:val="en-US" w:eastAsia="zh-CN" w:bidi="ar-SA"/>
        </w:rPr>
        <w:t>116.1万元</w:t>
      </w:r>
      <w:r>
        <w:rPr>
          <w:rFonts w:hint="default" w:ascii="Times New Roman" w:hAnsi="Times New Roman" w:eastAsia="仿宋_GB2312" w:cs="Times New Roman"/>
          <w:color w:val="auto"/>
          <w:kern w:val="2"/>
          <w:sz w:val="32"/>
          <w:szCs w:val="32"/>
          <w:lang w:val="zh-CN" w:eastAsia="zh-CN" w:bidi="ar-SA"/>
        </w:rPr>
        <w:t>、奖励金</w:t>
      </w:r>
      <w:r>
        <w:rPr>
          <w:rFonts w:hint="eastAsia" w:ascii="Times New Roman" w:hAnsi="Times New Roman" w:eastAsia="仿宋_GB2312" w:cs="Times New Roman"/>
          <w:color w:val="auto"/>
          <w:kern w:val="2"/>
          <w:sz w:val="32"/>
          <w:szCs w:val="32"/>
          <w:lang w:val="en-US" w:eastAsia="zh-CN" w:bidi="ar-SA"/>
        </w:rPr>
        <w:t>2.73万元</w:t>
      </w:r>
      <w:r>
        <w:rPr>
          <w:rFonts w:hint="default" w:ascii="Times New Roman" w:hAnsi="Times New Roman" w:eastAsia="仿宋_GB2312" w:cs="Times New Roman"/>
          <w:color w:val="auto"/>
          <w:kern w:val="2"/>
          <w:sz w:val="32"/>
          <w:szCs w:val="32"/>
          <w:lang w:val="zh-CN" w:eastAsia="zh-CN" w:bidi="ar-SA"/>
        </w:rPr>
        <w:t>、其他对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r>
        <w:rPr>
          <w:rFonts w:hint="eastAsia" w:ascii="Times New Roman" w:hAnsi="Times New Roman" w:eastAsia="仿宋_GB2312" w:cs="Times New Roman"/>
          <w:color w:val="auto"/>
          <w:kern w:val="2"/>
          <w:sz w:val="32"/>
          <w:szCs w:val="32"/>
          <w:lang w:val="en-US" w:eastAsia="zh-CN" w:bidi="ar-SA"/>
        </w:rPr>
        <w:t>6.16万元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公用经费752.72万元，主要包括办公费</w:t>
      </w:r>
      <w:r>
        <w:rPr>
          <w:rFonts w:hint="eastAsia" w:ascii="Times New Roman" w:hAnsi="Times New Roman" w:eastAsia="仿宋_GB2312" w:cs="Times New Roman"/>
          <w:color w:val="auto"/>
          <w:kern w:val="2"/>
          <w:sz w:val="32"/>
          <w:szCs w:val="32"/>
          <w:lang w:val="en-US" w:eastAsia="zh-CN" w:bidi="ar-SA"/>
        </w:rPr>
        <w:t>69.99万元</w:t>
      </w:r>
      <w:r>
        <w:rPr>
          <w:rFonts w:hint="default" w:ascii="Times New Roman" w:hAnsi="Times New Roman" w:eastAsia="仿宋_GB2312" w:cs="Times New Roman"/>
          <w:color w:val="auto"/>
          <w:kern w:val="2"/>
          <w:sz w:val="32"/>
          <w:szCs w:val="32"/>
          <w:lang w:val="zh-CN" w:eastAsia="zh-CN" w:bidi="ar-SA"/>
        </w:rPr>
        <w:t>、印刷费</w:t>
      </w:r>
      <w:r>
        <w:rPr>
          <w:rFonts w:hint="eastAsia" w:ascii="Times New Roman" w:hAnsi="Times New Roman" w:eastAsia="仿宋_GB2312" w:cs="Times New Roman"/>
          <w:color w:val="auto"/>
          <w:kern w:val="2"/>
          <w:sz w:val="32"/>
          <w:szCs w:val="32"/>
          <w:lang w:val="en-US" w:eastAsia="zh-CN" w:bidi="ar-SA"/>
        </w:rPr>
        <w:t>20.42万元</w:t>
      </w:r>
      <w:r>
        <w:rPr>
          <w:rFonts w:hint="default" w:ascii="Times New Roman" w:hAnsi="Times New Roman" w:eastAsia="仿宋_GB2312" w:cs="Times New Roman"/>
          <w:color w:val="auto"/>
          <w:kern w:val="2"/>
          <w:sz w:val="32"/>
          <w:szCs w:val="32"/>
          <w:lang w:val="zh-CN" w:eastAsia="zh-CN" w:bidi="ar-SA"/>
        </w:rPr>
        <w:t>、电费</w:t>
      </w:r>
      <w:r>
        <w:rPr>
          <w:rFonts w:hint="eastAsia" w:ascii="Times New Roman" w:hAnsi="Times New Roman" w:eastAsia="仿宋_GB2312" w:cs="Times New Roman"/>
          <w:color w:val="auto"/>
          <w:kern w:val="2"/>
          <w:sz w:val="32"/>
          <w:szCs w:val="32"/>
          <w:lang w:val="en-US" w:eastAsia="zh-CN" w:bidi="ar-SA"/>
        </w:rPr>
        <w:t>84.61万元</w:t>
      </w:r>
      <w:r>
        <w:rPr>
          <w:rFonts w:hint="default" w:ascii="Times New Roman" w:hAnsi="Times New Roman" w:eastAsia="仿宋_GB2312" w:cs="Times New Roman"/>
          <w:color w:val="auto"/>
          <w:kern w:val="2"/>
          <w:sz w:val="32"/>
          <w:szCs w:val="32"/>
          <w:lang w:val="zh-CN" w:eastAsia="zh-CN" w:bidi="ar-SA"/>
        </w:rPr>
        <w:t>、邮电费</w:t>
      </w:r>
      <w:r>
        <w:rPr>
          <w:rFonts w:hint="eastAsia" w:ascii="Times New Roman" w:hAnsi="Times New Roman" w:eastAsia="仿宋_GB2312" w:cs="Times New Roman"/>
          <w:color w:val="auto"/>
          <w:kern w:val="2"/>
          <w:sz w:val="32"/>
          <w:szCs w:val="32"/>
          <w:lang w:val="en-US" w:eastAsia="zh-CN" w:bidi="ar-SA"/>
        </w:rPr>
        <w:t>128.58万元</w:t>
      </w:r>
      <w:r>
        <w:rPr>
          <w:rFonts w:hint="default" w:ascii="Times New Roman" w:hAnsi="Times New Roman" w:eastAsia="仿宋_GB2312" w:cs="Times New Roman"/>
          <w:color w:val="auto"/>
          <w:kern w:val="2"/>
          <w:sz w:val="32"/>
          <w:szCs w:val="32"/>
          <w:lang w:val="zh-CN" w:eastAsia="zh-CN" w:bidi="ar-SA"/>
        </w:rPr>
        <w:t>、取暖费</w:t>
      </w:r>
      <w:r>
        <w:rPr>
          <w:rFonts w:hint="eastAsia" w:ascii="Times New Roman" w:hAnsi="Times New Roman" w:eastAsia="仿宋_GB2312" w:cs="Times New Roman"/>
          <w:color w:val="auto"/>
          <w:kern w:val="2"/>
          <w:sz w:val="32"/>
          <w:szCs w:val="32"/>
          <w:lang w:val="en-US" w:eastAsia="zh-CN" w:bidi="ar-SA"/>
        </w:rPr>
        <w:t>54万元</w:t>
      </w:r>
      <w:r>
        <w:rPr>
          <w:rFonts w:hint="default" w:ascii="Times New Roman" w:hAnsi="Times New Roman" w:eastAsia="仿宋_GB2312" w:cs="Times New Roman"/>
          <w:color w:val="auto"/>
          <w:kern w:val="2"/>
          <w:sz w:val="32"/>
          <w:szCs w:val="32"/>
          <w:lang w:val="zh-CN" w:eastAsia="zh-CN" w:bidi="ar-SA"/>
        </w:rPr>
        <w:t>、物业管理费</w:t>
      </w:r>
      <w:r>
        <w:rPr>
          <w:rFonts w:hint="eastAsia" w:ascii="Times New Roman" w:hAnsi="Times New Roman" w:eastAsia="仿宋_GB2312" w:cs="Times New Roman"/>
          <w:color w:val="auto"/>
          <w:kern w:val="2"/>
          <w:sz w:val="32"/>
          <w:szCs w:val="32"/>
          <w:lang w:val="en-US" w:eastAsia="zh-CN" w:bidi="ar-SA"/>
        </w:rPr>
        <w:t>20.57万元</w:t>
      </w:r>
      <w:r>
        <w:rPr>
          <w:rFonts w:hint="default" w:ascii="Times New Roman" w:hAnsi="Times New Roman" w:eastAsia="仿宋_GB2312" w:cs="Times New Roman"/>
          <w:color w:val="auto"/>
          <w:kern w:val="2"/>
          <w:sz w:val="32"/>
          <w:szCs w:val="32"/>
          <w:lang w:val="zh-CN" w:eastAsia="zh-CN" w:bidi="ar-SA"/>
        </w:rPr>
        <w:t>、差旅费</w:t>
      </w:r>
      <w:r>
        <w:rPr>
          <w:rFonts w:hint="eastAsia" w:ascii="Times New Roman" w:hAnsi="Times New Roman" w:eastAsia="仿宋_GB2312" w:cs="Times New Roman"/>
          <w:color w:val="auto"/>
          <w:kern w:val="2"/>
          <w:sz w:val="32"/>
          <w:szCs w:val="32"/>
          <w:lang w:val="en-US" w:eastAsia="zh-CN" w:bidi="ar-SA"/>
        </w:rPr>
        <w:t>1.97万元</w:t>
      </w:r>
      <w:r>
        <w:rPr>
          <w:rFonts w:hint="default" w:ascii="Times New Roman" w:hAnsi="Times New Roman" w:eastAsia="仿宋_GB2312" w:cs="Times New Roman"/>
          <w:color w:val="auto"/>
          <w:kern w:val="2"/>
          <w:sz w:val="32"/>
          <w:szCs w:val="32"/>
          <w:lang w:val="zh-CN" w:eastAsia="zh-CN" w:bidi="ar-SA"/>
        </w:rPr>
        <w:t>、维修（护）费</w:t>
      </w:r>
      <w:r>
        <w:rPr>
          <w:rFonts w:hint="eastAsia" w:ascii="Times New Roman" w:hAnsi="Times New Roman" w:eastAsia="仿宋_GB2312" w:cs="Times New Roman"/>
          <w:color w:val="auto"/>
          <w:kern w:val="2"/>
          <w:sz w:val="32"/>
          <w:szCs w:val="32"/>
          <w:lang w:val="en-US" w:eastAsia="zh-CN" w:bidi="ar-SA"/>
        </w:rPr>
        <w:t>47.61万元</w:t>
      </w:r>
      <w:r>
        <w:rPr>
          <w:rFonts w:hint="default" w:ascii="Times New Roman" w:hAnsi="Times New Roman" w:eastAsia="仿宋_GB2312" w:cs="Times New Roman"/>
          <w:color w:val="auto"/>
          <w:kern w:val="2"/>
          <w:sz w:val="32"/>
          <w:szCs w:val="32"/>
          <w:lang w:val="zh-CN" w:eastAsia="zh-CN" w:bidi="ar-SA"/>
        </w:rPr>
        <w:t>、劳务费</w:t>
      </w:r>
      <w:r>
        <w:rPr>
          <w:rFonts w:hint="eastAsia" w:ascii="Times New Roman" w:hAnsi="Times New Roman" w:eastAsia="仿宋_GB2312" w:cs="Times New Roman"/>
          <w:color w:val="auto"/>
          <w:kern w:val="2"/>
          <w:sz w:val="32"/>
          <w:szCs w:val="32"/>
          <w:lang w:val="en-US" w:eastAsia="zh-CN" w:bidi="ar-SA"/>
        </w:rPr>
        <w:t>3.35万元</w:t>
      </w:r>
      <w:r>
        <w:rPr>
          <w:rFonts w:hint="default" w:ascii="Times New Roman" w:hAnsi="Times New Roman" w:eastAsia="仿宋_GB2312" w:cs="Times New Roman"/>
          <w:color w:val="auto"/>
          <w:kern w:val="2"/>
          <w:sz w:val="32"/>
          <w:szCs w:val="32"/>
          <w:lang w:val="zh-CN" w:eastAsia="zh-CN" w:bidi="ar-SA"/>
        </w:rPr>
        <w:t>、委托业务费</w:t>
      </w:r>
      <w:r>
        <w:rPr>
          <w:rFonts w:hint="eastAsia" w:ascii="Times New Roman" w:hAnsi="Times New Roman" w:eastAsia="仿宋_GB2312" w:cs="Times New Roman"/>
          <w:color w:val="auto"/>
          <w:kern w:val="2"/>
          <w:sz w:val="32"/>
          <w:szCs w:val="32"/>
          <w:lang w:val="en-US" w:eastAsia="zh-CN" w:bidi="ar-SA"/>
        </w:rPr>
        <w:t>19.5万元</w:t>
      </w:r>
      <w:r>
        <w:rPr>
          <w:rFonts w:hint="default" w:ascii="Times New Roman" w:hAnsi="Times New Roman" w:eastAsia="仿宋_GB2312" w:cs="Times New Roman"/>
          <w:color w:val="auto"/>
          <w:kern w:val="2"/>
          <w:sz w:val="32"/>
          <w:szCs w:val="32"/>
          <w:lang w:val="zh-CN" w:eastAsia="zh-CN" w:bidi="ar-SA"/>
        </w:rPr>
        <w:t>、工会经费</w:t>
      </w:r>
      <w:r>
        <w:rPr>
          <w:rFonts w:hint="eastAsia" w:ascii="Times New Roman" w:hAnsi="Times New Roman" w:eastAsia="仿宋_GB2312" w:cs="Times New Roman"/>
          <w:color w:val="auto"/>
          <w:kern w:val="2"/>
          <w:sz w:val="32"/>
          <w:szCs w:val="32"/>
          <w:lang w:val="en-US" w:eastAsia="zh-CN" w:bidi="ar-SA"/>
        </w:rPr>
        <w:t>23.66万元</w:t>
      </w:r>
      <w:r>
        <w:rPr>
          <w:rFonts w:hint="default" w:ascii="Times New Roman" w:hAnsi="Times New Roman" w:eastAsia="仿宋_GB2312" w:cs="Times New Roman"/>
          <w:color w:val="auto"/>
          <w:kern w:val="2"/>
          <w:sz w:val="32"/>
          <w:szCs w:val="32"/>
          <w:lang w:val="zh-CN" w:eastAsia="zh-CN" w:bidi="ar-SA"/>
        </w:rPr>
        <w:t>、福利费</w:t>
      </w:r>
      <w:r>
        <w:rPr>
          <w:rFonts w:hint="eastAsia" w:ascii="Times New Roman" w:hAnsi="Times New Roman" w:eastAsia="仿宋_GB2312" w:cs="Times New Roman"/>
          <w:color w:val="auto"/>
          <w:kern w:val="2"/>
          <w:sz w:val="32"/>
          <w:szCs w:val="32"/>
          <w:lang w:val="en-US" w:eastAsia="zh-CN" w:bidi="ar-SA"/>
        </w:rPr>
        <w:t>50.84万元</w:t>
      </w:r>
      <w:r>
        <w:rPr>
          <w:rFonts w:hint="default" w:ascii="Times New Roman" w:hAnsi="Times New Roman" w:eastAsia="仿宋_GB2312" w:cs="Times New Roman"/>
          <w:color w:val="auto"/>
          <w:kern w:val="2"/>
          <w:sz w:val="32"/>
          <w:szCs w:val="32"/>
          <w:lang w:val="zh-CN" w:eastAsia="zh-CN" w:bidi="ar-SA"/>
        </w:rPr>
        <w:t>、公务用车运行维护费</w:t>
      </w:r>
      <w:r>
        <w:rPr>
          <w:rFonts w:hint="eastAsia" w:ascii="Times New Roman" w:hAnsi="Times New Roman" w:eastAsia="仿宋_GB2312" w:cs="Times New Roman"/>
          <w:color w:val="auto"/>
          <w:kern w:val="2"/>
          <w:sz w:val="32"/>
          <w:szCs w:val="32"/>
          <w:lang w:val="en-US" w:eastAsia="zh-CN" w:bidi="ar-SA"/>
        </w:rPr>
        <w:t>31.56万元</w:t>
      </w:r>
      <w:r>
        <w:rPr>
          <w:rFonts w:hint="default" w:ascii="Times New Roman" w:hAnsi="Times New Roman" w:eastAsia="仿宋_GB2312" w:cs="Times New Roman"/>
          <w:color w:val="auto"/>
          <w:kern w:val="2"/>
          <w:sz w:val="32"/>
          <w:szCs w:val="32"/>
          <w:lang w:val="zh-CN" w:eastAsia="zh-CN" w:bidi="ar-SA"/>
        </w:rPr>
        <w:t>、其他交通费用</w:t>
      </w:r>
      <w:r>
        <w:rPr>
          <w:rFonts w:hint="eastAsia" w:ascii="Times New Roman" w:hAnsi="Times New Roman" w:eastAsia="仿宋_GB2312" w:cs="Times New Roman"/>
          <w:color w:val="auto"/>
          <w:kern w:val="2"/>
          <w:sz w:val="32"/>
          <w:szCs w:val="32"/>
          <w:lang w:val="en-US" w:eastAsia="zh-CN" w:bidi="ar-SA"/>
        </w:rPr>
        <w:t>192.49万元</w:t>
      </w:r>
      <w:r>
        <w:rPr>
          <w:rFonts w:hint="default" w:ascii="Times New Roman" w:hAnsi="Times New Roman" w:eastAsia="仿宋_GB2312" w:cs="Times New Roman"/>
          <w:color w:val="auto"/>
          <w:kern w:val="2"/>
          <w:sz w:val="32"/>
          <w:szCs w:val="32"/>
          <w:lang w:val="zh-CN" w:eastAsia="zh-CN" w:bidi="ar-SA"/>
        </w:rPr>
        <w:t>、其他商品和服务支出</w:t>
      </w:r>
      <w:r>
        <w:rPr>
          <w:rFonts w:hint="eastAsia" w:ascii="Times New Roman" w:hAnsi="Times New Roman" w:eastAsia="仿宋_GB2312" w:cs="Times New Roman"/>
          <w:color w:val="auto"/>
          <w:kern w:val="2"/>
          <w:sz w:val="32"/>
          <w:szCs w:val="32"/>
          <w:lang w:val="en-US" w:eastAsia="zh-CN" w:bidi="ar-SA"/>
        </w:rPr>
        <w:t>1.01万元</w:t>
      </w:r>
      <w:r>
        <w:rPr>
          <w:rFonts w:hint="default" w:ascii="Times New Roman" w:hAnsi="Times New Roman" w:eastAsia="仿宋_GB2312" w:cs="Times New Roman"/>
          <w:color w:val="auto"/>
          <w:kern w:val="2"/>
          <w:sz w:val="32"/>
          <w:szCs w:val="32"/>
          <w:lang w:val="zh-CN" w:eastAsia="zh-CN" w:bidi="ar-SA"/>
        </w:rPr>
        <w:t>、办公设备购置</w:t>
      </w:r>
      <w:r>
        <w:rPr>
          <w:rFonts w:hint="eastAsia" w:ascii="Times New Roman" w:hAnsi="Times New Roman" w:eastAsia="仿宋_GB2312" w:cs="Times New Roman"/>
          <w:color w:val="auto"/>
          <w:kern w:val="2"/>
          <w:sz w:val="32"/>
          <w:szCs w:val="32"/>
          <w:lang w:val="en-US" w:eastAsia="zh-CN" w:bidi="ar-SA"/>
        </w:rPr>
        <w:t>2.56万元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年度“三公”经费财政拨款支出预算为83.77万元，支出决算为 71.01万元，完成预算的 84.76%，较预算减少</w:t>
      </w:r>
      <w:r>
        <w:rPr>
          <w:rFonts w:hint="eastAsia" w:ascii="Times New Roman" w:hAnsi="Times New Roman" w:eastAsia="仿宋_GB2312" w:cs="Times New Roman"/>
          <w:color w:val="auto"/>
          <w:kern w:val="2"/>
          <w:sz w:val="32"/>
          <w:szCs w:val="32"/>
          <w:lang w:val="en-US" w:eastAsia="zh-CN" w:bidi="ar-SA"/>
        </w:rPr>
        <w:t>12.76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15.23</w:t>
      </w:r>
      <w:r>
        <w:rPr>
          <w:rFonts w:hint="default" w:ascii="Times New Roman" w:hAnsi="Times New Roman" w:eastAsia="仿宋_GB2312" w:cs="Times New Roman"/>
          <w:color w:val="auto"/>
          <w:kern w:val="2"/>
          <w:sz w:val="32"/>
          <w:szCs w:val="32"/>
          <w:lang w:val="zh-CN" w:eastAsia="zh-CN" w:bidi="ar-SA"/>
        </w:rPr>
        <w:t>%，主要是；较2022年度决算减少</w:t>
      </w:r>
      <w:r>
        <w:rPr>
          <w:rFonts w:hint="eastAsia" w:ascii="Times New Roman" w:hAnsi="Times New Roman" w:eastAsia="仿宋_GB2312" w:cs="Times New Roman"/>
          <w:color w:val="auto"/>
          <w:kern w:val="2"/>
          <w:sz w:val="32"/>
          <w:szCs w:val="32"/>
          <w:lang w:val="en-US" w:eastAsia="zh-CN" w:bidi="ar-SA"/>
        </w:rPr>
        <w:t>53.03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42.75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2023年公务用车购置相较于2022年减少了两辆</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2023年度因公出国（境）费支出预算为0万元,支出决算0万元。完成预算的00。因公出国（境）费支出较预算增加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年度公务用车购置及运行维护费预算为77.43万元，支出决算 71.01万元，完成预算的91.7%,较预算减少</w:t>
      </w:r>
      <w:r>
        <w:rPr>
          <w:rFonts w:hint="eastAsia" w:ascii="Times New Roman" w:hAnsi="Times New Roman" w:eastAsia="仿宋_GB2312" w:cs="Times New Roman"/>
          <w:color w:val="auto"/>
          <w:kern w:val="2"/>
          <w:sz w:val="32"/>
          <w:szCs w:val="32"/>
          <w:lang w:val="en-US" w:eastAsia="zh-CN" w:bidi="ar-SA"/>
        </w:rPr>
        <w:t>6.42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8.29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公车运维修车款退回</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53.03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42.75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公务用车购置较去年减少两辆</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25.15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年度公务用车购置量2辆，发生“公务用车购置”经费支出 25.15万元。公务用车购置费支出较预算</w:t>
      </w:r>
      <w:r>
        <w:rPr>
          <w:rFonts w:hint="eastAsia" w:ascii="Times New Roman" w:hAnsi="Times New Roman" w:eastAsia="仿宋_GB2312" w:cs="Times New Roman"/>
          <w:color w:val="auto"/>
          <w:kern w:val="2"/>
          <w:sz w:val="32"/>
          <w:szCs w:val="32"/>
          <w:lang w:val="en-US" w:eastAsia="zh-CN" w:bidi="ar-SA"/>
        </w:rPr>
        <w:t>25.21万元</w:t>
      </w:r>
      <w:r>
        <w:rPr>
          <w:rFonts w:hint="default" w:ascii="Times New Roman" w:hAnsi="Times New Roman" w:eastAsia="仿宋_GB2312" w:cs="Times New Roman"/>
          <w:color w:val="auto"/>
          <w:kern w:val="2"/>
          <w:sz w:val="32"/>
          <w:szCs w:val="32"/>
          <w:lang w:val="zh-CN" w:eastAsia="zh-CN" w:bidi="ar-SA"/>
        </w:rPr>
        <w:t>减</w:t>
      </w:r>
      <w:r>
        <w:rPr>
          <w:rFonts w:hint="eastAsia" w:ascii="Times New Roman" w:hAnsi="Times New Roman" w:eastAsia="仿宋_GB2312" w:cs="Times New Roman"/>
          <w:color w:val="auto"/>
          <w:kern w:val="2"/>
          <w:sz w:val="32"/>
          <w:szCs w:val="32"/>
          <w:lang w:val="en-US" w:eastAsia="zh-CN" w:bidi="ar-SA"/>
        </w:rPr>
        <w:t>0.06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0.24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公务用车购置费用未完全支出，有退回款项</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24.85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49.7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比上年购置车辆少两辆</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45.86</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年度单位公务用车保有量102辆，发生运行维护费支出45.86万元。公车运行维护费支出较预算</w:t>
      </w:r>
      <w:r>
        <w:rPr>
          <w:rFonts w:hint="eastAsia" w:ascii="Times New Roman" w:hAnsi="Times New Roman" w:eastAsia="仿宋_GB2312" w:cs="Times New Roman"/>
          <w:color w:val="auto"/>
          <w:kern w:val="2"/>
          <w:sz w:val="32"/>
          <w:szCs w:val="32"/>
          <w:lang w:val="en-US" w:eastAsia="zh-CN" w:bidi="ar-SA"/>
        </w:rPr>
        <w:t>52.22万元</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6.36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12.18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修车款退回</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28.18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22.72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新车修车款退回</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年度公务接待费支出预算为6.34万元，支出决算0万元，完成预算的0%。公务接待费支出较预算</w:t>
      </w:r>
      <w:r>
        <w:rPr>
          <w:rFonts w:hint="eastAsia" w:ascii="Times New Roman" w:hAnsi="Times New Roman" w:eastAsia="仿宋_GB2312" w:cs="Times New Roman"/>
          <w:color w:val="auto"/>
          <w:kern w:val="2"/>
          <w:sz w:val="32"/>
          <w:szCs w:val="32"/>
          <w:lang w:val="en-US" w:eastAsia="zh-CN" w:bidi="ar-SA"/>
        </w:rPr>
        <w:t>减少6.34</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降低100</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无公务接待支出</w:t>
      </w:r>
      <w:r>
        <w:rPr>
          <w:rFonts w:hint="default" w:ascii="Times New Roman" w:hAnsi="Times New Roman" w:eastAsia="仿宋_GB2312" w:cs="Times New Roman"/>
          <w:color w:val="auto"/>
          <w:kern w:val="2"/>
          <w:sz w:val="32"/>
          <w:szCs w:val="32"/>
          <w:lang w:val="zh-CN" w:eastAsia="zh-CN" w:bidi="ar-SA"/>
        </w:rPr>
        <w:t>。</w:t>
      </w:r>
      <w:r>
        <w:rPr>
          <w:rFonts w:hint="eastAsia" w:ascii="仿宋_GB2312" w:eastAsia="仿宋_GB2312" w:cs="Wingdings"/>
          <w:sz w:val="32"/>
          <w:szCs w:val="32"/>
        </w:rPr>
        <w:t>与20</w:t>
      </w:r>
      <w:r>
        <w:rPr>
          <w:rFonts w:hint="eastAsia" w:ascii="仿宋_GB2312" w:eastAsia="仿宋_GB2312" w:cs="Wingdings"/>
          <w:sz w:val="32"/>
          <w:szCs w:val="32"/>
          <w:lang w:val="en-US" w:eastAsia="zh-CN"/>
        </w:rPr>
        <w:t>22</w:t>
      </w:r>
      <w:r>
        <w:rPr>
          <w:rFonts w:hint="eastAsia" w:ascii="仿宋_GB2312" w:eastAsia="仿宋_GB2312" w:cs="Wingdings"/>
          <w:sz w:val="32"/>
          <w:szCs w:val="32"/>
        </w:rPr>
        <w:t>年度决算支出持平，</w:t>
      </w:r>
      <w:r>
        <w:rPr>
          <w:rFonts w:hint="eastAsia" w:ascii="仿宋_GB2312" w:hAnsi="Times New Roman" w:eastAsia="仿宋_GB2312" w:cs="DengXian-Regular"/>
          <w:sz w:val="32"/>
          <w:szCs w:val="32"/>
        </w:rPr>
        <w:t>无增减变化</w:t>
      </w:r>
      <w:r>
        <w:rPr>
          <w:rFonts w:hint="eastAsia" w:ascii="仿宋_GB2312" w:eastAsia="仿宋_GB2312" w:cs="DengXian-Regular"/>
          <w:sz w:val="32"/>
          <w:szCs w:val="32"/>
          <w:lang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年度机关运行经费支出752.72万元，较2022年度</w:t>
      </w:r>
      <w:r>
        <w:rPr>
          <w:rFonts w:hint="default" w:ascii="Times New Roman" w:hAnsi="Times New Roman" w:eastAsia="仿宋_GB2312" w:cs="Times New Roman"/>
          <w:sz w:val="32"/>
          <w:szCs w:val="32"/>
          <w:lang w:val="en-US" w:eastAsia="zh-CN"/>
        </w:rPr>
        <w:t>789.53万元</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36.81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4.66</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机关职能增加，物价上涨，导致运行经费增加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年度政府采购支出总额2,512.7万元，从采购类型来看，政府采购货物支出1,120.34万元、政府采购工程支出0万元、政府采购服务支出1,392.36万元。授予中小企业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2,278.72万元，占政府采购支出总额的90.69%，其中授予小微企业合同金额1,686.69万元，占政府采购支出总额的67.13%</w:t>
      </w:r>
      <w:r>
        <w:rPr>
          <w:rFonts w:hint="eastAsia" w:ascii="Times New Roman" w:hAnsi="Times New Roman" w:eastAsia="仿宋_GB2312" w:cs="Times New Roman"/>
          <w:color w:val="auto"/>
          <w:kern w:val="2"/>
          <w:sz w:val="32"/>
          <w:szCs w:val="32"/>
          <w:lang w:val="zh-CN" w:eastAsia="zh-CN" w:bidi="ar-SA"/>
        </w:rPr>
        <w:t>。</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年12月31日，本单位共有车辆125辆，</w:t>
      </w:r>
      <w:r>
        <w:rPr>
          <w:rFonts w:hint="eastAsia" w:ascii="Times New Roman" w:hAnsi="Times New Roman" w:eastAsia="仿宋_GB2312" w:cs="Times New Roman"/>
          <w:color w:val="auto"/>
          <w:kern w:val="2"/>
          <w:sz w:val="32"/>
          <w:szCs w:val="32"/>
          <w:lang w:val="en-US" w:eastAsia="zh-CN" w:bidi="ar-SA"/>
        </w:rPr>
        <w:t>报废警车2辆，新增警车2辆，</w:t>
      </w:r>
      <w:r>
        <w:rPr>
          <w:rFonts w:hint="default" w:ascii="Times New Roman" w:hAnsi="Times New Roman" w:eastAsia="仿宋_GB2312" w:cs="Times New Roman"/>
          <w:color w:val="auto"/>
          <w:kern w:val="2"/>
          <w:sz w:val="32"/>
          <w:szCs w:val="32"/>
          <w:lang w:val="zh-CN" w:eastAsia="zh-CN" w:bidi="ar-SA"/>
        </w:rPr>
        <w:t>比上年增加</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en-US" w:eastAsia="zh-CN" w:bidi="ar-SA"/>
        </w:rPr>
        <w:t>原消防车未计入车辆系统，2023年统一录入</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用车0辆，机要通信用车0辆，应急保障用车2辆，执法执勤用车62辆，特种专业技术用车39辆，离退休干部用车0辆，其他用车22辆，其他用车主要是</w:t>
      </w:r>
      <w:r>
        <w:rPr>
          <w:rFonts w:hint="eastAsia" w:ascii="仿宋_GB2312" w:hAnsi="Times New Roman" w:eastAsia="仿宋_GB2312" w:cs="DengXian-Regular"/>
          <w:sz w:val="32"/>
          <w:szCs w:val="32"/>
          <w:lang w:eastAsia="zh-CN"/>
        </w:rPr>
        <w:t>消防宣传车、</w:t>
      </w:r>
      <w:r>
        <w:rPr>
          <w:rFonts w:hint="eastAsia" w:ascii="仿宋_GB2312" w:hAnsi="Times New Roman" w:eastAsia="仿宋_GB2312" w:cs="DengXian-Regular"/>
          <w:sz w:val="32"/>
          <w:szCs w:val="32"/>
          <w:lang w:val="en-US" w:eastAsia="zh-CN"/>
        </w:rPr>
        <w:t>电动巡逻车等。</w:t>
      </w:r>
      <w:r>
        <w:rPr>
          <w:rFonts w:hint="default" w:ascii="Times New Roman" w:hAnsi="Times New Roman" w:eastAsia="仿宋_GB2312" w:cs="Times New Roman"/>
          <w:color w:val="auto"/>
          <w:kern w:val="2"/>
          <w:sz w:val="32"/>
          <w:szCs w:val="32"/>
          <w:lang w:val="zh-CN" w:eastAsia="zh-CN" w:bidi="ar-SA"/>
        </w:rPr>
        <w:t>单位价值100万元（含）以上设备（不含车辆）8台（套）。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w:t>
      </w:r>
      <w:r>
        <w:rPr>
          <w:rFonts w:hint="eastAsia" w:ascii="Times New Roman" w:hAnsi="Times New Roman" w:eastAsia="仿宋_GB2312" w:cs="Times New Roman"/>
          <w:color w:val="auto"/>
          <w:kern w:val="2"/>
          <w:sz w:val="32"/>
          <w:szCs w:val="32"/>
          <w:lang w:val="en-US" w:eastAsia="zh-CN" w:bidi="ar-SA"/>
        </w:rPr>
        <w:t>包括劳务派遣人员经费（劳务费）4392万元和网络租赁费206.45万元， 社会治安科技防范系统二期费用335.46万元， 智慧平安社区建设项目资金299.90万元，合计5233.81万元。</w:t>
      </w:r>
      <w:r>
        <w:rPr>
          <w:rFonts w:hint="default" w:ascii="Times New Roman" w:hAnsi="Times New Roman" w:eastAsia="仿宋_GB2312" w:cs="Times New Roman"/>
          <w:color w:val="auto"/>
          <w:kern w:val="2"/>
          <w:sz w:val="32"/>
          <w:szCs w:val="32"/>
          <w:lang w:val="zh-CN" w:eastAsia="zh-CN" w:bidi="ar-SA"/>
        </w:rPr>
        <w:t>二级项目</w:t>
      </w:r>
      <w:r>
        <w:rPr>
          <w:rFonts w:hint="eastAsia" w:ascii="Times New Roman" w:hAnsi="Times New Roman" w:eastAsia="仿宋_GB2312" w:cs="Times New Roman"/>
          <w:color w:val="auto"/>
          <w:kern w:val="2"/>
          <w:sz w:val="32"/>
          <w:szCs w:val="32"/>
          <w:lang w:val="en-US" w:eastAsia="zh-CN" w:bidi="ar-SA"/>
        </w:rPr>
        <w:t>38</w:t>
      </w:r>
      <w:r>
        <w:rPr>
          <w:rFonts w:hint="default" w:ascii="Times New Roman" w:hAnsi="Times New Roman" w:eastAsia="仿宋_GB2312" w:cs="Times New Roman"/>
          <w:color w:val="auto"/>
          <w:kern w:val="2"/>
          <w:sz w:val="32"/>
          <w:szCs w:val="32"/>
          <w:lang w:val="zh-CN" w:eastAsia="zh-CN" w:bidi="ar-SA"/>
        </w:rPr>
        <w:t>个，</w:t>
      </w:r>
      <w:r>
        <w:rPr>
          <w:rFonts w:hint="eastAsia" w:ascii="Times New Roman" w:hAnsi="Times New Roman" w:eastAsia="仿宋_GB2312" w:cs="Times New Roman"/>
          <w:color w:val="auto"/>
          <w:kern w:val="2"/>
          <w:sz w:val="32"/>
          <w:szCs w:val="32"/>
          <w:lang w:val="en-US" w:eastAsia="zh-CN" w:bidi="ar-SA"/>
        </w:rPr>
        <w:t>一级项目和二级项目</w:t>
      </w:r>
      <w:r>
        <w:rPr>
          <w:rFonts w:hint="default" w:ascii="Times New Roman" w:hAnsi="Times New Roman" w:eastAsia="仿宋_GB2312" w:cs="Times New Roman"/>
          <w:color w:val="auto"/>
          <w:kern w:val="2"/>
          <w:sz w:val="32"/>
          <w:szCs w:val="32"/>
          <w:lang w:val="zh-CN" w:eastAsia="zh-CN" w:bidi="ar-SA"/>
        </w:rPr>
        <w:t>共涉及资金</w:t>
      </w:r>
      <w:r>
        <w:rPr>
          <w:rFonts w:hint="eastAsia" w:ascii="Times New Roman" w:hAnsi="Times New Roman" w:eastAsia="仿宋_GB2312" w:cs="Times New Roman"/>
          <w:color w:val="auto"/>
          <w:kern w:val="2"/>
          <w:sz w:val="32"/>
          <w:szCs w:val="32"/>
          <w:lang w:val="en-US" w:eastAsia="zh-CN" w:bidi="ar-SA"/>
        </w:rPr>
        <w:t>7877.6</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99.71</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唐山市丰南区社会治理惠民服务项目1</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7859.8</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劳务派遣人员经费、</w:t>
      </w:r>
      <w:r>
        <w:rPr>
          <w:rFonts w:hint="default" w:ascii="Times New Roman" w:hAnsi="Times New Roman" w:eastAsia="仿宋_GB2312" w:cs="Times New Roman"/>
          <w:color w:val="auto"/>
          <w:kern w:val="2"/>
          <w:sz w:val="32"/>
          <w:szCs w:val="32"/>
          <w:lang w:val="en-US" w:eastAsia="zh-CN" w:bidi="ar-SA"/>
        </w:rPr>
        <w:t>网络租赁费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5233.81</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7859.8</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default" w:ascii="Times New Roman" w:hAnsi="Times New Roman" w:eastAsia="仿宋_GB2312" w:cs="Times New Roman"/>
          <w:sz w:val="32"/>
          <w:szCs w:val="32"/>
        </w:rPr>
        <w:t>基本实现了年初预算制定的预算绩效目标。经过绩效自评工作，我单位共有一般自评项目</w:t>
      </w:r>
      <w:r>
        <w:rPr>
          <w:rFonts w:hint="default" w:ascii="Times New Roman" w:hAnsi="Times New Roman" w:eastAsia="仿宋_GB2312" w:cs="Times New Roman"/>
          <w:sz w:val="32"/>
          <w:szCs w:val="32"/>
          <w:lang w:val="en-US" w:eastAsia="zh-CN"/>
        </w:rPr>
        <w:t>38</w:t>
      </w:r>
      <w:r>
        <w:rPr>
          <w:rFonts w:hint="default" w:ascii="Times New Roman" w:hAnsi="Times New Roman" w:eastAsia="仿宋_GB2312" w:cs="Times New Roman"/>
          <w:sz w:val="32"/>
          <w:szCs w:val="32"/>
        </w:rPr>
        <w:t>个，重点评价项目</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个，其中超过200万元资金的项目</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个。超过200万元资金的项目</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个包括：</w:t>
      </w:r>
      <w:r>
        <w:rPr>
          <w:rFonts w:hint="eastAsia" w:ascii="Times New Roman" w:hAnsi="Times New Roman" w:eastAsia="仿宋_GB2312" w:cs="Times New Roman"/>
          <w:sz w:val="32"/>
          <w:szCs w:val="32"/>
          <w:lang w:val="en-US" w:eastAsia="zh-CN"/>
        </w:rPr>
        <w:t>公安局</w:t>
      </w:r>
      <w:r>
        <w:rPr>
          <w:rFonts w:hint="default" w:ascii="Times New Roman" w:hAnsi="Times New Roman" w:eastAsia="仿宋_GB2312" w:cs="Times New Roman"/>
          <w:color w:val="auto"/>
          <w:kern w:val="2"/>
          <w:sz w:val="32"/>
          <w:szCs w:val="32"/>
          <w:lang w:val="en-US" w:eastAsia="zh-CN" w:bidi="ar-SA"/>
        </w:rPr>
        <w:t>劳务派遣人员经费（劳务费）预算金额4392万元，到位执行金额4392万元，</w:t>
      </w:r>
      <w:r>
        <w:rPr>
          <w:rFonts w:hint="default" w:ascii="Times New Roman" w:hAnsi="Times New Roman" w:eastAsia="仿宋_GB2312" w:cs="Times New Roman"/>
          <w:sz w:val="32"/>
          <w:szCs w:val="32"/>
        </w:rPr>
        <w:t>预算执行率为100%</w:t>
      </w:r>
      <w:r>
        <w:rPr>
          <w:rFonts w:hint="default" w:ascii="Times New Roman" w:hAnsi="Times New Roman" w:eastAsia="仿宋_GB2312" w:cs="Times New Roman"/>
          <w:color w:val="auto"/>
          <w:kern w:val="2"/>
          <w:sz w:val="32"/>
          <w:szCs w:val="32"/>
          <w:lang w:val="en-US" w:eastAsia="zh-CN" w:bidi="ar-SA"/>
        </w:rPr>
        <w:t>；网络租赁费预算金额206.45万元，到位执行金额206.45万元，</w:t>
      </w:r>
      <w:r>
        <w:rPr>
          <w:rFonts w:hint="default" w:ascii="Times New Roman" w:hAnsi="Times New Roman" w:eastAsia="仿宋_GB2312" w:cs="Times New Roman"/>
          <w:sz w:val="32"/>
          <w:szCs w:val="32"/>
        </w:rPr>
        <w:t>预算执行率为100%</w:t>
      </w:r>
      <w:r>
        <w:rPr>
          <w:rFonts w:hint="default" w:ascii="Times New Roman" w:hAnsi="Times New Roman" w:eastAsia="仿宋_GB2312" w:cs="Times New Roman"/>
          <w:color w:val="auto"/>
          <w:kern w:val="2"/>
          <w:sz w:val="32"/>
          <w:szCs w:val="32"/>
          <w:lang w:val="en-US" w:eastAsia="zh-CN" w:bidi="ar-SA"/>
        </w:rPr>
        <w:t>；社会治安科技防范系统二期费用预算金额335.46万元，到位执行金额335.46万元，</w:t>
      </w:r>
      <w:r>
        <w:rPr>
          <w:rFonts w:hint="default" w:ascii="Times New Roman" w:hAnsi="Times New Roman" w:eastAsia="仿宋_GB2312" w:cs="Times New Roman"/>
          <w:sz w:val="32"/>
          <w:szCs w:val="32"/>
        </w:rPr>
        <w:t>预算执行率为100%</w:t>
      </w:r>
      <w:r>
        <w:rPr>
          <w:rFonts w:hint="default" w:ascii="Times New Roman" w:hAnsi="Times New Roman" w:eastAsia="仿宋_GB2312" w:cs="Times New Roman"/>
          <w:color w:val="auto"/>
          <w:kern w:val="2"/>
          <w:sz w:val="32"/>
          <w:szCs w:val="32"/>
          <w:lang w:val="en-US" w:eastAsia="zh-CN" w:bidi="ar-SA"/>
        </w:rPr>
        <w:t>；智慧平安社区建设项目资金</w:t>
      </w:r>
      <w:r>
        <w:rPr>
          <w:rFonts w:hint="default" w:ascii="Times New Roman" w:hAnsi="Times New Roman" w:eastAsia="仿宋_GB2312" w:cs="Times New Roman"/>
          <w:sz w:val="32"/>
          <w:szCs w:val="32"/>
        </w:rPr>
        <w:t>预算金额为</w:t>
      </w:r>
      <w:r>
        <w:rPr>
          <w:rFonts w:hint="eastAsia" w:ascii="Times New Roman" w:hAnsi="Times New Roman" w:eastAsia="仿宋_GB2312" w:cs="Times New Roman"/>
          <w:sz w:val="32"/>
          <w:szCs w:val="32"/>
          <w:lang w:val="en-US" w:eastAsia="zh-CN"/>
        </w:rPr>
        <w:t>300</w:t>
      </w:r>
      <w:r>
        <w:rPr>
          <w:rFonts w:hint="default" w:ascii="Times New Roman" w:hAnsi="Times New Roman" w:eastAsia="仿宋_GB2312" w:cs="Times New Roman"/>
          <w:sz w:val="32"/>
          <w:szCs w:val="32"/>
        </w:rPr>
        <w:t>万元，到位执行金额为</w:t>
      </w:r>
      <w:r>
        <w:rPr>
          <w:rFonts w:hint="eastAsia" w:ascii="Times New Roman" w:hAnsi="Times New Roman" w:eastAsia="仿宋_GB2312" w:cs="Times New Roman"/>
          <w:sz w:val="32"/>
          <w:szCs w:val="32"/>
          <w:lang w:val="en-US" w:eastAsia="zh-CN"/>
        </w:rPr>
        <w:t>299.90</w:t>
      </w:r>
      <w:r>
        <w:rPr>
          <w:rFonts w:hint="default" w:ascii="Times New Roman" w:hAnsi="Times New Roman" w:eastAsia="仿宋_GB2312" w:cs="Times New Roman"/>
          <w:sz w:val="32"/>
          <w:szCs w:val="32"/>
        </w:rPr>
        <w:t>万元，预算执行率为</w:t>
      </w:r>
      <w:r>
        <w:rPr>
          <w:rFonts w:hint="eastAsia" w:ascii="Times New Roman" w:hAnsi="Times New Roman" w:eastAsia="仿宋_GB2312" w:cs="Times New Roman"/>
          <w:sz w:val="32"/>
          <w:szCs w:val="32"/>
          <w:lang w:val="en-US" w:eastAsia="zh-CN"/>
        </w:rPr>
        <w:t>99.97</w:t>
      </w:r>
      <w:r>
        <w:rPr>
          <w:rFonts w:hint="default" w:ascii="Times New Roman" w:hAnsi="Times New Roman" w:eastAsia="仿宋_GB2312" w:cs="Times New Roman"/>
          <w:sz w:val="32"/>
          <w:szCs w:val="32"/>
        </w:rPr>
        <w:t>%。</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cs="Times New Roman"/>
          <w:color w:val="auto"/>
          <w:kern w:val="2"/>
          <w:sz w:val="32"/>
          <w:szCs w:val="32"/>
          <w:lang w:val="en-US" w:eastAsia="zh-CN" w:bidi="ar-SA"/>
        </w:rPr>
        <w:t>公安局劳务派遣人员经费（劳务费）</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en-US" w:eastAsia="zh-CN" w:bidi="ar-SA"/>
        </w:rPr>
        <w:t>网络租赁费</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个项目绩效自评结果。</w:t>
      </w:r>
    </w:p>
    <w:p>
      <w:pPr>
        <w:numPr>
          <w:ilvl w:val="0"/>
          <w:numId w:val="0"/>
        </w:numPr>
        <w:spacing w:line="520" w:lineRule="exact"/>
        <w:ind w:firstLine="64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公安局劳务派遣人员经费项目自评</w:t>
      </w:r>
      <w:r>
        <w:rPr>
          <w:rFonts w:hint="default" w:ascii="Times New Roman" w:hAnsi="Times New Roman" w:eastAsia="仿宋_GB2312" w:cs="Times New Roman"/>
          <w:sz w:val="32"/>
          <w:szCs w:val="32"/>
          <w:lang w:val="en-US" w:eastAsia="zh-CN"/>
        </w:rPr>
        <w:t>情况</w:t>
      </w:r>
      <w:r>
        <w:rPr>
          <w:rFonts w:hint="default" w:ascii="Times New Roman" w:hAnsi="Times New Roman" w:eastAsia="仿宋_GB2312" w:cs="Times New Roman"/>
          <w:sz w:val="32"/>
          <w:szCs w:val="32"/>
        </w:rPr>
        <w:t>：根据年初设定的绩效目标，公安局劳务派遣人员经费项目绩效自评得分为</w:t>
      </w:r>
      <w:r>
        <w:rPr>
          <w:rFonts w:hint="default"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分（绩效自评表附后）。全年预算数为</w:t>
      </w:r>
      <w:r>
        <w:rPr>
          <w:rFonts w:hint="default" w:ascii="Times New Roman" w:hAnsi="Times New Roman" w:eastAsia="仿宋_GB2312" w:cs="Times New Roman"/>
          <w:sz w:val="32"/>
          <w:szCs w:val="32"/>
          <w:lang w:val="en-US" w:eastAsia="zh-CN"/>
        </w:rPr>
        <w:t>4392</w:t>
      </w:r>
      <w:r>
        <w:rPr>
          <w:rFonts w:hint="default" w:ascii="Times New Roman" w:hAnsi="Times New Roman" w:eastAsia="仿宋_GB2312" w:cs="Times New Roman"/>
          <w:sz w:val="32"/>
          <w:szCs w:val="32"/>
        </w:rPr>
        <w:t>万元，执行数为</w:t>
      </w:r>
      <w:r>
        <w:rPr>
          <w:rFonts w:hint="default" w:ascii="Times New Roman" w:hAnsi="Times New Roman" w:eastAsia="仿宋_GB2312" w:cs="Times New Roman"/>
          <w:sz w:val="32"/>
          <w:szCs w:val="32"/>
          <w:lang w:val="en-US" w:eastAsia="zh-CN"/>
        </w:rPr>
        <w:t>4392</w:t>
      </w:r>
      <w:r>
        <w:rPr>
          <w:rFonts w:hint="default" w:ascii="Times New Roman" w:hAnsi="Times New Roman" w:eastAsia="仿宋_GB2312" w:cs="Times New Roman"/>
          <w:sz w:val="32"/>
          <w:szCs w:val="32"/>
        </w:rPr>
        <w:t>万元，完成预算的</w:t>
      </w:r>
      <w:r>
        <w:rPr>
          <w:rFonts w:hint="default"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。项目绩效目标完成情况：20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年我局警辅人员指标数为</w:t>
      </w:r>
      <w:r>
        <w:rPr>
          <w:rFonts w:hint="default" w:ascii="Times New Roman" w:hAnsi="Times New Roman" w:eastAsia="仿宋_GB2312" w:cs="Times New Roman"/>
          <w:sz w:val="32"/>
          <w:szCs w:val="32"/>
          <w:lang w:val="en-US" w:eastAsia="zh-CN"/>
        </w:rPr>
        <w:t>71</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个，202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年1月实际到位人数</w:t>
      </w:r>
      <w:r>
        <w:rPr>
          <w:rFonts w:hint="eastAsia" w:ascii="Times New Roman" w:hAnsi="Times New Roman" w:eastAsia="仿宋_GB2312" w:cs="Times New Roman"/>
          <w:sz w:val="32"/>
          <w:szCs w:val="32"/>
          <w:lang w:val="en-US" w:eastAsia="zh-CN"/>
        </w:rPr>
        <w:t>733</w:t>
      </w:r>
      <w:r>
        <w:rPr>
          <w:rFonts w:hint="default" w:ascii="Times New Roman" w:hAnsi="Times New Roman" w:eastAsia="仿宋_GB2312" w:cs="Times New Roman"/>
          <w:sz w:val="32"/>
          <w:szCs w:val="32"/>
        </w:rPr>
        <w:t>人，到202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年12月，实际人数为</w:t>
      </w:r>
      <w:r>
        <w:rPr>
          <w:rFonts w:hint="eastAsia" w:ascii="Times New Roman" w:hAnsi="Times New Roman" w:eastAsia="仿宋_GB2312" w:cs="Times New Roman"/>
          <w:sz w:val="32"/>
          <w:szCs w:val="32"/>
          <w:lang w:val="en-US" w:eastAsia="zh-CN"/>
        </w:rPr>
        <w:t>772</w:t>
      </w:r>
      <w:r>
        <w:rPr>
          <w:rFonts w:hint="default" w:ascii="Times New Roman" w:hAnsi="Times New Roman" w:eastAsia="仿宋_GB2312" w:cs="Times New Roman"/>
          <w:sz w:val="32"/>
          <w:szCs w:val="32"/>
        </w:rPr>
        <w:t>人。</w:t>
      </w:r>
    </w:p>
    <w:p>
      <w:pPr>
        <w:numPr>
          <w:ilvl w:val="0"/>
          <w:numId w:val="0"/>
        </w:numPr>
        <w:spacing w:line="520" w:lineRule="exact"/>
        <w:ind w:firstLine="64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en-US" w:eastAsia="zh-CN" w:bidi="ar-SA"/>
        </w:rPr>
        <w:t>一是</w:t>
      </w:r>
      <w:r>
        <w:rPr>
          <w:rFonts w:hint="eastAsia" w:ascii="仿宋_GB2312" w:hAnsi="仿宋_GB2312" w:eastAsia="仿宋_GB2312" w:cs="仿宋_GB2312"/>
          <w:sz w:val="32"/>
          <w:szCs w:val="32"/>
        </w:rPr>
        <w:t>进一步加强</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我区公安机关警务辅助人员队伍规范化、正规化建设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二是</w:t>
      </w:r>
      <w:r>
        <w:rPr>
          <w:rFonts w:hint="eastAsia" w:ascii="仿宋_GB2312" w:hAnsi="仿宋_GB2312" w:eastAsia="仿宋_GB2312" w:cs="仿宋_GB2312"/>
          <w:sz w:val="32"/>
          <w:szCs w:val="32"/>
        </w:rPr>
        <w:t>保障警务辅助人员的合法权益，不断提高警务辅助效能，充分发挥警务辅助人员在协助公安机关维护社会治安中的积极作用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三是</w:t>
      </w:r>
      <w:r>
        <w:rPr>
          <w:rFonts w:hint="eastAsia" w:ascii="仿宋_GB2312" w:hAnsi="仿宋_GB2312" w:eastAsia="仿宋_GB2312" w:cs="仿宋_GB2312"/>
          <w:sz w:val="32"/>
          <w:szCs w:val="32"/>
        </w:rPr>
        <w:t>为我区经济建设、平安建设提供强有力的人力资源保障。</w:t>
      </w:r>
    </w:p>
    <w:p>
      <w:pPr>
        <w:numPr>
          <w:ilvl w:val="0"/>
          <w:numId w:val="0"/>
        </w:numPr>
        <w:spacing w:line="520" w:lineRule="exact"/>
        <w:ind w:firstLine="64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r>
        <w:rPr>
          <w:rFonts w:hint="eastAsia"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w:t>
      </w:r>
    </w:p>
    <w:p>
      <w:pPr>
        <w:numPr>
          <w:ilvl w:val="0"/>
          <w:numId w:val="0"/>
        </w:numPr>
        <w:spacing w:line="520" w:lineRule="exact"/>
        <w:rPr>
          <w:rFonts w:hint="eastAsia" w:ascii="仿宋_GB2312" w:hAnsi="仿宋_GB2312" w:eastAsia="仿宋_GB2312" w:cs="仿宋_GB2312"/>
          <w:sz w:val="32"/>
          <w:szCs w:val="32"/>
        </w:rPr>
      </w:pP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080"/>
        <w:gridCol w:w="1080"/>
        <w:gridCol w:w="1245"/>
        <w:gridCol w:w="1410"/>
        <w:gridCol w:w="1080"/>
        <w:gridCol w:w="861"/>
        <w:gridCol w:w="2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40"/>
                <w:szCs w:val="40"/>
                <w:u w:val="none"/>
              </w:rPr>
            </w:pPr>
            <w:r>
              <w:rPr>
                <w:rFonts w:hint="default" w:ascii="Times New Roman" w:hAnsi="Times New Roman" w:eastAsia="宋体" w:cs="Times New Roman"/>
                <w:b/>
                <w:i w:val="0"/>
                <w:color w:val="000000"/>
                <w:kern w:val="0"/>
                <w:sz w:val="40"/>
                <w:szCs w:val="40"/>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3405"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唐山市丰南区公安局</w:t>
            </w: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公安局劳务派遣人员经费</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540"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655"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4392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4392</w:t>
            </w: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3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259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及时发放劳务派遣人员工资</w:t>
            </w:r>
            <w:r>
              <w:rPr>
                <w:rFonts w:hint="default" w:ascii="Times New Roman" w:hAnsi="Times New Roman" w:eastAsia="宋体" w:cs="Times New Roman"/>
                <w:i w:val="0"/>
                <w:color w:val="000000"/>
                <w:kern w:val="0"/>
                <w:sz w:val="16"/>
                <w:szCs w:val="16"/>
                <w:u w:val="none"/>
                <w:lang w:val="en-US" w:eastAsia="zh-CN" w:bidi="ar"/>
              </w:rPr>
              <w:br w:type="textWrapping"/>
            </w:r>
            <w:r>
              <w:rPr>
                <w:rFonts w:hint="default" w:ascii="Times New Roman" w:hAnsi="Times New Roman" w:eastAsia="宋体" w:cs="Times New Roman"/>
                <w:i w:val="0"/>
                <w:color w:val="000000"/>
                <w:kern w:val="0"/>
                <w:sz w:val="16"/>
                <w:szCs w:val="16"/>
                <w:u w:val="none"/>
                <w:lang w:val="en-US" w:eastAsia="zh-CN" w:bidi="ar"/>
              </w:rPr>
              <w:t>保障机关正常运转</w:t>
            </w:r>
          </w:p>
        </w:tc>
        <w:tc>
          <w:tcPr>
            <w:tcW w:w="335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劳务派遣人员数量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≥740人</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772</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资金支付合规率（%）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工资发放及时率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w:t>
            </w:r>
            <w:r>
              <w:rPr>
                <w:rFonts w:hint="eastAsia" w:ascii="Times New Roman" w:hAnsi="Times New Roman" w:eastAsia="宋体" w:cs="Times New Roman"/>
                <w:i w:val="0"/>
                <w:color w:val="000000"/>
                <w:kern w:val="0"/>
                <w:sz w:val="16"/>
                <w:szCs w:val="16"/>
                <w:u w:val="none"/>
                <w:lang w:val="en-US" w:eastAsia="zh-CN" w:bidi="ar"/>
              </w:rPr>
              <w:t>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r>
              <w:rPr>
                <w:rFonts w:hint="eastAsia" w:ascii="Times New Roman" w:hAnsi="Times New Roman" w:eastAsia="宋体" w:cs="Times New Roman"/>
                <w:i w:val="0"/>
                <w:color w:val="000000"/>
                <w:kern w:val="0"/>
                <w:sz w:val="16"/>
                <w:szCs w:val="16"/>
                <w:u w:val="none"/>
                <w:lang w:val="en-US" w:eastAsia="zh-CN" w:bidi="ar"/>
              </w:rPr>
              <w:t>%</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劳务派遣人员月最低工资标准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≥1650元</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2040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经济效益指标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工资消费贡献率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安排就业人数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≥740人</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772</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2"/>
                <w:szCs w:val="22"/>
                <w:u w:val="none"/>
                <w:lang w:val="en-US" w:eastAsia="zh-CN" w:bidi="ar-SA"/>
              </w:rPr>
            </w:pPr>
            <w:r>
              <w:rPr>
                <w:rFonts w:hint="default" w:ascii="Calibri" w:hAnsi="Calibri" w:eastAsia="宋体" w:cs="Calibri"/>
                <w:i w:val="0"/>
                <w:color w:val="000000"/>
                <w:kern w:val="0"/>
                <w:sz w:val="18"/>
                <w:szCs w:val="18"/>
                <w:u w:val="none"/>
                <w:lang w:val="en-US" w:eastAsia="zh-CN" w:bidi="ar"/>
              </w:rPr>
              <w:t>各项工作正常开展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spacing w:before="0" w:beforeAutospacing="0" w:after="0" w:afterAutospacing="0"/>
              <w:ind w:left="0" w:right="0"/>
              <w:jc w:val="center"/>
              <w:textAlignment w:val="top"/>
              <w:rPr>
                <w:rFonts w:hint="default" w:ascii="Calibri" w:hAnsi="Calibri" w:eastAsia="宋体" w:cs="Calibri"/>
                <w:i w:val="0"/>
                <w:color w:val="000000"/>
                <w:kern w:val="0"/>
                <w:sz w:val="16"/>
                <w:szCs w:val="16"/>
                <w:u w:val="none"/>
                <w:lang w:val="en-US" w:eastAsia="zh-CN" w:bidi="ar-SA"/>
              </w:rPr>
            </w:pPr>
            <w:r>
              <w:rPr>
                <w:rFonts w:hint="eastAsia" w:ascii="Calibri" w:hAnsi="Calibri" w:eastAsia="宋体" w:cs="Calibri"/>
                <w:i w:val="0"/>
                <w:color w:val="000000"/>
                <w:kern w:val="0"/>
                <w:sz w:val="16"/>
                <w:szCs w:val="16"/>
                <w:u w:val="none"/>
                <w:lang w:val="en-US" w:eastAsia="zh-CN" w:bidi="ar-SA"/>
              </w:rPr>
              <w:t>正常开展</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正常开展</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可持续影响指标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保障事业发展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保障了机关正常运转</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保障了机关正常运转</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劳务派遣人员满意度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≥95%</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95</w:t>
            </w:r>
            <w:r>
              <w:rPr>
                <w:rFonts w:hint="eastAsia" w:ascii="Times New Roman" w:hAnsi="Times New Roman" w:eastAsia="宋体" w:cs="Times New Roman"/>
                <w:i w:val="0"/>
                <w:color w:val="000000"/>
                <w:kern w:val="0"/>
                <w:sz w:val="16"/>
                <w:szCs w:val="16"/>
                <w:u w:val="none"/>
                <w:lang w:val="en-US" w:eastAsia="zh-CN" w:bidi="ar"/>
              </w:rPr>
              <w:t>%</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预算执行率达到100%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r>
              <w:rPr>
                <w:rFonts w:hint="eastAsia" w:ascii="Times New Roman" w:hAnsi="Times New Roman" w:eastAsia="宋体" w:cs="Times New Roman"/>
                <w:i w:val="0"/>
                <w:color w:val="000000"/>
                <w:kern w:val="0"/>
                <w:sz w:val="16"/>
                <w:szCs w:val="16"/>
                <w:u w:val="none"/>
                <w:lang w:val="en-US" w:eastAsia="zh-CN" w:bidi="ar"/>
              </w:rPr>
              <w:t>%</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675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4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numPr>
          <w:ilvl w:val="0"/>
          <w:numId w:val="0"/>
        </w:numPr>
        <w:spacing w:line="520" w:lineRule="exact"/>
        <w:ind w:firstLine="640"/>
        <w:rPr>
          <w:rFonts w:hint="eastAsia" w:ascii="仿宋_GB2312" w:hAnsi="仿宋_GB2312" w:eastAsia="仿宋_GB2312" w:cs="仿宋_GB2312"/>
          <w:sz w:val="32"/>
          <w:szCs w:val="32"/>
        </w:rPr>
      </w:pPr>
    </w:p>
    <w:p>
      <w:pPr>
        <w:pStyle w:val="10"/>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Times New Roman" w:hAnsi="Times New Roman" w:eastAsia="仿宋_GB2312" w:cs="Times New Roman"/>
          <w:color w:val="auto"/>
          <w:kern w:val="2"/>
          <w:sz w:val="32"/>
          <w:szCs w:val="32"/>
          <w:lang w:val="en-US" w:eastAsia="zh-CN" w:bidi="ar-SA"/>
        </w:rPr>
        <w:t>网络租赁费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206.45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206.45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%。项目绩效目标完成情况：一是更好的发挥平安丰南城市监控、四级网、标清视频指挥系统、高清视频指挥系统、可视化监督平台、警用数字集群通信系统的功能、唐山治安科技防范系统的功能</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二是</w:t>
      </w:r>
      <w:r>
        <w:rPr>
          <w:rFonts w:hint="default" w:ascii="Times New Roman" w:hAnsi="Times New Roman" w:eastAsia="仿宋_GB2312" w:cs="Times New Roman"/>
          <w:color w:val="auto"/>
          <w:kern w:val="2"/>
          <w:sz w:val="32"/>
          <w:szCs w:val="32"/>
          <w:lang w:val="zh-CN" w:eastAsia="zh-CN" w:bidi="ar-SA"/>
        </w:rPr>
        <w:t>保障平安丰南城市监控、四级网、标清视频指挥系统、高清视频指挥系统、可视化监督平台、警用数字集群通信系统、唐山治安科技防范系统正常运转</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三是</w:t>
      </w:r>
      <w:r>
        <w:rPr>
          <w:rFonts w:hint="default" w:ascii="Times New Roman" w:hAnsi="Times New Roman" w:eastAsia="仿宋_GB2312" w:cs="Times New Roman"/>
          <w:color w:val="auto"/>
          <w:kern w:val="2"/>
          <w:sz w:val="32"/>
          <w:szCs w:val="32"/>
          <w:lang w:val="zh-CN" w:eastAsia="zh-CN" w:bidi="ar-SA"/>
        </w:rPr>
        <w:t>维护社会稳定</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r>
        <w:rPr>
          <w:rFonts w:hint="eastAsia"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080"/>
        <w:gridCol w:w="1080"/>
        <w:gridCol w:w="1245"/>
        <w:gridCol w:w="1410"/>
        <w:gridCol w:w="1080"/>
        <w:gridCol w:w="861"/>
        <w:gridCol w:w="2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40"/>
                <w:szCs w:val="40"/>
                <w:u w:val="none"/>
              </w:rPr>
            </w:pPr>
            <w:r>
              <w:rPr>
                <w:rFonts w:hint="default" w:ascii="Times New Roman" w:hAnsi="Times New Roman" w:eastAsia="宋体" w:cs="Times New Roman"/>
                <w:b/>
                <w:i w:val="0"/>
                <w:color w:val="000000"/>
                <w:kern w:val="0"/>
                <w:sz w:val="40"/>
                <w:szCs w:val="40"/>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3405"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唐山市丰南区公安局</w:t>
            </w: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宋体" w:hAnsi="宋体" w:eastAsia="宋体" w:cs="宋体"/>
                <w:color w:val="auto"/>
                <w:kern w:val="2"/>
                <w:sz w:val="16"/>
                <w:szCs w:val="16"/>
                <w:lang w:val="en-US" w:eastAsia="zh-CN" w:bidi="ar-SA"/>
              </w:rPr>
              <w:t>网络租赁费</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540"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655"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206.45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206.45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206.45</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206.45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kern w:val="0"/>
                <w:sz w:val="16"/>
                <w:szCs w:val="16"/>
                <w:u w:val="none"/>
                <w:lang w:val="en-US" w:eastAsia="zh-CN" w:bidi="ar"/>
              </w:rPr>
              <w:t>206.45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206.45</w:t>
            </w: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3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259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right="0"/>
              <w:jc w:val="left"/>
              <w:rPr>
                <w:rFonts w:hint="default" w:ascii="Times New Roman" w:hAnsi="Times New Roman" w:eastAsia="方正书宋_GBK" w:cs="Times New Roman"/>
                <w:sz w:val="16"/>
                <w:szCs w:val="16"/>
                <w:lang w:val="en-US"/>
              </w:rPr>
            </w:pPr>
            <w:r>
              <w:rPr>
                <w:rFonts w:hint="default" w:ascii="Times New Roman" w:hAnsi="Times New Roman" w:eastAsia="方正书宋_GBK" w:cs="Times New Roman"/>
                <w:color w:val="auto"/>
                <w:kern w:val="2"/>
                <w:sz w:val="16"/>
                <w:szCs w:val="16"/>
                <w:lang w:val="en-US" w:eastAsia="zh-CN" w:bidi="ar"/>
              </w:rPr>
              <w:t>1.更好的发挥平安丰南城市监控、四级网、标清视频指挥系统、高清视频指挥系统、可视化监督平台、警用数字集群通信系统的功能、唐山治安科技防范系统的功能</w:t>
            </w:r>
          </w:p>
          <w:p>
            <w:pPr>
              <w:keepNext w:val="0"/>
              <w:keepLines w:val="0"/>
              <w:widowControl w:val="0"/>
              <w:suppressLineNumbers w:val="0"/>
              <w:spacing w:before="0" w:beforeAutospacing="0" w:after="0" w:afterAutospacing="0" w:line="300" w:lineRule="exact"/>
              <w:ind w:left="0" w:right="0"/>
              <w:jc w:val="left"/>
              <w:rPr>
                <w:rFonts w:hint="default" w:ascii="Times New Roman" w:hAnsi="Times New Roman" w:eastAsia="方正书宋_GBK" w:cs="Times New Roman"/>
                <w:sz w:val="16"/>
                <w:szCs w:val="16"/>
                <w:lang w:val="en-US"/>
              </w:rPr>
            </w:pPr>
            <w:r>
              <w:rPr>
                <w:rFonts w:hint="default" w:ascii="Times New Roman" w:hAnsi="Times New Roman" w:eastAsia="方正书宋_GBK" w:cs="Times New Roman"/>
                <w:color w:val="auto"/>
                <w:kern w:val="2"/>
                <w:sz w:val="16"/>
                <w:szCs w:val="16"/>
                <w:lang w:val="en-US" w:eastAsia="zh-CN" w:bidi="ar"/>
              </w:rPr>
              <w:t>2.保障平安丰南城市监控、四级网、标清视频指挥系统、高清视频指挥系统、可视化监督平台、警用数字集群通信系统、唐山治安科技防范系统正常运转</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val="0"/>
                <w:color w:val="000000"/>
                <w:sz w:val="16"/>
                <w:szCs w:val="16"/>
                <w:u w:val="none"/>
              </w:rPr>
            </w:pPr>
            <w:r>
              <w:rPr>
                <w:rFonts w:hint="default" w:ascii="Times New Roman" w:hAnsi="Times New Roman" w:eastAsia="方正书宋_GBK" w:cs="Times New Roman"/>
                <w:color w:val="auto"/>
                <w:kern w:val="2"/>
                <w:sz w:val="16"/>
                <w:szCs w:val="16"/>
                <w:lang w:val="en-US" w:eastAsia="zh-CN" w:bidi="ar"/>
              </w:rPr>
              <w:t>3.维护社会稳定</w:t>
            </w:r>
          </w:p>
        </w:tc>
        <w:tc>
          <w:tcPr>
            <w:tcW w:w="335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光纤租赁期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1年</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1年</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系统正常运转率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5"/>
                <w:szCs w:val="15"/>
                <w:lang w:val="en-US" w:eastAsia="zh-CN" w:bidi="ar"/>
              </w:rPr>
              <w:t>≥95%</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5"/>
                <w:szCs w:val="15"/>
                <w:lang w:val="en-US" w:eastAsia="zh-CN" w:bidi="ar"/>
              </w:rPr>
              <w:t>≥95%</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光纤修复时间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≤12小时</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≤12小时</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成本节约率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不超出预算安排</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不超出预算安排</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经济效益指标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保障社会和谐稳定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基本稳定</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基本稳定</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社会影响力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基本认可</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基本认可</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可持续影响指标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0"/>
                <w:sz w:val="15"/>
                <w:szCs w:val="15"/>
                <w:lang w:val="en-US" w:eastAsia="zh-CN" w:bidi="ar-SA"/>
              </w:rPr>
            </w:pPr>
            <w:r>
              <w:rPr>
                <w:rFonts w:hint="default" w:ascii="Times New Roman" w:hAnsi="Times New Roman" w:eastAsia="宋体" w:cs="Times New Roman"/>
                <w:color w:val="auto"/>
                <w:kern w:val="2"/>
                <w:sz w:val="15"/>
                <w:szCs w:val="15"/>
                <w:lang w:val="en-US" w:eastAsia="zh-CN" w:bidi="ar"/>
              </w:rPr>
              <w:t>公众安全感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color w:val="auto"/>
                <w:kern w:val="2"/>
                <w:sz w:val="15"/>
                <w:szCs w:val="15"/>
                <w:lang w:val="en-US" w:eastAsia="zh-CN" w:bidi="ar"/>
              </w:rPr>
              <w:t>群众安全感得到提升</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5"/>
                <w:szCs w:val="15"/>
                <w:lang w:val="en-US" w:eastAsia="zh-CN" w:bidi="ar"/>
              </w:rPr>
              <w:t>群众安全感得到提升</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服务对象满意度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5"/>
                <w:szCs w:val="15"/>
                <w:lang w:val="en-US" w:eastAsia="zh-CN" w:bidi="ar"/>
              </w:rPr>
              <w:t>≥90%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5"/>
                <w:szCs w:val="15"/>
                <w:lang w:val="en-US" w:eastAsia="zh-CN" w:bidi="ar"/>
              </w:rPr>
              <w:t>90%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预算执行率达到100%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仿宋" w:cs="Times New Roman"/>
                <w:color w:val="auto"/>
                <w:kern w:val="2"/>
                <w:sz w:val="15"/>
                <w:szCs w:val="15"/>
                <w:lang w:val="en-US" w:eastAsia="zh-CN" w:bidi="ar"/>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675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4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根据年初设定的绩效目标，</w:t>
      </w:r>
      <w:r>
        <w:rPr>
          <w:rFonts w:hint="default" w:ascii="Times New Roman" w:hAnsi="Times New Roman" w:eastAsia="仿宋_GB2312" w:cs="Times New Roman"/>
          <w:color w:val="auto"/>
          <w:kern w:val="2"/>
          <w:sz w:val="32"/>
          <w:szCs w:val="32"/>
          <w:lang w:val="en-US" w:eastAsia="zh-CN" w:bidi="ar-SA"/>
        </w:rPr>
        <w:t>社会治安科技防范系统二期费用</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w:t>
      </w:r>
      <w:r>
        <w:rPr>
          <w:rFonts w:hint="default" w:ascii="Times New Roman" w:hAnsi="Times New Roman" w:eastAsia="仿宋_GB2312" w:cs="Times New Roman"/>
          <w:color w:val="auto"/>
          <w:kern w:val="2"/>
          <w:sz w:val="32"/>
          <w:szCs w:val="32"/>
          <w:lang w:val="en-US" w:eastAsia="zh-CN" w:bidi="ar-SA"/>
        </w:rPr>
        <w:t>社会治安科技防范系统</w:t>
      </w:r>
      <w:r>
        <w:rPr>
          <w:rFonts w:hint="eastAsia" w:ascii="仿宋" w:hAnsi="仿宋" w:eastAsia="仿宋" w:cs="仿宋"/>
          <w:color w:val="auto"/>
          <w:kern w:val="2"/>
          <w:sz w:val="32"/>
          <w:szCs w:val="32"/>
          <w:lang w:val="en-US" w:eastAsia="zh-CN" w:bidi="ar-SA"/>
        </w:rPr>
        <w:t>二期费用预算金额335.46万元，到位执行金额335.46万元，</w:t>
      </w:r>
      <w:r>
        <w:rPr>
          <w:rFonts w:hint="eastAsia" w:ascii="仿宋" w:hAnsi="仿宋" w:eastAsia="仿宋" w:cs="仿宋"/>
          <w:sz w:val="32"/>
          <w:szCs w:val="32"/>
        </w:rPr>
        <w:t>预算执行率为100%</w:t>
      </w:r>
      <w:r>
        <w:rPr>
          <w:rFonts w:hint="eastAsia" w:ascii="仿宋" w:hAnsi="仿宋" w:eastAsia="仿宋" w:cs="仿宋"/>
          <w:color w:val="auto"/>
          <w:kern w:val="2"/>
          <w:sz w:val="32"/>
          <w:szCs w:val="32"/>
          <w:lang w:val="en-US" w:eastAsia="zh-CN" w:bidi="ar-SA"/>
        </w:rPr>
        <w:t>；绩效目标完成情况：</w:t>
      </w:r>
      <w:r>
        <w:rPr>
          <w:rFonts w:hint="eastAsia" w:ascii="仿宋" w:hAnsi="仿宋" w:eastAsia="仿宋" w:cs="仿宋"/>
          <w:sz w:val="32"/>
          <w:szCs w:val="32"/>
          <w:lang w:val="en-US" w:eastAsia="zh-CN"/>
        </w:rPr>
        <w:t>一是</w:t>
      </w:r>
      <w:r>
        <w:rPr>
          <w:rFonts w:hint="eastAsia" w:ascii="仿宋" w:hAnsi="仿宋" w:eastAsia="仿宋" w:cs="仿宋"/>
          <w:sz w:val="32"/>
          <w:szCs w:val="32"/>
        </w:rPr>
        <w:t>发挥视频监控系统的作用，实现全部视频监控平台的统一管理</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二是</w:t>
      </w:r>
      <w:r>
        <w:rPr>
          <w:rFonts w:hint="eastAsia" w:ascii="仿宋" w:hAnsi="仿宋" w:eastAsia="仿宋" w:cs="仿宋"/>
          <w:sz w:val="32"/>
          <w:szCs w:val="32"/>
        </w:rPr>
        <w:t>保障唐山市社会治安科技防范系统二期工程在我区部分正常运行</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三是</w:t>
      </w:r>
      <w:r>
        <w:rPr>
          <w:rFonts w:hint="eastAsia" w:ascii="仿宋" w:hAnsi="仿宋" w:eastAsia="仿宋" w:cs="仿宋"/>
          <w:sz w:val="32"/>
          <w:szCs w:val="32"/>
        </w:rPr>
        <w:t>维护社会稳定</w:t>
      </w:r>
      <w:r>
        <w:rPr>
          <w:rFonts w:hint="eastAsia" w:ascii="仿宋" w:hAnsi="仿宋" w:eastAsia="仿宋" w:cs="仿宋"/>
          <w:sz w:val="32"/>
          <w:szCs w:val="32"/>
          <w:lang w:eastAsia="zh-CN"/>
        </w:rPr>
        <w:t>。</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 w:hAnsi="仿宋" w:eastAsia="仿宋" w:cs="仿宋"/>
          <w:sz w:val="32"/>
          <w:szCs w:val="32"/>
          <w:lang w:val="en-US" w:eastAsia="zh-CN"/>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r>
        <w:rPr>
          <w:rFonts w:hint="eastAsia"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291"/>
        <w:gridCol w:w="1103"/>
        <w:gridCol w:w="1011"/>
        <w:gridCol w:w="1410"/>
        <w:gridCol w:w="1080"/>
        <w:gridCol w:w="861"/>
        <w:gridCol w:w="2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16"/>
                <w:szCs w:val="16"/>
                <w:u w:val="none"/>
              </w:rPr>
            </w:pPr>
            <w:r>
              <w:rPr>
                <w:rFonts w:hint="default" w:ascii="Times New Roman" w:hAnsi="Times New Roman" w:eastAsia="宋体" w:cs="Times New Roman"/>
                <w:b/>
                <w:i w:val="0"/>
                <w:color w:val="000000"/>
                <w:kern w:val="0"/>
                <w:sz w:val="16"/>
                <w:szCs w:val="16"/>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3405"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唐山市丰南区公安局</w:t>
            </w: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基本情况</w:t>
            </w: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宋体" w:hAnsi="宋体" w:eastAsia="宋体" w:cs="宋体"/>
                <w:color w:val="auto"/>
                <w:kern w:val="2"/>
                <w:sz w:val="16"/>
                <w:szCs w:val="16"/>
                <w:lang w:val="en-US" w:eastAsia="zh-CN" w:bidi="ar-SA"/>
              </w:rPr>
              <w:t>社会治安科技防范系统二期费用</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540"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3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421"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335.46</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335.46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335.46</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335.46</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kern w:val="0"/>
                <w:sz w:val="16"/>
                <w:szCs w:val="16"/>
                <w:u w:val="none"/>
                <w:lang w:val="en-US" w:eastAsia="zh-CN" w:bidi="ar"/>
              </w:rPr>
              <w:t>335.46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335.46</w:t>
            </w: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3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259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16"/>
                <w:szCs w:val="16"/>
              </w:rPr>
            </w:pPr>
            <w:r>
              <w:rPr>
                <w:rFonts w:hint="default" w:ascii="Times New Roman" w:hAnsi="Times New Roman" w:cs="Times New Roman"/>
                <w:sz w:val="16"/>
                <w:szCs w:val="16"/>
                <w:lang w:val="en-US" w:eastAsia="zh-CN"/>
              </w:rPr>
              <w:t>1、</w:t>
            </w:r>
            <w:r>
              <w:rPr>
                <w:rFonts w:hint="default" w:ascii="Times New Roman" w:hAnsi="Times New Roman" w:cs="Times New Roman"/>
                <w:sz w:val="16"/>
                <w:szCs w:val="16"/>
              </w:rPr>
              <w:t>发挥视频监控系统的作用，实现全部视频监控平台的统一管理</w:t>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p>
          <w:p>
            <w:pPr>
              <w:keepNext w:val="0"/>
              <w:keepLines w:val="0"/>
              <w:suppressLineNumbers w:val="0"/>
              <w:spacing w:before="0" w:beforeAutospacing="0" w:after="0" w:afterAutospacing="0"/>
              <w:ind w:left="0" w:right="0"/>
              <w:rPr>
                <w:rFonts w:hint="default" w:ascii="Times New Roman" w:hAnsi="Times New Roman" w:cs="Times New Roman"/>
                <w:sz w:val="16"/>
                <w:szCs w:val="16"/>
              </w:rPr>
            </w:pPr>
            <w:r>
              <w:rPr>
                <w:rFonts w:hint="default" w:ascii="Times New Roman" w:hAnsi="Times New Roman" w:cs="Times New Roman"/>
                <w:sz w:val="16"/>
                <w:szCs w:val="16"/>
                <w:lang w:val="en-US" w:eastAsia="zh-CN"/>
              </w:rPr>
              <w:t>2、</w:t>
            </w:r>
            <w:r>
              <w:rPr>
                <w:rFonts w:hint="default" w:ascii="Times New Roman" w:hAnsi="Times New Roman" w:cs="Times New Roman"/>
                <w:sz w:val="16"/>
                <w:szCs w:val="16"/>
              </w:rPr>
              <w:t>保障唐山市社会治安科技防范系统二期工程在我区部分正常运行</w:t>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r>
              <w:rPr>
                <w:rFonts w:hint="default" w:ascii="Times New Roman" w:hAnsi="Times New Roman" w:cs="Times New Roman"/>
                <w:sz w:val="16"/>
                <w:szCs w:val="16"/>
              </w:rPr>
              <w:tab/>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val="0"/>
                <w:color w:val="000000"/>
                <w:sz w:val="16"/>
                <w:szCs w:val="16"/>
                <w:u w:val="none"/>
              </w:rPr>
            </w:pPr>
            <w:r>
              <w:rPr>
                <w:rFonts w:hint="default" w:ascii="Times New Roman" w:hAnsi="Times New Roman" w:cs="Times New Roman"/>
                <w:sz w:val="16"/>
                <w:szCs w:val="16"/>
                <w:lang w:val="en-US" w:eastAsia="zh-CN"/>
              </w:rPr>
              <w:t>3、</w:t>
            </w:r>
            <w:r>
              <w:rPr>
                <w:rFonts w:hint="default" w:ascii="Times New Roman" w:hAnsi="Times New Roman" w:cs="Times New Roman"/>
                <w:sz w:val="16"/>
                <w:szCs w:val="16"/>
              </w:rPr>
              <w:t>维护社会稳定</w:t>
            </w:r>
            <w:r>
              <w:rPr>
                <w:rFonts w:hint="default" w:ascii="Times New Roman" w:hAnsi="Times New Roman" w:cs="Times New Roman"/>
                <w:sz w:val="16"/>
                <w:szCs w:val="16"/>
              </w:rPr>
              <w:tab/>
            </w:r>
          </w:p>
        </w:tc>
        <w:tc>
          <w:tcPr>
            <w:tcW w:w="335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2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35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2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年度绩效指标完成情况</w:t>
            </w: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系统运营维护期限</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1年</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1年</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系统正常运转率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≥95%</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≥95%</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系统修复时间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≤12小时</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≤12小时</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成本节约率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保障社会和谐稳定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社会影响力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基本认可</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基本认可</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公众安全感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color w:val="auto"/>
                <w:kern w:val="2"/>
                <w:sz w:val="16"/>
                <w:szCs w:val="16"/>
                <w:lang w:val="en-US" w:eastAsia="zh-CN" w:bidi="ar"/>
              </w:rPr>
              <w:t>群众安全感得到提升</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群众安全感得到提升</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≥90%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90%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4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预算执行率达到100%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100%</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675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2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29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10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11"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61"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259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 w:hAnsi="仿宋" w:eastAsia="仿宋" w:cs="仿宋"/>
          <w:sz w:val="32"/>
          <w:szCs w:val="32"/>
          <w:lang w:eastAsia="zh-CN"/>
        </w:rPr>
      </w:pP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en-US" w:eastAsia="zh-CN" w:bidi="ar-SA"/>
        </w:rPr>
        <w:t>智慧平安社区建设项目</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sz w:val="32"/>
          <w:szCs w:val="32"/>
        </w:rPr>
        <w:t>预算金额为</w:t>
      </w:r>
      <w:r>
        <w:rPr>
          <w:rFonts w:hint="eastAsia" w:ascii="Times New Roman" w:hAnsi="Times New Roman" w:eastAsia="仿宋_GB2312" w:cs="Times New Roman"/>
          <w:sz w:val="32"/>
          <w:szCs w:val="32"/>
          <w:lang w:val="en-US" w:eastAsia="zh-CN"/>
        </w:rPr>
        <w:t>300</w:t>
      </w:r>
      <w:r>
        <w:rPr>
          <w:rFonts w:hint="default" w:ascii="Times New Roman" w:hAnsi="Times New Roman" w:eastAsia="仿宋_GB2312" w:cs="Times New Roman"/>
          <w:sz w:val="32"/>
          <w:szCs w:val="32"/>
        </w:rPr>
        <w:t>万元，到位执行金额为</w:t>
      </w:r>
      <w:r>
        <w:rPr>
          <w:rFonts w:hint="eastAsia" w:ascii="Times New Roman" w:hAnsi="Times New Roman" w:eastAsia="仿宋_GB2312" w:cs="Times New Roman"/>
          <w:sz w:val="32"/>
          <w:szCs w:val="32"/>
          <w:lang w:val="en-US" w:eastAsia="zh-CN"/>
        </w:rPr>
        <w:t>299.90</w:t>
      </w:r>
      <w:r>
        <w:rPr>
          <w:rFonts w:hint="default" w:ascii="Times New Roman" w:hAnsi="Times New Roman" w:eastAsia="仿宋_GB2312" w:cs="Times New Roman"/>
          <w:sz w:val="32"/>
          <w:szCs w:val="32"/>
        </w:rPr>
        <w:t>万元，预算执行率为</w:t>
      </w:r>
      <w:r>
        <w:rPr>
          <w:rFonts w:hint="eastAsia" w:ascii="Times New Roman" w:hAnsi="Times New Roman" w:eastAsia="仿宋_GB2312" w:cs="Times New Roman"/>
          <w:sz w:val="32"/>
          <w:szCs w:val="32"/>
          <w:lang w:val="en-US" w:eastAsia="zh-CN"/>
        </w:rPr>
        <w:t>99.97</w:t>
      </w:r>
      <w:r>
        <w:rPr>
          <w:rFonts w:hint="default" w:ascii="Times New Roman" w:hAnsi="Times New Roman" w:eastAsia="仿宋_GB2312" w:cs="Times New Roman"/>
          <w:sz w:val="32"/>
          <w:szCs w:val="32"/>
        </w:rPr>
        <w:t>%。</w:t>
      </w:r>
      <w:r>
        <w:rPr>
          <w:rFonts w:hint="eastAsia" w:ascii="仿宋" w:hAnsi="仿宋" w:eastAsia="仿宋" w:cs="仿宋"/>
          <w:sz w:val="32"/>
          <w:szCs w:val="32"/>
          <w:lang w:val="en-US" w:eastAsia="zh-CN"/>
        </w:rPr>
        <w:t>绩效目标完成情况：一是</w:t>
      </w:r>
      <w:r>
        <w:rPr>
          <w:rFonts w:hint="eastAsia" w:ascii="仿宋" w:hAnsi="仿宋" w:eastAsia="仿宋" w:cs="仿宋"/>
          <w:sz w:val="32"/>
          <w:szCs w:val="32"/>
        </w:rPr>
        <w:t>我区居民小区全部完成“达标型”以上档次的智慧平安社区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二是</w:t>
      </w:r>
      <w:r>
        <w:rPr>
          <w:rFonts w:hint="eastAsia" w:ascii="仿宋" w:hAnsi="仿宋" w:eastAsia="仿宋" w:cs="仿宋"/>
          <w:sz w:val="32"/>
          <w:szCs w:val="32"/>
        </w:rPr>
        <w:t>提升公安实战，服务民生</w:t>
      </w:r>
      <w:r>
        <w:rPr>
          <w:rFonts w:hint="eastAsia" w:ascii="仿宋" w:hAnsi="仿宋" w:eastAsia="仿宋" w:cs="仿宋"/>
          <w:sz w:val="32"/>
          <w:szCs w:val="32"/>
          <w:lang w:val="en-US" w:eastAsia="zh-CN"/>
        </w:rPr>
        <w:t>；三是</w:t>
      </w:r>
      <w:r>
        <w:rPr>
          <w:rFonts w:hint="eastAsia" w:ascii="仿宋" w:hAnsi="仿宋" w:eastAsia="仿宋" w:cs="仿宋"/>
          <w:sz w:val="32"/>
          <w:szCs w:val="32"/>
        </w:rPr>
        <w:t>推动社区规范化建设</w:t>
      </w:r>
      <w:r>
        <w:rPr>
          <w:rFonts w:hint="eastAsia" w:ascii="仿宋" w:hAnsi="仿宋" w:eastAsia="仿宋" w:cs="仿宋"/>
          <w:sz w:val="32"/>
          <w:szCs w:val="32"/>
        </w:rPr>
        <w:tab/>
      </w:r>
      <w:r>
        <w:rPr>
          <w:rFonts w:hint="eastAsia" w:ascii="仿宋" w:hAnsi="仿宋" w:eastAsia="仿宋" w:cs="仿宋"/>
          <w:sz w:val="32"/>
          <w:szCs w:val="32"/>
          <w:lang w:eastAsia="zh-CN"/>
        </w:rPr>
        <w:t>。</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 w:hAnsi="仿宋" w:eastAsia="仿宋" w:cs="仿宋"/>
          <w:sz w:val="32"/>
          <w:szCs w:val="32"/>
          <w:lang w:eastAsia="zh-CN"/>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r>
        <w:rPr>
          <w:rFonts w:hint="eastAsia"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223"/>
        <w:gridCol w:w="1205"/>
        <w:gridCol w:w="1238"/>
        <w:gridCol w:w="1149"/>
        <w:gridCol w:w="1738"/>
        <w:gridCol w:w="1500"/>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16"/>
                <w:szCs w:val="16"/>
                <w:u w:val="none"/>
              </w:rPr>
            </w:pPr>
            <w:r>
              <w:rPr>
                <w:rFonts w:hint="default" w:ascii="Times New Roman" w:hAnsi="Times New Roman" w:eastAsia="宋体" w:cs="Times New Roman"/>
                <w:b/>
                <w:i w:val="0"/>
                <w:color w:val="000000"/>
                <w:kern w:val="0"/>
                <w:sz w:val="16"/>
                <w:szCs w:val="16"/>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3666"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唐山市丰南区公安局</w:t>
            </w:r>
          </w:p>
        </w:tc>
        <w:tc>
          <w:tcPr>
            <w:tcW w:w="114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73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基本情况</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4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宋体" w:hAnsi="宋体" w:eastAsia="宋体" w:cs="宋体"/>
                <w:color w:val="auto"/>
                <w:kern w:val="2"/>
                <w:sz w:val="16"/>
                <w:szCs w:val="16"/>
                <w:lang w:val="en-US" w:eastAsia="zh-CN" w:bidi="ar-SA"/>
              </w:rPr>
              <w:t>社会治安科技防范系统二期费用</w:t>
            </w:r>
          </w:p>
        </w:tc>
        <w:tc>
          <w:tcPr>
            <w:tcW w:w="11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540"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38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32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300</w:t>
            </w: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1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300</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299.9</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99.97%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300</w:t>
            </w: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1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kern w:val="0"/>
                <w:sz w:val="16"/>
                <w:szCs w:val="16"/>
                <w:u w:val="none"/>
                <w:lang w:val="en-US" w:eastAsia="zh-CN" w:bidi="ar"/>
              </w:rPr>
              <w:t>300</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299.9</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14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66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3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130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66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numPr>
                <w:ilvl w:val="0"/>
                <w:numId w:val="4"/>
              </w:numPr>
              <w:suppressLineNumbers w:val="0"/>
              <w:spacing w:before="0" w:beforeAutospacing="0" w:after="0" w:afterAutospacing="0"/>
              <w:ind w:left="0" w:right="0"/>
              <w:jc w:val="left"/>
              <w:rPr>
                <w:rFonts w:hint="eastAsia"/>
                <w:sz w:val="16"/>
                <w:szCs w:val="16"/>
              </w:rPr>
            </w:pPr>
            <w:r>
              <w:rPr>
                <w:rFonts w:hint="eastAsia"/>
                <w:sz w:val="16"/>
                <w:szCs w:val="16"/>
              </w:rPr>
              <w:t>我区居民小区全部完成“达标型”以上档次的智慧平安社区</w:t>
            </w:r>
          </w:p>
          <w:p>
            <w:pPr>
              <w:keepNext w:val="0"/>
              <w:keepLines w:val="0"/>
              <w:widowControl/>
              <w:numPr>
                <w:ilvl w:val="0"/>
                <w:numId w:val="4"/>
              </w:numPr>
              <w:suppressLineNumbers w:val="0"/>
              <w:spacing w:before="0" w:beforeAutospacing="0" w:after="0" w:afterAutospacing="0"/>
              <w:ind w:left="0" w:right="0"/>
              <w:jc w:val="left"/>
              <w:rPr>
                <w:rFonts w:hint="default" w:ascii="Times New Roman" w:hAnsi="Times New Roman" w:eastAsia="宋体" w:cs="Times New Roman"/>
                <w:i w:val="0"/>
                <w:color w:val="000000"/>
                <w:sz w:val="16"/>
                <w:szCs w:val="16"/>
                <w:u w:val="none"/>
              </w:rPr>
            </w:pPr>
            <w:r>
              <w:rPr>
                <w:rFonts w:hint="eastAsia"/>
                <w:sz w:val="16"/>
                <w:szCs w:val="16"/>
              </w:rPr>
              <w:t>提升公安实战，服务民生</w:t>
            </w:r>
          </w:p>
          <w:p>
            <w:pPr>
              <w:keepNext w:val="0"/>
              <w:keepLines w:val="0"/>
              <w:widowControl/>
              <w:numPr>
                <w:ilvl w:val="0"/>
                <w:numId w:val="4"/>
              </w:numPr>
              <w:suppressLineNumbers w:val="0"/>
              <w:spacing w:before="0" w:beforeAutospacing="0" w:after="0" w:afterAutospacing="0"/>
              <w:ind w:left="0" w:right="0"/>
              <w:jc w:val="left"/>
              <w:rPr>
                <w:rFonts w:hint="default" w:ascii="Times New Roman" w:hAnsi="Times New Roman" w:eastAsia="宋体" w:cs="Times New Roman"/>
                <w:i w:val="0"/>
                <w:color w:val="000000"/>
                <w:sz w:val="16"/>
                <w:szCs w:val="16"/>
                <w:u w:val="none"/>
              </w:rPr>
            </w:pPr>
            <w:r>
              <w:rPr>
                <w:rFonts w:hint="eastAsia"/>
                <w:sz w:val="16"/>
                <w:szCs w:val="16"/>
              </w:rPr>
              <w:t>推动社区规范化建设</w:t>
            </w:r>
            <w:r>
              <w:rPr>
                <w:rFonts w:hint="eastAsia"/>
                <w:sz w:val="16"/>
                <w:szCs w:val="16"/>
              </w:rPr>
              <w:tab/>
            </w:r>
          </w:p>
        </w:tc>
        <w:tc>
          <w:tcPr>
            <w:tcW w:w="438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6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438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6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438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年度绩效指标完成情况</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9"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建设数量</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≥187</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≥187</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设备、设施验收通过率（%）</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kern w:val="0"/>
                <w:sz w:val="16"/>
                <w:szCs w:val="16"/>
                <w:u w:val="none"/>
                <w:lang w:val="en-US" w:eastAsia="zh-CN" w:bidi="ar"/>
              </w:rPr>
              <w:t>≥90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≥9</w:t>
            </w:r>
            <w:r>
              <w:rPr>
                <w:rFonts w:hint="eastAsia" w:ascii="Times New Roman" w:hAnsi="Times New Roman" w:eastAsia="宋体" w:cs="Times New Roman"/>
                <w:color w:val="auto"/>
                <w:kern w:val="2"/>
                <w:sz w:val="16"/>
                <w:szCs w:val="16"/>
                <w:lang w:val="en-US" w:eastAsia="zh-CN" w:bidi="ar"/>
              </w:rPr>
              <w:t>0</w:t>
            </w:r>
            <w:r>
              <w:rPr>
                <w:rFonts w:hint="default" w:ascii="Times New Roman" w:hAnsi="Times New Roman" w:eastAsia="宋体" w:cs="Times New Roman"/>
                <w:color w:val="auto"/>
                <w:kern w:val="2"/>
                <w:sz w:val="16"/>
                <w:szCs w:val="16"/>
                <w:lang w:val="en-US" w:eastAsia="zh-CN" w:bidi="ar"/>
              </w:rPr>
              <w:t>%</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工作任务完成及时率</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成本节约率</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保障社会和谐稳定</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社会影响力</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基本认可</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基本认可</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公众安全感</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color w:val="auto"/>
                <w:kern w:val="2"/>
                <w:sz w:val="16"/>
                <w:szCs w:val="16"/>
                <w:lang w:val="en-US" w:eastAsia="zh-CN" w:bidi="ar"/>
              </w:rPr>
              <w:t>群众安全感得到提升</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群众安全感得到提升</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≥90%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90%</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3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预算执行率达到100%</w:t>
            </w:r>
          </w:p>
        </w:tc>
        <w:tc>
          <w:tcPr>
            <w:tcW w:w="17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99.97</w:t>
            </w:r>
            <w:r>
              <w:rPr>
                <w:rFonts w:hint="default" w:ascii="Times New Roman" w:hAnsi="Times New Roman" w:eastAsia="宋体" w:cs="Times New Roman"/>
                <w:i w:val="0"/>
                <w:color w:val="000000"/>
                <w:sz w:val="16"/>
                <w:szCs w:val="16"/>
                <w:u w:val="none"/>
                <w:lang w:val="en-US" w:eastAsia="zh-CN"/>
              </w:rPr>
              <w:t>%</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05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22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20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3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14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73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1302"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 w:hAnsi="仿宋" w:eastAsia="仿宋" w:cs="仿宋"/>
          <w:sz w:val="32"/>
          <w:szCs w:val="32"/>
          <w:lang w:eastAsia="zh-CN"/>
        </w:rPr>
      </w:pPr>
      <w:r>
        <w:rPr>
          <w:rFonts w:hint="default" w:ascii="Times New Roman" w:hAnsi="Times New Roman" w:eastAsia="仿宋" w:cs="Times New Roman"/>
          <w:sz w:val="32"/>
          <w:szCs w:val="32"/>
          <w:lang w:val="en-US" w:eastAsia="zh-CN"/>
        </w:rPr>
        <w:t>5</w:t>
      </w:r>
      <w:r>
        <w:rPr>
          <w:rFonts w:hint="eastAsia" w:ascii="仿宋" w:hAnsi="仿宋" w:eastAsia="仿宋" w:cs="仿宋"/>
          <w:sz w:val="32"/>
          <w:szCs w:val="32"/>
          <w:lang w:val="en-US" w:eastAsia="zh-CN"/>
        </w:rPr>
        <w:t>、</w:t>
      </w: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唐山市丰南区社会治理惠民服务项目</w:t>
      </w:r>
      <w:r>
        <w:rPr>
          <w:rFonts w:hint="default" w:ascii="Times New Roman" w:hAnsi="Times New Roman" w:eastAsia="仿宋_GB2312" w:cs="Times New Roman"/>
          <w:color w:val="auto"/>
          <w:kern w:val="2"/>
          <w:sz w:val="32"/>
          <w:szCs w:val="32"/>
          <w:lang w:val="zh-CN" w:eastAsia="zh-CN" w:bidi="ar-SA"/>
        </w:rPr>
        <w:t>自评得分为</w:t>
      </w:r>
      <w:r>
        <w:rPr>
          <w:rFonts w:hint="eastAsia" w:ascii="Times New Roman" w:hAnsi="Times New Roman" w:eastAsia="仿宋_GB2312" w:cs="Times New Roman"/>
          <w:color w:val="auto"/>
          <w:kern w:val="2"/>
          <w:sz w:val="32"/>
          <w:szCs w:val="32"/>
          <w:lang w:val="en-US" w:eastAsia="zh-CN" w:bidi="ar-SA"/>
        </w:rPr>
        <w:t>99</w:t>
      </w:r>
      <w:r>
        <w:rPr>
          <w:rFonts w:hint="default" w:ascii="Times New Roman" w:hAnsi="Times New Roman" w:eastAsia="仿宋_GB2312" w:cs="Times New Roman"/>
          <w:color w:val="auto"/>
          <w:kern w:val="2"/>
          <w:sz w:val="32"/>
          <w:szCs w:val="32"/>
          <w:lang w:val="zh-CN" w:eastAsia="zh-CN" w:bidi="ar-SA"/>
        </w:rPr>
        <w:t>分（绩效自评表附后）</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sz w:val="32"/>
          <w:szCs w:val="32"/>
        </w:rPr>
        <w:t>预算金额为</w:t>
      </w:r>
      <w:r>
        <w:rPr>
          <w:rFonts w:hint="eastAsia" w:ascii="Times New Roman" w:hAnsi="Times New Roman" w:eastAsia="仿宋_GB2312" w:cs="Times New Roman"/>
          <w:sz w:val="32"/>
          <w:szCs w:val="32"/>
          <w:lang w:val="en-US" w:eastAsia="zh-CN"/>
        </w:rPr>
        <w:t>8000</w:t>
      </w:r>
      <w:r>
        <w:rPr>
          <w:rFonts w:hint="default" w:ascii="Times New Roman" w:hAnsi="Times New Roman" w:eastAsia="仿宋_GB2312" w:cs="Times New Roman"/>
          <w:sz w:val="32"/>
          <w:szCs w:val="32"/>
        </w:rPr>
        <w:t>万元，到位执行金额为</w:t>
      </w:r>
      <w:r>
        <w:rPr>
          <w:rFonts w:hint="eastAsia" w:ascii="Times New Roman" w:hAnsi="Times New Roman" w:eastAsia="仿宋_GB2312" w:cs="Times New Roman"/>
          <w:sz w:val="32"/>
          <w:szCs w:val="32"/>
          <w:lang w:val="en-US" w:eastAsia="zh-CN"/>
        </w:rPr>
        <w:t>7859.8</w:t>
      </w:r>
      <w:r>
        <w:rPr>
          <w:rFonts w:hint="default" w:ascii="Times New Roman" w:hAnsi="Times New Roman" w:eastAsia="仿宋_GB2312" w:cs="Times New Roman"/>
          <w:sz w:val="32"/>
          <w:szCs w:val="32"/>
        </w:rPr>
        <w:t>万元，预算执行率为</w:t>
      </w:r>
      <w:r>
        <w:rPr>
          <w:rFonts w:hint="eastAsia" w:ascii="Times New Roman" w:hAnsi="Times New Roman" w:eastAsia="仿宋_GB2312" w:cs="Times New Roman"/>
          <w:sz w:val="32"/>
          <w:szCs w:val="32"/>
          <w:lang w:val="en-US" w:eastAsia="zh-CN"/>
        </w:rPr>
        <w:t>98.25</w:t>
      </w:r>
      <w:r>
        <w:rPr>
          <w:rFonts w:hint="default" w:ascii="Times New Roman" w:hAnsi="Times New Roman" w:eastAsia="仿宋_GB2312" w:cs="Times New Roman"/>
          <w:sz w:val="32"/>
          <w:szCs w:val="32"/>
        </w:rPr>
        <w:t>%。</w:t>
      </w:r>
      <w:r>
        <w:rPr>
          <w:rFonts w:hint="eastAsia" w:ascii="仿宋" w:hAnsi="仿宋" w:eastAsia="仿宋" w:cs="仿宋"/>
          <w:sz w:val="32"/>
          <w:szCs w:val="32"/>
          <w:lang w:val="en-US" w:eastAsia="zh-CN"/>
        </w:rPr>
        <w:t>绩效目标完成情况：一是建设基础云平台，其中包含应用支撑平台、城市CIM平台两部分；实现平台资源的统一安全管理和集中维护，为丰南区内自主数据的统一管理和统一共享交换提供核心支撑能力，通过共享交换平台可提供数据接入类服务并持续运营</w:t>
      </w:r>
      <w:r>
        <w:rPr>
          <w:rFonts w:hint="eastAsia" w:ascii="仿宋" w:hAnsi="仿宋" w:eastAsia="仿宋" w:cs="仿宋"/>
          <w:sz w:val="32"/>
          <w:szCs w:val="32"/>
          <w:lang w:val="en-US" w:eastAsia="zh-CN"/>
        </w:rPr>
        <w:tab/>
      </w:r>
      <w:r>
        <w:rPr>
          <w:rFonts w:hint="eastAsia" w:ascii="仿宋" w:hAnsi="仿宋" w:eastAsia="仿宋" w:cs="仿宋"/>
          <w:sz w:val="32"/>
          <w:szCs w:val="32"/>
          <w:lang w:val="en-US" w:eastAsia="zh-CN"/>
        </w:rPr>
        <w:t>；二是建设丰南法治服务管理平台，包含公共法律知识服务子系统、数据治理子系统以及适应性开发；三是建设包含全结构化抓拍及高清视频监控前端感知建设、云存储扩容升级、服务公共安全视频信息共享平台无缝对接、智能化分析服务等内容</w:t>
      </w:r>
      <w:r>
        <w:rPr>
          <w:rFonts w:hint="eastAsia" w:ascii="仿宋" w:hAnsi="仿宋" w:eastAsia="仿宋" w:cs="仿宋"/>
          <w:sz w:val="32"/>
          <w:szCs w:val="32"/>
          <w:lang w:val="en-US" w:eastAsia="zh-CN"/>
        </w:rPr>
        <w:tab/>
      </w:r>
      <w:r>
        <w:rPr>
          <w:rFonts w:hint="eastAsia" w:ascii="仿宋" w:hAnsi="仿宋" w:eastAsia="仿宋" w:cs="仿宋"/>
          <w:sz w:val="32"/>
          <w:szCs w:val="32"/>
          <w:lang w:val="en-US" w:eastAsia="zh-CN"/>
        </w:rPr>
        <w:t>；四是对社会治理综合服务中心进行整体设施的升级改造</w:t>
      </w:r>
      <w:r>
        <w:rPr>
          <w:rFonts w:hint="eastAsia" w:ascii="仿宋" w:hAnsi="仿宋" w:eastAsia="仿宋" w:cs="仿宋"/>
          <w:sz w:val="32"/>
          <w:szCs w:val="32"/>
          <w:lang w:val="en-US" w:eastAsia="zh-CN"/>
        </w:rPr>
        <w:tab/>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通过项目实施，完成了年初设定的各项绩效目标，未发现问题</w:t>
      </w:r>
      <w:r>
        <w:rPr>
          <w:rFonts w:hint="eastAsia"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w:t>
      </w:r>
    </w:p>
    <w:tbl>
      <w:tblPr>
        <w:tblStyle w:val="11"/>
        <w:tblW w:w="10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1223"/>
        <w:gridCol w:w="1205"/>
        <w:gridCol w:w="1488"/>
        <w:gridCol w:w="1318"/>
        <w:gridCol w:w="1319"/>
        <w:gridCol w:w="1500"/>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000000"/>
                <w:sz w:val="16"/>
                <w:szCs w:val="16"/>
                <w:u w:val="none"/>
              </w:rPr>
            </w:pPr>
            <w:r>
              <w:rPr>
                <w:rFonts w:hint="default" w:ascii="Times New Roman" w:hAnsi="Times New Roman" w:eastAsia="宋体" w:cs="Times New Roman"/>
                <w:b/>
                <w:i w:val="0"/>
                <w:color w:val="000000"/>
                <w:kern w:val="0"/>
                <w:sz w:val="16"/>
                <w:szCs w:val="16"/>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057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w:t>
            </w:r>
          </w:p>
        </w:tc>
        <w:tc>
          <w:tcPr>
            <w:tcW w:w="2428"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sz w:val="16"/>
                <w:szCs w:val="16"/>
                <w:u w:val="none"/>
                <w:lang w:val="en-US" w:eastAsia="zh-CN"/>
              </w:rPr>
              <w:t>唐山市丰南区公安局</w:t>
            </w:r>
          </w:p>
        </w:tc>
        <w:tc>
          <w:tcPr>
            <w:tcW w:w="148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基本情况</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2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宋体" w:hAnsi="宋体" w:eastAsia="宋体" w:cs="宋体"/>
                <w:color w:val="auto"/>
                <w:kern w:val="2"/>
                <w:sz w:val="16"/>
                <w:szCs w:val="16"/>
                <w:lang w:val="en-US" w:eastAsia="zh-CN" w:bidi="ar-SA"/>
              </w:rPr>
              <w:t>唐山市丰南区社会治理惠民服务项目</w:t>
            </w:r>
          </w:p>
        </w:tc>
        <w:tc>
          <w:tcPr>
            <w:tcW w:w="13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4121"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唐山市丰南区公安局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806"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2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8000</w:t>
            </w:r>
          </w:p>
        </w:tc>
        <w:tc>
          <w:tcPr>
            <w:tcW w:w="1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3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7859.8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7859.8</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9825%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1"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8000</w:t>
            </w:r>
          </w:p>
        </w:tc>
        <w:tc>
          <w:tcPr>
            <w:tcW w:w="1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3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kern w:val="0"/>
                <w:sz w:val="16"/>
                <w:szCs w:val="16"/>
                <w:u w:val="none"/>
                <w:lang w:val="en-US" w:eastAsia="zh-CN" w:bidi="ar"/>
              </w:rPr>
              <w:t>7859.8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7859.8</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318"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39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1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130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91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16"/>
                <w:szCs w:val="16"/>
              </w:rPr>
            </w:pPr>
            <w:r>
              <w:rPr>
                <w:rFonts w:hint="default" w:ascii="Times New Roman" w:hAnsi="Times New Roman" w:eastAsia="宋体" w:cs="Times New Roman"/>
                <w:sz w:val="16"/>
                <w:szCs w:val="16"/>
                <w:lang w:val="en-US" w:eastAsia="zh-CN"/>
              </w:rPr>
              <w:t>1、</w:t>
            </w:r>
            <w:r>
              <w:rPr>
                <w:rFonts w:hint="default" w:ascii="Times New Roman" w:hAnsi="Times New Roman" w:eastAsia="宋体" w:cs="Times New Roman"/>
                <w:sz w:val="16"/>
                <w:szCs w:val="16"/>
              </w:rPr>
              <w:t>建设基础云平台，其中包含应用支撑平台、城市CIM平台两部分；实现平台资源的统一安全管理和集中维护，为丰南区内自主数据的统一管理和统一共享交换提供核心支撑能力，通过共享交换平台可提供数据接入类服务并持续运营</w:t>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p>
          <w:p>
            <w:pPr>
              <w:keepNext w:val="0"/>
              <w:keepLines w:val="0"/>
              <w:suppressLineNumbers w:val="0"/>
              <w:spacing w:before="0" w:beforeAutospacing="0" w:after="0" w:afterAutospacing="0"/>
              <w:ind w:left="0" w:right="0"/>
              <w:rPr>
                <w:rFonts w:hint="default" w:ascii="Times New Roman" w:hAnsi="Times New Roman" w:eastAsia="宋体" w:cs="Times New Roman"/>
                <w:sz w:val="16"/>
                <w:szCs w:val="16"/>
              </w:rPr>
            </w:pPr>
            <w:r>
              <w:rPr>
                <w:rFonts w:hint="default" w:ascii="Times New Roman" w:hAnsi="Times New Roman" w:eastAsia="宋体" w:cs="Times New Roman"/>
                <w:sz w:val="16"/>
                <w:szCs w:val="16"/>
                <w:lang w:val="en-US" w:eastAsia="zh-CN"/>
              </w:rPr>
              <w:t>2、</w:t>
            </w:r>
            <w:r>
              <w:rPr>
                <w:rFonts w:hint="default" w:ascii="Times New Roman" w:hAnsi="Times New Roman" w:eastAsia="宋体" w:cs="Times New Roman"/>
                <w:sz w:val="16"/>
                <w:szCs w:val="16"/>
              </w:rPr>
              <w:t>建设丰南法治服务管理平台，包含公共法律知识服务子系统、数据治理子系统以及适应性开发</w:t>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p>
          <w:p>
            <w:pPr>
              <w:keepNext w:val="0"/>
              <w:keepLines w:val="0"/>
              <w:suppressLineNumbers w:val="0"/>
              <w:spacing w:before="0" w:beforeAutospacing="0" w:after="0" w:afterAutospacing="0"/>
              <w:ind w:left="0" w:right="0"/>
              <w:rPr>
                <w:rFonts w:hint="default" w:ascii="Times New Roman" w:hAnsi="Times New Roman" w:eastAsia="宋体" w:cs="Times New Roman"/>
                <w:sz w:val="16"/>
                <w:szCs w:val="16"/>
              </w:rPr>
            </w:pPr>
            <w:r>
              <w:rPr>
                <w:rFonts w:hint="default" w:ascii="Times New Roman" w:hAnsi="Times New Roman" w:eastAsia="宋体" w:cs="Times New Roman"/>
                <w:sz w:val="16"/>
                <w:szCs w:val="16"/>
                <w:lang w:val="en-US" w:eastAsia="zh-CN"/>
              </w:rPr>
              <w:t>3、</w:t>
            </w:r>
            <w:r>
              <w:rPr>
                <w:rFonts w:hint="default" w:ascii="Times New Roman" w:hAnsi="Times New Roman" w:eastAsia="宋体" w:cs="Times New Roman"/>
                <w:sz w:val="16"/>
                <w:szCs w:val="16"/>
              </w:rPr>
              <w:t>建设包含全结构化抓拍及高清视频监控前端感知建设、云存储扩容升级、服务公共安全视频信息共享平台无缝对接、智能化分析服务等内容</w:t>
            </w:r>
            <w:r>
              <w:rPr>
                <w:rFonts w:hint="default" w:ascii="Times New Roman" w:hAnsi="Times New Roman" w:eastAsia="宋体" w:cs="Times New Roman"/>
                <w:sz w:val="16"/>
                <w:szCs w:val="16"/>
              </w:rPr>
              <w:tab/>
            </w:r>
            <w:r>
              <w:rPr>
                <w:rFonts w:hint="default" w:ascii="Times New Roman" w:hAnsi="Times New Roman" w:eastAsia="宋体" w:cs="Times New Roman"/>
                <w:sz w:val="16"/>
                <w:szCs w:val="16"/>
              </w:rPr>
              <w:tab/>
            </w:r>
          </w:p>
          <w:p>
            <w:pPr>
              <w:keepNext w:val="0"/>
              <w:keepLines w:val="0"/>
              <w:widowControl/>
              <w:numPr>
                <w:ilvl w:val="0"/>
                <w:numId w:val="0"/>
              </w:numPr>
              <w:suppressLineNumbers w:val="0"/>
              <w:spacing w:before="0" w:beforeAutospacing="0" w:after="0" w:afterAutospacing="0"/>
              <w:ind w:left="0" w:right="0" w:rightChars="0"/>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sz w:val="16"/>
                <w:szCs w:val="16"/>
                <w:lang w:val="en-US" w:eastAsia="zh-CN"/>
              </w:rPr>
              <w:t>4、</w:t>
            </w:r>
            <w:r>
              <w:rPr>
                <w:rFonts w:hint="default" w:ascii="Times New Roman" w:hAnsi="Times New Roman" w:eastAsia="宋体" w:cs="Times New Roman"/>
                <w:sz w:val="16"/>
                <w:szCs w:val="16"/>
              </w:rPr>
              <w:t>对社会治理综合服务中心进行整体设施的升级改造</w:t>
            </w:r>
            <w:r>
              <w:rPr>
                <w:rFonts w:hint="default" w:ascii="Times New Roman" w:hAnsi="Times New Roman" w:eastAsia="宋体" w:cs="Times New Roman"/>
                <w:sz w:val="16"/>
                <w:szCs w:val="16"/>
              </w:rPr>
              <w:tab/>
            </w:r>
          </w:p>
        </w:tc>
        <w:tc>
          <w:tcPr>
            <w:tcW w:w="41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已完成</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91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41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391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41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年度绩效指标完成情况</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9"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sz w:val="16"/>
                <w:szCs w:val="16"/>
              </w:rPr>
              <w:t>项目包含内容个数</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cs="Times New Roman"/>
                <w:sz w:val="16"/>
                <w:szCs w:val="16"/>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4</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质量指标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color w:val="auto"/>
                <w:kern w:val="0"/>
                <w:sz w:val="16"/>
                <w:szCs w:val="16"/>
                <w:lang w:val="en-US" w:eastAsia="zh-CN" w:bidi="ar-SA"/>
              </w:rPr>
              <w:t>项目建设进度</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eastAsiaTheme="minorEastAsia"/>
                <w:i w:val="0"/>
                <w:color w:val="000000"/>
                <w:sz w:val="16"/>
                <w:szCs w:val="16"/>
                <w:u w:val="none"/>
                <w:lang w:val="en-US" w:eastAsia="zh-CN"/>
              </w:rPr>
            </w:pPr>
            <w:r>
              <w:rPr>
                <w:rFonts w:hint="eastAsia" w:ascii="Times New Roman" w:hAnsi="Times New Roman" w:cs="Times New Roman"/>
                <w:i w:val="0"/>
                <w:color w:val="000000"/>
                <w:sz w:val="16"/>
                <w:szCs w:val="16"/>
                <w:u w:val="none"/>
                <w:lang w:val="en-US" w:eastAsia="zh-CN"/>
              </w:rPr>
              <w:t>按合同约定进行</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cs="Times New Roman"/>
                <w:i w:val="0"/>
                <w:color w:val="000000"/>
                <w:sz w:val="16"/>
                <w:szCs w:val="16"/>
                <w:u w:val="none"/>
                <w:lang w:val="en-US" w:eastAsia="zh-CN"/>
              </w:rPr>
              <w:t>按合同约定进行</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sz w:val="16"/>
                <w:szCs w:val="16"/>
                <w:lang w:val="en-US" w:eastAsia="zh-CN"/>
              </w:rPr>
              <w:t>及时支付项目资金</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sz w:val="16"/>
                <w:szCs w:val="16"/>
                <w:lang w:val="en-US" w:eastAsia="zh-CN"/>
              </w:rPr>
              <w:t>及时</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及时</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sz w:val="16"/>
                <w:szCs w:val="16"/>
              </w:rPr>
              <w:t>成本节约率</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不超出预算安排</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效益指标（30）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社会</w:t>
            </w:r>
            <w:r>
              <w:rPr>
                <w:rFonts w:hint="default" w:ascii="Times New Roman" w:hAnsi="Times New Roman" w:eastAsia="宋体" w:cs="Times New Roman"/>
                <w:i w:val="0"/>
                <w:color w:val="000000"/>
                <w:kern w:val="0"/>
                <w:sz w:val="16"/>
                <w:szCs w:val="16"/>
                <w:u w:val="none"/>
                <w:lang w:val="en-US" w:eastAsia="zh-CN" w:bidi="ar"/>
              </w:rPr>
              <w:t>效益指标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ascii="宋体" w:hAnsi="宋体" w:eastAsia="宋体" w:cs="宋体"/>
                <w:i w:val="0"/>
                <w:color w:val="000000"/>
                <w:kern w:val="0"/>
                <w:sz w:val="16"/>
                <w:szCs w:val="16"/>
                <w:u w:val="none"/>
                <w:lang w:val="en-US" w:eastAsia="zh-CN" w:bidi="ar"/>
              </w:rPr>
              <w:t>保障社会和谐稳定</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基本稳定</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稳定</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sz w:val="16"/>
                <w:szCs w:val="16"/>
              </w:rPr>
              <w:t>提高居民生活质量和幸福指数</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得到完善</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得到完善</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仿宋" w:hAnsi="仿宋" w:eastAsia="仿宋" w:cs="仿宋"/>
                <w:color w:val="auto"/>
                <w:kern w:val="0"/>
                <w:sz w:val="16"/>
                <w:szCs w:val="16"/>
                <w:lang w:val="en-US" w:eastAsia="zh-CN" w:bidi="ar-SA"/>
              </w:rPr>
            </w:pPr>
            <w:r>
              <w:rPr>
                <w:rFonts w:hint="eastAsia"/>
                <w:sz w:val="16"/>
                <w:szCs w:val="16"/>
              </w:rPr>
              <w:t>提高城市综合承载能力</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kern w:val="0"/>
                <w:sz w:val="16"/>
                <w:szCs w:val="16"/>
                <w:u w:val="none"/>
                <w:lang w:val="en-US" w:eastAsia="zh-CN" w:bidi="ar-SA"/>
              </w:rPr>
            </w:pPr>
            <w:r>
              <w:rPr>
                <w:rFonts w:hint="default" w:ascii="Times New Roman" w:hAnsi="Times New Roman" w:eastAsia="宋体" w:cs="Times New Roman"/>
                <w:color w:val="auto"/>
                <w:kern w:val="2"/>
                <w:sz w:val="16"/>
                <w:szCs w:val="16"/>
                <w:lang w:val="en-US" w:eastAsia="zh-CN" w:bidi="ar"/>
              </w:rPr>
              <w:t>群众安全感得到提升</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color w:val="auto"/>
                <w:kern w:val="2"/>
                <w:sz w:val="16"/>
                <w:szCs w:val="16"/>
                <w:lang w:val="en-US" w:eastAsia="zh-CN" w:bidi="ar"/>
              </w:rPr>
              <w:t>群众安全感得到提升</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color w:val="auto"/>
                <w:kern w:val="2"/>
                <w:sz w:val="16"/>
                <w:szCs w:val="16"/>
                <w:lang w:val="en-US" w:eastAsia="zh-CN" w:bidi="ar"/>
              </w:rPr>
              <w:t>≥90%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90%</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预算执行率达到100%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color w:val="auto"/>
                <w:kern w:val="2"/>
                <w:sz w:val="16"/>
                <w:szCs w:val="16"/>
                <w:lang w:val="en-US" w:eastAsia="zh-CN" w:bidi="ar"/>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99.97</w:t>
            </w:r>
            <w:r>
              <w:rPr>
                <w:rFonts w:hint="default" w:ascii="Times New Roman" w:hAnsi="Times New Roman" w:eastAsia="宋体" w:cs="Times New Roman"/>
                <w:i w:val="0"/>
                <w:color w:val="000000"/>
                <w:sz w:val="16"/>
                <w:szCs w:val="16"/>
                <w:u w:val="none"/>
                <w:lang w:val="en-US" w:eastAsia="zh-CN"/>
              </w:rPr>
              <w:t>%</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805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五、</w:t>
            </w:r>
            <w:r>
              <w:rPr>
                <w:rFonts w:hint="default" w:ascii="Times New Roman" w:hAnsi="Times New Roman" w:eastAsia="宋体" w:cs="Times New Roman"/>
                <w:i w:val="0"/>
                <w:color w:val="000000"/>
                <w:kern w:val="0"/>
                <w:sz w:val="16"/>
                <w:szCs w:val="16"/>
                <w:u w:val="none"/>
                <w:lang w:val="en-US" w:eastAsia="zh-CN" w:bidi="ar"/>
              </w:rPr>
              <w:t xml:space="preserve"> </w:t>
            </w:r>
            <w:r>
              <w:rPr>
                <w:rStyle w:val="25"/>
                <w:rFonts w:hint="default" w:ascii="Times New Roman" w:hAnsi="Times New Roman" w:cs="Times New Roman"/>
                <w:sz w:val="16"/>
                <w:szCs w:val="16"/>
                <w:lang w:val="en-US" w:eastAsia="zh-CN" w:bidi="ar"/>
              </w:rPr>
              <w:t>存在问题、原因及下一步整改措施</w:t>
            </w:r>
          </w:p>
        </w:tc>
        <w:tc>
          <w:tcPr>
            <w:tcW w:w="93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Style w:val="25"/>
                <w:rFonts w:hint="default" w:ascii="Times New Roman" w:hAnsi="Times New Roman" w:cs="Times New Roman"/>
                <w:sz w:val="16"/>
                <w:szCs w:val="16"/>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21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填报人：</w:t>
            </w:r>
          </w:p>
        </w:tc>
        <w:tc>
          <w:tcPr>
            <w:tcW w:w="1223"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李保胜</w:t>
            </w:r>
          </w:p>
        </w:tc>
        <w:tc>
          <w:tcPr>
            <w:tcW w:w="120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48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319"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联系电话：</w:t>
            </w:r>
          </w:p>
        </w:tc>
        <w:tc>
          <w:tcPr>
            <w:tcW w:w="1302"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2535028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0570"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0570" w:type="dxa"/>
            <w:gridSpan w:val="8"/>
            <w:vMerge w:val="continue"/>
            <w:tcBorders>
              <w:top w:val="nil"/>
              <w:left w:val="nil"/>
              <w:bottom w:val="nil"/>
              <w:right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000000"/>
                <w:sz w:val="16"/>
                <w:szCs w:val="16"/>
                <w:u w:val="none"/>
              </w:rPr>
            </w:pPr>
          </w:p>
        </w:tc>
      </w:tr>
    </w:tbl>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仿宋_GB2312" w:hAnsi="Times New Roman" w:eastAsia="仿宋_GB2312" w:cs="DengXian-Regular"/>
          <w:sz w:val="32"/>
          <w:szCs w:val="32"/>
        </w:rPr>
        <w:t>国有资本经营预算财政拨款</w:t>
      </w:r>
      <w:r>
        <w:rPr>
          <w:rFonts w:hint="default" w:ascii="Times New Roman" w:hAnsi="Times New Roman" w:eastAsia="仿宋_GB2312" w:cs="Times New Roman"/>
          <w:sz w:val="32"/>
          <w:szCs w:val="32"/>
        </w:rPr>
        <w:t>无收支及结转结余情况，故</w:t>
      </w:r>
      <w:r>
        <w:rPr>
          <w:rFonts w:hint="eastAsia" w:ascii="仿宋_GB2312" w:hAnsi="Times New Roman" w:eastAsia="仿宋_GB2312" w:cs="DengXian-Regular"/>
          <w:sz w:val="32"/>
          <w:szCs w:val="32"/>
        </w:rPr>
        <w:t>国有资本经营预算财政拨款</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482240-D073-484E-8540-E28A4C013350}"/>
  </w:font>
  <w:font w:name="Arial">
    <w:panose1 w:val="020B0604020202020204"/>
    <w:charset w:val="01"/>
    <w:family w:val="swiss"/>
    <w:pitch w:val="default"/>
    <w:sig w:usb0="E0002EFF" w:usb1="C000785B" w:usb2="00000009" w:usb3="00000000" w:csb0="400001FF" w:csb1="FFFF0000"/>
    <w:embedRegular r:id="rId2" w:fontKey="{117E5DF9-F1A8-4187-999D-9F025EB73ECE}"/>
  </w:font>
  <w:font w:name="黑体">
    <w:panose1 w:val="02010609060101010101"/>
    <w:charset w:val="86"/>
    <w:family w:val="auto"/>
    <w:pitch w:val="default"/>
    <w:sig w:usb0="800002BF" w:usb1="38CF7CFA" w:usb2="00000016" w:usb3="00000000" w:csb0="00040001" w:csb1="00000000"/>
    <w:embedRegular r:id="rId3" w:fontKey="{88C0FDEE-F679-40B1-96D6-92CAB7F3C5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5A2EA500-7ABF-437E-AE97-88D83F04D231}"/>
  </w:font>
  <w:font w:name="仿宋">
    <w:panose1 w:val="02010609060101010101"/>
    <w:charset w:val="86"/>
    <w:family w:val="modern"/>
    <w:pitch w:val="default"/>
    <w:sig w:usb0="800002BF" w:usb1="38CF7CFA" w:usb2="00000016" w:usb3="00000000" w:csb0="00040001" w:csb1="00000000"/>
    <w:embedRegular r:id="rId5" w:fontKey="{4D6BD416-9756-4098-8AA5-F3D767B3A1A6}"/>
  </w:font>
  <w:font w:name="Calibri Light">
    <w:panose1 w:val="020F0302020204030204"/>
    <w:charset w:val="00"/>
    <w:family w:val="auto"/>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127B1584-F0CD-45D0-BC8E-F2741DC16999}"/>
  </w:font>
  <w:font w:name="思源黑体 CN Heavy">
    <w:altName w:val="黑体"/>
    <w:panose1 w:val="00000000000000000000"/>
    <w:charset w:val="86"/>
    <w:family w:val="swiss"/>
    <w:pitch w:val="default"/>
    <w:sig w:usb0="00000000" w:usb1="00000000" w:usb2="00000016" w:usb3="00000000" w:csb0="00060107" w:csb1="00000000"/>
    <w:embedRegular r:id="rId7" w:fontKey="{4ED308C5-0339-453B-8098-B36D1F75054D}"/>
  </w:font>
  <w:font w:name="楷体_GB2312">
    <w:altName w:val="楷体"/>
    <w:panose1 w:val="02010609030101010101"/>
    <w:charset w:val="86"/>
    <w:family w:val="auto"/>
    <w:pitch w:val="default"/>
    <w:sig w:usb0="00000000" w:usb1="00000000" w:usb2="00000000" w:usb3="00000000" w:csb0="00040000" w:csb1="00000000"/>
    <w:embedRegular r:id="rId8" w:fontKey="{B89BE3D3-CEDC-487B-AD55-6CB162C2C0FC}"/>
  </w:font>
  <w:font w:name="仿宋_GB2312">
    <w:altName w:val="仿宋"/>
    <w:panose1 w:val="02010609030101010101"/>
    <w:charset w:val="86"/>
    <w:family w:val="auto"/>
    <w:pitch w:val="default"/>
    <w:sig w:usb0="00000000" w:usb1="00000000" w:usb2="00000000" w:usb3="00000000" w:csb0="00040000" w:csb1="00000000"/>
    <w:embedRegular r:id="rId9" w:fontKey="{5685D77D-F860-4355-A4F0-92DB53E2003E}"/>
  </w:font>
  <w:font w:name="ArialUnicodeMS">
    <w:altName w:val="Malgun Gothic"/>
    <w:panose1 w:val="00000000000000000000"/>
    <w:charset w:val="81"/>
    <w:family w:val="auto"/>
    <w:pitch w:val="default"/>
    <w:sig w:usb0="00000000" w:usb1="00000000" w:usb2="00000010" w:usb3="00000000" w:csb0="00080001" w:csb1="00000000"/>
    <w:embedRegular r:id="rId10" w:fontKey="{226360B4-AF20-46CF-9102-1A27BCAB84AF}"/>
  </w:font>
  <w:font w:name="方正仿宋_GB2312">
    <w:panose1 w:val="02000000000000000000"/>
    <w:charset w:val="86"/>
    <w:family w:val="auto"/>
    <w:pitch w:val="default"/>
    <w:sig w:usb0="00000000" w:usb1="00000000" w:usb2="00000000" w:usb3="00000000" w:csb0="00000000" w:csb1="00000000"/>
    <w:embedRegular r:id="rId11" w:fontKey="{646FF0D9-EDAA-49D7-AC8E-9D8CD9BF27EB}"/>
  </w:font>
  <w:font w:name="DengXian-Regular">
    <w:altName w:val="宋体"/>
    <w:panose1 w:val="00000000000000000000"/>
    <w:charset w:val="86"/>
    <w:family w:val="auto"/>
    <w:pitch w:val="default"/>
    <w:sig w:usb0="00000000" w:usb1="00000000" w:usb2="00000010" w:usb3="00000000" w:csb0="00040001" w:csb1="00000000"/>
    <w:embedRegular r:id="rId12" w:fontKey="{6F8C1E2F-D24B-4D7A-90DA-91E1203F1DE4}"/>
  </w:font>
  <w:font w:name="方正书宋_GBK">
    <w:altName w:val="宋体"/>
    <w:panose1 w:val="00000000000000000000"/>
    <w:charset w:val="86"/>
    <w:family w:val="auto"/>
    <w:pitch w:val="default"/>
    <w:sig w:usb0="00000000" w:usb1="00000000" w:usb2="00000000" w:usb3="00000000" w:csb0="00000000" w:csb1="00000000"/>
    <w:embedRegular r:id="rId13" w:fontKey="{4FC0080E-E782-4FCB-AD77-7C7880913044}"/>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A0DAD6"/>
    <w:multiLevelType w:val="singleLevel"/>
    <w:tmpl w:val="84A0DAD6"/>
    <w:lvl w:ilvl="0" w:tentative="0">
      <w:start w:val="1"/>
      <w:numFmt w:val="decimal"/>
      <w:suff w:val="nothing"/>
      <w:lvlText w:val="%1、"/>
      <w:lvlJc w:val="left"/>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3D182DDF"/>
    <w:multiLevelType w:val="singleLevel"/>
    <w:tmpl w:val="3D182DDF"/>
    <w:lvl w:ilvl="0" w:tentative="0">
      <w:start w:val="2"/>
      <w:numFmt w:val="decimal"/>
      <w:suff w:val="nothing"/>
      <w:lvlText w:val="%1、"/>
      <w:lvlJc w:val="left"/>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UsImhkaWQiOiIzMWE1MzMwMDNjMmJhYTE1ZmE0MmVkZDFmNDA1ZThhMiIsInVzZXJDb3VudCI6M3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7C5EC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7CD56A9"/>
    <w:rsid w:val="08AB5AAF"/>
    <w:rsid w:val="09012C64"/>
    <w:rsid w:val="093B2E99"/>
    <w:rsid w:val="093E633B"/>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961FCD"/>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250C43"/>
    <w:rsid w:val="1F394761"/>
    <w:rsid w:val="1F65664C"/>
    <w:rsid w:val="1F7C149A"/>
    <w:rsid w:val="1F84140D"/>
    <w:rsid w:val="1F9B7FFD"/>
    <w:rsid w:val="1F9C7614"/>
    <w:rsid w:val="1FBE1971"/>
    <w:rsid w:val="2008768D"/>
    <w:rsid w:val="201A1744"/>
    <w:rsid w:val="204B327F"/>
    <w:rsid w:val="204C2B10"/>
    <w:rsid w:val="207B356D"/>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94F01"/>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A0474E"/>
    <w:rsid w:val="26D50E55"/>
    <w:rsid w:val="271A539C"/>
    <w:rsid w:val="27256408"/>
    <w:rsid w:val="274972D4"/>
    <w:rsid w:val="27AA3D97"/>
    <w:rsid w:val="280A3758"/>
    <w:rsid w:val="289057C5"/>
    <w:rsid w:val="28A67C7A"/>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02DC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77AB2"/>
    <w:rsid w:val="2EFC0112"/>
    <w:rsid w:val="2F2B730D"/>
    <w:rsid w:val="2F9F3DC1"/>
    <w:rsid w:val="2FFC7AC2"/>
    <w:rsid w:val="301430AF"/>
    <w:rsid w:val="30630612"/>
    <w:rsid w:val="308E59B0"/>
    <w:rsid w:val="30A31B54"/>
    <w:rsid w:val="30B10568"/>
    <w:rsid w:val="30E55DD3"/>
    <w:rsid w:val="30E60399"/>
    <w:rsid w:val="31356AA5"/>
    <w:rsid w:val="313E22F0"/>
    <w:rsid w:val="31B0194C"/>
    <w:rsid w:val="31CE17D1"/>
    <w:rsid w:val="32270449"/>
    <w:rsid w:val="323E4515"/>
    <w:rsid w:val="3286389B"/>
    <w:rsid w:val="32CF5C94"/>
    <w:rsid w:val="32D337C7"/>
    <w:rsid w:val="32E14C83"/>
    <w:rsid w:val="32E200EC"/>
    <w:rsid w:val="32E5408B"/>
    <w:rsid w:val="32EB0D70"/>
    <w:rsid w:val="332868BB"/>
    <w:rsid w:val="333211F3"/>
    <w:rsid w:val="33504B41"/>
    <w:rsid w:val="338B4A07"/>
    <w:rsid w:val="33944811"/>
    <w:rsid w:val="339A7744"/>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54456"/>
    <w:rsid w:val="39DD1AFF"/>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1D6FF5"/>
    <w:rsid w:val="3E6C0DFA"/>
    <w:rsid w:val="3E740322"/>
    <w:rsid w:val="3E7F4380"/>
    <w:rsid w:val="3E8D171B"/>
    <w:rsid w:val="3EA5630D"/>
    <w:rsid w:val="3EBA731B"/>
    <w:rsid w:val="3EE33949"/>
    <w:rsid w:val="3EFB5800"/>
    <w:rsid w:val="3F0F62D9"/>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6876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322B9"/>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687D8F"/>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59274F"/>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623106"/>
    <w:rsid w:val="5D9217C2"/>
    <w:rsid w:val="5DAD06BF"/>
    <w:rsid w:val="5DE23CB3"/>
    <w:rsid w:val="5DE97EEC"/>
    <w:rsid w:val="5DFA5EB0"/>
    <w:rsid w:val="5E000E4D"/>
    <w:rsid w:val="5E0B583E"/>
    <w:rsid w:val="5E201A7B"/>
    <w:rsid w:val="5EBD0484"/>
    <w:rsid w:val="5F2C5C7C"/>
    <w:rsid w:val="5F36141C"/>
    <w:rsid w:val="5FC5273F"/>
    <w:rsid w:val="603B3670"/>
    <w:rsid w:val="604F6C39"/>
    <w:rsid w:val="60806DF2"/>
    <w:rsid w:val="61072DA5"/>
    <w:rsid w:val="611C0817"/>
    <w:rsid w:val="61224A52"/>
    <w:rsid w:val="61520CCB"/>
    <w:rsid w:val="61851A29"/>
    <w:rsid w:val="622D1522"/>
    <w:rsid w:val="622E0574"/>
    <w:rsid w:val="62683B6B"/>
    <w:rsid w:val="6275761C"/>
    <w:rsid w:val="62816E52"/>
    <w:rsid w:val="62A80C77"/>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240B5D"/>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057C2"/>
    <w:rsid w:val="6EEB4AC4"/>
    <w:rsid w:val="6F212DD6"/>
    <w:rsid w:val="6F3B5912"/>
    <w:rsid w:val="6FA14A81"/>
    <w:rsid w:val="6FA3261F"/>
    <w:rsid w:val="700D6539"/>
    <w:rsid w:val="704203E3"/>
    <w:rsid w:val="7058046B"/>
    <w:rsid w:val="707F2079"/>
    <w:rsid w:val="70922734"/>
    <w:rsid w:val="70CE6DC7"/>
    <w:rsid w:val="70F8540F"/>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7F00EE"/>
    <w:rsid w:val="758F1E9B"/>
    <w:rsid w:val="75CE266B"/>
    <w:rsid w:val="75DC77CD"/>
    <w:rsid w:val="76120141"/>
    <w:rsid w:val="768216BE"/>
    <w:rsid w:val="76C23B43"/>
    <w:rsid w:val="76FD6F97"/>
    <w:rsid w:val="770218E8"/>
    <w:rsid w:val="779469CE"/>
    <w:rsid w:val="77C875A5"/>
    <w:rsid w:val="782A1C46"/>
    <w:rsid w:val="78A243EF"/>
    <w:rsid w:val="78A27DF6"/>
    <w:rsid w:val="79285B3A"/>
    <w:rsid w:val="79625CA9"/>
    <w:rsid w:val="79A91196"/>
    <w:rsid w:val="7A0B32D3"/>
    <w:rsid w:val="7AC13CD3"/>
    <w:rsid w:val="7AE10264"/>
    <w:rsid w:val="7AE4248E"/>
    <w:rsid w:val="7B4A207F"/>
    <w:rsid w:val="7B936F45"/>
    <w:rsid w:val="7BA47419"/>
    <w:rsid w:val="7BB10D45"/>
    <w:rsid w:val="7BB44151"/>
    <w:rsid w:val="7BF37B84"/>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21"/>
    <w:basedOn w:val="13"/>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收支对比表</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金额（万元）</c:v>
                </c:pt>
              </c:strCache>
            </c:strRef>
          </c:tx>
          <c:spPr>
            <a:solidFill>
              <a:schemeClr val="accent1"/>
            </a:solidFill>
            <a:ln>
              <a:noFill/>
            </a:ln>
            <a:effectLst/>
          </c:spPr>
          <c:invertIfNegative val="0"/>
          <c:dLbls>
            <c:delete val="1"/>
          </c:dLbls>
          <c:cat>
            <c:strRef>
              <c:f>Sheet1!$A$2:$A$3</c:f>
              <c:strCache>
                <c:ptCount val="2"/>
                <c:pt idx="0">
                  <c:v>2022年</c:v>
                </c:pt>
                <c:pt idx="1">
                  <c:v>2023年</c:v>
                </c:pt>
              </c:strCache>
            </c:strRef>
          </c:cat>
          <c:val>
            <c:numRef>
              <c:f>Sheet1!$B$2:$B$3</c:f>
              <c:numCache>
                <c:formatCode>General</c:formatCode>
                <c:ptCount val="2"/>
                <c:pt idx="0">
                  <c:v>15035.13</c:v>
                </c:pt>
                <c:pt idx="1">
                  <c:v>23758.13</c:v>
                </c:pt>
              </c:numCache>
            </c:numRef>
          </c:val>
        </c:ser>
        <c:ser>
          <c:idx val="1"/>
          <c:order val="1"/>
          <c:tx>
            <c:strRef>
              <c:f>Sheet1!#REF!</c:f>
              <c:strCache>
                <c:ptCount val="1"/>
                <c:pt idx="0">
                  <c:v/>
                </c:pt>
              </c:strCache>
            </c:strRef>
          </c:tx>
          <c:spPr>
            <a:solidFill>
              <a:schemeClr val="accent2"/>
            </a:solidFill>
            <a:ln>
              <a:noFill/>
            </a:ln>
            <a:effectLst/>
          </c:spPr>
          <c:invertIfNegative val="0"/>
          <c:dLbls>
            <c:delete val="1"/>
          </c:dLbls>
          <c:cat>
            <c:strRef>
              <c:f>Sheet1!$A$2:$A$3</c:f>
              <c:strCache>
                <c:ptCount val="2"/>
                <c:pt idx="0">
                  <c:v>2022年</c:v>
                </c:pt>
                <c:pt idx="1">
                  <c:v>2023年</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Sheet1!$A$2:$A$3</c:f>
              <c:strCache>
                <c:ptCount val="2"/>
                <c:pt idx="0">
                  <c:v>2022年</c:v>
                </c:pt>
                <c:pt idx="1">
                  <c:v>2023年</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334423432"/>
        <c:axId val="317754030"/>
      </c:barChart>
      <c:catAx>
        <c:axId val="3344234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7754030"/>
        <c:crosses val="autoZero"/>
        <c:auto val="1"/>
        <c:lblAlgn val="ctr"/>
        <c:lblOffset val="100"/>
        <c:noMultiLvlLbl val="0"/>
      </c:catAx>
      <c:valAx>
        <c:axId val="31775403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4423432"/>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本年支出</a:t>
            </a:r>
          </a:p>
        </c:rich>
      </c:tx>
      <c:layout>
        <c:manualLayout>
          <c:xMode val="edge"/>
          <c:yMode val="edge"/>
          <c:x val="0.433270823566182"/>
          <c:y val="0.0483289252224092"/>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113310987518942"/>
          <c:y val="0.214577089419293"/>
          <c:w val="0.956841589014223"/>
          <c:h val="0.487316898892462"/>
        </c:manualLayout>
      </c:layout>
      <c:pie3DChart>
        <c:varyColors val="1"/>
        <c:ser>
          <c:idx val="0"/>
          <c:order val="0"/>
          <c:tx>
            <c:strRef>
              <c:f>Sheet1!$B$1</c:f>
              <c:strCache>
                <c:ptCount val="1"/>
                <c:pt idx="0">
                  <c:v>支出</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0">
                  <c:v>基本支出</c:v>
                </c:pt>
                <c:pt idx="1">
                  <c:v>项目支出</c:v>
                </c:pt>
              </c:strCache>
            </c:strRef>
          </c:cat>
          <c:val>
            <c:numRef>
              <c:extLst>
                <c:ext xmlns:c15="http://schemas.microsoft.com/office/drawing/2012/chart" uri="{02D57815-91ED-43cb-92C2-25804820EDAC}">
                  <c15:fullRef>
                    <c15:sqref>Sheet1!$B$2:$B$5</c15:sqref>
                  </c15:fullRef>
                </c:ext>
              </c:extLst>
              <c:f>Sheet1!$B$2:$B$3</c:f>
              <c:numCache>
                <c:formatCode>General</c:formatCode>
                <c:ptCount val="2"/>
                <c:pt idx="0">
                  <c:v>7400.84</c:v>
                </c:pt>
                <c:pt idx="1">
                  <c:v>15784.26</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一般公共预算收支拨款对比表</a:t>
            </a:r>
          </a:p>
        </c:rich>
      </c:tx>
      <c:layout/>
      <c:overlay val="0"/>
      <c:spPr>
        <a:noFill/>
        <a:ln>
          <a:noFill/>
        </a:ln>
        <a:effectLst/>
      </c:spPr>
    </c:title>
    <c:autoTitleDeleted val="0"/>
    <c:plotArea>
      <c:layout>
        <c:manualLayout>
          <c:layoutTarget val="inner"/>
          <c:xMode val="edge"/>
          <c:yMode val="edge"/>
          <c:x val="0.060075"/>
          <c:y val="0.179769894534995"/>
          <c:w val="0.910925"/>
          <c:h val="0.592377756471716"/>
        </c:manualLayout>
      </c:layout>
      <c:barChart>
        <c:barDir val="col"/>
        <c:grouping val="clustered"/>
        <c:varyColors val="0"/>
        <c:ser>
          <c:idx val="0"/>
          <c:order val="0"/>
          <c:tx>
            <c:strRef>
              <c:f>Sheet1!$B$1</c:f>
              <c:strCache>
                <c:ptCount val="1"/>
                <c:pt idx="0">
                  <c:v>数值</c:v>
                </c:pt>
              </c:strCache>
            </c:strRef>
          </c:tx>
          <c:spPr>
            <a:solidFill>
              <a:schemeClr val="accent1"/>
            </a:solidFill>
            <a:ln>
              <a:noFill/>
            </a:ln>
            <a:effectLst/>
          </c:spPr>
          <c:invertIfNegative val="0"/>
          <c:dLbls>
            <c:delete val="1"/>
          </c:dLbls>
          <c:cat>
            <c:strRef>
              <c:f>Sheet1!$A$2:$A$5</c:f>
              <c:strCache>
                <c:ptCount val="4"/>
                <c:pt idx="0">
                  <c:v>2023年预算拨款收入</c:v>
                </c:pt>
                <c:pt idx="1">
                  <c:v>2023年实际拨款收入</c:v>
                </c:pt>
                <c:pt idx="2">
                  <c:v>2023年预算拨款支出</c:v>
                </c:pt>
                <c:pt idx="3">
                  <c:v>2023年实际拨款支出</c:v>
                </c:pt>
              </c:strCache>
            </c:strRef>
          </c:cat>
          <c:val>
            <c:numRef>
              <c:f>Sheet1!$B$2:$B$5</c:f>
              <c:numCache>
                <c:formatCode>General</c:formatCode>
                <c:ptCount val="4"/>
                <c:pt idx="0">
                  <c:v>14699.28</c:v>
                </c:pt>
                <c:pt idx="1">
                  <c:v>15311.39</c:v>
                </c:pt>
                <c:pt idx="2">
                  <c:v>14699.28</c:v>
                </c:pt>
                <c:pt idx="3">
                  <c:v>15324.3</c:v>
                </c:pt>
              </c:numCache>
            </c:numRef>
          </c:val>
        </c:ser>
        <c:dLbls>
          <c:showLegendKey val="0"/>
          <c:showVal val="0"/>
          <c:showCatName val="0"/>
          <c:showSerName val="0"/>
          <c:showPercent val="0"/>
          <c:showBubbleSize val="0"/>
        </c:dLbls>
        <c:gapWidth val="219"/>
        <c:overlap val="-27"/>
        <c:axId val="177412014"/>
        <c:axId val="844341601"/>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
                      </c:pt>
                    </c:strCache>
                  </c:strRef>
                </c:tx>
                <c:spPr>
                  <a:solidFill>
                    <a:schemeClr val="accent2"/>
                  </a:solidFill>
                  <a:ln>
                    <a:noFill/>
                  </a:ln>
                  <a:effectLst/>
                </c:spPr>
                <c:invertIfNegative val="0"/>
                <c:dLbls>
                  <c:delete val="1"/>
                </c:dLbls>
                <c:cat>
                  <c:strRef>
                    <c:extLst>
                      <c:ext uri="{02D57815-91ED-43cb-92C2-25804820EDAC}">
                        <c15:fullRef>
                          <c15:sqref/>
                        </c15:fullRef>
                        <c15:formulaRef>
                          <c15:sqref>Sheet1!$A$2:$A$5</c15:sqref>
                        </c15:formulaRef>
                      </c:ext>
                    </c:extLst>
                    <c:strCache>
                      <c:ptCount val="4"/>
                      <c:pt idx="0">
                        <c:v>2023年预算拨款收入</c:v>
                      </c:pt>
                      <c:pt idx="1">
                        <c:v>2023年实际拨款收入</c:v>
                      </c:pt>
                      <c:pt idx="2">
                        <c:v>2023年预算拨款支出</c:v>
                      </c:pt>
                      <c:pt idx="3">
                        <c:v>2023年实际拨款支出</c:v>
                      </c:pt>
                    </c:strCache>
                  </c:strRef>
                </c:cat>
                <c:val>
                  <c:numRef>
                    <c:extLst>
                      <c:ext uri="{02D57815-91ED-43cb-92C2-25804820EDAC}">
                        <c15:formulaRef>
                          <c15:sqref>Sheet1!$C$2:$C$5</c15:sqref>
                        </c15:formulaRef>
                      </c:ext>
                    </c:extLst>
                    <c:numCache>
                      <c:formatCode>General</c:formatCode>
                      <c:ptCount val="4"/>
                    </c:numCache>
                  </c:numRef>
                </c:val>
              </c15:ser>
            </c15:filteredBarSeries>
            <c15:filteredBarSeries>
              <c15:ser>
                <c:idx val="2"/>
                <c:order val="2"/>
                <c:tx>
                  <c:strRef>
                    <c:extLst>
                      <c:ext uri="{02D57815-91ED-43cb-92C2-25804820EDAC}">
                        <c15:formulaRef>
                          <c15:sqref>Sheet1!$D$1</c15:sqref>
                        </c15:formulaRef>
                      </c:ext>
                    </c:extLst>
                    <c:strCache>
                      <c:ptCount val="1"/>
                      <c:pt idx="0">
                        <c:v/>
                      </c:pt>
                    </c:strCache>
                  </c:strRef>
                </c:tx>
                <c:spPr>
                  <a:solidFill>
                    <a:schemeClr val="accent3"/>
                  </a:solidFill>
                  <a:ln>
                    <a:noFill/>
                  </a:ln>
                  <a:effectLst/>
                </c:spPr>
                <c:invertIfNegative val="0"/>
                <c:dLbls>
                  <c:delete val="1"/>
                </c:dLbls>
                <c:cat>
                  <c:strRef>
                    <c:extLst>
                      <c:ext uri="{02D57815-91ED-43cb-92C2-25804820EDAC}">
                        <c15:fullRef>
                          <c15:sqref/>
                        </c15:fullRef>
                        <c15:formulaRef>
                          <c15:sqref>Sheet1!$A$2:$A$5</c15:sqref>
                        </c15:formulaRef>
                      </c:ext>
                    </c:extLst>
                    <c:strCache>
                      <c:ptCount val="4"/>
                      <c:pt idx="0">
                        <c:v>2023年预算拨款收入</c:v>
                      </c:pt>
                      <c:pt idx="1">
                        <c:v>2023年实际拨款收入</c:v>
                      </c:pt>
                      <c:pt idx="2">
                        <c:v>2023年预算拨款支出</c:v>
                      </c:pt>
                      <c:pt idx="3">
                        <c:v>2023年实际拨款支出</c:v>
                      </c:pt>
                    </c:strCache>
                  </c:strRef>
                </c:cat>
                <c:val>
                  <c:numRef>
                    <c:extLst>
                      <c:ext uri="{02D57815-91ED-43cb-92C2-25804820EDAC}">
                        <c15:formulaRef>
                          <c15:sqref>Sheet1!$D$2:$D$5</c15:sqref>
                        </c15:formulaRef>
                      </c:ext>
                    </c:extLst>
                    <c:numCache>
                      <c:formatCode>General</c:formatCode>
                      <c:ptCount val="4"/>
                    </c:numCache>
                  </c:numRef>
                </c:val>
              </c15:ser>
            </c15:filteredBarSeries>
          </c:ext>
        </c:extLst>
      </c:barChart>
      <c:catAx>
        <c:axId val="17741201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4341601"/>
        <c:crosses val="autoZero"/>
        <c:auto val="1"/>
        <c:lblAlgn val="ctr"/>
        <c:lblOffset val="100"/>
        <c:noMultiLvlLbl val="0"/>
      </c:catAx>
      <c:valAx>
        <c:axId val="84434160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741201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政府性基金预算财政拨款收支拨款对比表</a:t>
            </a:r>
          </a:p>
        </c:rich>
      </c:tx>
      <c:layout>
        <c:manualLayout>
          <c:xMode val="edge"/>
          <c:yMode val="edge"/>
          <c:x val="0.1855"/>
          <c:y val="0.0334373606776638"/>
        </c:manualLayout>
      </c:layout>
      <c:overlay val="0"/>
      <c:spPr>
        <a:noFill/>
        <a:ln>
          <a:noFill/>
        </a:ln>
        <a:effectLst/>
      </c:spPr>
    </c:title>
    <c:autoTitleDeleted val="0"/>
    <c:plotArea>
      <c:layout>
        <c:manualLayout>
          <c:layoutTarget val="inner"/>
          <c:xMode val="edge"/>
          <c:yMode val="edge"/>
          <c:x val="0.1222"/>
          <c:y val="0.150691038787338"/>
          <c:w val="0.8503"/>
          <c:h val="0.596165849308961"/>
        </c:manualLayout>
      </c:layout>
      <c:barChart>
        <c:barDir val="col"/>
        <c:grouping val="clustered"/>
        <c:varyColors val="0"/>
        <c:ser>
          <c:idx val="0"/>
          <c:order val="0"/>
          <c:tx>
            <c:strRef>
              <c:f>Sheet1!$B$1</c:f>
              <c:strCache>
                <c:ptCount val="1"/>
                <c:pt idx="0">
                  <c:v>金额（单位：万元）</c:v>
                </c:pt>
              </c:strCache>
            </c:strRef>
          </c:tx>
          <c:spPr>
            <a:solidFill>
              <a:schemeClr val="accent1"/>
            </a:solidFill>
            <a:ln>
              <a:noFill/>
            </a:ln>
            <a:effectLst/>
          </c:spPr>
          <c:invertIfNegative val="0"/>
          <c:dLbls>
            <c:delete val="1"/>
          </c:dLbls>
          <c:cat>
            <c:strRef>
              <c:f>Sheet1!$A$2:$A$5</c:f>
              <c:strCache>
                <c:ptCount val="4"/>
                <c:pt idx="0">
                  <c:v>预算收入</c:v>
                </c:pt>
                <c:pt idx="1">
                  <c:v>实际收入</c:v>
                </c:pt>
                <c:pt idx="2">
                  <c:v>预算支出</c:v>
                </c:pt>
                <c:pt idx="3">
                  <c:v>实际支出</c:v>
                </c:pt>
              </c:strCache>
            </c:strRef>
          </c:cat>
          <c:val>
            <c:numRef>
              <c:f>Sheet1!$B$2:$B$5</c:f>
              <c:numCache>
                <c:formatCode>General</c:formatCode>
                <c:ptCount val="4"/>
                <c:pt idx="0">
                  <c:v>8000</c:v>
                </c:pt>
                <c:pt idx="1">
                  <c:v>7859.8</c:v>
                </c:pt>
                <c:pt idx="2">
                  <c:v>8000</c:v>
                </c:pt>
                <c:pt idx="3">
                  <c:v>7859.8</c:v>
                </c:pt>
              </c:numCache>
            </c:numRef>
          </c:val>
        </c:ser>
        <c:ser>
          <c:idx val="1"/>
          <c:order val="1"/>
          <c:tx>
            <c:strRef>
              <c:f>Sheet1!$C$1</c:f>
              <c:strCache>
                <c:ptCount val="1"/>
                <c:pt idx="0">
                  <c:v/>
                </c:pt>
              </c:strCache>
            </c:strRef>
          </c:tx>
          <c:spPr>
            <a:solidFill>
              <a:schemeClr val="accent2"/>
            </a:solidFill>
            <a:ln>
              <a:noFill/>
            </a:ln>
            <a:effectLst/>
          </c:spPr>
          <c:invertIfNegative val="0"/>
          <c:dLbls>
            <c:delete val="1"/>
          </c:dLbls>
          <c:cat>
            <c:strRef>
              <c:f>Sheet1!$A$2:$A$5</c:f>
              <c:strCache>
                <c:ptCount val="4"/>
                <c:pt idx="0">
                  <c:v>预算收入</c:v>
                </c:pt>
                <c:pt idx="1">
                  <c:v>实际收入</c:v>
                </c:pt>
                <c:pt idx="2">
                  <c:v>预算支出</c:v>
                </c:pt>
                <c:pt idx="3">
                  <c:v>实际支出</c:v>
                </c:pt>
              </c:strCache>
            </c:strRef>
          </c:cat>
          <c:val>
            <c:numRef>
              <c:f>Sheet1!$C$2:$C$5</c:f>
              <c:numCache>
                <c:formatCode>General</c:formatCode>
                <c:ptCount val="4"/>
              </c:numCache>
            </c:numRef>
          </c:val>
        </c:ser>
        <c:ser>
          <c:idx val="2"/>
          <c:order val="2"/>
          <c:tx>
            <c:strRef>
              <c:f>Sheet1!$D$1</c:f>
              <c:strCache>
                <c:ptCount val="1"/>
                <c:pt idx="0">
                  <c:v/>
                </c:pt>
              </c:strCache>
            </c:strRef>
          </c:tx>
          <c:spPr>
            <a:solidFill>
              <a:schemeClr val="accent3"/>
            </a:solidFill>
            <a:ln>
              <a:noFill/>
            </a:ln>
            <a:effectLst/>
          </c:spPr>
          <c:invertIfNegative val="0"/>
          <c:dLbls>
            <c:delete val="1"/>
          </c:dLbls>
          <c:cat>
            <c:strRef>
              <c:f>Sheet1!$A$2:$A$5</c:f>
              <c:strCache>
                <c:ptCount val="4"/>
                <c:pt idx="0">
                  <c:v>预算收入</c:v>
                </c:pt>
                <c:pt idx="1">
                  <c:v>实际收入</c:v>
                </c:pt>
                <c:pt idx="2">
                  <c:v>预算支出</c:v>
                </c:pt>
                <c:pt idx="3">
                  <c:v>实际支出</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999296826"/>
        <c:axId val="662899672"/>
      </c:barChart>
      <c:catAx>
        <c:axId val="9992968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2899672"/>
        <c:crosses val="autoZero"/>
        <c:auto val="1"/>
        <c:lblAlgn val="ctr"/>
        <c:lblOffset val="100"/>
        <c:noMultiLvlLbl val="0"/>
      </c:catAx>
      <c:valAx>
        <c:axId val="662899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9296826"/>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9984</Words>
  <Characters>22870</Characters>
  <Lines>86</Lines>
  <Paragraphs>24</Paragraphs>
  <TotalTime>12</TotalTime>
  <ScaleCrop>false</ScaleCrop>
  <LinksUpToDate>false</LinksUpToDate>
  <CharactersWithSpaces>23500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2024-08-28T01:51:11Z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