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3"/>
                    <a:stretch>
                      <a:fillRect/>
                    </a:stretch>
                  </pic:blipFill>
                  <pic:spPr>
                    <a:xfrm>
                      <a:off x="0" y="0"/>
                      <a:ext cx="2159000" cy="1310640"/>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4"/>
                    <a:stretch>
                      <a:fillRect/>
                    </a:stretch>
                  </pic:blipFill>
                  <pic:spPr>
                    <a:xfrm>
                      <a:off x="0" y="0"/>
                      <a:ext cx="2160270" cy="1310640"/>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5"/>
                    <a:stretch>
                      <a:fillRect/>
                    </a:stretch>
                  </pic:blipFill>
                  <pic:spPr>
                    <a:xfrm>
                      <a:off x="0" y="0"/>
                      <a:ext cx="2162810" cy="1310640"/>
                    </a:xfrm>
                    <a:prstGeom prst="rect">
                      <a:avLst/>
                    </a:prstGeom>
                  </pic:spPr>
                </pic:pic>
              </a:graphicData>
            </a:graphic>
          </wp:anchor>
        </w:drawing>
      </w:r>
      <w:r>
        <w:rPr>
          <w:rFonts w:hint="default" w:ascii="Times New Roman" w:hAnsi="Times New Roman" w:cs="Times New Roman"/>
        </w:rP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rPr>
          <w:rFonts w:hint="default" w:ascii="Times New Roman" w:hAnsi="Times New Roman" w:cs="Times New Roman"/>
        </w:rP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06095" cy="506095"/>
                    </a:xfrm>
                    <a:prstGeom prst="rect">
                      <a:avLst/>
                    </a:prstGeom>
                  </pic:spPr>
                </pic:pic>
              </a:graphicData>
            </a:graphic>
          </wp:anchor>
        </w:drawing>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widowControl/>
        <w:jc w:val="left"/>
        <w:rPr>
          <w:rFonts w:hint="default" w:ascii="Times New Roman" w:hAnsi="Times New Roman" w:cs="Times New Roman"/>
        </w:rPr>
      </w:pPr>
    </w:p>
    <w:p>
      <w:pPr>
        <w:spacing w:line="600" w:lineRule="auto"/>
        <w:jc w:val="left"/>
        <w:rPr>
          <w:rFonts w:hint="default" w:ascii="Times New Roman" w:hAnsi="Times New Roman" w:eastAsia="楷体_GB2312" w:cs="Times New Roman"/>
          <w:color w:val="000000"/>
          <w:sz w:val="40"/>
          <w:szCs w:val="40"/>
          <w:lang w:val="en-US" w:eastAsia="zh-CN"/>
        </w:rPr>
      </w:pPr>
      <w:r>
        <w:rPr>
          <w:rFonts w:hint="default" w:ascii="Times New Roman" w:hAnsi="Times New Roman" w:eastAsia="黑体" w:cs="Times New Roman"/>
          <w:color w:val="000000"/>
          <w:sz w:val="40"/>
          <w:szCs w:val="40"/>
        </w:rPr>
        <w:t>预算代码</w:t>
      </w:r>
      <w:r>
        <w:rPr>
          <w:rFonts w:hint="default" w:ascii="Times New Roman" w:hAnsi="Times New Roman" w:eastAsia="楷体_GB2312" w:cs="Times New Roman"/>
          <w:color w:val="000000"/>
          <w:sz w:val="40"/>
          <w:szCs w:val="40"/>
        </w:rPr>
        <w:t>：</w:t>
      </w:r>
      <w:r>
        <w:rPr>
          <w:rFonts w:hint="default" w:ascii="Times New Roman" w:hAnsi="Times New Roman" w:eastAsia="楷体_GB2312" w:cs="Times New Roman"/>
          <w:color w:val="000000"/>
          <w:sz w:val="40"/>
          <w:szCs w:val="40"/>
          <w:lang w:val="en-US" w:eastAsia="zh-CN"/>
        </w:rPr>
        <w:t>327002</w:t>
      </w:r>
    </w:p>
    <w:p>
      <w:pPr>
        <w:spacing w:line="600" w:lineRule="auto"/>
        <w:jc w:val="left"/>
        <w:rPr>
          <w:rFonts w:hint="default" w:ascii="Times New Roman" w:hAnsi="Times New Roman" w:eastAsia="楷体_GB2312" w:cs="Times New Roman"/>
          <w:color w:val="000000"/>
          <w:sz w:val="40"/>
          <w:szCs w:val="40"/>
        </w:rPr>
      </w:pPr>
      <w:r>
        <w:rPr>
          <w:rFonts w:hint="default" w:ascii="Times New Roman" w:hAnsi="Times New Roman" w:eastAsia="黑体" w:cs="Times New Roman"/>
          <w:color w:val="000000"/>
          <w:sz w:val="40"/>
          <w:szCs w:val="40"/>
        </w:rPr>
        <w:t>单位名称</w:t>
      </w:r>
      <w:r>
        <w:rPr>
          <w:rFonts w:hint="default" w:ascii="Times New Roman" w:hAnsi="Times New Roman" w:eastAsia="楷体_GB2312" w:cs="Times New Roman"/>
          <w:color w:val="000000"/>
          <w:sz w:val="40"/>
          <w:szCs w:val="40"/>
        </w:rPr>
        <w:t>：中国共产党唐山市丰南区委员会政法委员会</w:t>
      </w:r>
    </w:p>
    <w:p>
      <w:pPr>
        <w:spacing w:line="600" w:lineRule="auto"/>
        <w:jc w:val="left"/>
        <w:rPr>
          <w:rFonts w:hint="default" w:ascii="Times New Roman" w:hAnsi="Times New Roman" w:eastAsia="楷体_GB2312" w:cs="Times New Roman"/>
          <w:color w:val="000000"/>
          <w:sz w:val="40"/>
          <w:szCs w:val="40"/>
          <w:lang w:val="en-US" w:eastAsia="zh-CN"/>
        </w:rPr>
      </w:pPr>
    </w:p>
    <w:p>
      <w:pPr>
        <w:spacing w:line="600" w:lineRule="auto"/>
        <w:jc w:val="center"/>
        <w:rPr>
          <w:rFonts w:hint="default" w:ascii="Times New Roman" w:hAnsi="Times New Roman" w:eastAsia="楷体_GB2312" w:cs="Times New Roman"/>
          <w:color w:val="000000"/>
          <w:sz w:val="40"/>
          <w:szCs w:val="40"/>
        </w:rPr>
      </w:pPr>
    </w:p>
    <w:p>
      <w:pPr>
        <w:spacing w:line="600" w:lineRule="auto"/>
        <w:jc w:val="center"/>
        <w:rPr>
          <w:rFonts w:hint="default" w:ascii="Times New Roman" w:hAnsi="Times New Roman" w:eastAsia="楷体_GB2312" w:cs="Times New Roman"/>
          <w:color w:val="000000"/>
          <w:sz w:val="40"/>
          <w:szCs w:val="40"/>
        </w:rPr>
      </w:pPr>
    </w:p>
    <w:p>
      <w:pPr>
        <w:spacing w:line="600" w:lineRule="auto"/>
        <w:jc w:val="both"/>
        <w:rPr>
          <w:rFonts w:hint="default" w:ascii="Times New Roman" w:hAnsi="Times New Roman" w:eastAsia="楷体_GB2312" w:cs="Times New Roman"/>
          <w:color w:val="000000"/>
          <w:sz w:val="40"/>
          <w:szCs w:val="40"/>
        </w:rPr>
      </w:pPr>
    </w:p>
    <w:p>
      <w:pPr>
        <w:spacing w:line="600" w:lineRule="auto"/>
        <w:jc w:val="center"/>
        <w:rPr>
          <w:rFonts w:hint="default" w:ascii="Times New Roman" w:hAnsi="Times New Roman" w:eastAsia="楷体_GB2312" w:cs="Times New Roman"/>
          <w:color w:val="000000"/>
          <w:sz w:val="40"/>
          <w:szCs w:val="40"/>
        </w:rPr>
      </w:pPr>
      <w:r>
        <w:rPr>
          <w:rFonts w:hint="default" w:ascii="Times New Roman" w:hAnsi="Times New Roman" w:eastAsia="楷体_GB2312" w:cs="Times New Roman"/>
          <w:color w:val="000000"/>
          <w:sz w:val="40"/>
          <w:szCs w:val="40"/>
        </w:rPr>
        <w:t>二〇二四年八月</w:t>
      </w:r>
    </w:p>
    <w:p>
      <w:pPr>
        <w:rPr>
          <w:rFonts w:hint="default" w:ascii="Times New Roman" w:hAnsi="Times New Roman" w:eastAsia="楷体_GB2312" w:cs="Times New Roman"/>
          <w:color w:val="000000"/>
          <w:sz w:val="40"/>
          <w:szCs w:val="40"/>
        </w:rPr>
      </w:pPr>
      <w:r>
        <w:rPr>
          <w:rFonts w:hint="default" w:ascii="Times New Roman" w:hAnsi="Times New Roman" w:eastAsia="楷体_GB2312" w:cs="Times New Roman"/>
          <w:color w:val="000000"/>
          <w:sz w:val="40"/>
          <w:szCs w:val="40"/>
        </w:rPr>
        <w:br w:type="page"/>
      </w:r>
    </w:p>
    <w:p>
      <w:pPr>
        <w:spacing w:line="600" w:lineRule="auto"/>
        <w:jc w:val="center"/>
        <w:rPr>
          <w:rFonts w:hint="default" w:ascii="Times New Roman" w:hAnsi="Times New Roman" w:eastAsia="楷体_GB2312" w:cs="Times New Roman"/>
          <w:color w:val="000000"/>
          <w:sz w:val="40"/>
          <w:szCs w:val="40"/>
        </w:rPr>
      </w:pPr>
    </w:p>
    <w:p>
      <w:pPr>
        <w:rPr>
          <w:rFonts w:hint="default" w:ascii="Times New Roman" w:hAnsi="Times New Roman" w:eastAsia="黑体" w:cs="Times New Roman"/>
          <w:b/>
          <w:bCs/>
          <w:sz w:val="32"/>
          <w:szCs w:val="36"/>
          <w:highlight w:val="yellow"/>
        </w:rPr>
      </w:pPr>
    </w:p>
    <w:p>
      <w:pPr>
        <w:rPr>
          <w:rFonts w:hint="default" w:ascii="Times New Roman" w:hAnsi="Times New Roman" w:eastAsia="黑体" w:cs="Times New Roman"/>
          <w:b/>
          <w:bCs/>
          <w:sz w:val="72"/>
          <w:szCs w:val="96"/>
        </w:rPr>
      </w:pPr>
      <w:r>
        <w:rPr>
          <w:rFonts w:hint="default" w:ascii="Times New Roman" w:hAnsi="Times New Roman" w:eastAsia="黑体" w:cs="Times New Roman"/>
          <w:b/>
          <w:bCs/>
          <w:sz w:val="32"/>
          <w:szCs w:val="36"/>
          <w:highlight w:val="yellow"/>
        </w:rPr>
        <w:t>注：</w:t>
      </w:r>
      <w:r>
        <w:rPr>
          <w:rFonts w:hint="default" w:ascii="Times New Roman" w:hAnsi="Times New Roman" w:eastAsia="楷体_GB2312" w:cs="Times New Roman"/>
          <w:color w:val="000000" w:themeColor="text1"/>
          <w:kern w:val="0"/>
          <w:sz w:val="32"/>
          <w:szCs w:val="32"/>
          <w:highlight w:val="yellow"/>
          <w14:textFill>
            <w14:solidFill>
              <w14:schemeClr w14:val="tx1"/>
            </w14:solidFill>
          </w14:textFill>
        </w:rPr>
        <w:t>此页仅加盖公章使用，不在公开的文本中显示</w:t>
      </w:r>
    </w:p>
    <w:p>
      <w:pPr>
        <w:rPr>
          <w:rFonts w:hint="default" w:ascii="Times New Roman" w:hAnsi="Times New Roman" w:eastAsia="黑体" w:cs="Times New Roman"/>
          <w:b/>
          <w:bCs/>
          <w:sz w:val="72"/>
          <w:szCs w:val="96"/>
        </w:rPr>
      </w:pPr>
    </w:p>
    <w:p>
      <w:pPr>
        <w:rPr>
          <w:rFonts w:hint="default" w:ascii="Times New Roman" w:hAnsi="Times New Roman" w:eastAsia="黑体" w:cs="Times New Roman"/>
          <w:b/>
          <w:bCs/>
          <w:sz w:val="72"/>
          <w:szCs w:val="96"/>
        </w:rPr>
      </w:pPr>
    </w:p>
    <w:p>
      <w:pPr>
        <w:rPr>
          <w:rFonts w:hint="default" w:ascii="Times New Roman" w:hAnsi="Times New Roman" w:eastAsia="黑体" w:cs="Times New Roman"/>
          <w:b/>
          <w:bCs/>
          <w:sz w:val="72"/>
          <w:szCs w:val="96"/>
        </w:rPr>
      </w:pPr>
      <w:r>
        <w:rPr>
          <w:rFonts w:hint="default" w:ascii="Times New Roman" w:hAnsi="Times New Roman" w:eastAsia="黑体" w:cs="Times New Roman"/>
          <w:b/>
          <w:bCs/>
          <w:sz w:val="72"/>
          <w:szCs w:val="96"/>
        </w:rPr>
        <w:t>2023年度部门决算公开文本</w:t>
      </w:r>
    </w:p>
    <w:p>
      <w:pPr>
        <w:spacing w:line="360" w:lineRule="auto"/>
        <w:jc w:val="center"/>
        <w:rPr>
          <w:rFonts w:hint="default" w:ascii="Times New Roman" w:hAnsi="Times New Roman" w:eastAsia="黑体" w:cs="Times New Roman"/>
          <w:sz w:val="56"/>
          <w:szCs w:val="72"/>
        </w:rPr>
      </w:pPr>
    </w:p>
    <w:p>
      <w:pPr>
        <w:spacing w:line="600" w:lineRule="auto"/>
        <w:jc w:val="center"/>
        <w:rPr>
          <w:rFonts w:hint="default" w:ascii="Times New Roman" w:hAnsi="Times New Roman" w:eastAsia="黑体" w:cs="Times New Roman"/>
          <w:sz w:val="56"/>
          <w:szCs w:val="72"/>
        </w:rPr>
      </w:pPr>
    </w:p>
    <w:p>
      <w:pPr>
        <w:spacing w:line="600" w:lineRule="auto"/>
        <w:jc w:val="center"/>
        <w:rPr>
          <w:rFonts w:hint="default" w:ascii="Times New Roman" w:hAnsi="Times New Roman" w:eastAsia="黑体" w:cs="Times New Roman"/>
          <w:sz w:val="56"/>
          <w:szCs w:val="72"/>
        </w:rPr>
      </w:pPr>
    </w:p>
    <w:p>
      <w:pPr>
        <w:spacing w:line="480" w:lineRule="auto"/>
        <w:jc w:val="center"/>
        <w:rPr>
          <w:rFonts w:hint="default" w:ascii="Times New Roman" w:hAnsi="Times New Roman" w:eastAsia="黑体" w:cs="Times New Roman"/>
          <w:sz w:val="56"/>
          <w:szCs w:val="72"/>
        </w:rPr>
      </w:pPr>
    </w:p>
    <w:p>
      <w:pPr>
        <w:snapToGrid w:val="0"/>
        <w:jc w:val="center"/>
        <w:rPr>
          <w:rFonts w:hint="default"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default"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中国共产党</w:t>
      </w:r>
    </w:p>
    <w:p>
      <w:pPr>
        <w:snapToGrid w:val="0"/>
        <w:jc w:val="center"/>
        <w:rPr>
          <w:rFonts w:hint="default"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default"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唐山市丰南区委员会政法委员会</w:t>
      </w:r>
    </w:p>
    <w:p>
      <w:pPr>
        <w:snapToGrid w:val="0"/>
        <w:jc w:val="center"/>
        <w:rPr>
          <w:rFonts w:hint="eastAsia" w:ascii="Times New Roman" w:hAnsi="Times New Roman" w:eastAsia="楷体_GB2312" w:cs="Times New Roman"/>
          <w:sz w:val="56"/>
          <w:szCs w:val="72"/>
          <w:lang w:val="en-US" w:eastAsia="zh-CN"/>
        </w:rPr>
        <w:sectPr>
          <w:headerReference r:id="rId4" w:type="first"/>
          <w:footerReference r:id="rId6" w:type="first"/>
          <w:headerReference r:id="rId3" w:type="default"/>
          <w:footerReference r:id="rId5"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hint="default" w:ascii="Times New Roman" w:hAnsi="Times New Roman" w:eastAsia="楷体_GB2312" w:cs="Times New Roman"/>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w:t>
      </w:r>
      <w:r>
        <w:rPr>
          <w:rFonts w:hint="eastAsia" w:ascii="Times New Roman" w:hAnsi="Times New Roman" w:eastAsia="楷体_GB2312" w:cs="Times New Roman"/>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tabs>
          <w:tab w:val="left" w:pos="2728"/>
        </w:tabs>
        <w:jc w:val="both"/>
        <w:rPr>
          <w:rFonts w:hint="default" w:ascii="Times New Roman" w:hAnsi="Times New Roman" w:eastAsia="黑体" w:cs="Times New Roman"/>
          <w:sz w:val="48"/>
          <w:szCs w:val="48"/>
        </w:rPr>
      </w:pPr>
    </w:p>
    <w:p>
      <w:pPr>
        <w:tabs>
          <w:tab w:val="left" w:pos="2728"/>
        </w:tabs>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目    录</w:t>
      </w:r>
    </w:p>
    <w:p>
      <w:pPr>
        <w:widowControl/>
        <w:spacing w:after="160" w:line="580" w:lineRule="exact"/>
        <w:ind w:firstLine="640" w:firstLineChars="200"/>
        <w:rPr>
          <w:rFonts w:hint="default" w:ascii="Times New Roman" w:hAnsi="Times New Roman" w:eastAsia="黑体" w:cs="Times New Roman"/>
          <w:sz w:val="32"/>
          <w:szCs w:val="32"/>
        </w:rPr>
      </w:pPr>
    </w:p>
    <w:p>
      <w:pPr>
        <w:widowControl/>
        <w:spacing w:after="160" w:line="580" w:lineRule="exact"/>
        <w:ind w:firstLine="640" w:firstLineChars="200"/>
        <w:rPr>
          <w:rFonts w:hint="default" w:ascii="Times New Roman" w:hAnsi="Times New Roman" w:eastAsia="仿宋_GB2312" w:cs="Times New Roman"/>
          <w:sz w:val="24"/>
          <w:szCs w:val="32"/>
        </w:rPr>
      </w:pPr>
      <w:r>
        <w:rPr>
          <w:rFonts w:hint="default" w:ascii="Times New Roman" w:hAnsi="Times New Roman" w:eastAsia="黑体" w:cs="Times New Roman"/>
          <w:sz w:val="32"/>
          <w:szCs w:val="32"/>
        </w:rPr>
        <w:t>第一部分   部门概况</w:t>
      </w:r>
    </w:p>
    <w:p>
      <w:pPr>
        <w:widowControl/>
        <w:spacing w:after="160" w:line="580" w:lineRule="exact"/>
        <w:ind w:firstLine="1273" w:firstLineChars="398"/>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一、部门职责</w:t>
      </w:r>
    </w:p>
    <w:p>
      <w:pPr>
        <w:widowControl/>
        <w:spacing w:after="160" w:line="580" w:lineRule="exact"/>
        <w:ind w:firstLine="1273" w:firstLineChars="398"/>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二、机构设置</w:t>
      </w:r>
    </w:p>
    <w:p>
      <w:pPr>
        <w:widowControl/>
        <w:spacing w:after="160" w:line="58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第二部分   2023年度部门决算报表</w:t>
      </w:r>
    </w:p>
    <w:p>
      <w:pPr>
        <w:widowControl/>
        <w:spacing w:after="160" w:line="580" w:lineRule="exact"/>
        <w:ind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一、收入支出决算总表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二、收入决算表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三、支出决算表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四、财政拨款收入支出决算总表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八、国有资本经营预算财政拨款支出决算表</w:t>
      </w:r>
    </w:p>
    <w:p>
      <w:pPr>
        <w:widowControl/>
        <w:spacing w:after="160" w:line="580" w:lineRule="exact"/>
        <w:ind w:left="640" w:firstLine="640" w:firstLineChars="200"/>
        <w:rPr>
          <w:rFonts w:hint="default" w:ascii="Times New Roman" w:hAnsi="Times New Roman" w:eastAsia="仿宋_GB2312" w:cs="Times New Roman"/>
          <w:sz w:val="20"/>
          <w:szCs w:val="32"/>
        </w:rPr>
      </w:pPr>
      <w:r>
        <w:rPr>
          <w:rFonts w:hint="default"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第三部分   2023年度部门决算情况说明</w:t>
      </w:r>
    </w:p>
    <w:p>
      <w:pPr>
        <w:widowControl/>
        <w:spacing w:after="160" w:line="580" w:lineRule="exact"/>
        <w:ind w:firstLine="1280" w:firstLineChars="4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一、收入支出决算总体情况说明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十、其他需要说明的情况</w:t>
      </w:r>
    </w:p>
    <w:p>
      <w:pPr>
        <w:widowControl/>
        <w:spacing w:after="160" w:line="580" w:lineRule="exact"/>
        <w:ind w:firstLine="640" w:firstLineChars="200"/>
        <w:rPr>
          <w:rFonts w:hint="default"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hint="default" w:ascii="Times New Roman" w:hAnsi="Times New Roman" w:eastAsia="黑体" w:cs="Times New Roman"/>
          <w:sz w:val="32"/>
          <w:szCs w:val="32"/>
        </w:rPr>
        <w:t>第四部分  名词解释</w:t>
      </w:r>
    </w:p>
    <w:p>
      <w:pPr>
        <w:rPr>
          <w:rFonts w:hint="default" w:ascii="Times New Roman" w:hAnsi="Times New Roman" w:eastAsia="Arial" w:cs="Times New Roman"/>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Arial" w:cs="Times New Roman"/>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黑体" w:cs="Times New Roman"/>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黑体" w:cs="Times New Roman"/>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黑体" w:cs="Times New Roman"/>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黑体" w:cs="Times New Roman"/>
          <w:i w:val="0"/>
          <w:iCs w:val="0"/>
          <w:caps w:val="0"/>
          <w:color w:val="000000"/>
          <w:spacing w:val="0"/>
          <w:sz w:val="72"/>
          <w:szCs w:val="72"/>
          <w:highlight w:val="none"/>
          <w:shd w:val="clear" w:fill="FFFFFF"/>
        </w:rPr>
        <w:t xml:space="preserve">第一部分  </w:t>
      </w:r>
      <w:r>
        <w:rPr>
          <w:rFonts w:hint="default" w:ascii="Times New Roman" w:hAnsi="Times New Roman" w:eastAsia="黑体" w:cs="Times New Roman"/>
          <w:i w:val="0"/>
          <w:iCs w:val="0"/>
          <w:caps w:val="0"/>
          <w:color w:val="000000"/>
          <w:spacing w:val="0"/>
          <w:sz w:val="72"/>
          <w:szCs w:val="72"/>
          <w:highlight w:val="none"/>
          <w:shd w:val="clear" w:fill="FFFFFF"/>
          <w:lang w:eastAsia="zh-CN"/>
        </w:rPr>
        <w:t>单位</w:t>
      </w:r>
      <w:r>
        <w:rPr>
          <w:rFonts w:hint="default" w:ascii="Times New Roman" w:hAnsi="Times New Roman" w:eastAsia="黑体" w:cs="Times New Roman"/>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rPr>
          <w:rFonts w:hint="default" w:ascii="Times New Roman" w:hAnsi="Times New Roman" w:eastAsia="黑体" w:cs="Times New Roman"/>
          <w:i w:val="0"/>
          <w:iCs w:val="0"/>
          <w:caps w:val="0"/>
          <w:color w:val="000000"/>
          <w:spacing w:val="0"/>
          <w:sz w:val="33"/>
          <w:szCs w:val="33"/>
          <w:highlight w:val="none"/>
          <w:shd w:val="clear" w:fill="FFFFFF"/>
        </w:rPr>
      </w:pPr>
      <w:r>
        <w:rPr>
          <w:rFonts w:hint="default" w:ascii="Times New Roman" w:hAnsi="Times New Roman" w:eastAsia="黑体" w:cs="Times New Roman"/>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Times New Roman" w:hAnsi="Times New Roman" w:eastAsia="Arial" w:cs="Times New Roman"/>
          <w:i w:val="0"/>
          <w:iCs w:val="0"/>
          <w:caps w:val="0"/>
          <w:color w:val="000000"/>
          <w:spacing w:val="0"/>
          <w:sz w:val="32"/>
          <w:szCs w:val="32"/>
          <w:highlight w:val="none"/>
        </w:rPr>
      </w:pPr>
      <w:r>
        <w:rPr>
          <w:rFonts w:hint="default" w:ascii="Times New Roman" w:hAnsi="Times New Roman" w:eastAsia="黑体" w:cs="Times New Roman"/>
          <w:i w:val="0"/>
          <w:iCs w:val="0"/>
          <w:caps w:val="0"/>
          <w:color w:val="000000"/>
          <w:spacing w:val="0"/>
          <w:sz w:val="32"/>
          <w:szCs w:val="32"/>
          <w:highlight w:val="none"/>
          <w:shd w:val="clear" w:fill="FFFFFF"/>
        </w:rPr>
        <w:t>一、</w:t>
      </w:r>
      <w:r>
        <w:rPr>
          <w:rFonts w:hint="default" w:ascii="Times New Roman" w:hAnsi="Times New Roman" w:eastAsia="黑体" w:cs="Times New Roman"/>
          <w:i w:val="0"/>
          <w:iCs w:val="0"/>
          <w:caps w:val="0"/>
          <w:color w:val="000000"/>
          <w:spacing w:val="0"/>
          <w:sz w:val="32"/>
          <w:szCs w:val="32"/>
          <w:highlight w:val="none"/>
          <w:shd w:val="clear" w:fill="FFFFFF"/>
          <w:lang w:eastAsia="zh-CN"/>
        </w:rPr>
        <w:t>单位</w:t>
      </w:r>
      <w:r>
        <w:rPr>
          <w:rFonts w:hint="default" w:ascii="Times New Roman" w:hAnsi="Times New Roman" w:eastAsia="黑体" w:cs="Times New Roman"/>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numPr>
          <w:ilvl w:val="0"/>
          <w:numId w:val="0"/>
        </w:numPr>
        <w:rPr>
          <w:rFonts w:hint="default" w:ascii="Times New Roman" w:hAnsi="Times New Roman" w:eastAsia="仿宋" w:cs="Times New Roman"/>
          <w:sz w:val="30"/>
          <w:szCs w:val="30"/>
          <w:lang w:eastAsia="zh-CN"/>
        </w:rPr>
      </w:pPr>
      <w:r>
        <w:rPr>
          <w:rFonts w:hint="default" w:ascii="Times New Roman" w:hAnsi="Times New Roman" w:eastAsia="仿宋" w:cs="Times New Roman"/>
          <w:sz w:val="32"/>
          <w:szCs w:val="32"/>
        </w:rPr>
        <w:t>（一）</w:t>
      </w:r>
      <w:r>
        <w:rPr>
          <w:rFonts w:hint="default" w:ascii="Times New Roman" w:hAnsi="Times New Roman" w:eastAsia="仿宋" w:cs="Times New Roman"/>
          <w:sz w:val="30"/>
          <w:szCs w:val="30"/>
          <w:lang w:eastAsia="zh-CN"/>
        </w:rPr>
        <w:t>对全区政法工作研究提出全局性部署，推进平安丰南、法治丰南建设，加强过硬队伍建设，深化智能化建设，坚决维护国家政治安全、确保社会大局稳定、促进社会公平正义、保障人民安居乐业。</w:t>
      </w:r>
    </w:p>
    <w:p>
      <w:pPr>
        <w:numPr>
          <w:ilvl w:val="0"/>
          <w:numId w:val="0"/>
        </w:numPr>
        <w:rPr>
          <w:rFonts w:hint="default" w:ascii="Times New Roman" w:hAnsi="Times New Roman" w:eastAsia="仿宋" w:cs="Times New Roman"/>
          <w:sz w:val="30"/>
          <w:szCs w:val="30"/>
          <w:lang w:eastAsia="zh-CN"/>
        </w:rPr>
      </w:pPr>
      <w:r>
        <w:rPr>
          <w:rFonts w:hint="default" w:ascii="Times New Roman" w:hAnsi="Times New Roman" w:eastAsia="仿宋" w:cs="Times New Roman"/>
          <w:sz w:val="32"/>
          <w:szCs w:val="32"/>
          <w:lang w:eastAsia="zh-CN"/>
        </w:rPr>
        <w:t>　　</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二</w:t>
      </w:r>
      <w:r>
        <w:rPr>
          <w:rFonts w:hint="default" w:ascii="Times New Roman" w:hAnsi="Times New Roman" w:eastAsia="仿宋" w:cs="Times New Roman"/>
          <w:sz w:val="32"/>
          <w:szCs w:val="32"/>
        </w:rPr>
        <w:t>）</w:t>
      </w:r>
      <w:r>
        <w:rPr>
          <w:rFonts w:hint="default" w:ascii="Times New Roman" w:hAnsi="Times New Roman" w:eastAsia="仿宋" w:cs="Times New Roman"/>
          <w:sz w:val="30"/>
          <w:szCs w:val="30"/>
          <w:lang w:eastAsia="zh-CN"/>
        </w:rPr>
        <w:t>了解掌握和分析研判政法工作情况动态，分析社会稳定形势，创新完善多部门参与的综治维稳工作机制，协调推动预防、化解影响稳定的社会矛盾和风险，协调应对和处置重大突发事件。</w:t>
      </w:r>
    </w:p>
    <w:p>
      <w:pPr>
        <w:ind w:firstLine="640" w:firstLineChars="200"/>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三</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加</w:t>
      </w:r>
      <w:r>
        <w:rPr>
          <w:rFonts w:hint="default" w:ascii="Times New Roman" w:hAnsi="Times New Roman" w:eastAsia="仿宋" w:cs="Times New Roman"/>
          <w:sz w:val="30"/>
          <w:szCs w:val="30"/>
          <w:lang w:eastAsia="zh-CN"/>
        </w:rPr>
        <w:t>强对政法工作的督查，统筹协调社会治安综合治理、维护社会稳定、反邪教有关法律法规政策的实施工作。</w:t>
      </w:r>
    </w:p>
    <w:p>
      <w:pPr>
        <w:keepNext/>
        <w:keepLines/>
        <w:widowControl w:val="0"/>
        <w:spacing w:line="580" w:lineRule="exact"/>
        <w:ind w:firstLine="640" w:firstLineChars="200"/>
        <w:jc w:val="left"/>
        <w:outlineLvl w:val="0"/>
        <w:rPr>
          <w:rFonts w:hint="default" w:ascii="Times New Roman" w:hAnsi="Times New Roman" w:eastAsia="黑体" w:cs="Times New Roman"/>
          <w:kern w:val="0"/>
          <w:sz w:val="32"/>
          <w:szCs w:val="32"/>
        </w:rPr>
      </w:pP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四</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组</w:t>
      </w:r>
      <w:r>
        <w:rPr>
          <w:rFonts w:hint="default" w:ascii="Times New Roman" w:hAnsi="Times New Roman" w:eastAsia="仿宋" w:cs="Times New Roman"/>
          <w:sz w:val="30"/>
          <w:szCs w:val="30"/>
          <w:lang w:eastAsia="zh-CN"/>
        </w:rPr>
        <w:t>织开展政法领域的调查研究，研究拟订政法工作的重大措施，及时向区委提出建议。</w:t>
      </w:r>
    </w:p>
    <w:p>
      <w:pPr>
        <w:numPr>
          <w:ilvl w:val="0"/>
          <w:numId w:val="0"/>
        </w:numPr>
        <w:rPr>
          <w:rFonts w:hint="default" w:ascii="Times New Roman" w:hAnsi="Times New Roman" w:eastAsia="黑体" w:cs="Times New Roman"/>
          <w:kern w:val="0"/>
          <w:sz w:val="32"/>
          <w:szCs w:val="32"/>
        </w:rPr>
      </w:pPr>
      <w:r>
        <w:rPr>
          <w:rFonts w:hint="default" w:ascii="Times New Roman" w:hAnsi="Times New Roman" w:eastAsia="仿宋" w:cs="Times New Roman"/>
          <w:sz w:val="32"/>
          <w:szCs w:val="32"/>
          <w:lang w:eastAsia="zh-CN"/>
        </w:rPr>
        <w:t>　　</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五</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掌</w:t>
      </w:r>
      <w:r>
        <w:rPr>
          <w:rFonts w:hint="default" w:ascii="Times New Roman" w:hAnsi="Times New Roman" w:eastAsia="仿宋" w:cs="Times New Roman"/>
          <w:sz w:val="30"/>
          <w:szCs w:val="30"/>
          <w:lang w:eastAsia="zh-CN"/>
        </w:rPr>
        <w:t>握分析政法舆情动态，指导协调政法单位媒体网络宣传工作，指导政法单位做好涉及政法工作的重大宣传工作。</w:t>
      </w:r>
    </w:p>
    <w:p>
      <w:pPr>
        <w:numPr>
          <w:ilvl w:val="0"/>
          <w:numId w:val="0"/>
        </w:numPr>
        <w:rPr>
          <w:rFonts w:hint="default" w:ascii="Times New Roman" w:hAnsi="Times New Roman" w:eastAsia="仿宋" w:cs="Times New Roman"/>
          <w:kern w:val="0"/>
          <w:sz w:val="32"/>
          <w:szCs w:val="32"/>
          <w:lang w:eastAsia="zh-CN"/>
        </w:rPr>
      </w:pPr>
      <w:r>
        <w:rPr>
          <w:rFonts w:hint="default" w:ascii="Times New Roman" w:hAnsi="Times New Roman" w:eastAsia="仿宋" w:cs="Times New Roman"/>
          <w:sz w:val="32"/>
          <w:szCs w:val="32"/>
          <w:lang w:eastAsia="zh-CN"/>
        </w:rPr>
        <w:t>　　</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六</w:t>
      </w:r>
      <w:r>
        <w:rPr>
          <w:rFonts w:hint="default" w:ascii="Times New Roman" w:hAnsi="Times New Roman" w:eastAsia="仿宋" w:cs="Times New Roman"/>
          <w:sz w:val="32"/>
          <w:szCs w:val="32"/>
        </w:rPr>
        <w:t>）</w:t>
      </w:r>
      <w:r>
        <w:rPr>
          <w:rFonts w:hint="default" w:ascii="Times New Roman" w:hAnsi="Times New Roman" w:eastAsia="仿宋" w:cs="Times New Roman"/>
          <w:sz w:val="30"/>
          <w:szCs w:val="30"/>
          <w:lang w:eastAsia="zh-CN"/>
        </w:rPr>
        <w:t>监督和支持政法单位依法行使职权，指导和协调政法单位密切配合，研究和协调重大、疑难案件，指导政法单位涉法涉诉信访工作，推进严格执法、公正司法。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Times New Roman" w:hAnsi="Times New Roman" w:eastAsia="Arial" w:cs="Times New Roman"/>
          <w:i w:val="0"/>
          <w:iCs w:val="0"/>
          <w:caps w:val="0"/>
          <w:color w:val="000000"/>
          <w:spacing w:val="0"/>
          <w:sz w:val="32"/>
          <w:szCs w:val="32"/>
          <w:highlight w:val="none"/>
        </w:rPr>
      </w:pPr>
      <w:r>
        <w:rPr>
          <w:rFonts w:hint="default" w:ascii="Times New Roman" w:hAnsi="Times New Roman" w:eastAsia="黑体" w:cs="Times New Roman"/>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Times New Roman" w:hAnsi="Times New Roman" w:eastAsia="仿宋_GB2312" w:cs="Times New Roman"/>
          <w:i w:val="0"/>
          <w:iCs w:val="0"/>
          <w:caps w:val="0"/>
          <w:color w:val="auto"/>
          <w:spacing w:val="0"/>
          <w:sz w:val="32"/>
          <w:szCs w:val="32"/>
          <w:highlight w:val="none"/>
          <w:shd w:val="clear" w:fill="FFFFFF"/>
        </w:rPr>
      </w:pPr>
      <w:r>
        <w:rPr>
          <w:rFonts w:hint="default" w:ascii="Times New Roman" w:hAnsi="Times New Roman" w:eastAsia="仿宋_GB2312" w:cs="Times New Roman"/>
          <w:i w:val="0"/>
          <w:iCs w:val="0"/>
          <w:caps w:val="0"/>
          <w:color w:val="auto"/>
          <w:spacing w:val="0"/>
          <w:sz w:val="32"/>
          <w:szCs w:val="32"/>
          <w:highlight w:val="none"/>
          <w:shd w:val="clear" w:fill="FFFFFF"/>
        </w:rPr>
        <w:t>从决算编报</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单位</w:t>
      </w:r>
      <w:r>
        <w:rPr>
          <w:rFonts w:hint="default" w:ascii="Times New Roman" w:hAnsi="Times New Roman" w:eastAsia="仿宋_GB2312" w:cs="Times New Roman"/>
          <w:i w:val="0"/>
          <w:iCs w:val="0"/>
          <w:caps w:val="0"/>
          <w:color w:val="auto"/>
          <w:spacing w:val="0"/>
          <w:sz w:val="32"/>
          <w:szCs w:val="32"/>
          <w:highlight w:val="none"/>
          <w:shd w:val="clear" w:fill="FFFFFF"/>
        </w:rPr>
        <w:t>构成看，纳入</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2023</w:t>
      </w:r>
      <w:r>
        <w:rPr>
          <w:rFonts w:hint="default" w:ascii="Times New Roman" w:hAnsi="Times New Roman" w:eastAsia="仿宋_GB2312" w:cs="Times New Roman"/>
          <w:i w:val="0"/>
          <w:iCs w:val="0"/>
          <w:caps w:val="0"/>
          <w:color w:val="auto"/>
          <w:spacing w:val="0"/>
          <w:sz w:val="32"/>
          <w:szCs w:val="32"/>
          <w:highlight w:val="none"/>
          <w:shd w:val="clear" w:fill="FFFFFF"/>
        </w:rPr>
        <w:t>年度</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本部门</w:t>
      </w:r>
      <w:r>
        <w:rPr>
          <w:rFonts w:hint="default" w:ascii="Times New Roman" w:hAnsi="Times New Roman" w:eastAsia="仿宋_GB2312" w:cs="Times New Roman"/>
          <w:i w:val="0"/>
          <w:iCs w:val="0"/>
          <w:caps w:val="0"/>
          <w:color w:val="auto"/>
          <w:spacing w:val="0"/>
          <w:sz w:val="32"/>
          <w:szCs w:val="32"/>
          <w:highlight w:val="none"/>
          <w:shd w:val="clear" w:fill="FFFFFF"/>
        </w:rPr>
        <w:t>决算汇编范围的独立核算</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单位</w:t>
      </w:r>
      <w:r>
        <w:rPr>
          <w:rFonts w:hint="default" w:ascii="Times New Roman" w:hAnsi="Times New Roman" w:eastAsia="仿宋_GB2312" w:cs="Times New Roman"/>
          <w:i w:val="0"/>
          <w:iCs w:val="0"/>
          <w:caps w:val="0"/>
          <w:color w:val="auto"/>
          <w:spacing w:val="0"/>
          <w:sz w:val="32"/>
          <w:szCs w:val="32"/>
          <w:highlight w:val="none"/>
          <w:shd w:val="clear" w:fill="FFFFFF"/>
        </w:rPr>
        <w:t>（以下简称“</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单位</w:t>
      </w:r>
      <w:r>
        <w:rPr>
          <w:rFonts w:hint="default" w:ascii="Times New Roman" w:hAnsi="Times New Roman" w:eastAsia="仿宋_GB2312" w:cs="Times New Roman"/>
          <w:i w:val="0"/>
          <w:iCs w:val="0"/>
          <w:caps w:val="0"/>
          <w:color w:val="auto"/>
          <w:spacing w:val="0"/>
          <w:sz w:val="32"/>
          <w:szCs w:val="32"/>
          <w:highlight w:val="none"/>
          <w:shd w:val="clear" w:fill="FFFFFF"/>
        </w:rPr>
        <w:t>”）共</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1</w:t>
      </w:r>
      <w:r>
        <w:rPr>
          <w:rFonts w:hint="default" w:ascii="Times New Roman" w:hAnsi="Times New Roman" w:eastAsia="仿宋_GB2312" w:cs="Times New Roman"/>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bCs/>
                <w:kern w:val="0"/>
                <w:sz w:val="28"/>
                <w:szCs w:val="28"/>
              </w:rPr>
              <w:t>序号</w:t>
            </w:r>
          </w:p>
        </w:tc>
        <w:tc>
          <w:tcPr>
            <w:tcW w:w="3485" w:type="dxa"/>
            <w:vAlign w:val="center"/>
          </w:tcPr>
          <w:p>
            <w:pPr>
              <w:spacing w:line="560" w:lineRule="exact"/>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bCs/>
                <w:kern w:val="0"/>
                <w:sz w:val="28"/>
                <w:szCs w:val="28"/>
              </w:rPr>
              <w:t>单位名称</w:t>
            </w:r>
          </w:p>
        </w:tc>
        <w:tc>
          <w:tcPr>
            <w:tcW w:w="2445" w:type="dxa"/>
            <w:vAlign w:val="center"/>
          </w:tcPr>
          <w:p>
            <w:pPr>
              <w:spacing w:line="560" w:lineRule="exact"/>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bCs/>
                <w:kern w:val="0"/>
                <w:sz w:val="28"/>
                <w:szCs w:val="28"/>
              </w:rPr>
              <w:t>单位基本性质</w:t>
            </w:r>
          </w:p>
        </w:tc>
        <w:tc>
          <w:tcPr>
            <w:tcW w:w="2665" w:type="dxa"/>
            <w:vAlign w:val="center"/>
          </w:tcPr>
          <w:p>
            <w:pPr>
              <w:spacing w:line="560" w:lineRule="exact"/>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c>
          <w:tcPr>
            <w:tcW w:w="3485" w:type="dxa"/>
          </w:tcPr>
          <w:p>
            <w:pPr>
              <w:spacing w:line="600" w:lineRule="auto"/>
              <w:jc w:val="left"/>
              <w:rPr>
                <w:rFonts w:hint="default" w:ascii="Times New Roman" w:hAnsi="Times New Roman" w:eastAsia="仿宋_GB2312" w:cs="Times New Roman"/>
                <w:kern w:val="0"/>
                <w:sz w:val="28"/>
                <w:szCs w:val="28"/>
              </w:rPr>
            </w:pPr>
            <w:r>
              <w:rPr>
                <w:rFonts w:hint="default" w:ascii="Times New Roman" w:hAnsi="Times New Roman" w:eastAsia="宋体" w:cs="Times New Roman"/>
                <w:color w:val="000000"/>
                <w:sz w:val="16"/>
                <w:szCs w:val="16"/>
              </w:rPr>
              <w:t>中国共产党唐山市丰南区委员会政法委员会</w:t>
            </w:r>
          </w:p>
        </w:tc>
        <w:tc>
          <w:tcPr>
            <w:tcW w:w="2445" w:type="dxa"/>
          </w:tcPr>
          <w:p>
            <w:pPr>
              <w:spacing w:line="560" w:lineRule="exact"/>
              <w:jc w:val="center"/>
              <w:rPr>
                <w:rFonts w:hint="default" w:ascii="Times New Roman" w:hAnsi="Times New Roman" w:eastAsia="仿宋_GB2312" w:cs="Times New Roman"/>
                <w:kern w:val="0"/>
                <w:sz w:val="28"/>
                <w:szCs w:val="28"/>
                <w:lang w:val="en-US" w:eastAsia="zh-CN"/>
              </w:rPr>
            </w:pPr>
            <w:r>
              <w:rPr>
                <w:rFonts w:hint="default" w:ascii="Times New Roman" w:hAnsi="Times New Roman" w:eastAsia="仿宋_GB2312" w:cs="Times New Roman"/>
                <w:kern w:val="0"/>
                <w:sz w:val="28"/>
                <w:szCs w:val="28"/>
                <w:lang w:val="en-US" w:eastAsia="zh-CN"/>
              </w:rPr>
              <w:t>行政单位</w:t>
            </w:r>
          </w:p>
        </w:tc>
        <w:tc>
          <w:tcPr>
            <w:tcW w:w="2665" w:type="dxa"/>
          </w:tcPr>
          <w:p>
            <w:pPr>
              <w:spacing w:line="560" w:lineRule="exact"/>
              <w:jc w:val="center"/>
              <w:rPr>
                <w:rFonts w:hint="default" w:ascii="Times New Roman" w:hAnsi="Times New Roman" w:eastAsia="仿宋_GB2312" w:cs="Times New Roman"/>
                <w:kern w:val="0"/>
                <w:sz w:val="28"/>
                <w:szCs w:val="28"/>
                <w:lang w:val="en-US" w:eastAsia="zh-CN"/>
              </w:rPr>
            </w:pPr>
            <w:r>
              <w:rPr>
                <w:rFonts w:hint="default" w:ascii="Times New Roman" w:hAnsi="Times New Roman" w:eastAsia="仿宋_GB2312" w:cs="Times New Roman"/>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注：1、单位基本性质分为行政单位、参公事业单位、财政补助事业单位、经费自理事业单位四类。</w:t>
            </w:r>
          </w:p>
          <w:p>
            <w:pPr>
              <w:spacing w:line="560" w:lineRule="exact"/>
              <w:ind w:firstLine="560" w:firstLineChars="200"/>
              <w:jc w:val="left"/>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Arial" w:cs="Times New Roman"/>
          <w:i w:val="0"/>
          <w:iCs w:val="0"/>
          <w:caps w:val="0"/>
          <w:color w:val="000000"/>
          <w:spacing w:val="0"/>
          <w:sz w:val="18"/>
          <w:szCs w:val="18"/>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rPr>
          <w:rFonts w:hint="default" w:ascii="Times New Roman" w:hAnsi="Times New Roman" w:eastAsia="黑体" w:cs="Times New Roman"/>
          <w:sz w:val="32"/>
          <w:szCs w:val="32"/>
          <w:highlight w:val="yellow"/>
        </w:rPr>
      </w:pPr>
      <w:r>
        <w:rPr>
          <w:rFonts w:hint="default" w:ascii="Times New Roman" w:hAnsi="Times New Roman" w:eastAsia="黑体" w:cs="Times New Roman"/>
          <w:sz w:val="32"/>
          <w:szCs w:val="32"/>
          <w:highlight w:val="yellow"/>
        </w:rPr>
        <w:br w:type="page"/>
      </w:r>
    </w:p>
    <w:p>
      <w:pPr>
        <w:widowControl/>
        <w:spacing w:after="160" w:line="580" w:lineRule="exact"/>
        <w:ind w:firstLine="640" w:firstLineChars="200"/>
        <w:rPr>
          <w:rFonts w:hint="default"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Arial" w:cs="Times New Roman"/>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kern w:val="0"/>
          <w:sz w:val="18"/>
          <w:szCs w:val="18"/>
          <w:highlight w:val="none"/>
          <w:shd w:val="clear" w:fill="FFFFFF"/>
          <w:lang w:val="en-US" w:eastAsia="zh-CN" w:bidi="ar"/>
        </w:rPr>
        <w:t> </w:t>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Times New Roman" w:hAnsi="Times New Roman" w:eastAsia="Arial" w:cs="Times New Roman"/>
          <w:highlight w:val="none"/>
        </w:rPr>
      </w:pPr>
      <w:r>
        <w:rPr>
          <w:rFonts w:hint="default" w:ascii="Times New Roman" w:hAnsi="Times New Roman" w:eastAsia="黑体" w:cs="Times New Roman"/>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黑体" w:cs="Times New Roman"/>
          <w:i w:val="0"/>
          <w:iCs w:val="0"/>
          <w:caps w:val="0"/>
          <w:color w:val="000000"/>
          <w:spacing w:val="0"/>
          <w:sz w:val="72"/>
          <w:szCs w:val="72"/>
          <w:highlight w:val="none"/>
          <w:shd w:val="clear" w:fill="FFFFFF"/>
          <w:lang w:val="en-US" w:eastAsia="zh-CN"/>
        </w:rPr>
        <w:t>2023</w:t>
      </w:r>
      <w:r>
        <w:rPr>
          <w:rFonts w:hint="default" w:ascii="Times New Roman" w:hAnsi="Times New Roman" w:eastAsia="黑体" w:cs="Times New Roman"/>
          <w:i w:val="0"/>
          <w:iCs w:val="0"/>
          <w:caps w:val="0"/>
          <w:color w:val="000000"/>
          <w:spacing w:val="0"/>
          <w:sz w:val="72"/>
          <w:szCs w:val="72"/>
          <w:highlight w:val="none"/>
          <w:shd w:val="clear" w:fill="FFFFFF"/>
        </w:rPr>
        <w:t>年</w:t>
      </w:r>
      <w:r>
        <w:rPr>
          <w:rFonts w:hint="default" w:ascii="Times New Roman" w:hAnsi="Times New Roman" w:eastAsia="黑体" w:cs="Times New Roman"/>
          <w:i w:val="0"/>
          <w:iCs w:val="0"/>
          <w:caps w:val="0"/>
          <w:color w:val="000000"/>
          <w:spacing w:val="0"/>
          <w:sz w:val="72"/>
          <w:szCs w:val="72"/>
          <w:highlight w:val="none"/>
          <w:shd w:val="clear" w:fill="FFFFFF"/>
          <w:lang w:val="en-US" w:eastAsia="zh-CN"/>
        </w:rPr>
        <w:t>度</w:t>
      </w:r>
      <w:r>
        <w:rPr>
          <w:rFonts w:hint="default" w:ascii="Times New Roman" w:hAnsi="Times New Roman" w:eastAsia="黑体" w:cs="Times New Roman"/>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i w:val="0"/>
          <w:iCs w:val="0"/>
          <w:caps w:val="0"/>
          <w:color w:val="FF0000"/>
          <w:spacing w:val="0"/>
          <w:sz w:val="33"/>
          <w:szCs w:val="33"/>
          <w:highlight w:val="none"/>
          <w:shd w:val="clear" w:fill="FFFFFF"/>
        </w:rPr>
        <w:sectPr>
          <w:headerReference r:id="rId11"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xml:space="preserve"> 公开</w:t>
            </w:r>
            <w:r>
              <w:rPr>
                <w:rFonts w:hint="default" w:ascii="Times New Roman" w:hAnsi="Times New Roman" w:eastAsia="宋体" w:cs="Times New Roman"/>
                <w:i w:val="0"/>
                <w:iCs w:val="0"/>
                <w:color w:val="000000"/>
                <w:sz w:val="20"/>
                <w:szCs w:val="20"/>
                <w:highlight w:val="none"/>
                <w:u w:val="none"/>
                <w:lang w:val="en-US" w:eastAsia="zh-CN"/>
              </w:rPr>
              <w:t>01</w:t>
            </w:r>
            <w:r>
              <w:rPr>
                <w:rFonts w:hint="default" w:ascii="Times New Roman" w:hAnsi="Times New Roman" w:eastAsia="方正仿宋_GB2312" w:cs="Times New Roman"/>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编制部门（单位）：中国共产党唐山市丰南区委员会政法委员会</w:t>
            </w:r>
          </w:p>
        </w:tc>
        <w:tc>
          <w:tcPr>
            <w:tcW w:w="1262" w:type="pct"/>
            <w:gridSpan w:val="2"/>
            <w:tcBorders>
              <w:top w:val="nil"/>
              <w:left w:val="nil"/>
              <w:bottom w:val="single" w:color="auto" w:sz="4" w:space="0"/>
              <w:right w:val="nil"/>
            </w:tcBorders>
            <w:noWrap/>
            <w:vAlign w:val="bottom"/>
          </w:tcPr>
          <w:p>
            <w:pPr>
              <w:jc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2023</w:t>
            </w:r>
            <w:r>
              <w:rPr>
                <w:rFonts w:hint="default" w:ascii="Times New Roman" w:hAnsi="Times New Roman" w:eastAsia="方正仿宋_GB2312" w:cs="Times New Roman"/>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3,062.65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3,130.57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3,062.65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3,273.51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514.01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3,576.66</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3,576.66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widowControl/>
        <w:suppressLineNumbers w:val="0"/>
        <w:jc w:val="center"/>
        <w:textAlignment w:val="bottom"/>
        <w:rPr>
          <w:rFonts w:hint="default" w:ascii="Times New Roman" w:hAnsi="Times New Roman" w:eastAsia="黑体" w:cs="Times New Roman"/>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sz w:val="20"/>
                <w:szCs w:val="20"/>
                <w:highlight w:val="none"/>
                <w:u w:val="none"/>
                <w:lang w:val="en-US" w:eastAsia="zh-CN"/>
              </w:rPr>
              <w:t>02</w:t>
            </w:r>
            <w:r>
              <w:rPr>
                <w:rFonts w:hint="default" w:ascii="Times New Roman" w:hAnsi="Times New Roman" w:eastAsia="方正仿宋_GB2312" w:cs="Times New Roman"/>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xml:space="preserve">编制部门（单位）：中国共产党唐山市丰南区委员会政法委员会                                                                                                         </w:t>
            </w:r>
          </w:p>
        </w:tc>
        <w:tc>
          <w:tcPr>
            <w:tcW w:w="3405" w:type="dxa"/>
            <w:gridSpan w:val="4"/>
            <w:tcBorders>
              <w:top w:val="nil"/>
              <w:left w:val="nil"/>
              <w:bottom w:val="single" w:color="auto" w:sz="4" w:space="0"/>
              <w:right w:val="nil"/>
            </w:tcBorders>
            <w:noWrap/>
            <w:vAlign w:val="bottom"/>
          </w:tcPr>
          <w:p>
            <w:pPr>
              <w:jc w:val="center"/>
              <w:rPr>
                <w:rFonts w:hint="default" w:ascii="Times New Roman" w:hAnsi="Times New Roman" w:eastAsia="方正仿宋_GB2312" w:cs="Times New Roman"/>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default" w:ascii="Times New Roman" w:hAnsi="Times New Roman" w:eastAsia="方正仿宋_GB2312" w:cs="Times New Roman"/>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default" w:ascii="Times New Roman" w:hAnsi="Times New Roman" w:eastAsia="方正仿宋_GB2312" w:cs="Times New Roman"/>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3,062.65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3,062.65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公共安全支出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2,919.71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2,919.71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20402</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公安</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2,919.71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2,919.71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2040201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2040202</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2,464.07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2,464.07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2040220</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eastAsia" w:ascii="仿宋" w:hAnsi="仿宋" w:eastAsia="仿宋" w:cs="仿宋"/>
                <w:spacing w:val="-2"/>
                <w:sz w:val="20"/>
                <w:szCs w:val="20"/>
                <w:lang w:val="en-US" w:eastAsia="zh-CN"/>
              </w:rPr>
              <w:t>执法办案</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20807</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就业补助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2080711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就业见习补贴</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16.73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住房</w:t>
            </w:r>
            <w:r>
              <w:rPr>
                <w:rFonts w:hint="eastAsia" w:ascii="仿宋" w:hAnsi="仿宋" w:eastAsia="仿宋" w:cs="仿宋"/>
                <w:spacing w:val="-2"/>
                <w:sz w:val="20"/>
                <w:szCs w:val="20"/>
                <w:lang w:val="en-US" w:eastAsia="zh-CN"/>
              </w:rPr>
              <w:t>改革</w:t>
            </w:r>
            <w:r>
              <w:rPr>
                <w:rFonts w:hint="default" w:ascii="Times New Roman" w:hAnsi="Times New Roman" w:eastAsia="方正仿宋_GB2312" w:cs="Times New Roman"/>
                <w:spacing w:val="-2"/>
                <w:sz w:val="20"/>
                <w:szCs w:val="20"/>
                <w:lang w:val="en-US" w:eastAsia="zh-CN"/>
              </w:rPr>
              <w:t>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kern w:val="0"/>
                <w:sz w:val="20"/>
                <w:szCs w:val="20"/>
                <w:highlight w:val="none"/>
                <w:u w:val="none"/>
                <w:lang w:val="en-US" w:eastAsia="zh-CN" w:bidi="ar-SA"/>
              </w:rPr>
            </w:pPr>
            <w:r>
              <w:rPr>
                <w:rFonts w:hint="default" w:ascii="Times New Roman" w:hAnsi="Times New Roman" w:eastAsia="方正仿宋_GB2312" w:cs="Times New Roman"/>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黑体" w:cs="Times New Roman"/>
          <w:bCs/>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widowControl/>
        <w:suppressLineNumbers w:val="0"/>
        <w:jc w:val="center"/>
        <w:textAlignment w:val="bottom"/>
        <w:rPr>
          <w:rFonts w:hint="default" w:ascii="Times New Roman" w:hAnsi="Times New Roman" w:eastAsia="宋体" w:cs="Times New Roman"/>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br w:type="page"/>
            </w:r>
            <w:r>
              <w:rPr>
                <w:rFonts w:hint="default" w:ascii="Times New Roman" w:hAnsi="Times New Roman" w:eastAsia="方正仿宋_GB2312" w:cs="Times New Roman"/>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default" w:ascii="Times New Roman" w:hAnsi="Times New Roman" w:eastAsia="方正仿宋_GB2312" w:cs="Times New Roman"/>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xml:space="preserve">编制部门（单位）：中国共产党唐山市丰南区委员会政法委员会 </w:t>
            </w:r>
            <w:r>
              <w:rPr>
                <w:rFonts w:hint="default" w:ascii="Times New Roman" w:hAnsi="Times New Roman" w:cs="Times New Roman" w:eastAsia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default" w:ascii="Times New Roman" w:hAnsi="Times New Roman" w:eastAsia="方正仿宋_GB2312" w:cs="Times New Roman"/>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3,273.51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558.08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2,715.43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204</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公共安全支出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3,130.57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415.59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2,714.97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20402</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公安</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3,130.57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415.59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2,714.97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2040201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415.59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415.59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2040202</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2,677.93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2,677.93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2040220</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执法办案</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23.77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23.77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43.00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20807</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就业补助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2080711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就业见习补贴</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default" w:ascii="Times New Roman" w:hAnsi="Times New Roman" w:eastAsia="仿宋"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编制部门（单位）：中国共产党唐山市丰南区委员会政法委员会 </w:t>
            </w:r>
            <w:r>
              <w:rPr>
                <w:rFonts w:hint="default" w:ascii="Times New Roman" w:hAnsi="Times New Roman" w:cs="Times New Roman" w:eastAsia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default" w:ascii="Times New Roman" w:hAnsi="Times New Roman" w:eastAsia="方正仿宋_GB2312" w:cs="Times New Roman"/>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3,062.65</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3,130.57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3,130.57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67.23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67.23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40.16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40.16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35.55</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35.55</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3,062.65</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3,273.51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3,273.51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514.01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303.16</w:t>
            </w: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303.16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514.01</w:t>
            </w:r>
          </w:p>
        </w:tc>
        <w:tc>
          <w:tcPr>
            <w:tcW w:w="895" w:type="pct"/>
            <w:gridSpan w:val="2"/>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3,576.66</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highlight w:val="none"/>
                <w:u w:val="none"/>
              </w:rPr>
            </w:pPr>
            <w:r>
              <w:rPr>
                <w:rFonts w:hint="default" w:ascii="Times New Roman" w:hAnsi="Times New Roman" w:eastAsia="方正仿宋_GB2312" w:cs="Times New Roman"/>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3,576.66</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3,576.66</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87"/>
        <w:gridCol w:w="3416"/>
        <w:gridCol w:w="1282"/>
        <w:gridCol w:w="522"/>
        <w:gridCol w:w="544"/>
        <w:gridCol w:w="383"/>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公开05表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编制部门（单位）：中</w:t>
            </w:r>
            <w:r>
              <w:rPr>
                <w:rFonts w:hint="eastAsia" w:ascii="仿宋" w:hAnsi="仿宋" w:eastAsia="仿宋" w:cs="仿宋"/>
                <w:i w:val="0"/>
                <w:iCs w:val="0"/>
                <w:color w:val="000000"/>
                <w:kern w:val="0"/>
                <w:sz w:val="20"/>
                <w:szCs w:val="20"/>
                <w:highlight w:val="none"/>
                <w:u w:val="none"/>
                <w:lang w:val="en-US" w:eastAsia="zh-CN" w:bidi="ar"/>
              </w:rPr>
              <w:t>国共产党唐山市丰南区委员会政法委员会</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default" w:ascii="Times New Roman" w:hAnsi="Times New Roman" w:eastAsia="方正仿宋_GB2312" w:cs="Times New Roman"/>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Times New Roman" w:hAnsi="Times New Roman" w:eastAsia="方正仿宋_GB2312" w:cs="Times New Roman"/>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3,273.51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558.08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2,715.43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3,130.57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415.59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2,714.97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20402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公安</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3,130.57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415.59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2,714.97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2040201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415.59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415.59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2040202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2,677.93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2,677.93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2040220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执法办案</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67.23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23.77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43.00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就业补助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2080711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就业见习补贴</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公开06表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编制部门（单位）：中国共产党唐山市丰南区委员会政法委员会                                                                    </w:t>
            </w:r>
          </w:p>
        </w:tc>
        <w:tc>
          <w:tcPr>
            <w:tcW w:w="865" w:type="pct"/>
            <w:gridSpan w:val="2"/>
            <w:tcBorders>
              <w:top w:val="nil"/>
              <w:left w:val="nil"/>
              <w:bottom w:val="single" w:color="auto" w:sz="4" w:space="0"/>
              <w:right w:val="nil"/>
            </w:tcBorders>
            <w:noWrap/>
            <w:vAlign w:val="bottom"/>
          </w:tcPr>
          <w:p>
            <w:pPr>
              <w:jc w:val="center"/>
              <w:rPr>
                <w:rFonts w:hint="default" w:ascii="Times New Roman" w:hAnsi="Times New Roman" w:eastAsia="仿宋" w:cs="Times New Roman"/>
                <w:i w:val="0"/>
                <w:iCs w:val="0"/>
                <w:color w:val="000000"/>
                <w:kern w:val="0"/>
                <w:sz w:val="18"/>
                <w:szCs w:val="18"/>
                <w:highlight w:val="none"/>
                <w:u w:val="none"/>
                <w:lang w:val="en-US" w:eastAsia="zh-CN" w:bidi="ar"/>
              </w:rPr>
            </w:pPr>
            <w:r>
              <w:rPr>
                <w:rFonts w:hint="default" w:ascii="Times New Roman" w:hAnsi="Times New Roman" w:eastAsia="仿宋" w:cs="Times New Roman"/>
                <w:i w:val="0"/>
                <w:iCs w:val="0"/>
                <w:color w:val="000000"/>
                <w:kern w:val="0"/>
                <w:sz w:val="18"/>
                <w:szCs w:val="18"/>
                <w:highlight w:val="none"/>
                <w:u w:val="none"/>
                <w:lang w:val="en-US" w:eastAsia="zh-CN" w:bidi="ar"/>
              </w:rPr>
              <w:t>2023年度</w:t>
            </w:r>
          </w:p>
        </w:tc>
        <w:tc>
          <w:tcPr>
            <w:tcW w:w="1841" w:type="pct"/>
            <w:gridSpan w:val="4"/>
            <w:tcBorders>
              <w:top w:val="nil"/>
              <w:left w:val="nil"/>
              <w:bottom w:val="single" w:color="auto" w:sz="4" w:space="0"/>
              <w:right w:val="nil"/>
            </w:tcBorders>
            <w:noWrap/>
            <w:vAlign w:val="bottom"/>
          </w:tcPr>
          <w:p>
            <w:pPr>
              <w:jc w:val="right"/>
              <w:rPr>
                <w:rFonts w:hint="default" w:ascii="Times New Roman" w:hAnsi="Times New Roman" w:eastAsia="仿宋" w:cs="Times New Roman"/>
                <w:i w:val="0"/>
                <w:iCs w:val="0"/>
                <w:color w:val="000000"/>
                <w:kern w:val="0"/>
                <w:sz w:val="18"/>
                <w:szCs w:val="18"/>
                <w:highlight w:val="none"/>
                <w:u w:val="none"/>
                <w:lang w:val="en-US" w:eastAsia="zh-CN" w:bidi="ar"/>
              </w:rPr>
            </w:pPr>
            <w:r>
              <w:rPr>
                <w:rFonts w:hint="default" w:ascii="Times New Roman" w:hAnsi="Times New Roman" w:eastAsia="仿宋" w:cs="Times New Roman"/>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lang w:val="en-US"/>
              </w:rPr>
            </w:pPr>
            <w:r>
              <w:rPr>
                <w:rFonts w:hint="default" w:ascii="Times New Roman" w:hAnsi="Times New Roman" w:eastAsia="仿宋" w:cs="Times New Roman"/>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lang w:val="en-US" w:eastAsia="zh-CN"/>
              </w:rPr>
            </w:pPr>
            <w:r>
              <w:rPr>
                <w:rFonts w:hint="default" w:ascii="Times New Roman" w:hAnsi="Times New Roman" w:eastAsia="仿宋" w:cs="Times New Roman"/>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lang w:val="en-US" w:eastAsia="zh-CN"/>
              </w:rPr>
            </w:pPr>
            <w:r>
              <w:rPr>
                <w:rFonts w:hint="default" w:ascii="Times New Roman" w:hAnsi="Times New Roman" w:eastAsia="仿宋" w:cs="Times New Roman"/>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487.32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44.29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119.12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6.69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131.35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75.34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lang w:eastAsia="zh-CN"/>
              </w:rPr>
              <w:t>28.93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43.44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11.12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16.73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23.42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35.55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13.43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26.46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25.56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4.26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0.90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3.22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4.48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14.53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eastAsia="仿宋" w:cs="Times New Roman"/>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sz w:val="18"/>
                <w:szCs w:val="18"/>
                <w:highlight w:val="none"/>
                <w:lang w:val="en-US" w:eastAsia="zh-CN"/>
              </w:rPr>
            </w:pPr>
            <w:r>
              <w:rPr>
                <w:rFonts w:hint="default" w:ascii="Times New Roman" w:hAnsi="Times New Roman" w:eastAsia="仿宋" w:cs="Times New Roman"/>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513.78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sz w:val="18"/>
                <w:szCs w:val="18"/>
                <w:highlight w:val="none"/>
              </w:rPr>
              <w:t>44.29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18"/>
                <w:szCs w:val="18"/>
                <w:highlight w:val="none"/>
                <w:u w:val="none"/>
              </w:rPr>
            </w:pPr>
            <w:r>
              <w:rPr>
                <w:rFonts w:hint="default" w:ascii="Times New Roman" w:hAnsi="Times New Roman" w:eastAsia="仿宋" w:cs="Times New Roman"/>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仿宋_GB2312" w:cs="Times New Roman"/>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default" w:ascii="Times New Roman" w:hAnsi="Times New Roman" w:eastAsia="方正仿宋_GB2312" w:cs="Times New Roman"/>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xml:space="preserve">编制部门（单位）：中国共产党唐山市丰南区委员会政法委员会 </w:t>
            </w:r>
            <w:r>
              <w:rPr>
                <w:rFonts w:hint="default" w:ascii="Times New Roman" w:hAnsi="Times New Roman" w:eastAsia="宋体" w:cs="Times New Roman"/>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default" w:ascii="Times New Roman" w:hAnsi="Times New Roman" w:eastAsia="方正仿宋_GB2312" w:cs="Times New Roman"/>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default" w:ascii="Times New Roman" w:hAnsi="Times New Roman" w:eastAsia="方正仿宋_GB2312" w:cs="Times New Roman"/>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widowControl/>
        <w:suppressLineNumbers w:val="0"/>
        <w:jc w:val="center"/>
        <w:textAlignment w:val="bottom"/>
        <w:rPr>
          <w:rFonts w:hint="default" w:ascii="Times New Roman" w:hAnsi="Times New Roman" w:eastAsia="宋体" w:cs="Times New Roman"/>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公开08表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编制部门（单位）：中国共产党唐山市丰南区委员会政法委员会</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default" w:ascii="Times New Roman" w:hAnsi="Times New Roman" w:eastAsia="方正仿宋_GB2312" w:cs="Times New Roman"/>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default" w:ascii="Times New Roman" w:hAnsi="Times New Roman" w:eastAsia="方正仿宋_GB2312"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注：本表反映部门本年度国有资本经营预算财政拨款收入、支出及结转和结余情况。（如无相关数据，则需注明空表列示）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方正仿宋_GB2312" w:cs="Times New Roman"/>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公开09表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编制部门（单位）：中国共产党唐山市丰南区委员会政法委员会</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default" w:ascii="Times New Roman" w:hAnsi="Times New Roman" w:eastAsia="方正仿宋_GB2312" w:cs="Times New Roman"/>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5.00</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4.48</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4.48</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4.48</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t>备注：无内容应公开空表并说明情况。</w:t>
      </w:r>
    </w:p>
    <w:p>
      <w:pPr>
        <w:rPr>
          <w:rFonts w:hint="default" w:ascii="Times New Roman" w:hAnsi="Times New Roman" w:eastAsia="仿宋_GB2312" w:cs="Times New Roman"/>
          <w:b/>
          <w:color w:val="auto"/>
          <w:kern w:val="0"/>
          <w:sz w:val="32"/>
          <w:szCs w:val="32"/>
          <w:highlight w:val="none"/>
        </w:rPr>
      </w:pPr>
      <w:r>
        <w:rPr>
          <w:rFonts w:hint="default" w:ascii="Times New Roman" w:hAnsi="Times New Roman" w:eastAsia="仿宋_GB2312" w:cs="Times New Roman"/>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Times New Roman" w:hAnsi="Times New Roman" w:eastAsia="Arial" w:cs="Times New Roman"/>
          <w:highlight w:val="none"/>
        </w:rPr>
      </w:pPr>
      <w:r>
        <w:rPr>
          <w:rFonts w:hint="default" w:ascii="Times New Roman" w:hAnsi="Times New Roman" w:eastAsia="黑体" w:cs="Times New Roman"/>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黑体" w:cs="Times New Roman"/>
          <w:i w:val="0"/>
          <w:iCs w:val="0"/>
          <w:caps w:val="0"/>
          <w:color w:val="000000"/>
          <w:spacing w:val="0"/>
          <w:sz w:val="72"/>
          <w:szCs w:val="72"/>
          <w:highlight w:val="none"/>
          <w:shd w:val="clear" w:fill="FFFFFF"/>
        </w:rPr>
        <w:t>202</w:t>
      </w:r>
      <w:r>
        <w:rPr>
          <w:rFonts w:hint="default" w:ascii="Times New Roman" w:hAnsi="Times New Roman" w:eastAsia="黑体" w:cs="Times New Roman"/>
          <w:i w:val="0"/>
          <w:iCs w:val="0"/>
          <w:caps w:val="0"/>
          <w:color w:val="000000"/>
          <w:spacing w:val="0"/>
          <w:sz w:val="72"/>
          <w:szCs w:val="72"/>
          <w:highlight w:val="none"/>
          <w:shd w:val="clear" w:fill="FFFFFF"/>
          <w:lang w:val="en-US" w:eastAsia="zh-CN"/>
        </w:rPr>
        <w:t>3</w:t>
      </w:r>
      <w:r>
        <w:rPr>
          <w:rFonts w:hint="default" w:ascii="Times New Roman" w:hAnsi="Times New Roman" w:eastAsia="黑体" w:cs="Times New Roman"/>
          <w:i w:val="0"/>
          <w:iCs w:val="0"/>
          <w:caps w:val="0"/>
          <w:color w:val="000000"/>
          <w:spacing w:val="0"/>
          <w:sz w:val="72"/>
          <w:szCs w:val="72"/>
          <w:highlight w:val="none"/>
          <w:shd w:val="clear" w:fill="FFFFFF"/>
        </w:rPr>
        <w:t>年</w:t>
      </w:r>
      <w:r>
        <w:rPr>
          <w:rFonts w:hint="default" w:ascii="Times New Roman" w:hAnsi="Times New Roman" w:eastAsia="黑体" w:cs="Times New Roman"/>
          <w:i w:val="0"/>
          <w:iCs w:val="0"/>
          <w:caps w:val="0"/>
          <w:color w:val="000000"/>
          <w:spacing w:val="0"/>
          <w:sz w:val="72"/>
          <w:szCs w:val="72"/>
          <w:highlight w:val="none"/>
          <w:shd w:val="clear" w:fill="FFFFFF"/>
          <w:lang w:val="en-US" w:eastAsia="zh-CN"/>
        </w:rPr>
        <w:t>度</w:t>
      </w:r>
      <w:r>
        <w:rPr>
          <w:rFonts w:hint="default" w:ascii="Times New Roman" w:hAnsi="Times New Roman" w:eastAsia="黑体" w:cs="Times New Roman"/>
          <w:i w:val="0"/>
          <w:iCs w:val="0"/>
          <w:caps w:val="0"/>
          <w:color w:val="000000"/>
          <w:spacing w:val="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rPr>
          <w:rFonts w:hint="default" w:ascii="Times New Roman" w:hAnsi="Times New Roman" w:eastAsia="黑体" w:cs="Times New Roman"/>
          <w:kern w:val="2"/>
          <w:sz w:val="32"/>
          <w:szCs w:val="32"/>
          <w:lang w:val="en-US" w:eastAsia="zh-CN" w:bidi="ar-SA"/>
        </w:rPr>
      </w:pPr>
      <w:r>
        <w:rPr>
          <w:rFonts w:hint="default" w:ascii="Times New Roman" w:hAnsi="Times New Roman" w:eastAsia="Arial" w:cs="Times New Roman"/>
          <w:i w:val="0"/>
          <w:iCs w:val="0"/>
          <w:caps w:val="0"/>
          <w:color w:val="000000"/>
          <w:spacing w:val="0"/>
          <w:sz w:val="18"/>
          <w:szCs w:val="18"/>
          <w:highlight w:val="none"/>
          <w:shd w:val="clear" w:fill="FFFFFF"/>
        </w:rPr>
        <w:br w:type="page"/>
      </w:r>
      <w:r>
        <w:rPr>
          <w:rFonts w:hint="default" w:ascii="Times New Roman" w:hAnsi="Times New Roman" w:eastAsia="Arial" w:cs="Times New Roman"/>
          <w:i w:val="0"/>
          <w:iCs w:val="0"/>
          <w:caps w:val="0"/>
          <w:color w:val="000000"/>
          <w:spacing w:val="0"/>
          <w:sz w:val="18"/>
          <w:szCs w:val="18"/>
          <w:highlight w:val="none"/>
          <w:shd w:val="clear" w:fill="FFFFFF"/>
        </w:rPr>
        <w:t> </w:t>
      </w:r>
      <w:r>
        <w:rPr>
          <w:rFonts w:hint="default" w:ascii="Times New Roman" w:hAnsi="Times New Roman"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3576.66</w:t>
      </w:r>
      <w:r>
        <w:rPr>
          <w:rFonts w:hint="default" w:ascii="Times New Roman" w:hAnsi="Times New Roman" w:eastAsia="仿宋_GB2312" w:cs="Times New Roman"/>
          <w:kern w:val="2"/>
          <w:sz w:val="32"/>
          <w:szCs w:val="32"/>
          <w:lang w:eastAsia="zh-CN"/>
        </w:rPr>
        <w:t>万元。与2022年度决算</w:t>
      </w:r>
      <w:r>
        <w:rPr>
          <w:rFonts w:hint="eastAsia" w:ascii="Times New Roman" w:hAnsi="Times New Roman" w:eastAsia="仿宋_GB2312" w:cs="Times New Roman"/>
          <w:kern w:val="2"/>
          <w:sz w:val="32"/>
          <w:szCs w:val="32"/>
          <w:lang w:val="en-US" w:eastAsia="zh-CN"/>
        </w:rPr>
        <w:t>1962.97</w:t>
      </w:r>
      <w:r>
        <w:rPr>
          <w:rFonts w:hint="default" w:ascii="Times New Roman" w:hAnsi="Times New Roman" w:eastAsia="仿宋_GB2312" w:cs="Times New Roman"/>
          <w:kern w:val="2"/>
          <w:sz w:val="32"/>
          <w:szCs w:val="32"/>
          <w:lang w:eastAsia="zh-CN"/>
        </w:rPr>
        <w:t>相比，收支各增加</w:t>
      </w:r>
      <w:r>
        <w:rPr>
          <w:rFonts w:hint="eastAsia" w:ascii="Times New Roman" w:hAnsi="Times New Roman" w:eastAsia="仿宋_GB2312" w:cs="Times New Roman"/>
          <w:kern w:val="2"/>
          <w:sz w:val="32"/>
          <w:szCs w:val="32"/>
          <w:lang w:val="en-US" w:eastAsia="zh-CN"/>
        </w:rPr>
        <w:t>1613.69</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82.21</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项目支出增加</w:t>
      </w:r>
      <w:r>
        <w:rPr>
          <w:rFonts w:hint="default" w:ascii="Times New Roman" w:hAnsi="Times New Roman" w:eastAsia="仿宋_GB2312" w:cs="Times New Roman"/>
          <w:kern w:val="2"/>
          <w:sz w:val="32"/>
          <w:szCs w:val="32"/>
          <w:lang w:eastAsia="zh-CN"/>
        </w:rPr>
        <w:t>。</w:t>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3062.65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，其中：财政拨款收入3062.65万元，占100%；上级补助收入0万元，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3273.51万元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558.08万元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占17.05%；</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2715.43万元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占82.95%；</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年度财政拨款本年收入3062.65</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color w:val="auto"/>
          <w:kern w:val="2"/>
          <w:sz w:val="32"/>
          <w:szCs w:val="32"/>
          <w:lang w:val="en-US" w:eastAsia="zh-CN" w:bidi="ar-SA"/>
        </w:rPr>
        <w:t>1962.97万元</w:t>
      </w:r>
      <w:r>
        <w:rPr>
          <w:rFonts w:hint="default"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1099.68</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56.02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项目支出增加</w:t>
      </w:r>
      <w:r>
        <w:rPr>
          <w:rFonts w:hint="default" w:ascii="Times New Roman" w:hAnsi="Times New Roman" w:eastAsia="仿宋_GB2312" w:cs="Times New Roman"/>
          <w:color w:val="auto"/>
          <w:kern w:val="2"/>
          <w:sz w:val="32"/>
          <w:szCs w:val="32"/>
          <w:lang w:val="zh-CN" w:eastAsia="zh-CN" w:bidi="ar-SA"/>
        </w:rPr>
        <w:t>；本年支出 3273.51元，比上年</w:t>
      </w:r>
      <w:r>
        <w:rPr>
          <w:rFonts w:hint="eastAsia" w:ascii="Times New Roman" w:hAnsi="Times New Roman" w:eastAsia="仿宋_GB2312" w:cs="Times New Roman"/>
          <w:color w:val="auto"/>
          <w:kern w:val="2"/>
          <w:sz w:val="32"/>
          <w:szCs w:val="32"/>
          <w:lang w:val="en-US" w:eastAsia="zh-CN" w:bidi="ar-SA"/>
        </w:rPr>
        <w:t>1448.96万元</w:t>
      </w:r>
      <w:r>
        <w:rPr>
          <w:rFonts w:hint="default"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1824.55</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125.92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项目支出和结转结余支出增加</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一般公共预算财政拨款本年收入3062.65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1099.68</w:t>
      </w:r>
      <w:r>
        <w:rPr>
          <w:rFonts w:hint="default" w:ascii="Times New Roman" w:hAnsi="Times New Roman" w:eastAsia="仿宋_GB2312" w:cs="Times New Roman"/>
          <w:kern w:val="2"/>
          <w:sz w:val="32"/>
          <w:szCs w:val="32"/>
          <w:lang w:val="zh-CN"/>
        </w:rPr>
        <w:t>万元，主要是</w:t>
      </w:r>
      <w:r>
        <w:rPr>
          <w:rFonts w:hint="eastAsia" w:ascii="Times New Roman" w:hAnsi="Times New Roman" w:eastAsia="仿宋_GB2312" w:cs="Times New Roman"/>
          <w:kern w:val="2"/>
          <w:sz w:val="32"/>
          <w:szCs w:val="32"/>
          <w:lang w:val="en-US" w:eastAsia="zh-CN"/>
        </w:rPr>
        <w:t>项目支出增加</w:t>
      </w:r>
      <w:r>
        <w:rPr>
          <w:rFonts w:hint="default" w:ascii="Times New Roman" w:hAnsi="Times New Roman" w:eastAsia="仿宋_GB2312" w:cs="Times New Roman"/>
          <w:kern w:val="2"/>
          <w:sz w:val="32"/>
          <w:szCs w:val="32"/>
          <w:lang w:val="zh-CN"/>
        </w:rPr>
        <w:t>；本年支出 3</w:t>
      </w:r>
      <w:bookmarkStart w:id="0" w:name="_GoBack"/>
      <w:bookmarkEnd w:id="0"/>
      <w:r>
        <w:rPr>
          <w:rFonts w:hint="default" w:ascii="Times New Roman" w:hAnsi="Times New Roman" w:eastAsia="仿宋_GB2312" w:cs="Times New Roman"/>
          <w:kern w:val="2"/>
          <w:sz w:val="32"/>
          <w:szCs w:val="32"/>
          <w:lang w:val="zh-CN"/>
        </w:rPr>
        <w:t>273.51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1824.55</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125.92</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项目支出和结转结余支出增加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年度财政拨款本年收入3062.65万元，完成年初预算</w:t>
      </w:r>
      <w:r>
        <w:rPr>
          <w:rFonts w:hint="eastAsia" w:ascii="Times New Roman" w:hAnsi="Times New Roman" w:eastAsia="仿宋_GB2312" w:cs="Times New Roman"/>
          <w:color w:val="auto"/>
          <w:kern w:val="2"/>
          <w:sz w:val="32"/>
          <w:szCs w:val="32"/>
          <w:lang w:val="en-US" w:eastAsia="zh-CN" w:bidi="ar-SA"/>
        </w:rPr>
        <w:t>2188.89万元</w:t>
      </w:r>
      <w:r>
        <w:rPr>
          <w:rFonts w:hint="default" w:ascii="Times New Roman" w:hAnsi="Times New Roman" w:eastAsia="仿宋_GB2312" w:cs="Times New Roman"/>
          <w:color w:val="auto"/>
          <w:kern w:val="2"/>
          <w:sz w:val="32"/>
          <w:szCs w:val="32"/>
          <w:lang w:val="zh-CN" w:eastAsia="zh-CN" w:bidi="ar-SA"/>
        </w:rPr>
        <w:t>的139.92%，比年初预算增加</w:t>
      </w:r>
      <w:r>
        <w:rPr>
          <w:rFonts w:hint="eastAsia" w:ascii="Times New Roman" w:hAnsi="Times New Roman" w:eastAsia="仿宋_GB2312" w:cs="Times New Roman"/>
          <w:color w:val="auto"/>
          <w:kern w:val="2"/>
          <w:sz w:val="32"/>
          <w:szCs w:val="32"/>
          <w:lang w:val="en-US" w:eastAsia="zh-CN" w:bidi="ar-SA"/>
        </w:rPr>
        <w:t>873.76</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lang w:val="en-US" w:eastAsia="zh-CN" w:bidi="ar-SA"/>
        </w:rPr>
        <w:t>新增项目支出</w:t>
      </w:r>
      <w:r>
        <w:rPr>
          <w:rFonts w:hint="default" w:ascii="Times New Roman" w:hAnsi="Times New Roman" w:eastAsia="仿宋_GB2312" w:cs="Times New Roman"/>
          <w:color w:val="auto"/>
          <w:kern w:val="2"/>
          <w:sz w:val="32"/>
          <w:szCs w:val="32"/>
          <w:lang w:val="zh-CN" w:eastAsia="zh-CN" w:bidi="ar-SA"/>
        </w:rPr>
        <w:t>；本年支出3273.51万元，完成年初预算的149.55%，比年初预算增加</w:t>
      </w:r>
      <w:r>
        <w:rPr>
          <w:rFonts w:hint="eastAsia" w:ascii="Times New Roman" w:hAnsi="Times New Roman" w:eastAsia="仿宋_GB2312" w:cs="Times New Roman"/>
          <w:color w:val="auto"/>
          <w:kern w:val="2"/>
          <w:sz w:val="32"/>
          <w:szCs w:val="32"/>
          <w:lang w:val="en-US" w:eastAsia="zh-CN" w:bidi="ar-SA"/>
        </w:rPr>
        <w:t>1084.62</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kern w:val="2"/>
          <w:sz w:val="32"/>
          <w:szCs w:val="32"/>
          <w:lang w:val="en-US" w:eastAsia="zh-CN"/>
        </w:rPr>
        <w:t>增加了项目支出和结转结余支出</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收入3062.65万元，完成年初预算的 139.92%，比年初预算增加</w:t>
      </w:r>
      <w:r>
        <w:rPr>
          <w:rFonts w:hint="eastAsia" w:ascii="Times New Roman" w:hAnsi="Times New Roman" w:eastAsia="仿宋_GB2312" w:cs="Times New Roman"/>
          <w:kern w:val="2"/>
          <w:sz w:val="32"/>
          <w:szCs w:val="32"/>
          <w:lang w:val="en-US" w:eastAsia="zh-CN"/>
        </w:rPr>
        <w:t>873.76</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增加了项目支出</w:t>
      </w:r>
      <w:r>
        <w:rPr>
          <w:rFonts w:hint="default" w:ascii="Times New Roman" w:hAnsi="Times New Roman" w:eastAsia="仿宋_GB2312" w:cs="Times New Roman"/>
          <w:kern w:val="2"/>
          <w:sz w:val="32"/>
          <w:szCs w:val="32"/>
          <w:lang w:val="zh-CN"/>
        </w:rPr>
        <w:t>；本年支出3273.51万元，完成年初预算的149.55%，比年初预算增加</w:t>
      </w:r>
      <w:r>
        <w:rPr>
          <w:rFonts w:hint="eastAsia" w:ascii="Times New Roman" w:hAnsi="Times New Roman" w:eastAsia="仿宋_GB2312" w:cs="Times New Roman"/>
          <w:kern w:val="2"/>
          <w:sz w:val="32"/>
          <w:szCs w:val="32"/>
          <w:lang w:val="en-US" w:eastAsia="zh-CN"/>
        </w:rPr>
        <w:t>1084.62</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增加了项目支出和结转结余支出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p>
    <w:p>
      <w:pPr>
        <w:autoSpaceDE w:val="0"/>
        <w:autoSpaceDN w:val="0"/>
        <w:adjustRightInd w:val="0"/>
        <w:spacing w:line="580" w:lineRule="exact"/>
        <w:ind w:firstLine="640" w:firstLineChars="200"/>
        <w:jc w:val="left"/>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年度财政拨款支出3,273.51万元，主要用于以下方面：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公共安全类（类）支出3,130.57万元，占95.63%；社会保障和就业 （类）支出67.23万元，占2.05%；卫生健康（类）支出40.16万元，占1.23%；住房保障（类）支出35.55万元，占1.09%。</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年度财政拨款基本支出558.08万元，其中：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人员经费513.78万元，主要包括基本工资</w:t>
      </w:r>
      <w:r>
        <w:rPr>
          <w:rFonts w:hint="eastAsia" w:ascii="Times New Roman" w:hAnsi="Times New Roman" w:eastAsia="仿宋_GB2312" w:cs="Times New Roman"/>
          <w:color w:val="auto"/>
          <w:kern w:val="2"/>
          <w:sz w:val="32"/>
          <w:szCs w:val="32"/>
          <w:lang w:val="en-US" w:eastAsia="zh-CN" w:bidi="ar-SA"/>
        </w:rPr>
        <w:t>119.12万元</w:t>
      </w:r>
      <w:r>
        <w:rPr>
          <w:rFonts w:hint="default" w:ascii="Times New Roman" w:hAnsi="Times New Roman" w:eastAsia="仿宋_GB2312" w:cs="Times New Roman"/>
          <w:color w:val="auto"/>
          <w:kern w:val="2"/>
          <w:sz w:val="32"/>
          <w:szCs w:val="32"/>
          <w:lang w:val="zh-CN" w:eastAsia="zh-CN" w:bidi="ar-SA"/>
        </w:rPr>
        <w:t>、津贴补贴</w:t>
      </w:r>
      <w:r>
        <w:rPr>
          <w:rFonts w:hint="eastAsia" w:ascii="Times New Roman" w:hAnsi="Times New Roman" w:eastAsia="仿宋_GB2312" w:cs="Times New Roman"/>
          <w:color w:val="auto"/>
          <w:kern w:val="2"/>
          <w:sz w:val="32"/>
          <w:szCs w:val="32"/>
          <w:lang w:val="en-US" w:eastAsia="zh-CN" w:bidi="ar-SA"/>
        </w:rPr>
        <w:t>131.35万元</w:t>
      </w:r>
      <w:r>
        <w:rPr>
          <w:rFonts w:hint="default" w:ascii="Times New Roman" w:hAnsi="Times New Roman" w:eastAsia="仿宋_GB2312" w:cs="Times New Roman"/>
          <w:color w:val="auto"/>
          <w:kern w:val="2"/>
          <w:sz w:val="32"/>
          <w:szCs w:val="32"/>
          <w:lang w:val="zh-CN" w:eastAsia="zh-CN" w:bidi="ar-SA"/>
        </w:rPr>
        <w:t>、奖金</w:t>
      </w:r>
      <w:r>
        <w:rPr>
          <w:rFonts w:hint="eastAsia" w:ascii="Times New Roman" w:hAnsi="Times New Roman" w:eastAsia="仿宋_GB2312" w:cs="Times New Roman"/>
          <w:color w:val="auto"/>
          <w:kern w:val="2"/>
          <w:sz w:val="32"/>
          <w:szCs w:val="32"/>
          <w:lang w:val="en-US" w:eastAsia="zh-CN" w:bidi="ar-SA"/>
        </w:rPr>
        <w:t>75.34万元</w:t>
      </w:r>
      <w:r>
        <w:rPr>
          <w:rFonts w:hint="default" w:ascii="Times New Roman" w:hAnsi="Times New Roman" w:eastAsia="仿宋_GB2312" w:cs="Times New Roman"/>
          <w:color w:val="auto"/>
          <w:kern w:val="2"/>
          <w:sz w:val="32"/>
          <w:szCs w:val="32"/>
          <w:lang w:val="zh-CN" w:eastAsia="zh-CN" w:bidi="ar-SA"/>
        </w:rPr>
        <w:t>、绩效工资</w:t>
      </w:r>
      <w:r>
        <w:rPr>
          <w:rFonts w:hint="eastAsia" w:ascii="Times New Roman" w:hAnsi="Times New Roman" w:eastAsia="仿宋_GB2312" w:cs="Times New Roman"/>
          <w:color w:val="auto"/>
          <w:kern w:val="2"/>
          <w:sz w:val="32"/>
          <w:szCs w:val="32"/>
          <w:lang w:val="en-US" w:eastAsia="zh-CN" w:bidi="ar-SA"/>
        </w:rPr>
        <w:t>28.93万元</w:t>
      </w:r>
      <w:r>
        <w:rPr>
          <w:rFonts w:hint="default" w:ascii="Times New Roman" w:hAnsi="Times New Roman" w:eastAsia="仿宋_GB2312" w:cs="Times New Roman"/>
          <w:color w:val="auto"/>
          <w:kern w:val="2"/>
          <w:sz w:val="32"/>
          <w:szCs w:val="32"/>
          <w:lang w:val="zh-CN" w:eastAsia="zh-CN" w:bidi="ar-SA"/>
        </w:rPr>
        <w:t>、机关事业部门基本养老保险缴费</w:t>
      </w:r>
      <w:r>
        <w:rPr>
          <w:rFonts w:hint="eastAsia" w:ascii="Times New Roman" w:hAnsi="Times New Roman" w:eastAsia="仿宋_GB2312" w:cs="Times New Roman"/>
          <w:color w:val="auto"/>
          <w:kern w:val="2"/>
          <w:sz w:val="32"/>
          <w:szCs w:val="32"/>
          <w:lang w:val="en-US" w:eastAsia="zh-CN" w:bidi="ar-SA"/>
        </w:rPr>
        <w:t>43.44万元</w:t>
      </w:r>
      <w:r>
        <w:rPr>
          <w:rFonts w:hint="default" w:ascii="Times New Roman" w:hAnsi="Times New Roman" w:eastAsia="仿宋_GB2312" w:cs="Times New Roman"/>
          <w:color w:val="auto"/>
          <w:kern w:val="2"/>
          <w:sz w:val="32"/>
          <w:szCs w:val="32"/>
          <w:lang w:val="zh-CN" w:eastAsia="zh-CN" w:bidi="ar-SA"/>
        </w:rPr>
        <w:t>、职工基本医疗保险缴费</w:t>
      </w:r>
      <w:r>
        <w:rPr>
          <w:rFonts w:hint="eastAsia" w:ascii="Times New Roman" w:hAnsi="Times New Roman" w:eastAsia="仿宋_GB2312" w:cs="Times New Roman"/>
          <w:color w:val="auto"/>
          <w:kern w:val="2"/>
          <w:sz w:val="32"/>
          <w:szCs w:val="32"/>
          <w:lang w:val="en-US" w:eastAsia="zh-CN" w:bidi="ar-SA"/>
        </w:rPr>
        <w:t>16.73万元</w:t>
      </w:r>
      <w:r>
        <w:rPr>
          <w:rFonts w:hint="default" w:ascii="Times New Roman" w:hAnsi="Times New Roman" w:eastAsia="仿宋_GB2312" w:cs="Times New Roman"/>
          <w:color w:val="auto"/>
          <w:kern w:val="2"/>
          <w:sz w:val="32"/>
          <w:szCs w:val="32"/>
          <w:lang w:val="zh-CN" w:eastAsia="zh-CN" w:bidi="ar-SA"/>
        </w:rPr>
        <w:t>、公务员医疗补助缴费</w:t>
      </w:r>
      <w:r>
        <w:rPr>
          <w:rFonts w:hint="eastAsia" w:ascii="Times New Roman" w:hAnsi="Times New Roman" w:eastAsia="仿宋_GB2312" w:cs="Times New Roman"/>
          <w:color w:val="auto"/>
          <w:kern w:val="2"/>
          <w:sz w:val="32"/>
          <w:szCs w:val="32"/>
          <w:lang w:val="en-US" w:eastAsia="zh-CN" w:bidi="ar-SA"/>
        </w:rPr>
        <w:t>23.42万元</w:t>
      </w:r>
      <w:r>
        <w:rPr>
          <w:rFonts w:hint="default" w:ascii="Times New Roman" w:hAnsi="Times New Roman" w:eastAsia="仿宋_GB2312" w:cs="Times New Roman"/>
          <w:color w:val="auto"/>
          <w:kern w:val="2"/>
          <w:sz w:val="32"/>
          <w:szCs w:val="32"/>
          <w:lang w:val="zh-CN" w:eastAsia="zh-CN" w:bidi="ar-SA"/>
        </w:rPr>
        <w:t>、住房公积金</w:t>
      </w:r>
      <w:r>
        <w:rPr>
          <w:rFonts w:hint="eastAsia" w:ascii="Times New Roman" w:hAnsi="Times New Roman" w:eastAsia="仿宋_GB2312" w:cs="Times New Roman"/>
          <w:color w:val="auto"/>
          <w:kern w:val="2"/>
          <w:sz w:val="32"/>
          <w:szCs w:val="32"/>
          <w:lang w:val="en-US" w:eastAsia="zh-CN" w:bidi="ar-SA"/>
        </w:rPr>
        <w:t>35.55万元</w:t>
      </w:r>
      <w:r>
        <w:rPr>
          <w:rFonts w:hint="default" w:ascii="Times New Roman" w:hAnsi="Times New Roman" w:eastAsia="仿宋_GB2312" w:cs="Times New Roman"/>
          <w:color w:val="auto"/>
          <w:kern w:val="2"/>
          <w:sz w:val="32"/>
          <w:szCs w:val="32"/>
          <w:lang w:val="zh-CN" w:eastAsia="zh-CN" w:bidi="ar-SA"/>
        </w:rPr>
        <w:t>、其他工资福利支出</w:t>
      </w:r>
      <w:r>
        <w:rPr>
          <w:rFonts w:hint="eastAsia" w:ascii="Times New Roman" w:hAnsi="Times New Roman" w:eastAsia="仿宋_GB2312" w:cs="Times New Roman"/>
          <w:color w:val="auto"/>
          <w:kern w:val="2"/>
          <w:sz w:val="32"/>
          <w:szCs w:val="32"/>
          <w:lang w:val="en-US" w:eastAsia="zh-CN" w:bidi="ar-SA"/>
        </w:rPr>
        <w:t>13.43万元</w:t>
      </w:r>
      <w:r>
        <w:rPr>
          <w:rFonts w:hint="default" w:ascii="Times New Roman" w:hAnsi="Times New Roman" w:eastAsia="仿宋_GB2312" w:cs="Times New Roman"/>
          <w:color w:val="auto"/>
          <w:kern w:val="2"/>
          <w:sz w:val="32"/>
          <w:szCs w:val="32"/>
          <w:lang w:val="zh-CN" w:eastAsia="zh-CN" w:bidi="ar-SA"/>
        </w:rPr>
        <w:t>、退休费</w:t>
      </w:r>
      <w:r>
        <w:rPr>
          <w:rFonts w:hint="eastAsia" w:ascii="Times New Roman" w:hAnsi="Times New Roman" w:eastAsia="仿宋_GB2312" w:cs="Times New Roman"/>
          <w:color w:val="auto"/>
          <w:kern w:val="2"/>
          <w:sz w:val="32"/>
          <w:szCs w:val="32"/>
          <w:lang w:val="en-US" w:eastAsia="zh-CN" w:bidi="ar-SA"/>
        </w:rPr>
        <w:t>25.56万元</w:t>
      </w:r>
      <w:r>
        <w:rPr>
          <w:rFonts w:hint="default" w:ascii="Times New Roman" w:hAnsi="Times New Roman" w:eastAsia="仿宋_GB2312" w:cs="Times New Roman"/>
          <w:color w:val="auto"/>
          <w:kern w:val="2"/>
          <w:sz w:val="32"/>
          <w:szCs w:val="32"/>
          <w:lang w:val="zh-CN" w:eastAsia="zh-CN" w:bidi="ar-SA"/>
        </w:rPr>
        <w:t>、奖励金</w:t>
      </w:r>
      <w:r>
        <w:rPr>
          <w:rFonts w:hint="eastAsia" w:ascii="Times New Roman" w:hAnsi="Times New Roman" w:eastAsia="仿宋_GB2312" w:cs="Times New Roman"/>
          <w:color w:val="auto"/>
          <w:kern w:val="2"/>
          <w:sz w:val="32"/>
          <w:szCs w:val="32"/>
          <w:lang w:val="en-US" w:eastAsia="zh-CN" w:bidi="ar-SA"/>
        </w:rPr>
        <w:t>0.9万元</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公用经费44.29万元，主要包括办公费</w:t>
      </w:r>
      <w:r>
        <w:rPr>
          <w:rFonts w:hint="eastAsia" w:ascii="Times New Roman" w:hAnsi="Times New Roman" w:eastAsia="仿宋_GB2312" w:cs="Times New Roman"/>
          <w:color w:val="auto"/>
          <w:kern w:val="2"/>
          <w:sz w:val="32"/>
          <w:szCs w:val="32"/>
          <w:lang w:val="en-US" w:eastAsia="zh-CN" w:bidi="ar-SA"/>
        </w:rPr>
        <w:t>6.69万元</w:t>
      </w:r>
      <w:r>
        <w:rPr>
          <w:rFonts w:hint="default" w:ascii="Times New Roman" w:hAnsi="Times New Roman" w:eastAsia="仿宋_GB2312" w:cs="Times New Roman"/>
          <w:color w:val="auto"/>
          <w:kern w:val="2"/>
          <w:sz w:val="32"/>
          <w:szCs w:val="32"/>
          <w:lang w:val="zh-CN" w:eastAsia="zh-CN" w:bidi="ar-SA"/>
        </w:rPr>
        <w:t>、邮电费</w:t>
      </w:r>
      <w:r>
        <w:rPr>
          <w:rFonts w:hint="eastAsia" w:ascii="Times New Roman" w:hAnsi="Times New Roman" w:eastAsia="仿宋_GB2312" w:cs="Times New Roman"/>
          <w:color w:val="auto"/>
          <w:kern w:val="2"/>
          <w:sz w:val="32"/>
          <w:szCs w:val="32"/>
          <w:lang w:val="en-US" w:eastAsia="zh-CN" w:bidi="ar-SA"/>
        </w:rPr>
        <w:t>11.12万元</w:t>
      </w:r>
      <w:r>
        <w:rPr>
          <w:rFonts w:hint="default" w:ascii="Times New Roman" w:hAnsi="Times New Roman" w:eastAsia="仿宋_GB2312" w:cs="Times New Roman"/>
          <w:color w:val="auto"/>
          <w:kern w:val="2"/>
          <w:sz w:val="32"/>
          <w:szCs w:val="32"/>
          <w:lang w:val="zh-CN" w:eastAsia="zh-CN" w:bidi="ar-SA"/>
        </w:rPr>
        <w:t>、工会经费</w:t>
      </w:r>
      <w:r>
        <w:rPr>
          <w:rFonts w:hint="eastAsia" w:ascii="Times New Roman" w:hAnsi="Times New Roman" w:eastAsia="仿宋_GB2312" w:cs="Times New Roman"/>
          <w:color w:val="auto"/>
          <w:kern w:val="2"/>
          <w:sz w:val="32"/>
          <w:szCs w:val="32"/>
          <w:lang w:val="en-US" w:eastAsia="zh-CN" w:bidi="ar-SA"/>
        </w:rPr>
        <w:t>4.26万元</w:t>
      </w:r>
      <w:r>
        <w:rPr>
          <w:rFonts w:hint="default" w:ascii="Times New Roman" w:hAnsi="Times New Roman" w:eastAsia="仿宋_GB2312" w:cs="Times New Roman"/>
          <w:color w:val="auto"/>
          <w:kern w:val="2"/>
          <w:sz w:val="32"/>
          <w:szCs w:val="32"/>
          <w:lang w:val="zh-CN" w:eastAsia="zh-CN" w:bidi="ar-SA"/>
        </w:rPr>
        <w:t>、福利费</w:t>
      </w:r>
      <w:r>
        <w:rPr>
          <w:rFonts w:hint="eastAsia" w:ascii="Times New Roman" w:hAnsi="Times New Roman" w:eastAsia="仿宋_GB2312" w:cs="Times New Roman"/>
          <w:color w:val="auto"/>
          <w:kern w:val="2"/>
          <w:sz w:val="32"/>
          <w:szCs w:val="32"/>
          <w:lang w:val="en-US" w:eastAsia="zh-CN" w:bidi="ar-SA"/>
        </w:rPr>
        <w:t>3.22万元</w:t>
      </w:r>
      <w:r>
        <w:rPr>
          <w:rFonts w:hint="default" w:ascii="Times New Roman" w:hAnsi="Times New Roman" w:eastAsia="仿宋_GB2312" w:cs="Times New Roman"/>
          <w:color w:val="auto"/>
          <w:kern w:val="2"/>
          <w:sz w:val="32"/>
          <w:szCs w:val="32"/>
          <w:lang w:val="zh-CN" w:eastAsia="zh-CN" w:bidi="ar-SA"/>
        </w:rPr>
        <w:t>、公务用车运行维护费</w:t>
      </w:r>
      <w:r>
        <w:rPr>
          <w:rFonts w:hint="eastAsia" w:ascii="Times New Roman" w:hAnsi="Times New Roman" w:eastAsia="仿宋_GB2312" w:cs="Times New Roman"/>
          <w:color w:val="auto"/>
          <w:kern w:val="2"/>
          <w:sz w:val="32"/>
          <w:szCs w:val="32"/>
          <w:lang w:val="en-US" w:eastAsia="zh-CN" w:bidi="ar-SA"/>
        </w:rPr>
        <w:t>4.48万元</w:t>
      </w:r>
      <w:r>
        <w:rPr>
          <w:rFonts w:hint="default" w:ascii="Times New Roman" w:hAnsi="Times New Roman" w:eastAsia="仿宋_GB2312" w:cs="Times New Roman"/>
          <w:color w:val="auto"/>
          <w:kern w:val="2"/>
          <w:sz w:val="32"/>
          <w:szCs w:val="32"/>
          <w:lang w:val="zh-CN" w:eastAsia="zh-CN" w:bidi="ar-SA"/>
        </w:rPr>
        <w:t>、其他交通费用</w:t>
      </w:r>
      <w:r>
        <w:rPr>
          <w:rFonts w:hint="eastAsia" w:ascii="Times New Roman" w:hAnsi="Times New Roman" w:eastAsia="仿宋_GB2312" w:cs="Times New Roman"/>
          <w:color w:val="auto"/>
          <w:kern w:val="2"/>
          <w:sz w:val="32"/>
          <w:szCs w:val="32"/>
          <w:lang w:val="en-US" w:eastAsia="zh-CN" w:bidi="ar-SA"/>
        </w:rPr>
        <w:t>14.53万元</w:t>
      </w:r>
      <w:r>
        <w:rPr>
          <w:rFonts w:hint="eastAsia"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年度“三公”经费财政拨款支出预算为5万元，支出决算为 4.48万元，完成预算的 89.5%，较预算减少</w:t>
      </w:r>
      <w:r>
        <w:rPr>
          <w:rFonts w:hint="eastAsia" w:ascii="Times New Roman" w:hAnsi="Times New Roman" w:eastAsia="仿宋_GB2312" w:cs="Times New Roman"/>
          <w:color w:val="auto"/>
          <w:kern w:val="2"/>
          <w:sz w:val="32"/>
          <w:szCs w:val="32"/>
          <w:lang w:val="en-US" w:eastAsia="zh-CN" w:bidi="ar-SA"/>
        </w:rPr>
        <w:t>0.52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10.4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0.52万元未支出，按照实际支出填报</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0.48</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按照实际支出填报，主要用于公车维护支出</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2023年度因公出国（境）费支出预算为0万元,支出决算0万元。完成预算的00。因公出国（境）费支出较预算增加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万元，增长（降低）</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年度公务用车购置及运行维护费预算为5万元，支出决算 4.48万元，完成预算的89.5%,较预算</w:t>
      </w:r>
      <w:r>
        <w:rPr>
          <w:rFonts w:hint="eastAsia" w:ascii="Times New Roman" w:hAnsi="Times New Roman" w:eastAsia="仿宋_GB2312" w:cs="Times New Roman"/>
          <w:color w:val="auto"/>
          <w:kern w:val="2"/>
          <w:sz w:val="32"/>
          <w:szCs w:val="32"/>
          <w:lang w:val="en-US" w:eastAsia="zh-CN" w:bidi="ar-SA"/>
        </w:rPr>
        <w:t>减少0.52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10.4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按照实际公车维护支出填报</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0.48</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12</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按照实际支出填报，主要用于公车维护支出</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未发生公务用车购置经费支出。</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4.48</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年度单位公务用车保有量2辆，发生运行维护费支出4.48万元。公车运行维护费支出较预算减少</w:t>
      </w:r>
      <w:r>
        <w:rPr>
          <w:rFonts w:hint="eastAsia" w:ascii="Times New Roman" w:hAnsi="Times New Roman" w:eastAsia="仿宋_GB2312" w:cs="Times New Roman"/>
          <w:color w:val="auto"/>
          <w:kern w:val="2"/>
          <w:sz w:val="32"/>
          <w:szCs w:val="32"/>
          <w:lang w:val="en-US" w:eastAsia="zh-CN" w:bidi="ar-SA"/>
        </w:rPr>
        <w:t>0.52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10.4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按照实际公车维护支出填报</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0.48</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按照实际支出填报，主要用于公车维护支出</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年度机关运行经费支出44.29万元，较2022年度</w:t>
      </w:r>
      <w:r>
        <w:rPr>
          <w:rFonts w:hint="default" w:ascii="Times New Roman" w:hAnsi="Times New Roman" w:eastAsia="仿宋_GB2312" w:cs="Times New Roman"/>
          <w:sz w:val="32"/>
          <w:szCs w:val="32"/>
          <w:lang w:val="en-US" w:eastAsia="zh-CN"/>
        </w:rPr>
        <w:t>49.18</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color w:val="auto"/>
          <w:kern w:val="2"/>
          <w:sz w:val="32"/>
          <w:szCs w:val="32"/>
          <w:lang w:val="zh-CN" w:eastAsia="zh-CN" w:bidi="ar-SA"/>
        </w:rPr>
        <w:t>减少</w:t>
      </w:r>
      <w:r>
        <w:rPr>
          <w:rFonts w:hint="default" w:ascii="Times New Roman" w:hAnsi="Times New Roman" w:eastAsia="仿宋_GB2312" w:cs="Times New Roman"/>
          <w:color w:val="auto"/>
          <w:kern w:val="2"/>
          <w:sz w:val="32"/>
          <w:szCs w:val="32"/>
          <w:lang w:val="en-US" w:eastAsia="zh-CN" w:bidi="ar-SA"/>
        </w:rPr>
        <w:t>4.8</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9.94</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贯彻落实中央八项规定和厉行节约精神，减少不必要开支，有效降低了机关运行经费</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年度政府采购支出总额199.58万元，从采购类型来看，政府采购货物支出0万元、政府采购工程支出0万元、政府采购服务支出199.58万元。授予中小企业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199.58万元，占政府采购支出总额的100%，其中授予小微企业合同金额199.58万元，占政府采购支出总额的100%。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年12月31日，2共有车辆本单位辆，比上年增加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en-US" w:eastAsia="zh-CN" w:bidi="ar-SA"/>
        </w:rPr>
        <w:t>车辆数量无变化</w:t>
      </w:r>
      <w:r>
        <w:rPr>
          <w:rFonts w:hint="default" w:ascii="Times New Roman" w:hAnsi="Times New Roman" w:eastAsia="仿宋_GB2312" w:cs="Times New Roman"/>
          <w:color w:val="auto"/>
          <w:kern w:val="2"/>
          <w:sz w:val="32"/>
          <w:szCs w:val="32"/>
          <w:lang w:val="zh-CN" w:eastAsia="zh-CN" w:bidi="ar-SA"/>
        </w:rPr>
        <w:t>。其中，机要通信用车2辆。单位价值100万元（含）以上设备（不含车辆）0台（套）。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31</w:t>
      </w:r>
      <w:r>
        <w:rPr>
          <w:rFonts w:hint="default" w:ascii="Times New Roman" w:hAnsi="Times New Roman" w:eastAsia="仿宋_GB2312" w:cs="Times New Roman"/>
          <w:color w:val="auto"/>
          <w:kern w:val="2"/>
          <w:sz w:val="32"/>
          <w:szCs w:val="32"/>
          <w:lang w:val="zh-CN" w:eastAsia="zh-CN" w:bidi="ar-SA"/>
        </w:rPr>
        <w:t>个，共涉及资金</w:t>
      </w:r>
      <w:r>
        <w:rPr>
          <w:rFonts w:hint="default" w:ascii="Times New Roman" w:hAnsi="Times New Roman" w:eastAsia="仿宋_GB2312" w:cs="Times New Roman"/>
          <w:sz w:val="32"/>
          <w:szCs w:val="32"/>
          <w:lang w:val="en-US" w:eastAsia="zh-CN"/>
        </w:rPr>
        <w:t>2715.43</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0" w:firstLineChars="200"/>
        <w:rPr>
          <w:rFonts w:hint="default" w:ascii="仿宋_GB2312" w:hAnsi="仿宋_GB2312" w:eastAsia="仿宋_GB2312" w:cs="仿宋_GB2312"/>
          <w:sz w:val="32"/>
          <w:szCs w:val="32"/>
          <w:lang w:val="en-US" w:eastAsia="zh-CN"/>
        </w:rPr>
      </w:pPr>
      <w:r>
        <w:rPr>
          <w:rFonts w:hint="default" w:ascii="Times New Roman" w:hAnsi="Times New Roman" w:eastAsia="仿宋_GB2312" w:cs="Times New Roman"/>
          <w:color w:val="auto"/>
          <w:kern w:val="2"/>
          <w:sz w:val="32"/>
          <w:szCs w:val="32"/>
          <w:lang w:val="zh-CN" w:eastAsia="zh-CN" w:bidi="ar-SA"/>
        </w:rPr>
        <w:t>组织对“ 唐山市丰南区农村（社区）综治视联网服务采购项目经费”“网格员工作补贴经费”等</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1029.85</w:t>
      </w:r>
      <w:r>
        <w:rPr>
          <w:rFonts w:hint="default" w:ascii="Times New Roman" w:hAnsi="Times New Roman" w:eastAsia="仿宋_GB2312" w:cs="Times New Roman"/>
          <w:color w:val="auto"/>
          <w:kern w:val="2"/>
          <w:sz w:val="32"/>
          <w:szCs w:val="32"/>
          <w:lang w:val="zh-CN" w:eastAsia="zh-CN" w:bidi="ar-SA"/>
        </w:rPr>
        <w:t>万元。</w:t>
      </w:r>
      <w:r>
        <w:rPr>
          <w:rFonts w:hint="eastAsia" w:ascii="仿宋_GB2312" w:hAnsi="仿宋_GB2312" w:eastAsia="仿宋_GB2312" w:cs="仿宋_GB2312"/>
          <w:sz w:val="32"/>
          <w:szCs w:val="32"/>
        </w:rPr>
        <w:t>其中，对</w:t>
      </w:r>
      <w:r>
        <w:rPr>
          <w:rFonts w:hint="eastAsia" w:ascii="仿宋_GB2312" w:hAnsi="仿宋_GB2312" w:eastAsia="仿宋_GB2312" w:cs="仿宋_GB2312"/>
          <w:sz w:val="32"/>
          <w:szCs w:val="32"/>
          <w:lang w:eastAsia="zh-CN"/>
        </w:rPr>
        <w:t>全部项目由</w:t>
      </w:r>
      <w:r>
        <w:rPr>
          <w:rFonts w:hint="eastAsia" w:ascii="仿宋_GB2312" w:hAnsi="仿宋_GB2312" w:eastAsia="仿宋_GB2312" w:cs="仿宋_GB2312"/>
          <w:sz w:val="32"/>
          <w:szCs w:val="32"/>
        </w:rPr>
        <w:t>部内评审机构开展绩效评价。从评价情况来看</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rPr>
        <w:t>年度丰南区</w:t>
      </w:r>
      <w:r>
        <w:rPr>
          <w:rFonts w:hint="eastAsia" w:ascii="仿宋_GB2312" w:hAnsi="仿宋_GB2312" w:eastAsia="仿宋_GB2312" w:cs="仿宋_GB2312"/>
          <w:sz w:val="32"/>
          <w:szCs w:val="32"/>
          <w:lang w:eastAsia="zh-CN"/>
        </w:rPr>
        <w:t>委政法委</w:t>
      </w:r>
      <w:r>
        <w:rPr>
          <w:rFonts w:hint="eastAsia" w:ascii="仿宋_GB2312" w:hAnsi="仿宋_GB2312" w:eastAsia="仿宋_GB2312" w:cs="仿宋_GB2312"/>
          <w:sz w:val="32"/>
          <w:szCs w:val="32"/>
        </w:rPr>
        <w:t>项目预算资金共计</w:t>
      </w:r>
      <w:r>
        <w:rPr>
          <w:rFonts w:hint="default" w:ascii="Times New Roman" w:hAnsi="Times New Roman" w:eastAsia="仿宋_GB2312" w:cs="Times New Roman"/>
          <w:sz w:val="32"/>
          <w:szCs w:val="32"/>
          <w:lang w:val="en-US" w:eastAsia="zh-CN"/>
        </w:rPr>
        <w:t>2715.43</w:t>
      </w:r>
      <w:r>
        <w:rPr>
          <w:rFonts w:hint="eastAsia" w:ascii="仿宋_GB2312" w:hAnsi="仿宋_GB2312" w:eastAsia="仿宋_GB2312" w:cs="仿宋_GB2312"/>
          <w:sz w:val="32"/>
          <w:szCs w:val="32"/>
        </w:rPr>
        <w:t>万元，涉及</w:t>
      </w:r>
      <w:r>
        <w:rPr>
          <w:rFonts w:hint="default" w:ascii="Times New Roman" w:hAnsi="Times New Roman" w:eastAsia="仿宋_GB2312" w:cs="Times New Roman"/>
          <w:sz w:val="32"/>
          <w:szCs w:val="32"/>
        </w:rPr>
        <w:t>项目</w:t>
      </w:r>
      <w:r>
        <w:rPr>
          <w:rFonts w:hint="default" w:ascii="Times New Roman" w:hAnsi="Times New Roman" w:eastAsia="仿宋_GB2312" w:cs="Times New Roman"/>
          <w:sz w:val="32"/>
          <w:szCs w:val="32"/>
          <w:lang w:val="en-US" w:eastAsia="zh-CN"/>
        </w:rPr>
        <w:t>33</w:t>
      </w:r>
      <w:r>
        <w:rPr>
          <w:rFonts w:hint="default" w:ascii="Times New Roman" w:hAnsi="Times New Roman" w:eastAsia="仿宋_GB2312" w:cs="Times New Roman"/>
          <w:sz w:val="32"/>
          <w:szCs w:val="32"/>
        </w:rPr>
        <w:t>个，实际到位金额为</w:t>
      </w:r>
      <w:r>
        <w:rPr>
          <w:rFonts w:hint="default" w:ascii="Times New Roman" w:hAnsi="Times New Roman" w:eastAsia="仿宋_GB2312" w:cs="Times New Roman"/>
          <w:sz w:val="32"/>
          <w:szCs w:val="32"/>
          <w:lang w:val="en-US" w:eastAsia="zh-CN"/>
        </w:rPr>
        <w:t>2715.43</w:t>
      </w:r>
      <w:r>
        <w:rPr>
          <w:rFonts w:hint="default" w:ascii="Times New Roman" w:hAnsi="Times New Roman" w:eastAsia="仿宋_GB2312" w:cs="Times New Roman"/>
          <w:sz w:val="32"/>
          <w:szCs w:val="32"/>
        </w:rPr>
        <w:t>万元，执行</w:t>
      </w:r>
      <w:r>
        <w:rPr>
          <w:rFonts w:hint="default" w:ascii="Times New Roman" w:hAnsi="Times New Roman" w:eastAsia="仿宋_GB2312" w:cs="Times New Roman"/>
          <w:sz w:val="32"/>
          <w:szCs w:val="32"/>
          <w:lang w:val="en-US" w:eastAsia="zh-CN"/>
        </w:rPr>
        <w:t>2715.43</w:t>
      </w:r>
      <w:r>
        <w:rPr>
          <w:rFonts w:hint="default" w:ascii="Times New Roman" w:hAnsi="Times New Roman" w:eastAsia="仿宋_GB2312" w:cs="Times New Roman"/>
          <w:sz w:val="32"/>
          <w:szCs w:val="32"/>
        </w:rPr>
        <w:t>万元，预算执行率为</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%。基本实现了年初预算制定的预算绩效目标。经过绩效自评工作，我单位共有一般自评项目</w:t>
      </w:r>
      <w:r>
        <w:rPr>
          <w:rFonts w:hint="default" w:ascii="Times New Roman" w:hAnsi="Times New Roman" w:eastAsia="仿宋_GB2312" w:cs="Times New Roman"/>
          <w:sz w:val="32"/>
          <w:szCs w:val="32"/>
          <w:lang w:val="en-US" w:eastAsia="zh-CN"/>
        </w:rPr>
        <w:t>33</w:t>
      </w:r>
      <w:r>
        <w:rPr>
          <w:rFonts w:hint="default" w:ascii="Times New Roman" w:hAnsi="Times New Roman" w:eastAsia="仿宋_GB2312" w:cs="Times New Roman"/>
          <w:sz w:val="32"/>
          <w:szCs w:val="32"/>
        </w:rPr>
        <w:t>个，重点评价项目</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个，其中超过200万元资金的项目</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个。超过200万元资金的项目</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个包括：</w:t>
      </w:r>
      <w:r>
        <w:rPr>
          <w:rFonts w:hint="default" w:ascii="Times New Roman" w:hAnsi="Times New Roman" w:eastAsia="仿宋_GB2312" w:cs="Times New Roman"/>
          <w:sz w:val="32"/>
          <w:szCs w:val="32"/>
          <w:lang w:val="en-US" w:eastAsia="zh-CN"/>
        </w:rPr>
        <w:t>一是</w:t>
      </w:r>
      <w:r>
        <w:rPr>
          <w:rFonts w:hint="default" w:ascii="Times New Roman" w:hAnsi="Times New Roman" w:eastAsia="仿宋_GB2312" w:cs="Times New Roman"/>
          <w:sz w:val="32"/>
          <w:szCs w:val="32"/>
          <w:lang w:eastAsia="zh-CN"/>
        </w:rPr>
        <w:t>农村（社区）综治视联网服务采购项目</w:t>
      </w:r>
      <w:r>
        <w:rPr>
          <w:rFonts w:hint="default" w:ascii="Times New Roman" w:hAnsi="Times New Roman" w:eastAsia="仿宋_GB2312" w:cs="Times New Roman"/>
          <w:sz w:val="32"/>
          <w:szCs w:val="32"/>
        </w:rPr>
        <w:t>，预算资金</w:t>
      </w:r>
      <w:r>
        <w:rPr>
          <w:rFonts w:hint="default" w:ascii="Times New Roman" w:hAnsi="Times New Roman" w:eastAsia="仿宋_GB2312" w:cs="Times New Roman"/>
          <w:sz w:val="32"/>
          <w:szCs w:val="32"/>
          <w:lang w:val="en-US" w:eastAsia="zh-CN"/>
        </w:rPr>
        <w:t>397.08</w:t>
      </w:r>
      <w:r>
        <w:rPr>
          <w:rFonts w:hint="default" w:ascii="Times New Roman" w:hAnsi="Times New Roman" w:eastAsia="仿宋_GB2312" w:cs="Times New Roman"/>
          <w:sz w:val="32"/>
          <w:szCs w:val="32"/>
        </w:rPr>
        <w:t>万元，到位执行金额为</w:t>
      </w:r>
      <w:r>
        <w:rPr>
          <w:rFonts w:hint="default" w:ascii="Times New Roman" w:hAnsi="Times New Roman" w:eastAsia="仿宋_GB2312" w:cs="Times New Roman"/>
          <w:sz w:val="32"/>
          <w:szCs w:val="32"/>
          <w:lang w:val="en-US" w:eastAsia="zh-CN"/>
        </w:rPr>
        <w:t>397.08</w:t>
      </w:r>
      <w:r>
        <w:rPr>
          <w:rFonts w:hint="default" w:ascii="Times New Roman" w:hAnsi="Times New Roman" w:eastAsia="仿宋_GB2312" w:cs="Times New Roman"/>
          <w:sz w:val="32"/>
          <w:szCs w:val="32"/>
        </w:rPr>
        <w:t>万元，预算执行率为100%</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二是</w:t>
      </w:r>
      <w:r>
        <w:rPr>
          <w:rFonts w:hint="default" w:ascii="Times New Roman" w:hAnsi="Times New Roman" w:eastAsia="仿宋_GB2312" w:cs="Times New Roman"/>
          <w:color w:val="auto"/>
          <w:kern w:val="2"/>
          <w:sz w:val="32"/>
          <w:szCs w:val="32"/>
          <w:lang w:val="zh-CN" w:eastAsia="zh-CN" w:bidi="ar-SA"/>
        </w:rPr>
        <w:t>网格员工作补贴经费</w:t>
      </w:r>
      <w:r>
        <w:rPr>
          <w:rFonts w:hint="default" w:ascii="Times New Roman" w:hAnsi="Times New Roman" w:eastAsia="仿宋_GB2312" w:cs="Times New Roman"/>
          <w:color w:val="auto"/>
          <w:kern w:val="2"/>
          <w:sz w:val="32"/>
          <w:szCs w:val="32"/>
          <w:lang w:val="en-US" w:eastAsia="zh-CN" w:bidi="ar-SA"/>
        </w:rPr>
        <w:t>项目，预算资金641.18万元，到位执行金额为641.18万元，预算执行率为100%。</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 唐山市丰南区农村（社区）综治视联网服务采购项目经费”“ 网格员工作补贴经费”等</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唐山市丰南区农村（社区）综治视联网服务采购项目经费项目绩效自评情况：根据年初设定的绩效目标，唐山市丰南区农村（社区）综治视联网服务采购项目经费项目绩效自评得分为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397.08</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397.08</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Times New Roman" w:hAnsi="Times New Roman" w:eastAsia="仿宋_GB2312" w:cs="Times New Roman"/>
          <w:color w:val="auto"/>
          <w:kern w:val="2"/>
          <w:sz w:val="32"/>
          <w:szCs w:val="32"/>
          <w:lang w:val="en-US" w:eastAsia="zh-CN" w:bidi="ar-SA"/>
        </w:rPr>
        <w:t>一是</w:t>
      </w:r>
      <w:r>
        <w:rPr>
          <w:rFonts w:hint="default" w:ascii="Times New Roman" w:hAnsi="Times New Roman" w:eastAsia="仿宋_GB2312" w:cs="Times New Roman"/>
          <w:color w:val="auto"/>
          <w:kern w:val="2"/>
          <w:sz w:val="32"/>
          <w:szCs w:val="32"/>
          <w:lang w:val="zh-CN" w:eastAsia="zh-CN" w:bidi="ar-SA"/>
        </w:rPr>
        <w:t>完成市委政法委近期下发了《推进农村（社区）视联网建设工作方案》中关于2022年6月底前村（社区）级视联网终端覆盖率达100%的要求</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二是</w:t>
      </w:r>
      <w:r>
        <w:rPr>
          <w:rFonts w:hint="default" w:ascii="Times New Roman" w:hAnsi="Times New Roman" w:eastAsia="仿宋_GB2312" w:cs="Times New Roman"/>
          <w:color w:val="auto"/>
          <w:kern w:val="2"/>
          <w:sz w:val="32"/>
          <w:szCs w:val="32"/>
          <w:lang w:val="zh-CN" w:eastAsia="zh-CN" w:bidi="ar-SA"/>
        </w:rPr>
        <w:t>全面推进区、乡镇（街道）、村（社区）三级社会治理综合服务中心（站）规范化建设</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三是</w:t>
      </w:r>
      <w:r>
        <w:rPr>
          <w:rFonts w:hint="default" w:ascii="Times New Roman" w:hAnsi="Times New Roman" w:eastAsia="仿宋_GB2312" w:cs="Times New Roman"/>
          <w:color w:val="auto"/>
          <w:kern w:val="2"/>
          <w:sz w:val="32"/>
          <w:szCs w:val="32"/>
          <w:lang w:val="zh-CN" w:eastAsia="zh-CN" w:bidi="ar-SA"/>
        </w:rPr>
        <w:t>实现全市广大农村、社区都能通过综治视联网参加自中央到地方各层级召开的综治视联网系统会议</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通过项目实施，完成了年初设定的各项绩效目标，未发现问题。</w:t>
      </w:r>
    </w:p>
    <w:tbl>
      <w:tblPr>
        <w:tblStyle w:val="11"/>
        <w:tblW w:w="99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85"/>
        <w:gridCol w:w="1065"/>
        <w:gridCol w:w="1065"/>
        <w:gridCol w:w="1065"/>
        <w:gridCol w:w="1222"/>
        <w:gridCol w:w="1215"/>
        <w:gridCol w:w="1200"/>
        <w:gridCol w:w="1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6" w:hRule="atLeast"/>
          <w:jc w:val="center"/>
        </w:trPr>
        <w:tc>
          <w:tcPr>
            <w:tcW w:w="9975"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1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0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58"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18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丰南区农村（社区）综治视联网服务项目经费</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4373"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唐山市丰南区委政法委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287"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4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2"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397.08</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397.08</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397.08</w:t>
            </w:r>
          </w:p>
        </w:tc>
        <w:tc>
          <w:tcPr>
            <w:tcW w:w="19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397.08</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397.08</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397.08</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22"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31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19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1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为全面推进区、乡镇（街道）、村（社区）三级社会治理综合服务中心（站）规范化建设，实现全市广大农村、社区都能通过综治视联网参加自中央到地方各层级召开的综治视联网系统会议。</w:t>
            </w:r>
          </w:p>
        </w:tc>
        <w:tc>
          <w:tcPr>
            <w:tcW w:w="363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已完成</w:t>
            </w:r>
          </w:p>
        </w:tc>
        <w:tc>
          <w:tcPr>
            <w:tcW w:w="19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1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3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1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3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视联网系统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14套</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14套</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提高会议质效</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95%</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完成</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修复时间</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不超过3天</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完成</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6"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成本节约率</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不超出预算安排</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不超出预算安排</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社会影响力</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基本认可</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基本认可</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社会稳定水平</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基本稳定</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基本稳定</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群众安全感得到提升</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得到提升</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得到提升</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4"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服务对象满意度</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95%</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sz w:val="16"/>
                <w:szCs w:val="16"/>
                <w:u w:val="none"/>
                <w:lang w:val="en-US" w:eastAsia="zh-CN"/>
              </w:rPr>
              <w:t>预算执行率达到100%</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83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0" w:hRule="atLeast"/>
          <w:jc w:val="center"/>
        </w:trPr>
        <w:tc>
          <w:tcPr>
            <w:tcW w:w="11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879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2250" w:type="dxa"/>
            <w:gridSpan w:val="2"/>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填报人：张翠霞</w:t>
            </w: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1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0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联系电话：</w:t>
            </w:r>
          </w:p>
        </w:tc>
        <w:tc>
          <w:tcPr>
            <w:tcW w:w="1958"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8189824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vMerge w:val="continue"/>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640" w:firstLineChars="200"/>
        <w:jc w:val="left"/>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网格员工作补贴经费项目绩效自评情况：根据年初设定的绩效目标，网格员工作补贴经费项目绩效自评得分为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641.18</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641.18</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Times New Roman" w:hAnsi="Times New Roman" w:eastAsia="仿宋_GB2312" w:cs="Times New Roman"/>
          <w:color w:val="auto"/>
          <w:kern w:val="2"/>
          <w:sz w:val="32"/>
          <w:szCs w:val="32"/>
          <w:lang w:val="en-US" w:eastAsia="zh-CN" w:bidi="ar-SA"/>
        </w:rPr>
        <w:t>一是</w:t>
      </w:r>
      <w:r>
        <w:rPr>
          <w:rFonts w:hint="default" w:ascii="Times New Roman" w:hAnsi="Times New Roman" w:eastAsia="仿宋_GB2312" w:cs="Times New Roman"/>
          <w:color w:val="auto"/>
          <w:kern w:val="2"/>
          <w:sz w:val="32"/>
          <w:szCs w:val="32"/>
          <w:lang w:val="zh-CN" w:eastAsia="zh-CN" w:bidi="ar-SA"/>
        </w:rPr>
        <w:t>通过选优配强网格员队伍，落实好薪酬待遇</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二是</w:t>
      </w:r>
      <w:r>
        <w:rPr>
          <w:rFonts w:hint="default" w:ascii="Times New Roman" w:hAnsi="Times New Roman" w:eastAsia="仿宋_GB2312" w:cs="Times New Roman"/>
          <w:color w:val="auto"/>
          <w:kern w:val="2"/>
          <w:sz w:val="32"/>
          <w:szCs w:val="32"/>
          <w:lang w:val="zh-CN" w:eastAsia="zh-CN" w:bidi="ar-SA"/>
        </w:rPr>
        <w:t>调动网格员工作积极性</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三是</w:t>
      </w:r>
      <w:r>
        <w:rPr>
          <w:rFonts w:hint="default" w:ascii="Times New Roman" w:hAnsi="Times New Roman" w:eastAsia="仿宋_GB2312" w:cs="Times New Roman"/>
          <w:color w:val="auto"/>
          <w:kern w:val="2"/>
          <w:sz w:val="32"/>
          <w:szCs w:val="32"/>
          <w:lang w:val="zh-CN" w:eastAsia="zh-CN" w:bidi="ar-SA"/>
        </w:rPr>
        <w:t>提高基层社会治理能力</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通过项目实施，完成了年初设定的各项绩效目标，未发现问题。</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color w:val="auto"/>
          <w:kern w:val="2"/>
          <w:sz w:val="32"/>
          <w:szCs w:val="32"/>
          <w:lang w:val="zh-CN" w:eastAsia="zh-CN" w:bidi="ar-SA"/>
        </w:rPr>
        <w:tab/>
      </w:r>
      <w:r>
        <w:rPr>
          <w:rFonts w:hint="default" w:ascii="Times New Roman" w:hAnsi="Times New Roman" w:eastAsia="仿宋_GB2312" w:cs="Times New Roman"/>
          <w:color w:val="auto"/>
          <w:kern w:val="2"/>
          <w:sz w:val="32"/>
          <w:szCs w:val="32"/>
          <w:lang w:val="zh-CN" w:eastAsia="zh-CN" w:bidi="ar-SA"/>
        </w:rPr>
        <w:tab/>
      </w:r>
      <w:r>
        <w:rPr>
          <w:rFonts w:hint="default" w:ascii="Times New Roman" w:hAnsi="Times New Roman" w:eastAsia="仿宋_GB2312" w:cs="Times New Roman"/>
          <w:color w:val="auto"/>
          <w:kern w:val="2"/>
          <w:sz w:val="32"/>
          <w:szCs w:val="32"/>
          <w:lang w:val="zh-CN" w:eastAsia="zh-CN" w:bidi="ar-SA"/>
        </w:rPr>
        <w:tab/>
      </w:r>
      <w:r>
        <w:rPr>
          <w:rFonts w:hint="default" w:ascii="Times New Roman" w:hAnsi="Times New Roman" w:eastAsia="仿宋_GB2312" w:cs="Times New Roman"/>
          <w:color w:val="auto"/>
          <w:kern w:val="2"/>
          <w:sz w:val="32"/>
          <w:szCs w:val="32"/>
          <w:lang w:val="zh-CN" w:eastAsia="zh-CN" w:bidi="ar-SA"/>
        </w:rPr>
        <w:tab/>
      </w:r>
      <w:r>
        <w:rPr>
          <w:rFonts w:hint="default" w:ascii="Times New Roman" w:hAnsi="Times New Roman" w:eastAsia="仿宋_GB2312" w:cs="Times New Roman"/>
          <w:color w:val="auto"/>
          <w:kern w:val="2"/>
          <w:sz w:val="32"/>
          <w:szCs w:val="32"/>
          <w:lang w:val="zh-CN" w:eastAsia="zh-CN" w:bidi="ar-SA"/>
        </w:rPr>
        <w:tab/>
      </w:r>
    </w:p>
    <w:tbl>
      <w:tblPr>
        <w:tblStyle w:val="11"/>
        <w:tblW w:w="99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85"/>
        <w:gridCol w:w="1065"/>
        <w:gridCol w:w="1065"/>
        <w:gridCol w:w="1065"/>
        <w:gridCol w:w="1222"/>
        <w:gridCol w:w="1215"/>
        <w:gridCol w:w="1200"/>
        <w:gridCol w:w="1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6" w:hRule="atLeast"/>
          <w:jc w:val="center"/>
        </w:trPr>
        <w:tc>
          <w:tcPr>
            <w:tcW w:w="9975"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1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0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58"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118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color w:val="auto"/>
                <w:kern w:val="2"/>
                <w:sz w:val="16"/>
                <w:szCs w:val="16"/>
                <w:lang w:val="zh-CN" w:eastAsia="zh-CN" w:bidi="ar-SA"/>
              </w:rPr>
              <w:t>网格员工作补贴经费</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4373" w:type="dxa"/>
            <w:gridSpan w:val="3"/>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唐山市丰南区委政法委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287"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4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2"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641.18</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641.18</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641.18</w:t>
            </w:r>
          </w:p>
        </w:tc>
        <w:tc>
          <w:tcPr>
            <w:tcW w:w="19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641.18</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641.18</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641.18</w:t>
            </w: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22"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31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具体完成情况</w:t>
            </w:r>
          </w:p>
        </w:tc>
        <w:tc>
          <w:tcPr>
            <w:tcW w:w="19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1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1、通过选优配强网格员队伍，落实好薪酬待遇</w:t>
            </w:r>
          </w:p>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2、调动网格员工作积极性</w:t>
            </w:r>
          </w:p>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3、提高基层社会治理能力</w:t>
            </w:r>
            <w:r>
              <w:rPr>
                <w:rFonts w:hint="eastAsia" w:ascii="宋体" w:hAnsi="宋体" w:eastAsia="宋体" w:cs="宋体"/>
                <w:i w:val="0"/>
                <w:color w:val="000000"/>
                <w:kern w:val="0"/>
                <w:sz w:val="16"/>
                <w:szCs w:val="16"/>
                <w:u w:val="none"/>
                <w:lang w:val="en-US" w:eastAsia="zh-CN" w:bidi="ar"/>
              </w:rPr>
              <w:tab/>
            </w:r>
            <w:r>
              <w:rPr>
                <w:rFonts w:hint="eastAsia" w:ascii="宋体" w:hAnsi="宋体" w:eastAsia="宋体" w:cs="宋体"/>
                <w:i w:val="0"/>
                <w:color w:val="000000"/>
                <w:kern w:val="0"/>
                <w:sz w:val="16"/>
                <w:szCs w:val="16"/>
                <w:u w:val="none"/>
                <w:lang w:val="en-US" w:eastAsia="zh-CN" w:bidi="ar"/>
              </w:rPr>
              <w:tab/>
            </w:r>
          </w:p>
        </w:tc>
        <w:tc>
          <w:tcPr>
            <w:tcW w:w="363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已完成</w:t>
            </w:r>
          </w:p>
        </w:tc>
        <w:tc>
          <w:tcPr>
            <w:tcW w:w="19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1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3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1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3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9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产出指标（50）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发放人数</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638</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638</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有效处置上报案事件</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r>
              <w:rPr>
                <w:rFonts w:hint="eastAsia" w:ascii="Times New Roman" w:hAnsi="Times New Roman" w:eastAsia="宋体" w:cs="Times New Roman"/>
                <w:i w:val="0"/>
                <w:color w:val="000000"/>
                <w:kern w:val="0"/>
                <w:sz w:val="16"/>
                <w:szCs w:val="16"/>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r>
              <w:rPr>
                <w:rFonts w:hint="eastAsia" w:ascii="Times New Roman" w:hAnsi="Times New Roman" w:eastAsia="宋体" w:cs="Times New Roman"/>
                <w:i w:val="0"/>
                <w:color w:val="000000"/>
                <w:kern w:val="0"/>
                <w:sz w:val="16"/>
                <w:szCs w:val="16"/>
                <w:u w:val="none"/>
                <w:lang w:val="en-US" w:eastAsia="zh-CN" w:bidi="ar"/>
              </w:rPr>
              <w:t>%</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及时上报处置案事件</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及时</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及时</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6"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实际成本与预算成本的节约情况</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不超出预算安排</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不超出预算安排</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lang w:val="en-US" w:eastAsia="zh-CN"/>
              </w:rPr>
            </w:pPr>
            <w:r>
              <w:rPr>
                <w:rFonts w:hint="default"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预防和治理违法犯罪，化解不安定因素，有效维护全区社会治安持续稳定。</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基本稳定</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基本稳定</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得到人民群众的充分认可</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基本认可</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基本认可</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提升人民群众安全感</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群众安全感得到提升</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群众安全感得到提升</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4"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服务对象满意的人数占总人数的比例</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≥90</w:t>
            </w:r>
            <w:r>
              <w:rPr>
                <w:rFonts w:hint="eastAsia" w:ascii="Times New Roman" w:hAnsi="Times New Roman" w:eastAsia="宋体" w:cs="Times New Roman"/>
                <w:i w:val="0"/>
                <w:color w:val="000000"/>
                <w:kern w:val="0"/>
                <w:sz w:val="16"/>
                <w:szCs w:val="16"/>
                <w:u w:val="none"/>
                <w:lang w:val="en-US" w:eastAsia="zh-CN" w:bidi="ar"/>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≥90</w:t>
            </w:r>
            <w:r>
              <w:rPr>
                <w:rFonts w:hint="eastAsia" w:ascii="Times New Roman" w:hAnsi="Times New Roman" w:eastAsia="宋体" w:cs="Times New Roman"/>
                <w:i w:val="0"/>
                <w:color w:val="000000"/>
                <w:kern w:val="0"/>
                <w:sz w:val="16"/>
                <w:szCs w:val="16"/>
                <w:u w:val="none"/>
                <w:lang w:val="en-US" w:eastAsia="zh-CN" w:bidi="ar"/>
              </w:rPr>
              <w:t>%</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sz w:val="16"/>
                <w:szCs w:val="16"/>
                <w:u w:val="none"/>
                <w:lang w:val="en-US" w:eastAsia="zh-CN"/>
              </w:rPr>
              <w:t>预算执行率达到100%</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100%</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1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83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总分</w:t>
            </w:r>
          </w:p>
        </w:tc>
        <w:tc>
          <w:tcPr>
            <w:tcW w:w="1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0" w:hRule="atLeast"/>
          <w:jc w:val="center"/>
        </w:trPr>
        <w:tc>
          <w:tcPr>
            <w:tcW w:w="11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879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2250" w:type="dxa"/>
            <w:gridSpan w:val="2"/>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填报人：张翠霞</w:t>
            </w: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22"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1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0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联系电话：</w:t>
            </w:r>
          </w:p>
        </w:tc>
        <w:tc>
          <w:tcPr>
            <w:tcW w:w="1958"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8189824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vMerge w:val="restart"/>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评价总分设置为100分，得分与等级对应关系为：90分及以上为优、80（含）-89分为良、60（含）-79分为中、60分以下为差。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9975" w:type="dxa"/>
            <w:gridSpan w:val="8"/>
            <w:vMerge w:val="continue"/>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bl>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default" w:ascii="Times New Roman" w:hAnsi="Times New Roman" w:eastAsia="仿宋_GB2312" w:cs="Times New Roman"/>
          <w:b/>
          <w:bCs/>
          <w:sz w:val="32"/>
          <w:szCs w:val="32"/>
        </w:rPr>
      </w:pP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仿宋_GB2312" w:hAnsi="Times New Roman" w:eastAsia="仿宋_GB2312" w:cs="DengXian-Regular"/>
          <w:sz w:val="32"/>
          <w:szCs w:val="32"/>
        </w:rPr>
        <w:t>国有资本经营预算财政拨款</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政府性基金预算财政拨款无收支及结转结余情况，故国有资本经营预算财政拨款</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政府性基金预算财政拨款表以空表列示</w:t>
      </w:r>
      <w:r>
        <w:rPr>
          <w:rFonts w:hint="default" w:ascii="Times New Roman" w:hAnsi="Times New Roman" w:eastAsia="仿宋_GB2312" w:cs="Times New Roman"/>
          <w:sz w:val="32"/>
          <w:szCs w:val="32"/>
        </w:rPr>
        <w:t>。</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bCs/>
          <w:sz w:val="32"/>
          <w:szCs w:val="32"/>
          <w:highlight w:val="yellow"/>
        </w:rPr>
      </w:pPr>
      <w:r>
        <w:rPr>
          <w:rFonts w:hint="default" w:ascii="Times New Roman" w:hAnsi="Times New Roman" w:eastAsia="仿宋_GB2312" w:cs="Times New Roman"/>
          <w:sz w:val="32"/>
          <w:szCs w:val="32"/>
          <w:highlight w:val="yellow"/>
        </w:rPr>
        <w:t>(各部门应根据本部门实际情况,对公开的本部门决算信息中相关专业性较强的名词进行必要解释和说明，包含但不限于以下名词解释。)</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C08A2F3-C39B-4769-AE3E-829C019E4B26}"/>
  </w:font>
  <w:font w:name="黑体">
    <w:panose1 w:val="02010609060101010101"/>
    <w:charset w:val="86"/>
    <w:family w:val="auto"/>
    <w:pitch w:val="default"/>
    <w:sig w:usb0="800002BF" w:usb1="38CF7CFA" w:usb2="00000016" w:usb3="00000000" w:csb0="00040001" w:csb1="00000000"/>
    <w:embedRegular r:id="rId2" w:fontKey="{D3C3431E-BAEF-4989-BE83-8464AA6A49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F4D66F83-83BE-491D-A27D-9C016917CB1E}"/>
  </w:font>
  <w:font w:name="仿宋">
    <w:panose1 w:val="02010609060101010101"/>
    <w:charset w:val="86"/>
    <w:family w:val="modern"/>
    <w:pitch w:val="default"/>
    <w:sig w:usb0="800002BF" w:usb1="38CF7CFA" w:usb2="00000016" w:usb3="00000000" w:csb0="00040001" w:csb1="00000000"/>
    <w:embedRegular r:id="rId4" w:fontKey="{80454506-5794-4BB9-8C80-37B80784A644}"/>
  </w:font>
  <w:font w:name="Calibri Light">
    <w:panose1 w:val="020F0302020204030204"/>
    <w:charset w:val="00"/>
    <w:family w:val="auto"/>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FC8DBB01-1182-45FA-A394-05E506D7CCE4}"/>
  </w:font>
  <w:font w:name="思源黑体 CN Heavy">
    <w:altName w:val="黑体"/>
    <w:panose1 w:val="00000000000000000000"/>
    <w:charset w:val="86"/>
    <w:family w:val="swiss"/>
    <w:pitch w:val="default"/>
    <w:sig w:usb0="00000000" w:usb1="00000000" w:usb2="00000016" w:usb3="00000000" w:csb0="00060107" w:csb1="00000000"/>
    <w:embedRegular r:id="rId6" w:fontKey="{2A8ED753-68EB-4FE0-92B3-3471FB1C426F}"/>
  </w:font>
  <w:font w:name="楷体_GB2312">
    <w:altName w:val="楷体"/>
    <w:panose1 w:val="02010609030101010101"/>
    <w:charset w:val="86"/>
    <w:family w:val="auto"/>
    <w:pitch w:val="default"/>
    <w:sig w:usb0="00000000" w:usb1="00000000" w:usb2="00000000" w:usb3="00000000" w:csb0="00040000" w:csb1="00000000"/>
    <w:embedRegular r:id="rId7" w:fontKey="{B8945F86-B2D5-4093-8331-89AC5D67FE51}"/>
  </w:font>
  <w:font w:name="仿宋_GB2312">
    <w:altName w:val="仿宋"/>
    <w:panose1 w:val="02010609030101010101"/>
    <w:charset w:val="86"/>
    <w:family w:val="auto"/>
    <w:pitch w:val="default"/>
    <w:sig w:usb0="00000000" w:usb1="00000000" w:usb2="00000000" w:usb3="00000000" w:csb0="00040000" w:csb1="00000000"/>
    <w:embedRegular r:id="rId8" w:fontKey="{444D9D59-21AE-4CB4-8999-CC2105758CAE}"/>
  </w:font>
  <w:font w:name="方正仿宋_GB2312">
    <w:panose1 w:val="02000000000000000000"/>
    <w:charset w:val="86"/>
    <w:family w:val="auto"/>
    <w:pitch w:val="default"/>
    <w:sig w:usb0="00000000" w:usb1="00000000" w:usb2="00000000" w:usb3="00000000" w:csb0="00000000" w:csb1="00000000"/>
    <w:embedRegular r:id="rId9" w:fontKey="{1BF04F63-DC48-4AA7-818E-D0AF76C7B377}"/>
  </w:font>
  <w:font w:name="DengXian-Regular">
    <w:altName w:val="宋体"/>
    <w:panose1 w:val="00000000000000000000"/>
    <w:charset w:val="86"/>
    <w:family w:val="auto"/>
    <w:pitch w:val="default"/>
    <w:sig w:usb0="00000000" w:usb1="00000000" w:usb2="00000010" w:usb3="00000000" w:csb0="00040001" w:csb1="00000000"/>
    <w:embedRegular r:id="rId10" w:fontKey="{2278AAEC-E6C6-40B2-ABE1-3D3C55CCF1E2}"/>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UsImhkaWQiOiIzMWE1MzMwMDNjMmJhYTE1ZmE0MmVkZDFmNDA1ZThhMiIsInVzZXJDb3VudCI6M30="/>
  </w:docVars>
  <w:rsids>
    <w:rsidRoot w:val="00000000"/>
    <w:rsid w:val="00086151"/>
    <w:rsid w:val="00236F8C"/>
    <w:rsid w:val="00822154"/>
    <w:rsid w:val="00832EFD"/>
    <w:rsid w:val="00C65689"/>
    <w:rsid w:val="00CC2C8E"/>
    <w:rsid w:val="01A03C5A"/>
    <w:rsid w:val="01A5267D"/>
    <w:rsid w:val="01AF6A8D"/>
    <w:rsid w:val="024808A2"/>
    <w:rsid w:val="025C3821"/>
    <w:rsid w:val="02DA3B1B"/>
    <w:rsid w:val="02E57B4D"/>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8C71742"/>
    <w:rsid w:val="09012C64"/>
    <w:rsid w:val="093B2E99"/>
    <w:rsid w:val="095D7943"/>
    <w:rsid w:val="09C006C6"/>
    <w:rsid w:val="0A10621F"/>
    <w:rsid w:val="0A464C4F"/>
    <w:rsid w:val="0A6729A3"/>
    <w:rsid w:val="0A694877"/>
    <w:rsid w:val="0AA954BE"/>
    <w:rsid w:val="0AE70639"/>
    <w:rsid w:val="0B275A0B"/>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473594"/>
    <w:rsid w:val="136A5C00"/>
    <w:rsid w:val="13B97B08"/>
    <w:rsid w:val="13C527AC"/>
    <w:rsid w:val="143B3D55"/>
    <w:rsid w:val="146A6A37"/>
    <w:rsid w:val="14711797"/>
    <w:rsid w:val="147B6F17"/>
    <w:rsid w:val="14D42061"/>
    <w:rsid w:val="15081C8B"/>
    <w:rsid w:val="15090D5C"/>
    <w:rsid w:val="15CF053D"/>
    <w:rsid w:val="15E0131A"/>
    <w:rsid w:val="16457D9F"/>
    <w:rsid w:val="16EC32F3"/>
    <w:rsid w:val="17223EFF"/>
    <w:rsid w:val="17AA5F28"/>
    <w:rsid w:val="17AE373B"/>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36553"/>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1F56947"/>
    <w:rsid w:val="220451AB"/>
    <w:rsid w:val="2237486E"/>
    <w:rsid w:val="223D1378"/>
    <w:rsid w:val="22451BC7"/>
    <w:rsid w:val="22604C4E"/>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A610C9"/>
    <w:rsid w:val="26D50E55"/>
    <w:rsid w:val="271A539C"/>
    <w:rsid w:val="274972D4"/>
    <w:rsid w:val="27AA3D97"/>
    <w:rsid w:val="280A3758"/>
    <w:rsid w:val="289057C5"/>
    <w:rsid w:val="28A67C7A"/>
    <w:rsid w:val="28EA3248"/>
    <w:rsid w:val="28F879DA"/>
    <w:rsid w:val="29243E45"/>
    <w:rsid w:val="294B7731"/>
    <w:rsid w:val="29D21FF2"/>
    <w:rsid w:val="2A611B0F"/>
    <w:rsid w:val="2AC1762B"/>
    <w:rsid w:val="2AE845D0"/>
    <w:rsid w:val="2B2F098E"/>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4665F4"/>
    <w:rsid w:val="2F9F3DC1"/>
    <w:rsid w:val="2FFC7AC2"/>
    <w:rsid w:val="301430AF"/>
    <w:rsid w:val="30630612"/>
    <w:rsid w:val="308E59B0"/>
    <w:rsid w:val="30B10568"/>
    <w:rsid w:val="30E55DD3"/>
    <w:rsid w:val="30E60399"/>
    <w:rsid w:val="31255A44"/>
    <w:rsid w:val="31356AA5"/>
    <w:rsid w:val="313E22F0"/>
    <w:rsid w:val="31AB4069"/>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7F5472A"/>
    <w:rsid w:val="38222D85"/>
    <w:rsid w:val="38803721"/>
    <w:rsid w:val="38925A62"/>
    <w:rsid w:val="389F5F4F"/>
    <w:rsid w:val="38C36BA2"/>
    <w:rsid w:val="38F6595C"/>
    <w:rsid w:val="391702A7"/>
    <w:rsid w:val="39286EB6"/>
    <w:rsid w:val="39601DF4"/>
    <w:rsid w:val="396960F3"/>
    <w:rsid w:val="39840D35"/>
    <w:rsid w:val="39A97DAF"/>
    <w:rsid w:val="39CD1330"/>
    <w:rsid w:val="39DD1AFF"/>
    <w:rsid w:val="3A0D6402"/>
    <w:rsid w:val="3A2510B9"/>
    <w:rsid w:val="3A2B1DFC"/>
    <w:rsid w:val="3AA6422C"/>
    <w:rsid w:val="3AAF46D5"/>
    <w:rsid w:val="3B135A0E"/>
    <w:rsid w:val="3B272BBC"/>
    <w:rsid w:val="3B374FEE"/>
    <w:rsid w:val="3B4410EE"/>
    <w:rsid w:val="3B56159C"/>
    <w:rsid w:val="3B596DF7"/>
    <w:rsid w:val="3B7D732B"/>
    <w:rsid w:val="3BD30423"/>
    <w:rsid w:val="3C6C0B58"/>
    <w:rsid w:val="3CBE41D5"/>
    <w:rsid w:val="3D446B0E"/>
    <w:rsid w:val="3D953A6B"/>
    <w:rsid w:val="3DBB5979"/>
    <w:rsid w:val="3DCD35E2"/>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692CD0"/>
    <w:rsid w:val="48AE3D01"/>
    <w:rsid w:val="49067B2F"/>
    <w:rsid w:val="49677E31"/>
    <w:rsid w:val="496C2225"/>
    <w:rsid w:val="49A0754F"/>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2A7039"/>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B95C3C"/>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9217C2"/>
    <w:rsid w:val="5DAD06BF"/>
    <w:rsid w:val="5DE23CB3"/>
    <w:rsid w:val="5DE97EEC"/>
    <w:rsid w:val="5DFA5EB0"/>
    <w:rsid w:val="5E000E4D"/>
    <w:rsid w:val="5E0B583E"/>
    <w:rsid w:val="5E201A7B"/>
    <w:rsid w:val="5EBD0484"/>
    <w:rsid w:val="5F2C5C7C"/>
    <w:rsid w:val="5F36141C"/>
    <w:rsid w:val="5FC5273F"/>
    <w:rsid w:val="604F6C39"/>
    <w:rsid w:val="60806DF2"/>
    <w:rsid w:val="61072DA5"/>
    <w:rsid w:val="611C0817"/>
    <w:rsid w:val="61224A52"/>
    <w:rsid w:val="61520CCB"/>
    <w:rsid w:val="61851A29"/>
    <w:rsid w:val="620C7EAE"/>
    <w:rsid w:val="622721C0"/>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1326C6"/>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666FD4"/>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sv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9984</Words>
  <Characters>22870</Characters>
  <Lines>86</Lines>
  <Paragraphs>24</Paragraphs>
  <TotalTime>8</TotalTime>
  <ScaleCrop>false</ScaleCrop>
  <LinksUpToDate>false</LinksUpToDate>
  <CharactersWithSpaces>23500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2024-08-28T01:11:06Z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