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992.50</w:t>
            </w:r>
          </w:p>
        </w:tc>
        <w:tc>
          <w:tcPr>
            <w:tcW w:w="4535" w:type="dxa"/>
            <w:vAlign w:val="center"/>
          </w:tcPr>
          <w:p>
            <w:pPr>
              <w:pStyle w:val="15"/>
            </w:pPr>
            <w:r>
              <w:t>一、一般公共服务支出</w:t>
            </w:r>
          </w:p>
        </w:tc>
        <w:tc>
          <w:tcPr>
            <w:tcW w:w="2126" w:type="dxa"/>
            <w:vAlign w:val="center"/>
          </w:tcPr>
          <w:p>
            <w:pPr>
              <w:pStyle w:val="14"/>
            </w:pPr>
            <w:r>
              <w:t>755.59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992.50</w:t>
            </w:r>
          </w:p>
        </w:tc>
        <w:tc>
          <w:tcPr>
            <w:tcW w:w="4535" w:type="dxa"/>
            <w:vAlign w:val="center"/>
          </w:tcPr>
          <w:p>
            <w:pPr>
              <w:pStyle w:val="17"/>
            </w:pPr>
            <w:r>
              <w:t>本年支出合计</w:t>
            </w:r>
          </w:p>
        </w:tc>
        <w:tc>
          <w:tcPr>
            <w:tcW w:w="2126" w:type="dxa"/>
            <w:vAlign w:val="center"/>
          </w:tcPr>
          <w:p>
            <w:pPr>
              <w:pStyle w:val="18"/>
            </w:pPr>
            <w:r>
              <w:t>992.50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992.50</w:t>
            </w:r>
          </w:p>
        </w:tc>
        <w:tc>
          <w:tcPr>
            <w:tcW w:w="4535" w:type="dxa"/>
            <w:vAlign w:val="center"/>
          </w:tcPr>
          <w:p>
            <w:pPr>
              <w:pStyle w:val="17"/>
            </w:pPr>
            <w:r>
              <w:t>支出总计</w:t>
            </w:r>
          </w:p>
        </w:tc>
        <w:tc>
          <w:tcPr>
            <w:tcW w:w="2126" w:type="dxa"/>
            <w:vAlign w:val="center"/>
          </w:tcPr>
          <w:p>
            <w:pPr>
              <w:pStyle w:val="18"/>
            </w:pPr>
            <w:r>
              <w:t>992.50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992.50</w:t>
            </w:r>
          </w:p>
        </w:tc>
        <w:tc>
          <w:tcPr>
            <w:tcW w:w="1134" w:type="dxa"/>
            <w:vAlign w:val="center"/>
          </w:tcPr>
          <w:p>
            <w:pPr>
              <w:pStyle w:val="18"/>
            </w:pPr>
            <w:r>
              <w:t>992.50</w:t>
            </w:r>
          </w:p>
        </w:tc>
        <w:tc>
          <w:tcPr>
            <w:tcW w:w="1134" w:type="dxa"/>
            <w:vAlign w:val="center"/>
          </w:tcPr>
          <w:p>
            <w:pPr>
              <w:pStyle w:val="18"/>
            </w:pPr>
            <w:r>
              <w:t>992.50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755.59</w:t>
            </w:r>
          </w:p>
        </w:tc>
        <w:tc>
          <w:tcPr>
            <w:tcW w:w="1134" w:type="dxa"/>
            <w:vAlign w:val="center"/>
          </w:tcPr>
          <w:p>
            <w:pPr>
              <w:pStyle w:val="14"/>
            </w:pPr>
            <w:r>
              <w:t>755.59</w:t>
            </w:r>
          </w:p>
        </w:tc>
        <w:tc>
          <w:tcPr>
            <w:tcW w:w="1134" w:type="dxa"/>
            <w:vAlign w:val="center"/>
          </w:tcPr>
          <w:p>
            <w:pPr>
              <w:pStyle w:val="14"/>
            </w:pPr>
            <w:r>
              <w:t>755.59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755.59</w:t>
            </w:r>
          </w:p>
        </w:tc>
        <w:tc>
          <w:tcPr>
            <w:tcW w:w="1134" w:type="dxa"/>
            <w:vAlign w:val="center"/>
          </w:tcPr>
          <w:p>
            <w:pPr>
              <w:pStyle w:val="14"/>
            </w:pPr>
            <w:r>
              <w:t>755.59</w:t>
            </w:r>
          </w:p>
        </w:tc>
        <w:tc>
          <w:tcPr>
            <w:tcW w:w="1134" w:type="dxa"/>
            <w:vAlign w:val="center"/>
          </w:tcPr>
          <w:p>
            <w:pPr>
              <w:pStyle w:val="14"/>
            </w:pPr>
            <w:r>
              <w:t>755.59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2010101</w:t>
            </w:r>
          </w:p>
        </w:tc>
        <w:tc>
          <w:tcPr>
            <w:tcW w:w="1559" w:type="dxa"/>
            <w:vAlign w:val="center"/>
          </w:tcPr>
          <w:p>
            <w:pPr>
              <w:pStyle w:val="15"/>
            </w:pPr>
            <w:r>
              <w:t>行政运行</w:t>
            </w:r>
          </w:p>
        </w:tc>
        <w:tc>
          <w:tcPr>
            <w:tcW w:w="1134" w:type="dxa"/>
            <w:vAlign w:val="center"/>
          </w:tcPr>
          <w:p>
            <w:pPr>
              <w:pStyle w:val="14"/>
            </w:pPr>
            <w:r>
              <w:t>550.93</w:t>
            </w:r>
          </w:p>
        </w:tc>
        <w:tc>
          <w:tcPr>
            <w:tcW w:w="1134" w:type="dxa"/>
            <w:vAlign w:val="center"/>
          </w:tcPr>
          <w:p>
            <w:pPr>
              <w:pStyle w:val="14"/>
            </w:pPr>
            <w:r>
              <w:t>550.93</w:t>
            </w:r>
          </w:p>
        </w:tc>
        <w:tc>
          <w:tcPr>
            <w:tcW w:w="1134" w:type="dxa"/>
            <w:vAlign w:val="center"/>
          </w:tcPr>
          <w:p>
            <w:pPr>
              <w:pStyle w:val="14"/>
            </w:pPr>
            <w:r>
              <w:t>550.93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2010102</w:t>
            </w:r>
          </w:p>
        </w:tc>
        <w:tc>
          <w:tcPr>
            <w:tcW w:w="1559" w:type="dxa"/>
            <w:vAlign w:val="center"/>
          </w:tcPr>
          <w:p>
            <w:pPr>
              <w:pStyle w:val="15"/>
            </w:pPr>
            <w:r>
              <w:t>一般行政管理事务</w:t>
            </w:r>
          </w:p>
        </w:tc>
        <w:tc>
          <w:tcPr>
            <w:tcW w:w="1134" w:type="dxa"/>
            <w:vAlign w:val="center"/>
          </w:tcPr>
          <w:p>
            <w:pPr>
              <w:pStyle w:val="14"/>
            </w:pPr>
            <w:r>
              <w:t>119.66</w:t>
            </w:r>
          </w:p>
        </w:tc>
        <w:tc>
          <w:tcPr>
            <w:tcW w:w="1134" w:type="dxa"/>
            <w:vAlign w:val="center"/>
          </w:tcPr>
          <w:p>
            <w:pPr>
              <w:pStyle w:val="14"/>
            </w:pPr>
            <w:r>
              <w:t>119.66</w:t>
            </w:r>
          </w:p>
        </w:tc>
        <w:tc>
          <w:tcPr>
            <w:tcW w:w="1134" w:type="dxa"/>
            <w:vAlign w:val="center"/>
          </w:tcPr>
          <w:p>
            <w:pPr>
              <w:pStyle w:val="14"/>
            </w:pPr>
            <w:r>
              <w:t>119.66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2010104</w:t>
            </w:r>
          </w:p>
        </w:tc>
        <w:tc>
          <w:tcPr>
            <w:tcW w:w="1559" w:type="dxa"/>
            <w:vAlign w:val="center"/>
          </w:tcPr>
          <w:p>
            <w:pPr>
              <w:pStyle w:val="15"/>
            </w:pPr>
            <w:r>
              <w:t>人大会议</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2010106</w:t>
            </w:r>
          </w:p>
        </w:tc>
        <w:tc>
          <w:tcPr>
            <w:tcW w:w="1559" w:type="dxa"/>
            <w:vAlign w:val="center"/>
          </w:tcPr>
          <w:p>
            <w:pPr>
              <w:pStyle w:val="15"/>
            </w:pPr>
            <w:r>
              <w:t>人大监督</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136.31</w:t>
            </w:r>
          </w:p>
        </w:tc>
        <w:tc>
          <w:tcPr>
            <w:tcW w:w="1134" w:type="dxa"/>
            <w:vAlign w:val="center"/>
          </w:tcPr>
          <w:p>
            <w:pPr>
              <w:pStyle w:val="14"/>
            </w:pPr>
            <w:r>
              <w:t>136.31</w:t>
            </w:r>
          </w:p>
        </w:tc>
        <w:tc>
          <w:tcPr>
            <w:tcW w:w="1134" w:type="dxa"/>
            <w:vAlign w:val="center"/>
          </w:tcPr>
          <w:p>
            <w:pPr>
              <w:pStyle w:val="14"/>
            </w:pPr>
            <w:r>
              <w:t>136.31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134.77</w:t>
            </w:r>
          </w:p>
        </w:tc>
        <w:tc>
          <w:tcPr>
            <w:tcW w:w="1134" w:type="dxa"/>
            <w:vAlign w:val="center"/>
          </w:tcPr>
          <w:p>
            <w:pPr>
              <w:pStyle w:val="14"/>
            </w:pPr>
            <w:r>
              <w:t>134.77</w:t>
            </w:r>
          </w:p>
        </w:tc>
        <w:tc>
          <w:tcPr>
            <w:tcW w:w="1134" w:type="dxa"/>
            <w:vAlign w:val="center"/>
          </w:tcPr>
          <w:p>
            <w:pPr>
              <w:pStyle w:val="14"/>
            </w:pPr>
            <w:r>
              <w:t>134.77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84.33</w:t>
            </w:r>
          </w:p>
        </w:tc>
        <w:tc>
          <w:tcPr>
            <w:tcW w:w="1134" w:type="dxa"/>
            <w:vAlign w:val="center"/>
          </w:tcPr>
          <w:p>
            <w:pPr>
              <w:pStyle w:val="14"/>
            </w:pPr>
            <w:r>
              <w:t>84.33</w:t>
            </w:r>
          </w:p>
        </w:tc>
        <w:tc>
          <w:tcPr>
            <w:tcW w:w="1134" w:type="dxa"/>
            <w:vAlign w:val="center"/>
          </w:tcPr>
          <w:p>
            <w:pPr>
              <w:pStyle w:val="14"/>
            </w:pPr>
            <w:r>
              <w:t>84.33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50.44</w:t>
            </w:r>
          </w:p>
        </w:tc>
        <w:tc>
          <w:tcPr>
            <w:tcW w:w="1134" w:type="dxa"/>
            <w:vAlign w:val="center"/>
          </w:tcPr>
          <w:p>
            <w:pPr>
              <w:pStyle w:val="14"/>
            </w:pPr>
            <w:r>
              <w:t>50.44</w:t>
            </w:r>
          </w:p>
        </w:tc>
        <w:tc>
          <w:tcPr>
            <w:tcW w:w="1134" w:type="dxa"/>
            <w:vAlign w:val="center"/>
          </w:tcPr>
          <w:p>
            <w:pPr>
              <w:pStyle w:val="14"/>
            </w:pPr>
            <w:r>
              <w:t>50.44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20807</w:t>
            </w:r>
          </w:p>
        </w:tc>
        <w:tc>
          <w:tcPr>
            <w:tcW w:w="1559" w:type="dxa"/>
            <w:vAlign w:val="center"/>
          </w:tcPr>
          <w:p>
            <w:pPr>
              <w:pStyle w:val="15"/>
            </w:pPr>
            <w:r>
              <w:t>就业补助</w:t>
            </w:r>
          </w:p>
        </w:tc>
        <w:tc>
          <w:tcPr>
            <w:tcW w:w="1134" w:type="dxa"/>
            <w:vAlign w:val="center"/>
          </w:tcPr>
          <w:p>
            <w:pPr>
              <w:pStyle w:val="14"/>
            </w:pPr>
            <w:r>
              <w:t>1.54</w:t>
            </w:r>
          </w:p>
        </w:tc>
        <w:tc>
          <w:tcPr>
            <w:tcW w:w="1134" w:type="dxa"/>
            <w:vAlign w:val="center"/>
          </w:tcPr>
          <w:p>
            <w:pPr>
              <w:pStyle w:val="14"/>
            </w:pPr>
            <w:r>
              <w:t>1.54</w:t>
            </w:r>
          </w:p>
        </w:tc>
        <w:tc>
          <w:tcPr>
            <w:tcW w:w="1134" w:type="dxa"/>
            <w:vAlign w:val="center"/>
          </w:tcPr>
          <w:p>
            <w:pPr>
              <w:pStyle w:val="14"/>
            </w:pPr>
            <w:r>
              <w:t>1.54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2080711</w:t>
            </w:r>
          </w:p>
        </w:tc>
        <w:tc>
          <w:tcPr>
            <w:tcW w:w="1559" w:type="dxa"/>
            <w:vAlign w:val="center"/>
          </w:tcPr>
          <w:p>
            <w:pPr>
              <w:pStyle w:val="15"/>
            </w:pPr>
            <w:r>
              <w:t>就业见习补贴</w:t>
            </w:r>
          </w:p>
        </w:tc>
        <w:tc>
          <w:tcPr>
            <w:tcW w:w="1134" w:type="dxa"/>
            <w:vAlign w:val="center"/>
          </w:tcPr>
          <w:p>
            <w:pPr>
              <w:pStyle w:val="14"/>
            </w:pPr>
            <w:r>
              <w:t>1.54</w:t>
            </w:r>
          </w:p>
        </w:tc>
        <w:tc>
          <w:tcPr>
            <w:tcW w:w="1134" w:type="dxa"/>
            <w:vAlign w:val="center"/>
          </w:tcPr>
          <w:p>
            <w:pPr>
              <w:pStyle w:val="14"/>
            </w:pPr>
            <w:r>
              <w:t>1.54</w:t>
            </w:r>
          </w:p>
        </w:tc>
        <w:tc>
          <w:tcPr>
            <w:tcW w:w="1134" w:type="dxa"/>
            <w:vAlign w:val="center"/>
          </w:tcPr>
          <w:p>
            <w:pPr>
              <w:pStyle w:val="14"/>
            </w:pPr>
            <w:r>
              <w:t>1.54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56.28</w:t>
            </w:r>
          </w:p>
        </w:tc>
        <w:tc>
          <w:tcPr>
            <w:tcW w:w="1134" w:type="dxa"/>
            <w:vAlign w:val="center"/>
          </w:tcPr>
          <w:p>
            <w:pPr>
              <w:pStyle w:val="14"/>
            </w:pPr>
            <w:r>
              <w:t>56.28</w:t>
            </w:r>
          </w:p>
        </w:tc>
        <w:tc>
          <w:tcPr>
            <w:tcW w:w="1134" w:type="dxa"/>
            <w:vAlign w:val="center"/>
          </w:tcPr>
          <w:p>
            <w:pPr>
              <w:pStyle w:val="14"/>
            </w:pPr>
            <w:r>
              <w:t>56.28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56.28</w:t>
            </w:r>
          </w:p>
        </w:tc>
        <w:tc>
          <w:tcPr>
            <w:tcW w:w="1134" w:type="dxa"/>
            <w:vAlign w:val="center"/>
          </w:tcPr>
          <w:p>
            <w:pPr>
              <w:pStyle w:val="14"/>
            </w:pPr>
            <w:r>
              <w:t>56.28</w:t>
            </w:r>
          </w:p>
        </w:tc>
        <w:tc>
          <w:tcPr>
            <w:tcW w:w="1134" w:type="dxa"/>
            <w:vAlign w:val="center"/>
          </w:tcPr>
          <w:p>
            <w:pPr>
              <w:pStyle w:val="14"/>
            </w:pPr>
            <w:r>
              <w:t>56.28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19.05</w:t>
            </w:r>
          </w:p>
        </w:tc>
        <w:tc>
          <w:tcPr>
            <w:tcW w:w="1134" w:type="dxa"/>
            <w:vAlign w:val="center"/>
          </w:tcPr>
          <w:p>
            <w:pPr>
              <w:pStyle w:val="14"/>
            </w:pPr>
            <w:r>
              <w:t>19.05</w:t>
            </w:r>
          </w:p>
        </w:tc>
        <w:tc>
          <w:tcPr>
            <w:tcW w:w="1134" w:type="dxa"/>
            <w:vAlign w:val="center"/>
          </w:tcPr>
          <w:p>
            <w:pPr>
              <w:pStyle w:val="14"/>
            </w:pPr>
            <w:r>
              <w:t>19.05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37.23</w:t>
            </w:r>
          </w:p>
        </w:tc>
        <w:tc>
          <w:tcPr>
            <w:tcW w:w="1134" w:type="dxa"/>
            <w:vAlign w:val="center"/>
          </w:tcPr>
          <w:p>
            <w:pPr>
              <w:pStyle w:val="14"/>
            </w:pPr>
            <w:r>
              <w:t>37.23</w:t>
            </w:r>
          </w:p>
        </w:tc>
        <w:tc>
          <w:tcPr>
            <w:tcW w:w="1134" w:type="dxa"/>
            <w:vAlign w:val="center"/>
          </w:tcPr>
          <w:p>
            <w:pPr>
              <w:pStyle w:val="14"/>
            </w:pPr>
            <w:r>
              <w:t>37.23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44.32</w:t>
            </w:r>
          </w:p>
        </w:tc>
        <w:tc>
          <w:tcPr>
            <w:tcW w:w="1134" w:type="dxa"/>
            <w:vAlign w:val="center"/>
          </w:tcPr>
          <w:p>
            <w:pPr>
              <w:pStyle w:val="14"/>
            </w:pPr>
            <w:r>
              <w:t>44.32</w:t>
            </w:r>
          </w:p>
        </w:tc>
        <w:tc>
          <w:tcPr>
            <w:tcW w:w="1134" w:type="dxa"/>
            <w:vAlign w:val="center"/>
          </w:tcPr>
          <w:p>
            <w:pPr>
              <w:pStyle w:val="14"/>
            </w:pPr>
            <w:r>
              <w:t>44.32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44.32</w:t>
            </w:r>
          </w:p>
        </w:tc>
        <w:tc>
          <w:tcPr>
            <w:tcW w:w="1134" w:type="dxa"/>
            <w:vAlign w:val="center"/>
          </w:tcPr>
          <w:p>
            <w:pPr>
              <w:pStyle w:val="14"/>
            </w:pPr>
            <w:r>
              <w:t>44.32</w:t>
            </w:r>
          </w:p>
        </w:tc>
        <w:tc>
          <w:tcPr>
            <w:tcW w:w="1134" w:type="dxa"/>
            <w:vAlign w:val="center"/>
          </w:tcPr>
          <w:p>
            <w:pPr>
              <w:pStyle w:val="14"/>
            </w:pPr>
            <w:r>
              <w:t>44.32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44.32</w:t>
            </w:r>
          </w:p>
        </w:tc>
        <w:tc>
          <w:tcPr>
            <w:tcW w:w="1134" w:type="dxa"/>
            <w:vAlign w:val="center"/>
          </w:tcPr>
          <w:p>
            <w:pPr>
              <w:pStyle w:val="14"/>
            </w:pPr>
            <w:r>
              <w:t>44.32</w:t>
            </w:r>
          </w:p>
        </w:tc>
        <w:tc>
          <w:tcPr>
            <w:tcW w:w="1134" w:type="dxa"/>
            <w:vAlign w:val="center"/>
          </w:tcPr>
          <w:p>
            <w:pPr>
              <w:pStyle w:val="14"/>
            </w:pPr>
            <w:r>
              <w:t>44.32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992.50</w:t>
            </w:r>
          </w:p>
        </w:tc>
        <w:tc>
          <w:tcPr>
            <w:tcW w:w="1361" w:type="dxa"/>
            <w:vAlign w:val="center"/>
          </w:tcPr>
          <w:p>
            <w:pPr>
              <w:pStyle w:val="18"/>
            </w:pPr>
            <w:r>
              <w:t>786.30</w:t>
            </w:r>
          </w:p>
        </w:tc>
        <w:tc>
          <w:tcPr>
            <w:tcW w:w="1361" w:type="dxa"/>
            <w:vAlign w:val="center"/>
          </w:tcPr>
          <w:p>
            <w:pPr>
              <w:pStyle w:val="18"/>
            </w:pPr>
            <w:r>
              <w:t>206.20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755.59</w:t>
            </w:r>
          </w:p>
        </w:tc>
        <w:tc>
          <w:tcPr>
            <w:tcW w:w="1361" w:type="dxa"/>
            <w:vAlign w:val="center"/>
          </w:tcPr>
          <w:p>
            <w:pPr>
              <w:pStyle w:val="14"/>
            </w:pPr>
            <w:r>
              <w:t>550.93</w:t>
            </w:r>
          </w:p>
        </w:tc>
        <w:tc>
          <w:tcPr>
            <w:tcW w:w="1361" w:type="dxa"/>
            <w:vAlign w:val="center"/>
          </w:tcPr>
          <w:p>
            <w:pPr>
              <w:pStyle w:val="14"/>
            </w:pPr>
            <w:r>
              <w:t>204.66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5" w:type="dxa"/>
            <w:vAlign w:val="center"/>
          </w:tcPr>
          <w:p>
            <w:pPr>
              <w:pStyle w:val="15"/>
            </w:pPr>
            <w:r>
              <w:t>人大事务</w:t>
            </w:r>
          </w:p>
        </w:tc>
        <w:tc>
          <w:tcPr>
            <w:tcW w:w="1361" w:type="dxa"/>
            <w:vAlign w:val="center"/>
          </w:tcPr>
          <w:p>
            <w:pPr>
              <w:pStyle w:val="14"/>
            </w:pPr>
            <w:r>
              <w:t>755.59</w:t>
            </w:r>
          </w:p>
        </w:tc>
        <w:tc>
          <w:tcPr>
            <w:tcW w:w="1361" w:type="dxa"/>
            <w:vAlign w:val="center"/>
          </w:tcPr>
          <w:p>
            <w:pPr>
              <w:pStyle w:val="14"/>
            </w:pPr>
            <w:r>
              <w:t>550.93</w:t>
            </w:r>
          </w:p>
        </w:tc>
        <w:tc>
          <w:tcPr>
            <w:tcW w:w="1361" w:type="dxa"/>
            <w:vAlign w:val="center"/>
          </w:tcPr>
          <w:p>
            <w:pPr>
              <w:pStyle w:val="14"/>
            </w:pPr>
            <w:r>
              <w:t>204.66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2010101</w:t>
            </w:r>
          </w:p>
        </w:tc>
        <w:tc>
          <w:tcPr>
            <w:tcW w:w="4535" w:type="dxa"/>
            <w:vAlign w:val="center"/>
          </w:tcPr>
          <w:p>
            <w:pPr>
              <w:pStyle w:val="15"/>
            </w:pPr>
            <w:r>
              <w:t>行政运行</w:t>
            </w:r>
          </w:p>
        </w:tc>
        <w:tc>
          <w:tcPr>
            <w:tcW w:w="1361" w:type="dxa"/>
            <w:vAlign w:val="center"/>
          </w:tcPr>
          <w:p>
            <w:pPr>
              <w:pStyle w:val="14"/>
            </w:pPr>
            <w:r>
              <w:t>550.93</w:t>
            </w:r>
          </w:p>
        </w:tc>
        <w:tc>
          <w:tcPr>
            <w:tcW w:w="1361" w:type="dxa"/>
            <w:vAlign w:val="center"/>
          </w:tcPr>
          <w:p>
            <w:pPr>
              <w:pStyle w:val="14"/>
            </w:pPr>
            <w:r>
              <w:t>550.93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2010102</w:t>
            </w:r>
          </w:p>
        </w:tc>
        <w:tc>
          <w:tcPr>
            <w:tcW w:w="4535" w:type="dxa"/>
            <w:vAlign w:val="center"/>
          </w:tcPr>
          <w:p>
            <w:pPr>
              <w:pStyle w:val="15"/>
            </w:pPr>
            <w:r>
              <w:t>一般行政管理事务</w:t>
            </w:r>
          </w:p>
        </w:tc>
        <w:tc>
          <w:tcPr>
            <w:tcW w:w="1361" w:type="dxa"/>
            <w:vAlign w:val="center"/>
          </w:tcPr>
          <w:p>
            <w:pPr>
              <w:pStyle w:val="14"/>
            </w:pPr>
            <w:r>
              <w:t>119.66</w:t>
            </w:r>
          </w:p>
        </w:tc>
        <w:tc>
          <w:tcPr>
            <w:tcW w:w="1361" w:type="dxa"/>
            <w:vAlign w:val="center"/>
          </w:tcPr>
          <w:p>
            <w:pPr>
              <w:pStyle w:val="14"/>
            </w:pPr>
          </w:p>
        </w:tc>
        <w:tc>
          <w:tcPr>
            <w:tcW w:w="1361" w:type="dxa"/>
            <w:vAlign w:val="center"/>
          </w:tcPr>
          <w:p>
            <w:pPr>
              <w:pStyle w:val="14"/>
            </w:pPr>
            <w:r>
              <w:t>119.66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2010104</w:t>
            </w:r>
          </w:p>
        </w:tc>
        <w:tc>
          <w:tcPr>
            <w:tcW w:w="4535" w:type="dxa"/>
            <w:vAlign w:val="center"/>
          </w:tcPr>
          <w:p>
            <w:pPr>
              <w:pStyle w:val="15"/>
            </w:pPr>
            <w:r>
              <w:t>人大会议</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2010106</w:t>
            </w:r>
          </w:p>
        </w:tc>
        <w:tc>
          <w:tcPr>
            <w:tcW w:w="4535" w:type="dxa"/>
            <w:vAlign w:val="center"/>
          </w:tcPr>
          <w:p>
            <w:pPr>
              <w:pStyle w:val="15"/>
            </w:pPr>
            <w:r>
              <w:t>人大监督</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136.31</w:t>
            </w:r>
          </w:p>
        </w:tc>
        <w:tc>
          <w:tcPr>
            <w:tcW w:w="1361" w:type="dxa"/>
            <w:vAlign w:val="center"/>
          </w:tcPr>
          <w:p>
            <w:pPr>
              <w:pStyle w:val="14"/>
            </w:pPr>
            <w:r>
              <w:t>134.77</w:t>
            </w:r>
          </w:p>
        </w:tc>
        <w:tc>
          <w:tcPr>
            <w:tcW w:w="1361" w:type="dxa"/>
            <w:vAlign w:val="center"/>
          </w:tcPr>
          <w:p>
            <w:pPr>
              <w:pStyle w:val="14"/>
            </w:pPr>
            <w:r>
              <w:t>1.54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134.77</w:t>
            </w:r>
          </w:p>
        </w:tc>
        <w:tc>
          <w:tcPr>
            <w:tcW w:w="1361" w:type="dxa"/>
            <w:vAlign w:val="center"/>
          </w:tcPr>
          <w:p>
            <w:pPr>
              <w:pStyle w:val="14"/>
            </w:pPr>
            <w:r>
              <w:t>134.77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84.33</w:t>
            </w:r>
          </w:p>
        </w:tc>
        <w:tc>
          <w:tcPr>
            <w:tcW w:w="1361" w:type="dxa"/>
            <w:vAlign w:val="center"/>
          </w:tcPr>
          <w:p>
            <w:pPr>
              <w:pStyle w:val="14"/>
            </w:pPr>
            <w:r>
              <w:t>84.33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50.44</w:t>
            </w:r>
          </w:p>
        </w:tc>
        <w:tc>
          <w:tcPr>
            <w:tcW w:w="1361" w:type="dxa"/>
            <w:vAlign w:val="center"/>
          </w:tcPr>
          <w:p>
            <w:pPr>
              <w:pStyle w:val="14"/>
            </w:pPr>
            <w:r>
              <w:t>50.44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20807</w:t>
            </w:r>
          </w:p>
        </w:tc>
        <w:tc>
          <w:tcPr>
            <w:tcW w:w="4535" w:type="dxa"/>
            <w:vAlign w:val="center"/>
          </w:tcPr>
          <w:p>
            <w:pPr>
              <w:pStyle w:val="15"/>
            </w:pPr>
            <w:r>
              <w:t>就业补助</w:t>
            </w:r>
          </w:p>
        </w:tc>
        <w:tc>
          <w:tcPr>
            <w:tcW w:w="1361" w:type="dxa"/>
            <w:vAlign w:val="center"/>
          </w:tcPr>
          <w:p>
            <w:pPr>
              <w:pStyle w:val="14"/>
            </w:pPr>
            <w:r>
              <w:t>1.54</w:t>
            </w:r>
          </w:p>
        </w:tc>
        <w:tc>
          <w:tcPr>
            <w:tcW w:w="1361" w:type="dxa"/>
            <w:vAlign w:val="center"/>
          </w:tcPr>
          <w:p>
            <w:pPr>
              <w:pStyle w:val="14"/>
            </w:pPr>
          </w:p>
        </w:tc>
        <w:tc>
          <w:tcPr>
            <w:tcW w:w="1361" w:type="dxa"/>
            <w:vAlign w:val="center"/>
          </w:tcPr>
          <w:p>
            <w:pPr>
              <w:pStyle w:val="14"/>
            </w:pPr>
            <w:r>
              <w:t>1.54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2080711</w:t>
            </w:r>
          </w:p>
        </w:tc>
        <w:tc>
          <w:tcPr>
            <w:tcW w:w="4535" w:type="dxa"/>
            <w:vAlign w:val="center"/>
          </w:tcPr>
          <w:p>
            <w:pPr>
              <w:pStyle w:val="15"/>
            </w:pPr>
            <w:r>
              <w:t>就业见习补贴</w:t>
            </w:r>
          </w:p>
        </w:tc>
        <w:tc>
          <w:tcPr>
            <w:tcW w:w="1361" w:type="dxa"/>
            <w:vAlign w:val="center"/>
          </w:tcPr>
          <w:p>
            <w:pPr>
              <w:pStyle w:val="14"/>
            </w:pPr>
            <w:r>
              <w:t>1.54</w:t>
            </w:r>
          </w:p>
        </w:tc>
        <w:tc>
          <w:tcPr>
            <w:tcW w:w="1361" w:type="dxa"/>
            <w:vAlign w:val="center"/>
          </w:tcPr>
          <w:p>
            <w:pPr>
              <w:pStyle w:val="14"/>
            </w:pPr>
          </w:p>
        </w:tc>
        <w:tc>
          <w:tcPr>
            <w:tcW w:w="1361" w:type="dxa"/>
            <w:vAlign w:val="center"/>
          </w:tcPr>
          <w:p>
            <w:pPr>
              <w:pStyle w:val="14"/>
            </w:pPr>
            <w:r>
              <w:t>1.54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56.28</w:t>
            </w:r>
          </w:p>
        </w:tc>
        <w:tc>
          <w:tcPr>
            <w:tcW w:w="1361" w:type="dxa"/>
            <w:vAlign w:val="center"/>
          </w:tcPr>
          <w:p>
            <w:pPr>
              <w:pStyle w:val="14"/>
            </w:pPr>
            <w:r>
              <w:t>56.28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56.28</w:t>
            </w:r>
          </w:p>
        </w:tc>
        <w:tc>
          <w:tcPr>
            <w:tcW w:w="1361" w:type="dxa"/>
            <w:vAlign w:val="center"/>
          </w:tcPr>
          <w:p>
            <w:pPr>
              <w:pStyle w:val="14"/>
            </w:pPr>
            <w:r>
              <w:t>56.28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19.05</w:t>
            </w:r>
          </w:p>
        </w:tc>
        <w:tc>
          <w:tcPr>
            <w:tcW w:w="1361" w:type="dxa"/>
            <w:vAlign w:val="center"/>
          </w:tcPr>
          <w:p>
            <w:pPr>
              <w:pStyle w:val="14"/>
            </w:pPr>
            <w:r>
              <w:t>19.05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37.23</w:t>
            </w:r>
          </w:p>
        </w:tc>
        <w:tc>
          <w:tcPr>
            <w:tcW w:w="1361" w:type="dxa"/>
            <w:vAlign w:val="center"/>
          </w:tcPr>
          <w:p>
            <w:pPr>
              <w:pStyle w:val="14"/>
            </w:pPr>
            <w:r>
              <w:t>37.23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44.32</w:t>
            </w:r>
          </w:p>
        </w:tc>
        <w:tc>
          <w:tcPr>
            <w:tcW w:w="1361" w:type="dxa"/>
            <w:vAlign w:val="center"/>
          </w:tcPr>
          <w:p>
            <w:pPr>
              <w:pStyle w:val="14"/>
            </w:pPr>
            <w:r>
              <w:t>44.32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44.32</w:t>
            </w:r>
          </w:p>
        </w:tc>
        <w:tc>
          <w:tcPr>
            <w:tcW w:w="1361" w:type="dxa"/>
            <w:vAlign w:val="center"/>
          </w:tcPr>
          <w:p>
            <w:pPr>
              <w:pStyle w:val="14"/>
            </w:pPr>
            <w:r>
              <w:t>44.32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44.32</w:t>
            </w:r>
          </w:p>
        </w:tc>
        <w:tc>
          <w:tcPr>
            <w:tcW w:w="1361" w:type="dxa"/>
            <w:vAlign w:val="center"/>
          </w:tcPr>
          <w:p>
            <w:pPr>
              <w:pStyle w:val="14"/>
            </w:pPr>
            <w:r>
              <w:t>44.32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992.50</w:t>
            </w:r>
          </w:p>
        </w:tc>
        <w:tc>
          <w:tcPr>
            <w:tcW w:w="3402" w:type="dxa"/>
            <w:vAlign w:val="center"/>
          </w:tcPr>
          <w:p>
            <w:pPr>
              <w:pStyle w:val="15"/>
            </w:pPr>
            <w:r>
              <w:t>一、一般公共服务支出</w:t>
            </w:r>
          </w:p>
        </w:tc>
        <w:tc>
          <w:tcPr>
            <w:tcW w:w="1474" w:type="dxa"/>
            <w:vAlign w:val="center"/>
          </w:tcPr>
          <w:p>
            <w:pPr>
              <w:pStyle w:val="14"/>
            </w:pPr>
            <w:r>
              <w:t>755.59</w:t>
            </w:r>
          </w:p>
        </w:tc>
        <w:tc>
          <w:tcPr>
            <w:tcW w:w="1474" w:type="dxa"/>
            <w:vAlign w:val="center"/>
          </w:tcPr>
          <w:p>
            <w:pPr>
              <w:pStyle w:val="14"/>
            </w:pPr>
            <w:r>
              <w:t>755.59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136.31</w:t>
            </w:r>
          </w:p>
        </w:tc>
        <w:tc>
          <w:tcPr>
            <w:tcW w:w="1474" w:type="dxa"/>
            <w:vAlign w:val="center"/>
          </w:tcPr>
          <w:p>
            <w:pPr>
              <w:pStyle w:val="14"/>
            </w:pPr>
            <w:r>
              <w:t>136.31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56.28</w:t>
            </w:r>
          </w:p>
        </w:tc>
        <w:tc>
          <w:tcPr>
            <w:tcW w:w="1474" w:type="dxa"/>
            <w:vAlign w:val="center"/>
          </w:tcPr>
          <w:p>
            <w:pPr>
              <w:pStyle w:val="14"/>
            </w:pPr>
            <w:r>
              <w:t>56.28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44.32</w:t>
            </w:r>
          </w:p>
        </w:tc>
        <w:tc>
          <w:tcPr>
            <w:tcW w:w="1474" w:type="dxa"/>
            <w:vAlign w:val="center"/>
          </w:tcPr>
          <w:p>
            <w:pPr>
              <w:pStyle w:val="14"/>
            </w:pPr>
            <w:r>
              <w:t>44.32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992.50</w:t>
            </w:r>
          </w:p>
        </w:tc>
        <w:tc>
          <w:tcPr>
            <w:tcW w:w="3402" w:type="dxa"/>
            <w:vAlign w:val="center"/>
          </w:tcPr>
          <w:p>
            <w:pPr>
              <w:pStyle w:val="17"/>
            </w:pPr>
            <w:r>
              <w:t>本年支出合计</w:t>
            </w:r>
          </w:p>
        </w:tc>
        <w:tc>
          <w:tcPr>
            <w:tcW w:w="1474" w:type="dxa"/>
            <w:vAlign w:val="center"/>
          </w:tcPr>
          <w:p>
            <w:pPr>
              <w:pStyle w:val="18"/>
            </w:pPr>
            <w:r>
              <w:t>992.50</w:t>
            </w:r>
          </w:p>
        </w:tc>
        <w:tc>
          <w:tcPr>
            <w:tcW w:w="1474" w:type="dxa"/>
            <w:vAlign w:val="center"/>
          </w:tcPr>
          <w:p>
            <w:pPr>
              <w:pStyle w:val="18"/>
            </w:pPr>
            <w:r>
              <w:t>992.50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992.50</w:t>
            </w:r>
          </w:p>
        </w:tc>
        <w:tc>
          <w:tcPr>
            <w:tcW w:w="3402" w:type="dxa"/>
            <w:vAlign w:val="center"/>
          </w:tcPr>
          <w:p>
            <w:pPr>
              <w:pStyle w:val="17"/>
            </w:pPr>
            <w:r>
              <w:t>支出总计</w:t>
            </w:r>
          </w:p>
        </w:tc>
        <w:tc>
          <w:tcPr>
            <w:tcW w:w="1474" w:type="dxa"/>
            <w:vAlign w:val="center"/>
          </w:tcPr>
          <w:p>
            <w:pPr>
              <w:pStyle w:val="18"/>
            </w:pPr>
            <w:r>
              <w:t>992.50</w:t>
            </w:r>
          </w:p>
        </w:tc>
        <w:tc>
          <w:tcPr>
            <w:tcW w:w="1474" w:type="dxa"/>
            <w:vAlign w:val="center"/>
          </w:tcPr>
          <w:p>
            <w:pPr>
              <w:pStyle w:val="18"/>
            </w:pPr>
            <w:r>
              <w:t>992.50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992.50</w:t>
            </w:r>
          </w:p>
        </w:tc>
        <w:tc>
          <w:tcPr>
            <w:tcW w:w="2551" w:type="dxa"/>
            <w:vAlign w:val="center"/>
          </w:tcPr>
          <w:p>
            <w:pPr>
              <w:pStyle w:val="18"/>
            </w:pPr>
            <w:r>
              <w:t>786.30</w:t>
            </w:r>
          </w:p>
        </w:tc>
        <w:tc>
          <w:tcPr>
            <w:tcW w:w="2551" w:type="dxa"/>
            <w:vAlign w:val="center"/>
          </w:tcPr>
          <w:p>
            <w:pPr>
              <w:pStyle w:val="18"/>
            </w:pPr>
            <w:r>
              <w:t>206.20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755.59</w:t>
            </w:r>
          </w:p>
        </w:tc>
        <w:tc>
          <w:tcPr>
            <w:tcW w:w="2551" w:type="dxa"/>
            <w:vAlign w:val="center"/>
          </w:tcPr>
          <w:p>
            <w:pPr>
              <w:pStyle w:val="14"/>
            </w:pPr>
            <w:r>
              <w:t>550.93</w:t>
            </w:r>
          </w:p>
        </w:tc>
        <w:tc>
          <w:tcPr>
            <w:tcW w:w="2551" w:type="dxa"/>
            <w:vAlign w:val="center"/>
          </w:tcPr>
          <w:p>
            <w:pPr>
              <w:pStyle w:val="14"/>
            </w:pPr>
            <w:r>
              <w:t>204.66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755.59</w:t>
            </w:r>
          </w:p>
        </w:tc>
        <w:tc>
          <w:tcPr>
            <w:tcW w:w="2551" w:type="dxa"/>
            <w:vAlign w:val="center"/>
          </w:tcPr>
          <w:p>
            <w:pPr>
              <w:pStyle w:val="14"/>
            </w:pPr>
            <w:r>
              <w:t>550.93</w:t>
            </w:r>
          </w:p>
        </w:tc>
        <w:tc>
          <w:tcPr>
            <w:tcW w:w="2551" w:type="dxa"/>
            <w:vAlign w:val="center"/>
          </w:tcPr>
          <w:p>
            <w:pPr>
              <w:pStyle w:val="14"/>
            </w:pPr>
            <w:r>
              <w:t>204.66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2010101</w:t>
            </w:r>
          </w:p>
        </w:tc>
        <w:tc>
          <w:tcPr>
            <w:tcW w:w="4535" w:type="dxa"/>
            <w:vAlign w:val="center"/>
          </w:tcPr>
          <w:p>
            <w:pPr>
              <w:pStyle w:val="15"/>
            </w:pPr>
            <w:r>
              <w:t>行政运行</w:t>
            </w:r>
          </w:p>
        </w:tc>
        <w:tc>
          <w:tcPr>
            <w:tcW w:w="2551" w:type="dxa"/>
            <w:vAlign w:val="center"/>
          </w:tcPr>
          <w:p>
            <w:pPr>
              <w:pStyle w:val="14"/>
            </w:pPr>
            <w:r>
              <w:t>550.93</w:t>
            </w:r>
          </w:p>
        </w:tc>
        <w:tc>
          <w:tcPr>
            <w:tcW w:w="2551" w:type="dxa"/>
            <w:vAlign w:val="center"/>
          </w:tcPr>
          <w:p>
            <w:pPr>
              <w:pStyle w:val="14"/>
            </w:pPr>
            <w:r>
              <w:t>550.93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2010102</w:t>
            </w:r>
          </w:p>
        </w:tc>
        <w:tc>
          <w:tcPr>
            <w:tcW w:w="4535" w:type="dxa"/>
            <w:vAlign w:val="center"/>
          </w:tcPr>
          <w:p>
            <w:pPr>
              <w:pStyle w:val="15"/>
            </w:pPr>
            <w:r>
              <w:t>一般行政管理事务</w:t>
            </w:r>
          </w:p>
        </w:tc>
        <w:tc>
          <w:tcPr>
            <w:tcW w:w="2551" w:type="dxa"/>
            <w:vAlign w:val="center"/>
          </w:tcPr>
          <w:p>
            <w:pPr>
              <w:pStyle w:val="14"/>
            </w:pPr>
            <w:r>
              <w:t>119.66</w:t>
            </w:r>
          </w:p>
        </w:tc>
        <w:tc>
          <w:tcPr>
            <w:tcW w:w="2551" w:type="dxa"/>
            <w:vAlign w:val="center"/>
          </w:tcPr>
          <w:p>
            <w:pPr>
              <w:pStyle w:val="14"/>
            </w:pPr>
          </w:p>
        </w:tc>
        <w:tc>
          <w:tcPr>
            <w:tcW w:w="2551" w:type="dxa"/>
            <w:vAlign w:val="center"/>
          </w:tcPr>
          <w:p>
            <w:pPr>
              <w:pStyle w:val="14"/>
            </w:pPr>
            <w:r>
              <w:t>119.66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2010104</w:t>
            </w:r>
          </w:p>
        </w:tc>
        <w:tc>
          <w:tcPr>
            <w:tcW w:w="4535" w:type="dxa"/>
            <w:vAlign w:val="center"/>
          </w:tcPr>
          <w:p>
            <w:pPr>
              <w:pStyle w:val="15"/>
            </w:pPr>
            <w:r>
              <w:t>人大会议</w:t>
            </w:r>
          </w:p>
        </w:tc>
        <w:tc>
          <w:tcPr>
            <w:tcW w:w="2551" w:type="dxa"/>
            <w:vAlign w:val="center"/>
          </w:tcPr>
          <w:p>
            <w:pPr>
              <w:pStyle w:val="14"/>
            </w:pPr>
            <w:r>
              <w:t>60.00</w:t>
            </w:r>
          </w:p>
        </w:tc>
        <w:tc>
          <w:tcPr>
            <w:tcW w:w="2551" w:type="dxa"/>
            <w:vAlign w:val="center"/>
          </w:tcPr>
          <w:p>
            <w:pPr>
              <w:pStyle w:val="14"/>
            </w:pPr>
          </w:p>
        </w:tc>
        <w:tc>
          <w:tcPr>
            <w:tcW w:w="2551" w:type="dxa"/>
            <w:vAlign w:val="center"/>
          </w:tcPr>
          <w:p>
            <w:pPr>
              <w:pStyle w:val="1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2010106</w:t>
            </w:r>
          </w:p>
        </w:tc>
        <w:tc>
          <w:tcPr>
            <w:tcW w:w="4535" w:type="dxa"/>
            <w:vAlign w:val="center"/>
          </w:tcPr>
          <w:p>
            <w:pPr>
              <w:pStyle w:val="15"/>
            </w:pPr>
            <w:r>
              <w:t>人大监督</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136.31</w:t>
            </w:r>
          </w:p>
        </w:tc>
        <w:tc>
          <w:tcPr>
            <w:tcW w:w="2551" w:type="dxa"/>
            <w:vAlign w:val="center"/>
          </w:tcPr>
          <w:p>
            <w:pPr>
              <w:pStyle w:val="14"/>
            </w:pPr>
            <w:r>
              <w:t>134.77</w:t>
            </w:r>
          </w:p>
        </w:tc>
        <w:tc>
          <w:tcPr>
            <w:tcW w:w="2551" w:type="dxa"/>
            <w:vAlign w:val="center"/>
          </w:tcPr>
          <w:p>
            <w:pPr>
              <w:pStyle w:val="14"/>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134.77</w:t>
            </w:r>
          </w:p>
        </w:tc>
        <w:tc>
          <w:tcPr>
            <w:tcW w:w="2551" w:type="dxa"/>
            <w:vAlign w:val="center"/>
          </w:tcPr>
          <w:p>
            <w:pPr>
              <w:pStyle w:val="14"/>
            </w:pPr>
            <w:r>
              <w:t>134.77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84.33</w:t>
            </w:r>
          </w:p>
        </w:tc>
        <w:tc>
          <w:tcPr>
            <w:tcW w:w="2551" w:type="dxa"/>
            <w:vAlign w:val="center"/>
          </w:tcPr>
          <w:p>
            <w:pPr>
              <w:pStyle w:val="14"/>
            </w:pPr>
            <w:r>
              <w:t>84.33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50.44</w:t>
            </w:r>
          </w:p>
        </w:tc>
        <w:tc>
          <w:tcPr>
            <w:tcW w:w="2551" w:type="dxa"/>
            <w:vAlign w:val="center"/>
          </w:tcPr>
          <w:p>
            <w:pPr>
              <w:pStyle w:val="14"/>
            </w:pPr>
            <w:r>
              <w:t>50.44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20807</w:t>
            </w:r>
          </w:p>
        </w:tc>
        <w:tc>
          <w:tcPr>
            <w:tcW w:w="4535" w:type="dxa"/>
            <w:vAlign w:val="center"/>
          </w:tcPr>
          <w:p>
            <w:pPr>
              <w:pStyle w:val="15"/>
            </w:pPr>
            <w:r>
              <w:t>就业补助</w:t>
            </w:r>
          </w:p>
        </w:tc>
        <w:tc>
          <w:tcPr>
            <w:tcW w:w="2551" w:type="dxa"/>
            <w:vAlign w:val="center"/>
          </w:tcPr>
          <w:p>
            <w:pPr>
              <w:pStyle w:val="14"/>
            </w:pPr>
            <w:r>
              <w:t>1.54</w:t>
            </w:r>
          </w:p>
        </w:tc>
        <w:tc>
          <w:tcPr>
            <w:tcW w:w="2551" w:type="dxa"/>
            <w:vAlign w:val="center"/>
          </w:tcPr>
          <w:p>
            <w:pPr>
              <w:pStyle w:val="14"/>
            </w:pPr>
          </w:p>
        </w:tc>
        <w:tc>
          <w:tcPr>
            <w:tcW w:w="2551" w:type="dxa"/>
            <w:vAlign w:val="center"/>
          </w:tcPr>
          <w:p>
            <w:pPr>
              <w:pStyle w:val="14"/>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2080711</w:t>
            </w:r>
          </w:p>
        </w:tc>
        <w:tc>
          <w:tcPr>
            <w:tcW w:w="4535" w:type="dxa"/>
            <w:vAlign w:val="center"/>
          </w:tcPr>
          <w:p>
            <w:pPr>
              <w:pStyle w:val="15"/>
            </w:pPr>
            <w:r>
              <w:t>就业见习补贴</w:t>
            </w:r>
          </w:p>
        </w:tc>
        <w:tc>
          <w:tcPr>
            <w:tcW w:w="2551" w:type="dxa"/>
            <w:vAlign w:val="center"/>
          </w:tcPr>
          <w:p>
            <w:pPr>
              <w:pStyle w:val="14"/>
            </w:pPr>
            <w:r>
              <w:t>1.54</w:t>
            </w:r>
          </w:p>
        </w:tc>
        <w:tc>
          <w:tcPr>
            <w:tcW w:w="2551" w:type="dxa"/>
            <w:vAlign w:val="center"/>
          </w:tcPr>
          <w:p>
            <w:pPr>
              <w:pStyle w:val="14"/>
            </w:pPr>
          </w:p>
        </w:tc>
        <w:tc>
          <w:tcPr>
            <w:tcW w:w="2551" w:type="dxa"/>
            <w:vAlign w:val="center"/>
          </w:tcPr>
          <w:p>
            <w:pPr>
              <w:pStyle w:val="14"/>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56.28</w:t>
            </w:r>
          </w:p>
        </w:tc>
        <w:tc>
          <w:tcPr>
            <w:tcW w:w="2551" w:type="dxa"/>
            <w:vAlign w:val="center"/>
          </w:tcPr>
          <w:p>
            <w:pPr>
              <w:pStyle w:val="14"/>
            </w:pPr>
            <w:r>
              <w:t>56.28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56.28</w:t>
            </w:r>
          </w:p>
        </w:tc>
        <w:tc>
          <w:tcPr>
            <w:tcW w:w="2551" w:type="dxa"/>
            <w:vAlign w:val="center"/>
          </w:tcPr>
          <w:p>
            <w:pPr>
              <w:pStyle w:val="14"/>
            </w:pPr>
            <w:r>
              <w:t>56.28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19.05</w:t>
            </w:r>
          </w:p>
        </w:tc>
        <w:tc>
          <w:tcPr>
            <w:tcW w:w="2551" w:type="dxa"/>
            <w:vAlign w:val="center"/>
          </w:tcPr>
          <w:p>
            <w:pPr>
              <w:pStyle w:val="14"/>
            </w:pPr>
            <w:r>
              <w:t>19.05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37.23</w:t>
            </w:r>
          </w:p>
        </w:tc>
        <w:tc>
          <w:tcPr>
            <w:tcW w:w="2551" w:type="dxa"/>
            <w:vAlign w:val="center"/>
          </w:tcPr>
          <w:p>
            <w:pPr>
              <w:pStyle w:val="14"/>
            </w:pPr>
            <w:r>
              <w:t>37.23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44.32</w:t>
            </w:r>
          </w:p>
        </w:tc>
        <w:tc>
          <w:tcPr>
            <w:tcW w:w="2551" w:type="dxa"/>
            <w:vAlign w:val="center"/>
          </w:tcPr>
          <w:p>
            <w:pPr>
              <w:pStyle w:val="14"/>
            </w:pPr>
            <w:r>
              <w:t>44.32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44.32</w:t>
            </w:r>
          </w:p>
        </w:tc>
        <w:tc>
          <w:tcPr>
            <w:tcW w:w="2551" w:type="dxa"/>
            <w:vAlign w:val="center"/>
          </w:tcPr>
          <w:p>
            <w:pPr>
              <w:pStyle w:val="14"/>
            </w:pPr>
            <w:r>
              <w:t>44.32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44.32</w:t>
            </w:r>
          </w:p>
        </w:tc>
        <w:tc>
          <w:tcPr>
            <w:tcW w:w="2551" w:type="dxa"/>
            <w:vAlign w:val="center"/>
          </w:tcPr>
          <w:p>
            <w:pPr>
              <w:pStyle w:val="14"/>
            </w:pPr>
            <w:r>
              <w:t>44.32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786.30</w:t>
            </w:r>
          </w:p>
        </w:tc>
        <w:tc>
          <w:tcPr>
            <w:tcW w:w="2551" w:type="dxa"/>
            <w:vAlign w:val="center"/>
          </w:tcPr>
          <w:p>
            <w:pPr>
              <w:pStyle w:val="18"/>
            </w:pPr>
            <w:r>
              <w:t>696.42</w:t>
            </w:r>
          </w:p>
        </w:tc>
        <w:tc>
          <w:tcPr>
            <w:tcW w:w="2551" w:type="dxa"/>
            <w:vAlign w:val="center"/>
          </w:tcPr>
          <w:p>
            <w:pPr>
              <w:pStyle w:val="18"/>
            </w:pPr>
            <w:r>
              <w:t>89.88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611.13</w:t>
            </w:r>
          </w:p>
        </w:tc>
        <w:tc>
          <w:tcPr>
            <w:tcW w:w="2551" w:type="dxa"/>
            <w:vAlign w:val="center"/>
          </w:tcPr>
          <w:p>
            <w:pPr>
              <w:pStyle w:val="14"/>
            </w:pPr>
            <w:r>
              <w:t>611.13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145.95</w:t>
            </w:r>
          </w:p>
        </w:tc>
        <w:tc>
          <w:tcPr>
            <w:tcW w:w="2551" w:type="dxa"/>
            <w:vAlign w:val="center"/>
          </w:tcPr>
          <w:p>
            <w:pPr>
              <w:pStyle w:val="14"/>
            </w:pPr>
            <w:r>
              <w:t>145.95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116.74</w:t>
            </w:r>
          </w:p>
        </w:tc>
        <w:tc>
          <w:tcPr>
            <w:tcW w:w="2551" w:type="dxa"/>
            <w:vAlign w:val="center"/>
          </w:tcPr>
          <w:p>
            <w:pPr>
              <w:pStyle w:val="14"/>
            </w:pPr>
            <w:r>
              <w:t>116.74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58.37</w:t>
            </w:r>
          </w:p>
        </w:tc>
        <w:tc>
          <w:tcPr>
            <w:tcW w:w="2551" w:type="dxa"/>
            <w:vAlign w:val="center"/>
          </w:tcPr>
          <w:p>
            <w:pPr>
              <w:pStyle w:val="14"/>
            </w:pPr>
            <w:r>
              <w:t>58.37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21.44</w:t>
            </w:r>
          </w:p>
        </w:tc>
        <w:tc>
          <w:tcPr>
            <w:tcW w:w="2551" w:type="dxa"/>
            <w:vAlign w:val="center"/>
          </w:tcPr>
          <w:p>
            <w:pPr>
              <w:pStyle w:val="14"/>
            </w:pPr>
            <w:r>
              <w:t>21.44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50.44</w:t>
            </w:r>
          </w:p>
        </w:tc>
        <w:tc>
          <w:tcPr>
            <w:tcW w:w="2551" w:type="dxa"/>
            <w:vAlign w:val="center"/>
          </w:tcPr>
          <w:p>
            <w:pPr>
              <w:pStyle w:val="14"/>
            </w:pPr>
            <w:r>
              <w:t>50.44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19.05</w:t>
            </w:r>
          </w:p>
        </w:tc>
        <w:tc>
          <w:tcPr>
            <w:tcW w:w="2551" w:type="dxa"/>
            <w:vAlign w:val="center"/>
          </w:tcPr>
          <w:p>
            <w:pPr>
              <w:pStyle w:val="14"/>
            </w:pPr>
            <w:r>
              <w:t>19.05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37.23</w:t>
            </w:r>
          </w:p>
        </w:tc>
        <w:tc>
          <w:tcPr>
            <w:tcW w:w="2551" w:type="dxa"/>
            <w:vAlign w:val="center"/>
          </w:tcPr>
          <w:p>
            <w:pPr>
              <w:pStyle w:val="14"/>
            </w:pPr>
            <w:r>
              <w:t>37.23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3.14</w:t>
            </w:r>
          </w:p>
        </w:tc>
        <w:tc>
          <w:tcPr>
            <w:tcW w:w="2551" w:type="dxa"/>
            <w:vAlign w:val="center"/>
          </w:tcPr>
          <w:p>
            <w:pPr>
              <w:pStyle w:val="14"/>
            </w:pPr>
            <w:r>
              <w:t>3.14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44.32</w:t>
            </w:r>
          </w:p>
        </w:tc>
        <w:tc>
          <w:tcPr>
            <w:tcW w:w="2551" w:type="dxa"/>
            <w:vAlign w:val="center"/>
          </w:tcPr>
          <w:p>
            <w:pPr>
              <w:pStyle w:val="14"/>
            </w:pPr>
            <w:r>
              <w:t>44.32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114.45</w:t>
            </w:r>
          </w:p>
        </w:tc>
        <w:tc>
          <w:tcPr>
            <w:tcW w:w="2551" w:type="dxa"/>
            <w:vAlign w:val="center"/>
          </w:tcPr>
          <w:p>
            <w:pPr>
              <w:pStyle w:val="14"/>
            </w:pPr>
            <w:r>
              <w:t>114.45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89.88</w:t>
            </w:r>
          </w:p>
        </w:tc>
        <w:tc>
          <w:tcPr>
            <w:tcW w:w="2551" w:type="dxa"/>
            <w:vAlign w:val="center"/>
          </w:tcPr>
          <w:p>
            <w:pPr>
              <w:pStyle w:val="14"/>
            </w:pPr>
          </w:p>
        </w:tc>
        <w:tc>
          <w:tcPr>
            <w:tcW w:w="2551" w:type="dxa"/>
            <w:vAlign w:val="center"/>
          </w:tcPr>
          <w:p>
            <w:pPr>
              <w:pStyle w:val="14"/>
            </w:pPr>
            <w:r>
              <w:t>89.88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8.50</w:t>
            </w:r>
          </w:p>
        </w:tc>
        <w:tc>
          <w:tcPr>
            <w:tcW w:w="2551" w:type="dxa"/>
            <w:vAlign w:val="center"/>
          </w:tcPr>
          <w:p>
            <w:pPr>
              <w:pStyle w:val="14"/>
            </w:pPr>
          </w:p>
        </w:tc>
        <w:tc>
          <w:tcPr>
            <w:tcW w:w="2551" w:type="dxa"/>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16.53</w:t>
            </w:r>
          </w:p>
        </w:tc>
        <w:tc>
          <w:tcPr>
            <w:tcW w:w="2551" w:type="dxa"/>
            <w:vAlign w:val="center"/>
          </w:tcPr>
          <w:p>
            <w:pPr>
              <w:pStyle w:val="14"/>
            </w:pPr>
          </w:p>
        </w:tc>
        <w:tc>
          <w:tcPr>
            <w:tcW w:w="2551" w:type="dxa"/>
            <w:vAlign w:val="center"/>
          </w:tcPr>
          <w:p>
            <w:pPr>
              <w:pStyle w:val="14"/>
            </w:pPr>
            <w:r>
              <w:t>16.53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8.40</w:t>
            </w:r>
          </w:p>
        </w:tc>
        <w:tc>
          <w:tcPr>
            <w:tcW w:w="2551" w:type="dxa"/>
            <w:vAlign w:val="center"/>
          </w:tcPr>
          <w:p>
            <w:pPr>
              <w:pStyle w:val="14"/>
            </w:pPr>
          </w:p>
        </w:tc>
        <w:tc>
          <w:tcPr>
            <w:tcW w:w="2551" w:type="dxa"/>
            <w:vAlign w:val="center"/>
          </w:tcPr>
          <w:p>
            <w:pPr>
              <w:pStyle w:val="14"/>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4.45</w:t>
            </w:r>
          </w:p>
        </w:tc>
        <w:tc>
          <w:tcPr>
            <w:tcW w:w="2551" w:type="dxa"/>
            <w:vAlign w:val="center"/>
          </w:tcPr>
          <w:p>
            <w:pPr>
              <w:pStyle w:val="14"/>
            </w:pPr>
          </w:p>
        </w:tc>
        <w:tc>
          <w:tcPr>
            <w:tcW w:w="2551" w:type="dxa"/>
            <w:vAlign w:val="center"/>
          </w:tcPr>
          <w:p>
            <w:pPr>
              <w:pStyle w:val="14"/>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15.00</w:t>
            </w:r>
          </w:p>
        </w:tc>
        <w:tc>
          <w:tcPr>
            <w:tcW w:w="2551" w:type="dxa"/>
            <w:vAlign w:val="center"/>
          </w:tcPr>
          <w:p>
            <w:pPr>
              <w:pStyle w:val="14"/>
            </w:pPr>
          </w:p>
        </w:tc>
        <w:tc>
          <w:tcPr>
            <w:tcW w:w="2551"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21.90</w:t>
            </w:r>
          </w:p>
        </w:tc>
        <w:tc>
          <w:tcPr>
            <w:tcW w:w="2551" w:type="dxa"/>
            <w:vAlign w:val="center"/>
          </w:tcPr>
          <w:p>
            <w:pPr>
              <w:pStyle w:val="14"/>
            </w:pPr>
          </w:p>
        </w:tc>
        <w:tc>
          <w:tcPr>
            <w:tcW w:w="2551" w:type="dxa"/>
            <w:vAlign w:val="center"/>
          </w:tcPr>
          <w:p>
            <w:pPr>
              <w:pStyle w:val="14"/>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5.10</w:t>
            </w:r>
          </w:p>
        </w:tc>
        <w:tc>
          <w:tcPr>
            <w:tcW w:w="2551" w:type="dxa"/>
            <w:vAlign w:val="center"/>
          </w:tcPr>
          <w:p>
            <w:pPr>
              <w:pStyle w:val="14"/>
            </w:pPr>
          </w:p>
        </w:tc>
        <w:tc>
          <w:tcPr>
            <w:tcW w:w="2551" w:type="dxa"/>
            <w:vAlign w:val="center"/>
          </w:tcPr>
          <w:p>
            <w:pPr>
              <w:pStyle w:val="14"/>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85.29</w:t>
            </w:r>
          </w:p>
        </w:tc>
        <w:tc>
          <w:tcPr>
            <w:tcW w:w="2551" w:type="dxa"/>
            <w:vAlign w:val="center"/>
          </w:tcPr>
          <w:p>
            <w:pPr>
              <w:pStyle w:val="14"/>
            </w:pPr>
            <w:r>
              <w:t>85.29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2.95</w:t>
            </w:r>
          </w:p>
        </w:tc>
        <w:tc>
          <w:tcPr>
            <w:tcW w:w="2551" w:type="dxa"/>
            <w:vAlign w:val="center"/>
          </w:tcPr>
          <w:p>
            <w:pPr>
              <w:pStyle w:val="14"/>
            </w:pPr>
            <w:r>
              <w:t>2.95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81.38</w:t>
            </w:r>
          </w:p>
        </w:tc>
        <w:tc>
          <w:tcPr>
            <w:tcW w:w="2551" w:type="dxa"/>
            <w:vAlign w:val="center"/>
          </w:tcPr>
          <w:p>
            <w:pPr>
              <w:pStyle w:val="14"/>
            </w:pPr>
            <w:r>
              <w:t>81.38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0.96</w:t>
            </w:r>
          </w:p>
        </w:tc>
        <w:tc>
          <w:tcPr>
            <w:tcW w:w="2551" w:type="dxa"/>
            <w:vAlign w:val="center"/>
          </w:tcPr>
          <w:p>
            <w:pPr>
              <w:pStyle w:val="14"/>
            </w:pPr>
            <w:r>
              <w:t>0.96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25.00</w:t>
            </w:r>
          </w:p>
        </w:tc>
        <w:tc>
          <w:tcPr>
            <w:tcW w:w="2381" w:type="dxa"/>
            <w:vAlign w:val="center"/>
          </w:tcPr>
          <w:p>
            <w:pPr>
              <w:pStyle w:val="18"/>
            </w:pPr>
            <w:r>
              <w:t>25.00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25.00</w:t>
            </w:r>
          </w:p>
        </w:tc>
        <w:tc>
          <w:tcPr>
            <w:tcW w:w="2381" w:type="dxa"/>
            <w:vAlign w:val="center"/>
          </w:tcPr>
          <w:p>
            <w:pPr>
              <w:pStyle w:val="14"/>
            </w:pPr>
            <w:r>
              <w:t>25.00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二、公务用车购置及运维费</w:t>
            </w:r>
          </w:p>
        </w:tc>
        <w:tc>
          <w:tcPr>
            <w:tcW w:w="2381" w:type="dxa"/>
            <w:vAlign w:val="center"/>
          </w:tcPr>
          <w:p>
            <w:pPr>
              <w:pStyle w:val="14"/>
            </w:pPr>
            <w:r>
              <w:t>15.00</w:t>
            </w:r>
          </w:p>
        </w:tc>
        <w:tc>
          <w:tcPr>
            <w:tcW w:w="2381" w:type="dxa"/>
            <w:vAlign w:val="center"/>
          </w:tcPr>
          <w:p>
            <w:pPr>
              <w:pStyle w:val="14"/>
            </w:pPr>
            <w:r>
              <w:t>15.00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公务用车运行维护费</w:t>
            </w:r>
          </w:p>
        </w:tc>
        <w:tc>
          <w:tcPr>
            <w:tcW w:w="2381" w:type="dxa"/>
            <w:vAlign w:val="center"/>
          </w:tcPr>
          <w:p>
            <w:pPr>
              <w:pStyle w:val="14"/>
            </w:pPr>
            <w:r>
              <w:t>15.00</w:t>
            </w:r>
          </w:p>
        </w:tc>
        <w:tc>
          <w:tcPr>
            <w:tcW w:w="2381" w:type="dxa"/>
            <w:vAlign w:val="center"/>
          </w:tcPr>
          <w:p>
            <w:pPr>
              <w:pStyle w:val="14"/>
            </w:pPr>
            <w:r>
              <w:t>15.00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三、公务接待费</w:t>
            </w:r>
          </w:p>
        </w:tc>
        <w:tc>
          <w:tcPr>
            <w:tcW w:w="2381" w:type="dxa"/>
            <w:vAlign w:val="center"/>
          </w:tcPr>
          <w:p>
            <w:pPr>
              <w:pStyle w:val="14"/>
            </w:pPr>
            <w:r>
              <w:t>10.00</w:t>
            </w:r>
          </w:p>
        </w:tc>
        <w:tc>
          <w:tcPr>
            <w:tcW w:w="2381" w:type="dxa"/>
            <w:vAlign w:val="center"/>
          </w:tcPr>
          <w:p>
            <w:pPr>
              <w:pStyle w:val="14"/>
            </w:pPr>
            <w:r>
              <w:t>10.00</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唐山市丰南区人民代表大会常务委员会办公室2024年部门预算信息公开情况说明</w:t>
      </w:r>
    </w:p>
    <w:p>
      <w:pPr>
        <w:jc w:val="center"/>
      </w:pPr>
      <w:r>
        <w:rPr>
          <w:rFonts w:ascii="方正小标宋_GBK" w:hAnsi="方正小标宋_GBK" w:eastAsia="方正小标宋_GBK" w:cs="方正小标宋_GBK"/>
          <w:color w:val="000000"/>
          <w:sz w:val="44"/>
        </w:rPr>
        <w:t>唐山市丰南区人民代表大会常务委员会办公室2024年部门预算信息公开情况说明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按照《中华人民共和国预算法》、《地方预决算公开操作规程》和《关于进一步推进预算公开工作的实施意见》规定，现将唐山市丰南区人民代表大会常务委员会办公室2024年部门预算公开如下：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唐山市丰南区人民代表大会常务委员会办公室本级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bookmarkStart w:id="20" w:name="_GoBack"/>
            <w:r>
              <w:t>财政拨款</w:t>
            </w:r>
          </w:p>
          <w:bookmarkEnd w:id="20"/>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按照预算管理有关规定，目前部门预算的编制实行综合预算管理，即全部收入和支出都反映在预算中。唐山市丰南区人民代表大会常务委员会办公室机关及所属事业单位的收支包含在部门预算中。</w:t>
      </w:r>
    </w:p>
    <w:p>
      <w:pPr>
        <w:pStyle w:val="21"/>
      </w:pPr>
      <w:r>
        <w:t>1、收入说明</w:t>
      </w:r>
    </w:p>
    <w:p>
      <w:pPr>
        <w:pStyle w:val="21"/>
      </w:pPr>
      <w:r>
        <w:t>反映本部门当年全部收入。2024年预算收入992.50万元，其中：一般公共预算收入992.50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唐山市丰南区人民代表大会常务委员会办公室年度部门预算中支出预算的总体情况。2024年支出预算992.50万元，其中基本支出786.30万元，包括人员经费696.42万元和日常公用经费89.88万元；项目支出206.20万元，主要为(一）会议费项目支出60.00万元。（二）就业见习补贴项目支出1.54万元。（三）就业生活补贴（区级垫付）支出6.16万元。（四）劳务外包经费项目支出5.50万元。（五）区代表活动经费项目支出25.00万元。（六）人大代表之家（联络站）运行经费项目支出20.00万元。（七）业务工作经费项目支出88.00万元。</w:t>
      </w:r>
    </w:p>
    <w:p>
      <w:pPr>
        <w:pStyle w:val="21"/>
      </w:pPr>
      <w:r>
        <w:t>3、比上年增减情况</w:t>
      </w:r>
    </w:p>
    <w:p>
      <w:pPr>
        <w:pStyle w:val="21"/>
      </w:pPr>
      <w:r>
        <w:t>2024年预算收支安排992.50万元，较2023年预算减少51.05万元，其中：基本支出减少29.20万元，主要为人员经费减少29.20万元。项目支出减少21.85万元，主要为（一）公务车购置项目减少18.00万元。（二）就业生活补贴减少3.85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2024年，我部门机关运行经费共计安排89.88万元，主要用于日常维修、办公用房水电费、办公用房取暖费、办公用房物业管理费等日常运行支出。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0"/>
      </w:pPr>
      <w:bookmarkStart w:id="13" w:name="_Toc_3_3_0000000014"/>
      <w:r>
        <w:t>2024年，我单位财政拨款“三公”经费预算安排25.00万元，其中因公出国（境）费0.00万元；公务用车购置及运维费15.00万元（其中：公务用车购置费为0.00万元，公务用车运维费15.00万元)；公务接待费10.00万元。与2023年相比减少23.00万元，增减变化的主要原因是减少公务车购置18万元，减少公务车运行维护费5万元。</w:t>
      </w:r>
    </w:p>
    <w:p>
      <w:pPr>
        <w:spacing w:before="10" w:after="10" w:line="360" w:lineRule="auto"/>
        <w:ind w:firstLine="640"/>
        <w:outlineLvl w:val="2"/>
      </w:pPr>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2024年,区人大常委会在区委的坚强领导下，全面履行法定职责，充分发挥代表作用，切实加强自身建设，与“一府一委两院”积极作为，共促丰南发展。全面贯彻党的二十大精神，围绕推进高质量发展开展监督。搞好全口径预算监督，开展审计发现问题整改工作跟踪监督。依法听取全区政府性债务管理使用偿还情况的报告。围绕增进民生福祉开展监督。听取区政府医疗保障工作专项报告、城区教育资源整合配置情况等报告。开展法律法规执法检查。开展民生实事项目调研视察。围绕深化民主法治建设开展监督。听取区政府法治政府建设的报告。组织部分人大代表参加两官述职大会、案件评审会、听证会等，常态化监督“两官”工作。围绕提升代表活力扎实做好代表工作。持续抓好“三个好”人大代表创建工作。不断优化代表活动平台建设，深入推进“家站室园”工作模式。强代表培训,拓宽参与渠道，努力展现新时代人大代表新风貌新作为。</w:t>
      </w:r>
    </w:p>
    <w:p>
      <w:pPr>
        <w:spacing w:line="500" w:lineRule="exact"/>
        <w:ind w:firstLine="560"/>
      </w:pPr>
      <w:r>
        <w:rPr>
          <w:rFonts w:eastAsia="方正仿宋_GBK"/>
          <w:color w:val="000000"/>
          <w:sz w:val="28"/>
        </w:rPr>
        <w:t>（二）分项绩效目标</w:t>
      </w:r>
    </w:p>
    <w:p>
      <w:pPr>
        <w:pStyle w:val="25"/>
      </w:pPr>
      <w:r>
        <w:t>（一）</w:t>
      </w:r>
      <w:r>
        <w:tab/>
      </w:r>
      <w:r>
        <w:t>促进各项法律法规、人大决议、报告等的落实；促进“一府两院一委”改进工作。</w:t>
      </w:r>
    </w:p>
    <w:p>
      <w:pPr>
        <w:pStyle w:val="25"/>
      </w:pPr>
      <w:r>
        <w:t>绩效目标：人大监督</w:t>
      </w:r>
    </w:p>
    <w:p>
      <w:pPr>
        <w:pStyle w:val="25"/>
      </w:pPr>
      <w:r>
        <w:t>绩效指标：进行执法调研和执法检查；围绕政府工作报告和“一府两院”专项工作报告涉及内容开展调查研究，开展专题询问和工作评议；对“一府两院”进行监督。</w:t>
      </w:r>
    </w:p>
    <w:p>
      <w:pPr>
        <w:pStyle w:val="25"/>
      </w:pPr>
      <w:r>
        <w:t>（二）完善各项会议制度，规范会议程序，提高会议质量，提高人大代表及常委会审议水平。</w:t>
      </w:r>
    </w:p>
    <w:p>
      <w:pPr>
        <w:pStyle w:val="25"/>
      </w:pPr>
      <w:r>
        <w:t>绩效目标：人大会议</w:t>
      </w:r>
    </w:p>
    <w:p>
      <w:pPr>
        <w:pStyle w:val="25"/>
      </w:pPr>
      <w:r>
        <w:t>绩效指标：区人民代表大会和常务委员会各种会议的筹备、会务工作，常委会会议、主任会议及常委会党组会议决定事项、工作部署、重要文件及领导批示的传达和督办。</w:t>
      </w:r>
    </w:p>
    <w:p>
      <w:pPr>
        <w:pStyle w:val="25"/>
      </w:pPr>
      <w:r>
        <w:t>（三）确保换届选举工作顺利完成，实现省市和区委人事安排部署；</w:t>
      </w:r>
    </w:p>
    <w:p>
      <w:pPr>
        <w:pStyle w:val="25"/>
      </w:pPr>
      <w:r>
        <w:t>绩效目标：选举和任免</w:t>
      </w:r>
    </w:p>
    <w:p>
      <w:pPr>
        <w:pStyle w:val="25"/>
      </w:pPr>
      <w:r>
        <w:t>绩效指标：提高组织换届选举工作水平。高质量完成国家机关领导人选举和常委会人事任免服务工作。检查监督代表法、选举法及其实施办法的贯彻实施；承担人大换届选举及人事任免服务工作。</w:t>
      </w:r>
    </w:p>
    <w:p>
      <w:pPr>
        <w:pStyle w:val="25"/>
      </w:pPr>
      <w:r>
        <w:t>（四）促进机关自身建设、服务保障能力进一步提升。</w:t>
      </w:r>
    </w:p>
    <w:p>
      <w:pPr>
        <w:pStyle w:val="25"/>
      </w:pPr>
      <w:r>
        <w:t>绩效目标：人大事务管理</w:t>
      </w:r>
    </w:p>
    <w:p>
      <w:pPr>
        <w:pStyle w:val="25"/>
      </w:pPr>
      <w:r>
        <w:t>绩效指标：新闻宣传和机关信息化建设与维护；机关基础设施建设与维护；区人大机关日常事务管理；会刊的编辑印刷；信访工作。</w:t>
      </w:r>
    </w:p>
    <w:p>
      <w:pPr>
        <w:pStyle w:val="25"/>
      </w:pPr>
    </w:p>
    <w:p>
      <w:pPr>
        <w:spacing w:line="500" w:lineRule="exact"/>
        <w:ind w:firstLine="560"/>
      </w:pPr>
      <w:r>
        <w:rPr>
          <w:rFonts w:eastAsia="方正仿宋_GBK"/>
          <w:color w:val="000000"/>
          <w:sz w:val="28"/>
        </w:rPr>
        <w:t>（三）工作保障措施</w:t>
      </w:r>
    </w:p>
    <w:p>
      <w:pPr>
        <w:pStyle w:val="26"/>
      </w:pPr>
      <w:r>
        <w:t>1、依法行使重大事项决定权。围绕推动区委决策部署的贯彻落实，把事关全区改革发展稳定和人民群众切身利益的重大事项、重大问题适时列入常委会会议议题，在深入调查的基础上，依法作出决议、决定。进一步健全讨论、决定重大事项的程序和制度，推行政府重大决策出台前向常委会报告制度，及时将区委重大决策部署通过法定程序转化为全区人民的共同意志和具体行动，更好地推动重大决策的科学化、民主化。</w:t>
      </w:r>
    </w:p>
    <w:p>
      <w:pPr>
        <w:pStyle w:val="26"/>
      </w:pPr>
      <w:r>
        <w:t>2、认真做好人事任免工作。坚持党管干部和人大依法任免有机统一，通过法定程序实现区委人事安排意图，为国家机关高效运转提供有力组织保证。健全人大常委会任免工作机制，不断完善任前了解、法律知识考试、主任会议审议、拟任职人员作供职报告、人大常委会会议审议表决、颁发任命书、向宪法宣誓等制度，增强任命人员的公仆意识、法治意识、责任意识和人民意识。</w:t>
      </w:r>
    </w:p>
    <w:p>
      <w:pPr>
        <w:pStyle w:val="26"/>
      </w:pPr>
      <w:r>
        <w:t>3、强化决议决定落实监督。认真做好区人大及常委会决议决定的交办、反馈工作，通过听取审议报告、满意度测评和组织人大代表视察检查等方式，促进各项决议、决定落到实处。</w:t>
      </w:r>
    </w:p>
    <w:p>
      <w:pPr>
        <w:pStyle w:val="26"/>
      </w:pPr>
      <w:r>
        <w:t>4、突出政府专项工作监督。聚焦改革发展稳定全局的重大问题，加强工作监督。常委会将重点听取和审议区政府的专项报告。同时，组织部分省、市、区人大代表开展重点项目视察。</w:t>
      </w:r>
    </w:p>
    <w:p>
      <w:pPr>
        <w:pStyle w:val="26"/>
      </w:pPr>
      <w:r>
        <w:t>5、严格计划财政审查监督。一是听取和审议区政府关于国民经济和社会发展计划执行情况的报告、区政府关于财政预算执行情况的报告。二是听取和审议区政府关于区本级预算执行及其他财政收支情况审计工作报告。三是根据需要，听取区政府关于财政预算调整情况的报告，并作出相应决定。四是适时安排听取政府债务情况的专项报告。</w:t>
      </w:r>
    </w:p>
    <w:p>
      <w:pPr>
        <w:pStyle w:val="26"/>
      </w:pPr>
      <w:r>
        <w:t>6、围绕民生热点问题进行监督。关注人民群众普遍关注的热点、难点问题，加大监督力度，常委会将听取和审议区政府专项工作报告。</w:t>
      </w:r>
    </w:p>
    <w:p>
      <w:pPr>
        <w:pStyle w:val="26"/>
      </w:pPr>
      <w:r>
        <w:t>7、开展法律法规实施情况监督。主动适应全面推进依法治区新形势，加强对法律法规实施情况的监督检查，保证法律法规得到正确有效实施。加强备案和报告事项审查能力建设，严格做到“有件必备、有备必审、有错必纠”，切实维护国家法制统一。</w:t>
      </w:r>
    </w:p>
    <w:p>
      <w:pPr>
        <w:pStyle w:val="26"/>
      </w:pPr>
      <w:r>
        <w:t>8、加强司法监督。加强对区法院、区检察院及司法机关的的监督，为全区经济社会发展提供公正、权威、高效的司法保障。制定出台《加强监督司法工作的意见》、《监督司法机关工作的规定》和《监督司法机关工作的规定的实施细则》。继续开展对法官、检察官的履职评议。</w:t>
      </w:r>
    </w:p>
    <w:p>
      <w:pPr>
        <w:pStyle w:val="26"/>
      </w:pPr>
      <w:r>
        <w:t>9、关注监察机关运转情况，积极探索、强化监督方式方法，适时听取区监察委员会成立运转情况的专项报告。</w:t>
      </w:r>
    </w:p>
    <w:p>
      <w:pPr>
        <w:pStyle w:val="26"/>
      </w:pPr>
      <w:r>
        <w:t>10、开展对政府所属部门工作评议。通过调研、评议、整改等环节对部分政府所属部门进行工作评议。促进被评议部门进一步增强法律意识、责任意识、服务意识和自觉接受监督的意识，更好的改进工作，提高履职水平。</w:t>
      </w:r>
    </w:p>
    <w:p>
      <w:pPr>
        <w:pStyle w:val="26"/>
      </w:pPr>
      <w:r>
        <w:t>11、做好信访工作监督。认真做好来信来访的受理、分析、交办、督查、督办和反馈各项工作，加大重要信访件督办力度。</w:t>
      </w:r>
    </w:p>
    <w:p>
      <w:pPr>
        <w:pStyle w:val="26"/>
      </w:pPr>
      <w:r>
        <w:t xml:space="preserve">12、积极改进监督方式方法。围绕部分常委会审议议题，提前进行调研，持续跟踪问效，更多采取上下联动的形式开展执法检查，扩大人大监督的效果和影响。建立专家咨询库，进行预决算草案初步审查时，听取有关专家意见。成立由法律专业人员组成的司法监督咨询委员会，为区人大常委会开展司法监督工作提供咨询和意见。充分发挥法制、财经、城环、教科文卫、选任代五个专门委员会的作用，增强监督效能。 </w:t>
      </w:r>
    </w:p>
    <w:p>
      <w:pPr>
        <w:pStyle w:val="26"/>
      </w:pPr>
      <w:r>
        <w:t>13、创新联系机制。坚持常委会组成人员联系代表制度，邀请代表列席常委会会议和参加执法检查、视察调研、专题询问等活动，拓宽代表知情知政渠道，扩大代表有序政治参与。积极发挥“人大代表之家”和“代表联络站”作用，强化管理，充实内容，广泛开展丰富多彩的活动，特别是组织开展“代表回选区、见选民”活动，密切代表与选民群众的联系。</w:t>
      </w:r>
    </w:p>
    <w:p>
      <w:pPr>
        <w:pStyle w:val="26"/>
      </w:pPr>
      <w:r>
        <w:t>14、创新办理机制。以提高代表议案建议的提出和办理水平为目标，积极创新“提、督、问、评”的办理工作机制。创新综合分析机制，提前布置，把好初审，增强代表议案建议的科学性、合法性、普惠性和可操作性；创新办理机制，规范交办、督办和答复要求，实现办理过程和结果的“双满意”；完善监督机制，适时听取办理情况汇报，公开议案建议内容、承办单位和办理结果，通过社会监督提升办理实效；完善绩效评价机制，探索建立科学的评价问责体系，努力提高办成率。</w:t>
      </w:r>
    </w:p>
    <w:p>
      <w:pPr>
        <w:pStyle w:val="26"/>
      </w:pPr>
      <w:r>
        <w:t>15、创新履职机制。加强代表履职的组织引领和服务推动，有计划地安排代表闭会期间活动。通过组织业务培训、观摩交流、健全履职档案，规范代表管理，实现代表履职常态化。继续深入开展“访民情、汇民智、解民忧、促发展”主题实践活动。</w:t>
      </w:r>
    </w:p>
    <w:p>
      <w:pPr>
        <w:pStyle w:val="26"/>
      </w:pPr>
      <w:r>
        <w:t>16、加强思想作风建设。牢固树立政治意识、大局意识、责任意识和看齐意识，做到讲政治、顾大局、懂规矩、守纪律，在思想上政治上行动上与区委保持高度一致。注重发挥区人大党组的领导核心作用，坚持重大事项、重要工作向区委请示报告制度，自觉把坚持党的领导贯穿于人大履职的全过程、各方面。</w:t>
      </w:r>
    </w:p>
    <w:p>
      <w:pPr>
        <w:pStyle w:val="26"/>
      </w:pPr>
      <w:r>
        <w:t>17、加强履职能力建设。紧紧围绕全区中心工作、常委会年度履职重点、社会关切热点等事项，深入、系统地开展调查研究，广泛汇聚各方智慧，为区委、区政府决策和常委会审议提供参考依据、夯实民意基础。</w:t>
      </w:r>
    </w:p>
    <w:p>
      <w:pPr>
        <w:pStyle w:val="26"/>
      </w:pPr>
      <w:r>
        <w:t>18、加强宣传信息工作。丰南人大微信公众号、常委会微信群和乡镇人大工作微信群等宣传媒体在人大工作中的运用，为人大工作开展营造良好社会环境。加强向省、市人大信息载体的反馈力度，宣传我区人大工作好的经验和做法。推进人代会和常委会电子表决系统的使用，以信息化促进人大工作科学化、民主化、法治化。</w:t>
      </w:r>
    </w:p>
    <w:p>
      <w:pPr>
        <w:pStyle w:val="26"/>
      </w:pPr>
      <w:r>
        <w:t>完善制度建设。制定完善预算绩效管理制度、资金管理办法、工作保障制度等，为全年预算绩效目标的实现奠定制度基础。</w:t>
      </w:r>
    </w:p>
    <w:p>
      <w:pPr>
        <w:pStyle w:val="26"/>
      </w:pPr>
      <w:r>
        <w:t>加强支出管理。通过优化支出结构、编细编实预算、加快履行政府采购手续、尽快启动项目、及时支付资金、6月底前细化代编预算、按规定及时下达资金等多种措施，确保支出进度达标。</w:t>
      </w:r>
    </w:p>
    <w:p>
      <w:pPr>
        <w:pStyle w:val="26"/>
      </w:pPr>
      <w:r>
        <w:t>加强绩效运行监控。按要求开展绩效运行监控，发现问题及时采取措施，确保绩效目标如期保质实现。</w:t>
      </w:r>
    </w:p>
    <w:p>
      <w:pPr>
        <w:pStyle w:val="26"/>
      </w:pPr>
      <w:r>
        <w:t>做好绩效自评。按要求开展上年度部门预算绩效自评和重点评价工作，对评价中发现的问题及时整改，调整优化支出结构，提高财政资金使用效益。</w:t>
      </w:r>
    </w:p>
    <w:p>
      <w:pPr>
        <w:pStyle w:val="26"/>
      </w:pPr>
      <w:r>
        <w:t>规范财务资产管理。完善财务管理制度，严格审批程序，加强固定资产登记、使用和报废处置管理，做到支出合理，物尽其用。</w:t>
      </w:r>
    </w:p>
    <w:p>
      <w:pPr>
        <w:pStyle w:val="26"/>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1、会议费绩效目标表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13020724P00EJC010006U</w:t>
            </w:r>
          </w:p>
        </w:tc>
        <w:tc>
          <w:tcPr>
            <w:tcW w:w="2835" w:type="dxa"/>
            <w:vAlign w:val="center"/>
          </w:tcPr>
          <w:p>
            <w:pPr>
              <w:pStyle w:val="13"/>
            </w:pPr>
            <w:r>
              <w:t>项目名称</w:t>
            </w:r>
          </w:p>
        </w:tc>
        <w:tc>
          <w:tcPr>
            <w:tcW w:w="6094" w:type="dxa"/>
            <w:gridSpan w:val="3"/>
            <w:vAlign w:val="center"/>
          </w:tcPr>
          <w:p>
            <w:pPr>
              <w:pStyle w:val="15"/>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60.00</w:t>
            </w:r>
          </w:p>
        </w:tc>
        <w:tc>
          <w:tcPr>
            <w:tcW w:w="2835" w:type="dxa"/>
            <w:vAlign w:val="center"/>
          </w:tcPr>
          <w:p>
            <w:pPr>
              <w:pStyle w:val="13"/>
            </w:pPr>
            <w:r>
              <w:t>其中：财政    资金</w:t>
            </w:r>
          </w:p>
        </w:tc>
        <w:tc>
          <w:tcPr>
            <w:tcW w:w="2551" w:type="dxa"/>
            <w:vAlign w:val="center"/>
          </w:tcPr>
          <w:p>
            <w:pPr>
              <w:pStyle w:val="15"/>
            </w:pPr>
            <w:r>
              <w:t>60.00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按照区人大常委会的工作安排，用于每年召开的区人代会及日常会议费用。2024年预计支出60万元。其中：1、会议用餐、住宿约40万元；2、购置办公用品、制作证件等约8万元；3、工作人员用餐约、住宿等约6万元；4、印制会议资料约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1.圆满完成区七届人大四次会议及日常会议。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代表参会率</w:t>
            </w:r>
          </w:p>
        </w:tc>
        <w:tc>
          <w:tcPr>
            <w:tcW w:w="5386" w:type="dxa"/>
            <w:vAlign w:val="center"/>
          </w:tcPr>
          <w:p>
            <w:pPr>
              <w:pStyle w:val="15"/>
            </w:pPr>
            <w:r>
              <w:t>代表参会率</w:t>
            </w:r>
          </w:p>
        </w:tc>
        <w:tc>
          <w:tcPr>
            <w:tcW w:w="2268" w:type="dxa"/>
            <w:vAlign w:val="center"/>
          </w:tcPr>
          <w:p>
            <w:pPr>
              <w:pStyle w:val="15"/>
            </w:pPr>
            <w:r>
              <w:t>≥98%</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会议任务完成情况</w:t>
            </w:r>
          </w:p>
        </w:tc>
        <w:tc>
          <w:tcPr>
            <w:tcW w:w="5386" w:type="dxa"/>
            <w:vAlign w:val="center"/>
          </w:tcPr>
          <w:p>
            <w:pPr>
              <w:pStyle w:val="15"/>
            </w:pPr>
            <w:r>
              <w:t>会议任务完成情况</w:t>
            </w:r>
          </w:p>
        </w:tc>
        <w:tc>
          <w:tcPr>
            <w:tcW w:w="2268" w:type="dxa"/>
            <w:vAlign w:val="center"/>
          </w:tcPr>
          <w:p>
            <w:pPr>
              <w:pStyle w:val="15"/>
            </w:pPr>
            <w:r>
              <w:t>全部完成</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任务完成及时率</w:t>
            </w:r>
          </w:p>
        </w:tc>
        <w:tc>
          <w:tcPr>
            <w:tcW w:w="5386" w:type="dxa"/>
            <w:vAlign w:val="center"/>
          </w:tcPr>
          <w:p>
            <w:pPr>
              <w:pStyle w:val="15"/>
            </w:pPr>
            <w:r>
              <w:t>任务完成及时率</w:t>
            </w:r>
          </w:p>
        </w:tc>
        <w:tc>
          <w:tcPr>
            <w:tcW w:w="2268" w:type="dxa"/>
            <w:vAlign w:val="center"/>
          </w:tcPr>
          <w:p>
            <w:pPr>
              <w:pStyle w:val="15"/>
            </w:pPr>
            <w:r>
              <w:t>100%</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按会议标准</w:t>
            </w:r>
          </w:p>
        </w:tc>
        <w:tc>
          <w:tcPr>
            <w:tcW w:w="5386" w:type="dxa"/>
            <w:vAlign w:val="center"/>
          </w:tcPr>
          <w:p>
            <w:pPr>
              <w:pStyle w:val="15"/>
            </w:pPr>
            <w:r>
              <w:t>按会议标准</w:t>
            </w:r>
          </w:p>
        </w:tc>
        <w:tc>
          <w:tcPr>
            <w:tcW w:w="2268" w:type="dxa"/>
            <w:vAlign w:val="center"/>
          </w:tcPr>
          <w:p>
            <w:pPr>
              <w:pStyle w:val="15"/>
            </w:pPr>
            <w:r>
              <w:t>严格按会议标准执行</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对我区的建设和发展的促进作用</w:t>
            </w:r>
          </w:p>
        </w:tc>
        <w:tc>
          <w:tcPr>
            <w:tcW w:w="5386" w:type="dxa"/>
            <w:vAlign w:val="center"/>
          </w:tcPr>
          <w:p>
            <w:pPr>
              <w:pStyle w:val="15"/>
            </w:pPr>
            <w:r>
              <w:t>推动我区的建设和发展</w:t>
            </w:r>
          </w:p>
        </w:tc>
        <w:tc>
          <w:tcPr>
            <w:tcW w:w="2268" w:type="dxa"/>
            <w:vAlign w:val="center"/>
          </w:tcPr>
          <w:p>
            <w:pPr>
              <w:pStyle w:val="15"/>
            </w:pPr>
            <w:r>
              <w:t>有力促进</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代表满意度</w:t>
            </w:r>
          </w:p>
        </w:tc>
        <w:tc>
          <w:tcPr>
            <w:tcW w:w="5386" w:type="dxa"/>
            <w:vAlign w:val="center"/>
          </w:tcPr>
          <w:p>
            <w:pPr>
              <w:pStyle w:val="15"/>
            </w:pPr>
            <w:r>
              <w:t>代表满意度</w:t>
            </w:r>
          </w:p>
        </w:tc>
        <w:tc>
          <w:tcPr>
            <w:tcW w:w="2268" w:type="dxa"/>
            <w:vAlign w:val="center"/>
          </w:tcPr>
          <w:p>
            <w:pPr>
              <w:pStyle w:val="15"/>
            </w:pPr>
            <w:r>
              <w:t>满意</w:t>
            </w:r>
          </w:p>
        </w:tc>
        <w:tc>
          <w:tcPr>
            <w:tcW w:w="1276" w:type="dxa"/>
            <w:vAlign w:val="center"/>
          </w:tcPr>
          <w:p>
            <w:pPr>
              <w:pStyle w:val="15"/>
            </w:pPr>
            <w:r>
              <w:t>常委会工作安排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2、就业见习补贴绩效目标表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13020724P008LLJ10016P</w:t>
            </w:r>
          </w:p>
        </w:tc>
        <w:tc>
          <w:tcPr>
            <w:tcW w:w="2835" w:type="dxa"/>
            <w:vAlign w:val="center"/>
          </w:tcPr>
          <w:p>
            <w:pPr>
              <w:pStyle w:val="13"/>
            </w:pPr>
            <w:r>
              <w:t>项目名称</w:t>
            </w:r>
          </w:p>
        </w:tc>
        <w:tc>
          <w:tcPr>
            <w:tcW w:w="6094" w:type="dxa"/>
            <w:gridSpan w:val="3"/>
            <w:vAlign w:val="center"/>
          </w:tcPr>
          <w:p>
            <w:pPr>
              <w:pStyle w:val="15"/>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1.54</w:t>
            </w:r>
          </w:p>
        </w:tc>
        <w:tc>
          <w:tcPr>
            <w:tcW w:w="2835" w:type="dxa"/>
            <w:vAlign w:val="center"/>
          </w:tcPr>
          <w:p>
            <w:pPr>
              <w:pStyle w:val="13"/>
            </w:pPr>
            <w:r>
              <w:t>其中：财政    资金</w:t>
            </w:r>
          </w:p>
        </w:tc>
        <w:tc>
          <w:tcPr>
            <w:tcW w:w="2551" w:type="dxa"/>
            <w:vAlign w:val="center"/>
          </w:tcPr>
          <w:p>
            <w:pPr>
              <w:pStyle w:val="15"/>
            </w:pPr>
            <w:r>
              <w:t>1.54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我单位有就业见习人员5名，工资标准2200元/月，截止2024年7月份工资7.7万元。财政担负20%为1.54万元。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1.按计划完成就业见习人员招聘工作，提升机关工作活力。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招聘见习生人数</w:t>
            </w:r>
          </w:p>
        </w:tc>
        <w:tc>
          <w:tcPr>
            <w:tcW w:w="5386" w:type="dxa"/>
            <w:vAlign w:val="center"/>
          </w:tcPr>
          <w:p>
            <w:pPr>
              <w:pStyle w:val="15"/>
            </w:pPr>
            <w:r>
              <w:t>招聘见习人数</w:t>
            </w:r>
          </w:p>
        </w:tc>
        <w:tc>
          <w:tcPr>
            <w:tcW w:w="2268" w:type="dxa"/>
            <w:vAlign w:val="center"/>
          </w:tcPr>
          <w:p>
            <w:pPr>
              <w:pStyle w:val="15"/>
            </w:pPr>
            <w:r>
              <w:t>5人</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5386" w:type="dxa"/>
            <w:vAlign w:val="center"/>
          </w:tcPr>
          <w:p>
            <w:pPr>
              <w:pStyle w:val="15"/>
            </w:pPr>
            <w:r>
              <w:t>资金到位情况</w:t>
            </w:r>
          </w:p>
        </w:tc>
        <w:tc>
          <w:tcPr>
            <w:tcW w:w="2268" w:type="dxa"/>
            <w:vAlign w:val="center"/>
          </w:tcPr>
          <w:p>
            <w:pPr>
              <w:pStyle w:val="15"/>
            </w:pPr>
            <w:r>
              <w:t>100%</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及时招聘</w:t>
            </w:r>
          </w:p>
        </w:tc>
        <w:tc>
          <w:tcPr>
            <w:tcW w:w="5386" w:type="dxa"/>
            <w:vAlign w:val="center"/>
          </w:tcPr>
          <w:p>
            <w:pPr>
              <w:pStyle w:val="15"/>
            </w:pPr>
            <w:r>
              <w:t>及时招聘情况</w:t>
            </w:r>
          </w:p>
        </w:tc>
        <w:tc>
          <w:tcPr>
            <w:tcW w:w="2268" w:type="dxa"/>
            <w:vAlign w:val="center"/>
          </w:tcPr>
          <w:p>
            <w:pPr>
              <w:pStyle w:val="15"/>
            </w:pPr>
            <w:r>
              <w:t>按时完成</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发放标准</w:t>
            </w:r>
          </w:p>
        </w:tc>
        <w:tc>
          <w:tcPr>
            <w:tcW w:w="2268" w:type="dxa"/>
            <w:vAlign w:val="center"/>
          </w:tcPr>
          <w:p>
            <w:pPr>
              <w:pStyle w:val="15"/>
            </w:pPr>
            <w:r>
              <w:t>2200元每月每人</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促进机关工作开展</w:t>
            </w:r>
          </w:p>
        </w:tc>
        <w:tc>
          <w:tcPr>
            <w:tcW w:w="5386" w:type="dxa"/>
            <w:vAlign w:val="center"/>
          </w:tcPr>
          <w:p>
            <w:pPr>
              <w:pStyle w:val="15"/>
            </w:pPr>
            <w:r>
              <w:t>促进机关工作开展</w:t>
            </w:r>
          </w:p>
        </w:tc>
        <w:tc>
          <w:tcPr>
            <w:tcW w:w="2268" w:type="dxa"/>
            <w:vAlign w:val="center"/>
          </w:tcPr>
          <w:p>
            <w:pPr>
              <w:pStyle w:val="15"/>
            </w:pPr>
            <w:r>
              <w:t>有力促进</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见习人员满意情况</w:t>
            </w:r>
          </w:p>
        </w:tc>
        <w:tc>
          <w:tcPr>
            <w:tcW w:w="5386" w:type="dxa"/>
            <w:vAlign w:val="center"/>
          </w:tcPr>
          <w:p>
            <w:pPr>
              <w:pStyle w:val="15"/>
            </w:pPr>
            <w:r>
              <w:t>见习人员满意情况</w:t>
            </w:r>
          </w:p>
        </w:tc>
        <w:tc>
          <w:tcPr>
            <w:tcW w:w="2268" w:type="dxa"/>
            <w:vAlign w:val="center"/>
          </w:tcPr>
          <w:p>
            <w:pPr>
              <w:pStyle w:val="15"/>
            </w:pPr>
            <w:r>
              <w:t>满意</w:t>
            </w:r>
          </w:p>
        </w:tc>
        <w:tc>
          <w:tcPr>
            <w:tcW w:w="1276" w:type="dxa"/>
            <w:vAlign w:val="center"/>
          </w:tcPr>
          <w:p>
            <w:pPr>
              <w:pStyle w:val="15"/>
            </w:pPr>
            <w:r>
              <w:t>丰人社呈字[2023]33号文件精神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3、就业生活补贴（区级垫付）绩效目标表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13020724P008LLJ10017B</w:t>
            </w:r>
          </w:p>
        </w:tc>
        <w:tc>
          <w:tcPr>
            <w:tcW w:w="2835" w:type="dxa"/>
            <w:vAlign w:val="center"/>
          </w:tcPr>
          <w:p>
            <w:pPr>
              <w:pStyle w:val="13"/>
            </w:pPr>
            <w:r>
              <w:t>项目名称</w:t>
            </w:r>
          </w:p>
        </w:tc>
        <w:tc>
          <w:tcPr>
            <w:tcW w:w="6094" w:type="dxa"/>
            <w:gridSpan w:val="3"/>
            <w:vAlign w:val="center"/>
          </w:tcPr>
          <w:p>
            <w:pPr>
              <w:pStyle w:val="15"/>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6.16</w:t>
            </w:r>
          </w:p>
        </w:tc>
        <w:tc>
          <w:tcPr>
            <w:tcW w:w="2835" w:type="dxa"/>
            <w:vAlign w:val="center"/>
          </w:tcPr>
          <w:p>
            <w:pPr>
              <w:pStyle w:val="13"/>
            </w:pPr>
            <w:r>
              <w:t>其中：财政    资金</w:t>
            </w:r>
          </w:p>
        </w:tc>
        <w:tc>
          <w:tcPr>
            <w:tcW w:w="2551" w:type="dxa"/>
            <w:vAlign w:val="center"/>
          </w:tcPr>
          <w:p>
            <w:pPr>
              <w:pStyle w:val="15"/>
            </w:pPr>
            <w:r>
              <w:t>6.16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我单位有就业见习人员5名，工资标准2200元/月，共需资金7.7万元，其中政担垫付（80%部分）6.16万元。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1.按计划完成就业见习人员招聘工作，提升机关工作活力。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招聘见习生人数</w:t>
            </w:r>
          </w:p>
        </w:tc>
        <w:tc>
          <w:tcPr>
            <w:tcW w:w="5386" w:type="dxa"/>
            <w:vAlign w:val="center"/>
          </w:tcPr>
          <w:p>
            <w:pPr>
              <w:pStyle w:val="15"/>
            </w:pPr>
            <w:r>
              <w:t>招聘见习人数</w:t>
            </w:r>
          </w:p>
        </w:tc>
        <w:tc>
          <w:tcPr>
            <w:tcW w:w="2268" w:type="dxa"/>
            <w:vAlign w:val="center"/>
          </w:tcPr>
          <w:p>
            <w:pPr>
              <w:pStyle w:val="15"/>
            </w:pPr>
            <w:r>
              <w:t>5人</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5386" w:type="dxa"/>
            <w:vAlign w:val="center"/>
          </w:tcPr>
          <w:p>
            <w:pPr>
              <w:pStyle w:val="15"/>
            </w:pPr>
            <w:r>
              <w:t>资金到位情况</w:t>
            </w:r>
          </w:p>
        </w:tc>
        <w:tc>
          <w:tcPr>
            <w:tcW w:w="2268" w:type="dxa"/>
            <w:vAlign w:val="center"/>
          </w:tcPr>
          <w:p>
            <w:pPr>
              <w:pStyle w:val="15"/>
            </w:pPr>
            <w:r>
              <w:t>100%</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及时招聘</w:t>
            </w:r>
          </w:p>
        </w:tc>
        <w:tc>
          <w:tcPr>
            <w:tcW w:w="5386" w:type="dxa"/>
            <w:vAlign w:val="center"/>
          </w:tcPr>
          <w:p>
            <w:pPr>
              <w:pStyle w:val="15"/>
            </w:pPr>
            <w:r>
              <w:t>及时招聘情况</w:t>
            </w:r>
          </w:p>
        </w:tc>
        <w:tc>
          <w:tcPr>
            <w:tcW w:w="2268" w:type="dxa"/>
            <w:vAlign w:val="center"/>
          </w:tcPr>
          <w:p>
            <w:pPr>
              <w:pStyle w:val="15"/>
            </w:pPr>
            <w:r>
              <w:t>及时招聘</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5386" w:type="dxa"/>
            <w:vAlign w:val="center"/>
          </w:tcPr>
          <w:p>
            <w:pPr>
              <w:pStyle w:val="15"/>
            </w:pPr>
            <w:r>
              <w:t>发放标准</w:t>
            </w:r>
          </w:p>
        </w:tc>
        <w:tc>
          <w:tcPr>
            <w:tcW w:w="2268" w:type="dxa"/>
            <w:vAlign w:val="center"/>
          </w:tcPr>
          <w:p>
            <w:pPr>
              <w:pStyle w:val="15"/>
            </w:pPr>
            <w:r>
              <w:t>200元/月/人</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促进机关工作开展</w:t>
            </w:r>
          </w:p>
        </w:tc>
        <w:tc>
          <w:tcPr>
            <w:tcW w:w="5386" w:type="dxa"/>
            <w:vAlign w:val="center"/>
          </w:tcPr>
          <w:p>
            <w:pPr>
              <w:pStyle w:val="15"/>
            </w:pPr>
            <w:r>
              <w:t>促进机关工作开展</w:t>
            </w:r>
          </w:p>
        </w:tc>
        <w:tc>
          <w:tcPr>
            <w:tcW w:w="2268" w:type="dxa"/>
            <w:vAlign w:val="center"/>
          </w:tcPr>
          <w:p>
            <w:pPr>
              <w:pStyle w:val="15"/>
            </w:pPr>
            <w:r>
              <w:t>有力促进</w:t>
            </w:r>
          </w:p>
        </w:tc>
        <w:tc>
          <w:tcPr>
            <w:tcW w:w="1276" w:type="dxa"/>
            <w:vAlign w:val="center"/>
          </w:tcPr>
          <w:p>
            <w:pPr>
              <w:pStyle w:val="15"/>
            </w:pPr>
            <w:r>
              <w:t>丰人社呈字[2023]33号文件精神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见习人员满意情况</w:t>
            </w:r>
          </w:p>
        </w:tc>
        <w:tc>
          <w:tcPr>
            <w:tcW w:w="5386" w:type="dxa"/>
            <w:vAlign w:val="center"/>
          </w:tcPr>
          <w:p>
            <w:pPr>
              <w:pStyle w:val="15"/>
            </w:pPr>
            <w:r>
              <w:t>见习人员满意情况</w:t>
            </w:r>
          </w:p>
        </w:tc>
        <w:tc>
          <w:tcPr>
            <w:tcW w:w="2268" w:type="dxa"/>
            <w:vAlign w:val="center"/>
          </w:tcPr>
          <w:p>
            <w:pPr>
              <w:pStyle w:val="15"/>
            </w:pPr>
            <w:r>
              <w:t>满意</w:t>
            </w:r>
          </w:p>
        </w:tc>
        <w:tc>
          <w:tcPr>
            <w:tcW w:w="1276" w:type="dxa"/>
            <w:vAlign w:val="center"/>
          </w:tcPr>
          <w:p>
            <w:pPr>
              <w:pStyle w:val="15"/>
            </w:pPr>
            <w:r>
              <w:t>丰人社呈字[2023]33号文件精神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4、劳务外包经费绩效目标表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13020724P008LLJ100154</w:t>
            </w:r>
          </w:p>
        </w:tc>
        <w:tc>
          <w:tcPr>
            <w:tcW w:w="2835" w:type="dxa"/>
            <w:vAlign w:val="center"/>
          </w:tcPr>
          <w:p>
            <w:pPr>
              <w:pStyle w:val="13"/>
            </w:pPr>
            <w:r>
              <w:t>项目名称</w:t>
            </w:r>
          </w:p>
        </w:tc>
        <w:tc>
          <w:tcPr>
            <w:tcW w:w="6094" w:type="dxa"/>
            <w:gridSpan w:val="3"/>
            <w:vAlign w:val="center"/>
          </w:tcPr>
          <w:p>
            <w:pPr>
              <w:pStyle w:val="15"/>
            </w:pPr>
            <w:r>
              <w:t>劳务外包经费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5.50</w:t>
            </w:r>
          </w:p>
        </w:tc>
        <w:tc>
          <w:tcPr>
            <w:tcW w:w="2835" w:type="dxa"/>
            <w:vAlign w:val="center"/>
          </w:tcPr>
          <w:p>
            <w:pPr>
              <w:pStyle w:val="13"/>
            </w:pPr>
            <w:r>
              <w:t>其中：财政    资金</w:t>
            </w:r>
          </w:p>
        </w:tc>
        <w:tc>
          <w:tcPr>
            <w:tcW w:w="2551" w:type="dxa"/>
            <w:vAlign w:val="center"/>
          </w:tcPr>
          <w:p>
            <w:pPr>
              <w:pStyle w:val="15"/>
            </w:pPr>
            <w:r>
              <w:t>5.50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根据工作需要，2024年预计支出5.5万元，用于驾驶劳务外包费用。</w:t>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1.通过劳务外包方式，保障机关公务车正常出行。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保障公务车正常运行</w:t>
            </w:r>
          </w:p>
        </w:tc>
        <w:tc>
          <w:tcPr>
            <w:tcW w:w="5386" w:type="dxa"/>
            <w:vAlign w:val="center"/>
          </w:tcPr>
          <w:p>
            <w:pPr>
              <w:pStyle w:val="15"/>
            </w:pPr>
            <w:r>
              <w:t>保障公务车正常运行</w:t>
            </w:r>
          </w:p>
        </w:tc>
        <w:tc>
          <w:tcPr>
            <w:tcW w:w="2268" w:type="dxa"/>
            <w:vAlign w:val="center"/>
          </w:tcPr>
          <w:p>
            <w:pPr>
              <w:pStyle w:val="15"/>
            </w:pPr>
            <w:r>
              <w:t>保障运行</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5386" w:type="dxa"/>
            <w:vAlign w:val="center"/>
          </w:tcPr>
          <w:p>
            <w:pPr>
              <w:pStyle w:val="15"/>
            </w:pPr>
            <w:r>
              <w:t>资金到位情况</w:t>
            </w:r>
          </w:p>
        </w:tc>
        <w:tc>
          <w:tcPr>
            <w:tcW w:w="2268" w:type="dxa"/>
            <w:vAlign w:val="center"/>
          </w:tcPr>
          <w:p>
            <w:pPr>
              <w:pStyle w:val="15"/>
            </w:pPr>
            <w:r>
              <w:t>100%</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按时完成</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成本指标</w:t>
            </w:r>
          </w:p>
        </w:tc>
        <w:tc>
          <w:tcPr>
            <w:tcW w:w="5386" w:type="dxa"/>
            <w:vAlign w:val="center"/>
          </w:tcPr>
          <w:p>
            <w:pPr>
              <w:pStyle w:val="15"/>
            </w:pPr>
            <w:r>
              <w:t>成本指标</w:t>
            </w:r>
          </w:p>
        </w:tc>
        <w:tc>
          <w:tcPr>
            <w:tcW w:w="2268" w:type="dxa"/>
            <w:vAlign w:val="center"/>
          </w:tcPr>
          <w:p>
            <w:pPr>
              <w:pStyle w:val="15"/>
            </w:pPr>
            <w:r>
              <w:t>控制成本</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促进机关工作开展</w:t>
            </w:r>
          </w:p>
        </w:tc>
        <w:tc>
          <w:tcPr>
            <w:tcW w:w="5386" w:type="dxa"/>
            <w:vAlign w:val="center"/>
          </w:tcPr>
          <w:p>
            <w:pPr>
              <w:pStyle w:val="15"/>
            </w:pPr>
            <w:r>
              <w:t>促进机关工作开展</w:t>
            </w:r>
          </w:p>
        </w:tc>
        <w:tc>
          <w:tcPr>
            <w:tcW w:w="2268" w:type="dxa"/>
            <w:vAlign w:val="center"/>
          </w:tcPr>
          <w:p>
            <w:pPr>
              <w:pStyle w:val="15"/>
            </w:pPr>
            <w:r>
              <w:t>有力促进</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工作人员满意情况</w:t>
            </w:r>
          </w:p>
        </w:tc>
        <w:tc>
          <w:tcPr>
            <w:tcW w:w="5386" w:type="dxa"/>
            <w:vAlign w:val="center"/>
          </w:tcPr>
          <w:p>
            <w:pPr>
              <w:pStyle w:val="15"/>
            </w:pPr>
            <w:r>
              <w:t>工作人员满意情况</w:t>
            </w:r>
          </w:p>
        </w:tc>
        <w:tc>
          <w:tcPr>
            <w:tcW w:w="2268" w:type="dxa"/>
            <w:vAlign w:val="center"/>
          </w:tcPr>
          <w:p>
            <w:pPr>
              <w:pStyle w:val="15"/>
            </w:pPr>
            <w:r>
              <w:t>满意</w:t>
            </w:r>
          </w:p>
        </w:tc>
        <w:tc>
          <w:tcPr>
            <w:tcW w:w="1276" w:type="dxa"/>
            <w:vAlign w:val="center"/>
          </w:tcPr>
          <w:p>
            <w:pPr>
              <w:pStyle w:val="15"/>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5、区代表活动经费绩效目标表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13020724P00XL0H100083</w:t>
            </w:r>
          </w:p>
        </w:tc>
        <w:tc>
          <w:tcPr>
            <w:tcW w:w="2835" w:type="dxa"/>
            <w:vAlign w:val="center"/>
          </w:tcPr>
          <w:p>
            <w:pPr>
              <w:pStyle w:val="13"/>
            </w:pPr>
            <w:r>
              <w:t>项目名称</w:t>
            </w:r>
          </w:p>
        </w:tc>
        <w:tc>
          <w:tcPr>
            <w:tcW w:w="6094" w:type="dxa"/>
            <w:gridSpan w:val="3"/>
            <w:vAlign w:val="center"/>
          </w:tcPr>
          <w:p>
            <w:pPr>
              <w:pStyle w:val="15"/>
            </w:pPr>
            <w:r>
              <w:t>区代表活动经费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25.00</w:t>
            </w:r>
          </w:p>
        </w:tc>
        <w:tc>
          <w:tcPr>
            <w:tcW w:w="2835" w:type="dxa"/>
            <w:vAlign w:val="center"/>
          </w:tcPr>
          <w:p>
            <w:pPr>
              <w:pStyle w:val="13"/>
            </w:pPr>
            <w:r>
              <w:t>其中：财政    资金</w:t>
            </w:r>
          </w:p>
        </w:tc>
        <w:tc>
          <w:tcPr>
            <w:tcW w:w="2551" w:type="dxa"/>
            <w:vAlign w:val="center"/>
          </w:tcPr>
          <w:p>
            <w:pPr>
              <w:pStyle w:val="15"/>
            </w:pPr>
            <w:r>
              <w:t>25.00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按照区人大常委会的工作安排，计划分批安排各级代表和机关工作人员到外地学习、考察、培训等。2024年预计支出25万元，其中：1、培训费20万元，2、差旅费5万元。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1.按照区人大常委会工作安排，计划安排约60人次，分批到全国人大培训基地和其他省市培训中心学习培训，提高常委会组成人员的履职能力。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常委会人员培训率</w:t>
            </w:r>
          </w:p>
        </w:tc>
        <w:tc>
          <w:tcPr>
            <w:tcW w:w="5386" w:type="dxa"/>
            <w:vAlign w:val="center"/>
          </w:tcPr>
          <w:p>
            <w:pPr>
              <w:pStyle w:val="15"/>
            </w:pPr>
            <w:r>
              <w:t>常委会人员培训率</w:t>
            </w:r>
          </w:p>
        </w:tc>
        <w:tc>
          <w:tcPr>
            <w:tcW w:w="2268" w:type="dxa"/>
            <w:vAlign w:val="center"/>
          </w:tcPr>
          <w:p>
            <w:pPr>
              <w:pStyle w:val="15"/>
            </w:pPr>
            <w:r>
              <w:t>≥98%</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培训质量情况</w:t>
            </w:r>
          </w:p>
        </w:tc>
        <w:tc>
          <w:tcPr>
            <w:tcW w:w="5386" w:type="dxa"/>
            <w:vAlign w:val="center"/>
          </w:tcPr>
          <w:p>
            <w:pPr>
              <w:pStyle w:val="15"/>
            </w:pPr>
            <w:r>
              <w:t>培训质量情况</w:t>
            </w:r>
          </w:p>
        </w:tc>
        <w:tc>
          <w:tcPr>
            <w:tcW w:w="2268" w:type="dxa"/>
            <w:vAlign w:val="center"/>
          </w:tcPr>
          <w:p>
            <w:pPr>
              <w:pStyle w:val="15"/>
            </w:pPr>
            <w:r>
              <w:t>提高培训质量</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及时组织培训</w:t>
            </w:r>
          </w:p>
        </w:tc>
        <w:tc>
          <w:tcPr>
            <w:tcW w:w="5386" w:type="dxa"/>
            <w:vAlign w:val="center"/>
          </w:tcPr>
          <w:p>
            <w:pPr>
              <w:pStyle w:val="15"/>
            </w:pPr>
            <w:r>
              <w:t>及时组织培训</w:t>
            </w:r>
          </w:p>
        </w:tc>
        <w:tc>
          <w:tcPr>
            <w:tcW w:w="2268" w:type="dxa"/>
            <w:vAlign w:val="center"/>
          </w:tcPr>
          <w:p>
            <w:pPr>
              <w:pStyle w:val="15"/>
            </w:pPr>
            <w:r>
              <w:t>及时组织</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人均专家聘用费</w:t>
            </w:r>
          </w:p>
        </w:tc>
        <w:tc>
          <w:tcPr>
            <w:tcW w:w="5386" w:type="dxa"/>
            <w:vAlign w:val="center"/>
          </w:tcPr>
          <w:p>
            <w:pPr>
              <w:pStyle w:val="15"/>
            </w:pPr>
            <w:r>
              <w:t>人均专家聘用费</w:t>
            </w:r>
          </w:p>
        </w:tc>
        <w:tc>
          <w:tcPr>
            <w:tcW w:w="2268" w:type="dxa"/>
            <w:vAlign w:val="center"/>
          </w:tcPr>
          <w:p>
            <w:pPr>
              <w:pStyle w:val="15"/>
            </w:pPr>
            <w:r>
              <w:t>按培训标准</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对会议质量的提升</w:t>
            </w:r>
          </w:p>
        </w:tc>
        <w:tc>
          <w:tcPr>
            <w:tcW w:w="5386" w:type="dxa"/>
            <w:vAlign w:val="center"/>
          </w:tcPr>
          <w:p>
            <w:pPr>
              <w:pStyle w:val="15"/>
            </w:pPr>
            <w:r>
              <w:t>对常委会会议质量的提升情况</w:t>
            </w:r>
          </w:p>
        </w:tc>
        <w:tc>
          <w:tcPr>
            <w:tcW w:w="2268" w:type="dxa"/>
            <w:vAlign w:val="center"/>
          </w:tcPr>
          <w:p>
            <w:pPr>
              <w:pStyle w:val="15"/>
            </w:pPr>
            <w:r>
              <w:t>显著提升</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参会人员满意度</w:t>
            </w:r>
          </w:p>
        </w:tc>
        <w:tc>
          <w:tcPr>
            <w:tcW w:w="5386" w:type="dxa"/>
            <w:vAlign w:val="center"/>
          </w:tcPr>
          <w:p>
            <w:pPr>
              <w:pStyle w:val="15"/>
            </w:pPr>
            <w:r>
              <w:t>参会人员满意度</w:t>
            </w:r>
          </w:p>
        </w:tc>
        <w:tc>
          <w:tcPr>
            <w:tcW w:w="2268" w:type="dxa"/>
            <w:vAlign w:val="center"/>
          </w:tcPr>
          <w:p>
            <w:pPr>
              <w:pStyle w:val="15"/>
            </w:pPr>
            <w:r>
              <w:t>满意</w:t>
            </w:r>
          </w:p>
        </w:tc>
        <w:tc>
          <w:tcPr>
            <w:tcW w:w="1276" w:type="dxa"/>
            <w:vAlign w:val="center"/>
          </w:tcPr>
          <w:p>
            <w:pPr>
              <w:pStyle w:val="15"/>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6、人大代表之家（联络站）运行经费绩效目标表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13020724P00XL0H10009N</w:t>
            </w:r>
          </w:p>
        </w:tc>
        <w:tc>
          <w:tcPr>
            <w:tcW w:w="2835" w:type="dxa"/>
            <w:vAlign w:val="center"/>
          </w:tcPr>
          <w:p>
            <w:pPr>
              <w:pStyle w:val="13"/>
            </w:pPr>
            <w:r>
              <w:t>项目名称</w:t>
            </w:r>
          </w:p>
        </w:tc>
        <w:tc>
          <w:tcPr>
            <w:tcW w:w="6094" w:type="dxa"/>
            <w:gridSpan w:val="3"/>
            <w:vAlign w:val="center"/>
          </w:tcPr>
          <w:p>
            <w:pPr>
              <w:pStyle w:val="15"/>
            </w:pPr>
            <w:r>
              <w:t>人大代表之家（联络站）运行经费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我区现有代表之家18个，代表联络站49个，承担着各级代表与选民的桥梁纽带功能，为保障家站的顺利运行，2024年预计支出20万元用于家站办公经费。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加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代表参加活动率</w:t>
            </w:r>
          </w:p>
        </w:tc>
        <w:tc>
          <w:tcPr>
            <w:tcW w:w="5386" w:type="dxa"/>
            <w:vAlign w:val="center"/>
          </w:tcPr>
          <w:p>
            <w:pPr>
              <w:pStyle w:val="15"/>
            </w:pPr>
            <w:r>
              <w:t>代表参加活动的比例</w:t>
            </w:r>
          </w:p>
        </w:tc>
        <w:tc>
          <w:tcPr>
            <w:tcW w:w="2268" w:type="dxa"/>
            <w:vAlign w:val="center"/>
          </w:tcPr>
          <w:p>
            <w:pPr>
              <w:pStyle w:val="15"/>
            </w:pPr>
            <w:r>
              <w:t>≥90%</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正常运转率</w:t>
            </w:r>
          </w:p>
        </w:tc>
        <w:tc>
          <w:tcPr>
            <w:tcW w:w="5386" w:type="dxa"/>
            <w:vAlign w:val="center"/>
          </w:tcPr>
          <w:p>
            <w:pPr>
              <w:pStyle w:val="15"/>
            </w:pPr>
            <w:r>
              <w:t>正常运转率</w:t>
            </w:r>
          </w:p>
        </w:tc>
        <w:tc>
          <w:tcPr>
            <w:tcW w:w="2268" w:type="dxa"/>
            <w:vAlign w:val="center"/>
          </w:tcPr>
          <w:p>
            <w:pPr>
              <w:pStyle w:val="15"/>
            </w:pPr>
            <w:r>
              <w:t>≥98%</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活动开展的及时性</w:t>
            </w:r>
          </w:p>
        </w:tc>
        <w:tc>
          <w:tcPr>
            <w:tcW w:w="5386" w:type="dxa"/>
            <w:vAlign w:val="center"/>
          </w:tcPr>
          <w:p>
            <w:pPr>
              <w:pStyle w:val="15"/>
            </w:pPr>
            <w:r>
              <w:t>活动开展的及时性</w:t>
            </w:r>
          </w:p>
        </w:tc>
        <w:tc>
          <w:tcPr>
            <w:tcW w:w="2268" w:type="dxa"/>
            <w:vAlign w:val="center"/>
          </w:tcPr>
          <w:p>
            <w:pPr>
              <w:pStyle w:val="15"/>
            </w:pPr>
            <w:r>
              <w:t>≥95%</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运行保障成本</w:t>
            </w:r>
          </w:p>
        </w:tc>
        <w:tc>
          <w:tcPr>
            <w:tcW w:w="5386" w:type="dxa"/>
            <w:vAlign w:val="center"/>
          </w:tcPr>
          <w:p>
            <w:pPr>
              <w:pStyle w:val="15"/>
            </w:pPr>
            <w:r>
              <w:t>运行保障成本</w:t>
            </w:r>
          </w:p>
        </w:tc>
        <w:tc>
          <w:tcPr>
            <w:tcW w:w="2268" w:type="dxa"/>
            <w:vAlign w:val="center"/>
          </w:tcPr>
          <w:p>
            <w:pPr>
              <w:pStyle w:val="15"/>
            </w:pPr>
            <w:r>
              <w:t>有效降低运行成本</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代表自身素质的提高率</w:t>
            </w:r>
          </w:p>
        </w:tc>
        <w:tc>
          <w:tcPr>
            <w:tcW w:w="5386" w:type="dxa"/>
            <w:vAlign w:val="center"/>
          </w:tcPr>
          <w:p>
            <w:pPr>
              <w:pStyle w:val="15"/>
            </w:pPr>
            <w:r>
              <w:t>代表自身素质的提高情况</w:t>
            </w:r>
          </w:p>
        </w:tc>
        <w:tc>
          <w:tcPr>
            <w:tcW w:w="2268" w:type="dxa"/>
            <w:vAlign w:val="center"/>
          </w:tcPr>
          <w:p>
            <w:pPr>
              <w:pStyle w:val="15"/>
            </w:pPr>
            <w:r>
              <w:t>显著提高</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各级代表的满意程度</w:t>
            </w:r>
          </w:p>
        </w:tc>
        <w:tc>
          <w:tcPr>
            <w:tcW w:w="5386" w:type="dxa"/>
            <w:vAlign w:val="center"/>
          </w:tcPr>
          <w:p>
            <w:pPr>
              <w:pStyle w:val="15"/>
            </w:pPr>
            <w:r>
              <w:t>各级代表对家（站）工作的满意程度</w:t>
            </w:r>
          </w:p>
        </w:tc>
        <w:tc>
          <w:tcPr>
            <w:tcW w:w="2268" w:type="dxa"/>
            <w:vAlign w:val="center"/>
          </w:tcPr>
          <w:p>
            <w:pPr>
              <w:pStyle w:val="15"/>
            </w:pPr>
            <w:r>
              <w:t>满意</w:t>
            </w:r>
          </w:p>
        </w:tc>
        <w:tc>
          <w:tcPr>
            <w:tcW w:w="1276" w:type="dxa"/>
            <w:vAlign w:val="center"/>
          </w:tcPr>
          <w:p>
            <w:pPr>
              <w:pStyle w:val="15"/>
            </w:pPr>
            <w:r>
              <w:t>常委会工作安排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7、业务工作经费绩效目标表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13020724P008LLJ10013W</w:t>
            </w:r>
          </w:p>
        </w:tc>
        <w:tc>
          <w:tcPr>
            <w:tcW w:w="2835" w:type="dxa"/>
            <w:vAlign w:val="center"/>
          </w:tcPr>
          <w:p>
            <w:pPr>
              <w:pStyle w:val="13"/>
            </w:pPr>
            <w:r>
              <w:t>项目名称</w:t>
            </w:r>
          </w:p>
        </w:tc>
        <w:tc>
          <w:tcPr>
            <w:tcW w:w="6094" w:type="dxa"/>
            <w:gridSpan w:val="3"/>
            <w:vAlign w:val="center"/>
          </w:tcPr>
          <w:p>
            <w:pPr>
              <w:pStyle w:val="15"/>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88.00</w:t>
            </w:r>
          </w:p>
        </w:tc>
        <w:tc>
          <w:tcPr>
            <w:tcW w:w="2835" w:type="dxa"/>
            <w:vAlign w:val="center"/>
          </w:tcPr>
          <w:p>
            <w:pPr>
              <w:pStyle w:val="13"/>
            </w:pPr>
            <w:r>
              <w:t>其中：财政    资金</w:t>
            </w:r>
          </w:p>
        </w:tc>
        <w:tc>
          <w:tcPr>
            <w:tcW w:w="2551" w:type="dxa"/>
            <w:vAlign w:val="center"/>
          </w:tcPr>
          <w:p>
            <w:pPr>
              <w:pStyle w:val="15"/>
            </w:pPr>
            <w:r>
              <w:t>88.00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按照区人大常委会工作安排，2024年预计支出88万元。其中1、办公设备购置4万元；2、办公用品购置、编辑会刊、印制学习培训及宣传资料、人大文化园维护等办公费24万元；3、组织各级代表及机关工作人员学习、考察、培训、招商等差旅费30万元；4、组织各级代表及机关工作人员培训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工作人员参加培训率</w:t>
            </w:r>
          </w:p>
        </w:tc>
        <w:tc>
          <w:tcPr>
            <w:tcW w:w="5386" w:type="dxa"/>
            <w:vAlign w:val="center"/>
          </w:tcPr>
          <w:p>
            <w:pPr>
              <w:pStyle w:val="15"/>
            </w:pPr>
            <w:r>
              <w:t>工作人员参加培训率</w:t>
            </w:r>
          </w:p>
        </w:tc>
        <w:tc>
          <w:tcPr>
            <w:tcW w:w="2268" w:type="dxa"/>
            <w:vAlign w:val="center"/>
          </w:tcPr>
          <w:p>
            <w:pPr>
              <w:pStyle w:val="15"/>
            </w:pPr>
            <w:r>
              <w:t>≥95%</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会刊的编辑及印刷完成率</w:t>
            </w:r>
          </w:p>
        </w:tc>
        <w:tc>
          <w:tcPr>
            <w:tcW w:w="5386" w:type="dxa"/>
            <w:vAlign w:val="center"/>
          </w:tcPr>
          <w:p>
            <w:pPr>
              <w:pStyle w:val="15"/>
            </w:pPr>
            <w:r>
              <w:t>会刊的编辑及印刷完成率</w:t>
            </w:r>
          </w:p>
        </w:tc>
        <w:tc>
          <w:tcPr>
            <w:tcW w:w="2268" w:type="dxa"/>
            <w:vAlign w:val="center"/>
          </w:tcPr>
          <w:p>
            <w:pPr>
              <w:pStyle w:val="15"/>
            </w:pPr>
            <w:r>
              <w:t>完成</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综合业务管理工作完成率</w:t>
            </w:r>
          </w:p>
        </w:tc>
        <w:tc>
          <w:tcPr>
            <w:tcW w:w="5386" w:type="dxa"/>
            <w:vAlign w:val="center"/>
          </w:tcPr>
          <w:p>
            <w:pPr>
              <w:pStyle w:val="15"/>
            </w:pPr>
            <w:r>
              <w:t>综合业务管理工作完成率</w:t>
            </w:r>
          </w:p>
        </w:tc>
        <w:tc>
          <w:tcPr>
            <w:tcW w:w="2268" w:type="dxa"/>
            <w:vAlign w:val="center"/>
          </w:tcPr>
          <w:p>
            <w:pPr>
              <w:pStyle w:val="15"/>
            </w:pPr>
            <w:r>
              <w:t>≥95%</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5386" w:type="dxa"/>
            <w:vAlign w:val="center"/>
          </w:tcPr>
          <w:p>
            <w:pPr>
              <w:pStyle w:val="15"/>
            </w:pPr>
            <w:r>
              <w:t>预算执行率</w:t>
            </w:r>
          </w:p>
        </w:tc>
        <w:tc>
          <w:tcPr>
            <w:tcW w:w="2268" w:type="dxa"/>
            <w:vAlign w:val="center"/>
          </w:tcPr>
          <w:p>
            <w:pPr>
              <w:pStyle w:val="15"/>
            </w:pPr>
            <w:r>
              <w:t>≥95%</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综合业务管理工作完成率</w:t>
            </w:r>
          </w:p>
        </w:tc>
        <w:tc>
          <w:tcPr>
            <w:tcW w:w="5386" w:type="dxa"/>
            <w:vAlign w:val="center"/>
          </w:tcPr>
          <w:p>
            <w:pPr>
              <w:pStyle w:val="15"/>
            </w:pPr>
            <w:r>
              <w:t>对各项业务的完成情况</w:t>
            </w:r>
          </w:p>
        </w:tc>
        <w:tc>
          <w:tcPr>
            <w:tcW w:w="2268" w:type="dxa"/>
            <w:vAlign w:val="center"/>
          </w:tcPr>
          <w:p>
            <w:pPr>
              <w:pStyle w:val="15"/>
            </w:pPr>
            <w:r>
              <w:t>完成</w:t>
            </w:r>
          </w:p>
        </w:tc>
        <w:tc>
          <w:tcPr>
            <w:tcW w:w="1276" w:type="dxa"/>
            <w:vAlign w:val="center"/>
          </w:tcPr>
          <w:p>
            <w:pPr>
              <w:pStyle w:val="15"/>
            </w:pPr>
            <w:r>
              <w:t>常委会工作安排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工作人员满情况</w:t>
            </w:r>
          </w:p>
        </w:tc>
        <w:tc>
          <w:tcPr>
            <w:tcW w:w="5386" w:type="dxa"/>
            <w:vAlign w:val="center"/>
          </w:tcPr>
          <w:p>
            <w:pPr>
              <w:pStyle w:val="15"/>
            </w:pPr>
            <w:r>
              <w:t>工作人员满意情况</w:t>
            </w:r>
          </w:p>
        </w:tc>
        <w:tc>
          <w:tcPr>
            <w:tcW w:w="2268" w:type="dxa"/>
            <w:vAlign w:val="center"/>
          </w:tcPr>
          <w:p>
            <w:pPr>
              <w:pStyle w:val="15"/>
            </w:pPr>
            <w:r>
              <w:t>满意</w:t>
            </w:r>
          </w:p>
        </w:tc>
        <w:tc>
          <w:tcPr>
            <w:tcW w:w="1276" w:type="dxa"/>
            <w:vAlign w:val="center"/>
          </w:tcPr>
          <w:p>
            <w:pPr>
              <w:pStyle w:val="15"/>
            </w:pPr>
            <w:r>
              <w:t>常委会工作安排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唐山市丰南区人民代表大会常务委员会办公室（含所属单位）上年末固定资产金额为124.78万元（详见下表）。本年度拟购置固定资产总额为0.00万元，已按要求列入政府采购预算，详见政府采购预算表。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3</w:t>
            </w:r>
          </w:p>
        </w:tc>
        <w:tc>
          <w:tcPr>
            <w:tcW w:w="2835" w:type="dxa"/>
            <w:vAlign w:val="center"/>
          </w:tcPr>
          <w:p>
            <w:pPr>
              <w:pStyle w:val="14"/>
            </w:pPr>
            <w: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135</w:t>
            </w:r>
          </w:p>
        </w:tc>
        <w:tc>
          <w:tcPr>
            <w:tcW w:w="2835" w:type="dxa"/>
            <w:vAlign w:val="center"/>
          </w:tcPr>
          <w:p>
            <w:pPr>
              <w:pStyle w:val="14"/>
            </w:pPr>
            <w:r>
              <w:t>80.55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379E3"/>
    <w:multiLevelType w:val="singleLevel"/>
    <w:tmpl w:val="A0E379E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6277C0"/>
    <w:rsid w:val="00074A21"/>
    <w:rsid w:val="006277C0"/>
    <w:rsid w:val="00B479C0"/>
    <w:rsid w:val="3B6A14A3"/>
    <w:rsid w:val="3C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Props1.xml><?xml version="1.0" encoding="utf-8"?>
<ds:datastoreItem xmlns:ds="http://schemas.openxmlformats.org/officeDocument/2006/customXml" ds:itemID="{71BA1E49-5683-4584-B508-59F594FA0C8F}">
  <ds:schemaRefs/>
</ds:datastoreItem>
</file>

<file path=customXml/itemProps10.xml><?xml version="1.0" encoding="utf-8"?>
<ds:datastoreItem xmlns:ds="http://schemas.openxmlformats.org/officeDocument/2006/customXml" ds:itemID="{BBE63375-195F-4526-8474-764936AD7129}">
  <ds:schemaRefs/>
</ds:datastoreItem>
</file>

<file path=customXml/itemProps11.xml><?xml version="1.0" encoding="utf-8"?>
<ds:datastoreItem xmlns:ds="http://schemas.openxmlformats.org/officeDocument/2006/customXml" ds:itemID="{7F00D4D5-0020-496D-B59A-407FFB73482C}">
  <ds:schemaRefs/>
</ds:datastoreItem>
</file>

<file path=customXml/itemProps12.xml><?xml version="1.0" encoding="utf-8"?>
<ds:datastoreItem xmlns:ds="http://schemas.openxmlformats.org/officeDocument/2006/customXml" ds:itemID="{7DFE330B-1A60-4E85-8AB8-8E4F9E0355E8}">
  <ds:schemaRefs/>
</ds:datastoreItem>
</file>

<file path=customXml/itemProps13.xml><?xml version="1.0" encoding="utf-8"?>
<ds:datastoreItem xmlns:ds="http://schemas.openxmlformats.org/officeDocument/2006/customXml" ds:itemID="{572390BA-D9ED-4209-B823-78702ED00FD9}">
  <ds:schemaRefs/>
</ds:datastoreItem>
</file>

<file path=customXml/itemProps14.xml><?xml version="1.0" encoding="utf-8"?>
<ds:datastoreItem xmlns:ds="http://schemas.openxmlformats.org/officeDocument/2006/customXml" ds:itemID="{21089136-BA2F-4D54-89E4-0D9D0064AE77}">
  <ds:schemaRefs/>
</ds:datastoreItem>
</file>

<file path=customXml/itemProps15.xml><?xml version="1.0" encoding="utf-8"?>
<ds:datastoreItem xmlns:ds="http://schemas.openxmlformats.org/officeDocument/2006/customXml" ds:itemID="{61205465-A135-41B9-9E3B-2CB107CB49D0}">
  <ds:schemaRefs/>
</ds:datastoreItem>
</file>

<file path=customXml/itemProps16.xml><?xml version="1.0" encoding="utf-8"?>
<ds:datastoreItem xmlns:ds="http://schemas.openxmlformats.org/officeDocument/2006/customXml" ds:itemID="{1D749E7D-BFD6-40F9-9DEC-CECC0DB51434}">
  <ds:schemaRefs/>
</ds:datastoreItem>
</file>

<file path=customXml/itemProps17.xml><?xml version="1.0" encoding="utf-8"?>
<ds:datastoreItem xmlns:ds="http://schemas.openxmlformats.org/officeDocument/2006/customXml" ds:itemID="{A71FD7F5-5F4B-4135-9681-FF39299F7340}">
  <ds:schemaRefs/>
</ds:datastoreItem>
</file>

<file path=customXml/itemProps18.xml><?xml version="1.0" encoding="utf-8"?>
<ds:datastoreItem xmlns:ds="http://schemas.openxmlformats.org/officeDocument/2006/customXml" ds:itemID="{C6EC87E6-5E97-42CF-B7A6-6227396A9F22}">
  <ds:schemaRefs/>
</ds:datastoreItem>
</file>

<file path=customXml/itemProps19.xml><?xml version="1.0" encoding="utf-8"?>
<ds:datastoreItem xmlns:ds="http://schemas.openxmlformats.org/officeDocument/2006/customXml" ds:itemID="{590DCAF1-D4C8-4C79-9E84-3D6D21FCA2DF}">
  <ds:schemaRefs/>
</ds:datastoreItem>
</file>

<file path=customXml/itemProps2.xml><?xml version="1.0" encoding="utf-8"?>
<ds:datastoreItem xmlns:ds="http://schemas.openxmlformats.org/officeDocument/2006/customXml" ds:itemID="{A7A8A8C2-3ADD-439A-A4A3-9D4D936376F6}">
  <ds:schemaRefs/>
</ds:datastoreItem>
</file>

<file path=customXml/itemProps20.xml><?xml version="1.0" encoding="utf-8"?>
<ds:datastoreItem xmlns:ds="http://schemas.openxmlformats.org/officeDocument/2006/customXml" ds:itemID="{F10AFA5F-8285-4C84-8AD7-40EEEDDA18D4}">
  <ds:schemaRefs/>
</ds:datastoreItem>
</file>

<file path=customXml/itemProps21.xml><?xml version="1.0" encoding="utf-8"?>
<ds:datastoreItem xmlns:ds="http://schemas.openxmlformats.org/officeDocument/2006/customXml" ds:itemID="{9BA4627D-51E2-414D-BAD3-6FA7A394E770}">
  <ds:schemaRefs/>
</ds:datastoreItem>
</file>

<file path=customXml/itemProps22.xml><?xml version="1.0" encoding="utf-8"?>
<ds:datastoreItem xmlns:ds="http://schemas.openxmlformats.org/officeDocument/2006/customXml" ds:itemID="{20FE05CD-3C79-4E7A-9AD2-5F5B52562D10}">
  <ds:schemaRefs/>
</ds:datastoreItem>
</file>

<file path=customXml/itemProps3.xml><?xml version="1.0" encoding="utf-8"?>
<ds:datastoreItem xmlns:ds="http://schemas.openxmlformats.org/officeDocument/2006/customXml" ds:itemID="{81DA4214-09F5-421A-A4A5-59DE7E3A667B}">
  <ds:schemaRefs/>
</ds:datastoreItem>
</file>

<file path=customXml/itemProps4.xml><?xml version="1.0" encoding="utf-8"?>
<ds:datastoreItem xmlns:ds="http://schemas.openxmlformats.org/officeDocument/2006/customXml" ds:itemID="{6AAC531E-5310-43E4-8F09-A6BF4FDB056F}">
  <ds:schemaRefs/>
</ds:datastoreItem>
</file>

<file path=customXml/itemProps5.xml><?xml version="1.0" encoding="utf-8"?>
<ds:datastoreItem xmlns:ds="http://schemas.openxmlformats.org/officeDocument/2006/customXml" ds:itemID="{F9FF386D-A4B0-47CD-B297-404825FA2112}">
  <ds:schemaRefs/>
</ds:datastoreItem>
</file>

<file path=customXml/itemProps6.xml><?xml version="1.0" encoding="utf-8"?>
<ds:datastoreItem xmlns:ds="http://schemas.openxmlformats.org/officeDocument/2006/customXml" ds:itemID="{D4774865-B743-4B10-8A81-6376B3C056D5}">
  <ds:schemaRefs/>
</ds:datastoreItem>
</file>

<file path=customXml/itemProps7.xml><?xml version="1.0" encoding="utf-8"?>
<ds:datastoreItem xmlns:ds="http://schemas.openxmlformats.org/officeDocument/2006/customXml" ds:itemID="{8576DE6E-C1A6-442A-A85F-68C8D0DB18A9}">
  <ds:schemaRefs/>
</ds:datastoreItem>
</file>

<file path=customXml/itemProps8.xml><?xml version="1.0" encoding="utf-8"?>
<ds:datastoreItem xmlns:ds="http://schemas.openxmlformats.org/officeDocument/2006/customXml" ds:itemID="{404EA866-08CA-4D86-B2E5-CCA192ED2CDC}">
  <ds:schemaRefs/>
</ds:datastoreItem>
</file>

<file path=customXml/itemProps9.xml><?xml version="1.0" encoding="utf-8"?>
<ds:datastoreItem xmlns:ds="http://schemas.openxmlformats.org/officeDocument/2006/customXml" ds:itemID="{78E5979C-97E7-47D5-AEA1-CDD50C40EA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2802</Words>
  <Characters>15972</Characters>
  <Lines>133</Lines>
  <Paragraphs>37</Paragraphs>
  <TotalTime>4</TotalTime>
  <ScaleCrop>false</ScaleCrop>
  <LinksUpToDate>false</LinksUpToDate>
  <CharactersWithSpaces>18737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Lenovo</cp:lastModifiedBy>
  <dcterms:modified xsi:type="dcterms:W3CDTF">2025-02-28T05:48:01Z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