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仿宋" w:eastAsia="仿宋" w:cs="宋体" w:hAnsi="宋体" w:hint="eastAsia"/>
          <w:szCs w:val="21"/>
          <w:lang w:val="en-US" w:eastAsia="zh-CN"/>
        </w:rPr>
      </w:pPr>
      <w:r>
        <w:rPr>
          <w:rFonts w:ascii="仿宋" w:eastAsia="仿宋" w:cs="宋体" w:hAnsi="宋体" w:hint="eastAsia"/>
          <w:szCs w:val="21"/>
        </w:rPr>
        <w:t>附件</w:t>
      </w:r>
      <w:r>
        <w:rPr>
          <w:rFonts w:ascii="仿宋" w:eastAsia="仿宋" w:cs="宋体" w:hAnsi="宋体" w:hint="eastAsia"/>
          <w:szCs w:val="21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仿宋" w:eastAsia="仿宋" w:cs="宋体" w:hint="eastAsia"/>
          <w:szCs w:val="21"/>
          <w:lang w:val="en-US" w:eastAsia="zh-CN"/>
        </w:rPr>
      </w:pPr>
      <w:r>
        <w:rPr>
          <w:rFonts w:ascii="仿宋" w:eastAsia="仿宋" w:cs="宋体"/>
          <w:szCs w:val="21"/>
        </w:rPr>
        <w:t>丰南区</w:t>
      </w:r>
      <w:bookmarkStart w:id="0" w:name="_GoBack"/>
      <w:bookmarkEnd w:id="0"/>
      <w:r>
        <w:rPr>
          <w:rFonts w:ascii="仿宋" w:eastAsia="仿宋" w:cs="宋体" w:hint="eastAsia"/>
          <w:szCs w:val="21"/>
        </w:rPr>
        <w:t>幼儿园科学探究优质课评价标准（试行）</w:t>
      </w:r>
    </w:p>
    <w:tbl>
      <w:tblPr>
        <w:jc w:val="center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860"/>
        <w:gridCol w:w="7410"/>
      </w:tblGrid>
      <w:tr>
        <w:trPr>
          <w:trHeight w:val="59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一级指标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指标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评价细则</w:t>
            </w:r>
          </w:p>
        </w:tc>
      </w:tr>
      <w:tr>
        <w:trPr>
          <w:cantSplit/>
          <w:trHeight w:val="397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计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目标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1.遵循《3-6岁儿童学习与发展指南》，体现游戏精神和科学探究的活动特点，恰当的制定符合幼儿年龄特点的、贴近幼儿生活的活动目标。</w:t>
            </w:r>
          </w:p>
        </w:tc>
      </w:tr>
      <w:tr>
        <w:trPr>
          <w:cantSplit/>
          <w:trHeight w:val="397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内容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2.教师能依托玩教具制作，揭示某种科学现象（玩教具要体现科学性、可探究性、可操作性和安全性）。</w:t>
            </w:r>
          </w:p>
        </w:tc>
      </w:tr>
      <w:tr>
        <w:trPr>
          <w:cantSplit/>
          <w:trHeight w:val="308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3.以幼儿为主体，引发幼儿好奇心、有兴趣的参与活动。</w:t>
            </w:r>
          </w:p>
        </w:tc>
      </w:tr>
      <w:tr>
        <w:trPr>
          <w:cantSplit/>
          <w:trHeight w:val="306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4.面向全体幼儿，关注个体差异。</w:t>
            </w:r>
          </w:p>
        </w:tc>
      </w:tr>
      <w:tr>
        <w:trPr>
          <w:cantSplit/>
          <w:trHeight w:val="350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5.设计不同的、生活化的科学游戏，培养幼儿猜想—验证—求疑的思维品质。</w:t>
            </w:r>
          </w:p>
        </w:tc>
      </w:tr>
      <w:tr>
        <w:trPr>
          <w:cantSplit/>
          <w:trHeight w:val="356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方法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6.发现和保护幼儿好奇心，激发探究兴趣，引导幼儿直接感知、亲身体验、实际操作。</w:t>
            </w:r>
          </w:p>
        </w:tc>
      </w:tr>
      <w:tr>
        <w:trPr>
          <w:cantSplit/>
          <w:trHeight w:val="292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20" w:hangingChars="100" w:hanging="320"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7.注重探究的过程与新媒体、新技术的融合创新，有科普图书做支撑。</w:t>
            </w:r>
          </w:p>
        </w:tc>
      </w:tr>
      <w:tr>
        <w:trPr>
          <w:cantSplit/>
          <w:trHeight w:val="585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8.操作材料要物化教育目标，与科学探究信息多项交流，及时发现操作材料中的问题，适时反馈、矫正奏效。</w:t>
            </w:r>
          </w:p>
        </w:tc>
      </w:tr>
      <w:tr>
        <w:trPr>
          <w:cantSplit/>
          <w:trHeight w:val="337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20" w:hangingChars="100" w:hanging="320"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9.遵循引导、合作、自主、游戏的原则。</w:t>
            </w:r>
          </w:p>
        </w:tc>
      </w:tr>
      <w:tr>
        <w:trPr>
          <w:cantSplit/>
          <w:trHeight w:val="322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结构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过程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10.活动结构设计科学、合理。</w:t>
            </w:r>
          </w:p>
        </w:tc>
      </w:tr>
      <w:tr>
        <w:trPr>
          <w:cantSplit/>
          <w:trHeight w:val="354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11.活动环节层层递进，节奏适当；过渡自然、通畅。</w:t>
            </w:r>
          </w:p>
        </w:tc>
      </w:tr>
      <w:tr>
        <w:trPr>
          <w:cantSplit/>
          <w:trHeight w:val="303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程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活动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12.教师游戏意识强，指导、点拨及时得当。</w:t>
            </w:r>
          </w:p>
        </w:tc>
      </w:tr>
      <w:tr>
        <w:trPr>
          <w:cantSplit/>
          <w:trHeight w:val="356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13.为幼儿创设安全的心理探究氛围，注重培养幼儿的观察能力。</w:t>
            </w:r>
          </w:p>
        </w:tc>
      </w:tr>
      <w:tr>
        <w:trPr>
          <w:cantSplit/>
          <w:trHeight w:val="397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14.评价及时、多样、到位，引导幼儿学会欣赏、鼓励自己和他人。</w:t>
            </w:r>
          </w:p>
        </w:tc>
      </w:tr>
      <w:tr>
        <w:trPr>
          <w:cantSplit/>
          <w:trHeight w:val="383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0" w:hangingChars="200" w:hanging="640"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15.注重幼儿科学探究的态度、兴趣、习惯及信心等非智力因素的培养。</w:t>
            </w:r>
          </w:p>
        </w:tc>
      </w:tr>
      <w:tr>
        <w:trPr>
          <w:cantSplit/>
          <w:trHeight w:val="356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幼儿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活动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  <w:lang w:val="en-US" w:eastAsia="zh-CN"/>
              </w:rPr>
              <w:t>16.</w:t>
            </w:r>
            <w:r>
              <w:rPr>
                <w:rFonts w:ascii="仿宋" w:eastAsia="仿宋" w:cs="宋体" w:hint="eastAsia"/>
                <w:szCs w:val="21"/>
              </w:rPr>
              <w:t>探究目标明确，积极主动参与，师幼、幼幼互动充分，真正带给幼儿惊喜和发现。</w:t>
            </w:r>
          </w:p>
        </w:tc>
      </w:tr>
      <w:tr>
        <w:trPr>
          <w:cantSplit/>
          <w:trHeight w:val="383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17.勤于动脑、动手、动口；积极探究、质疑。</w:t>
            </w:r>
          </w:p>
        </w:tc>
      </w:tr>
      <w:tr>
        <w:trPr>
          <w:cantSplit/>
          <w:trHeight w:val="383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18.学习用数字、符号、图画、图表等方式记录、统计、判断自己的科学发现。</w:t>
            </w:r>
          </w:p>
        </w:tc>
      </w:tr>
      <w:tr>
        <w:trPr>
          <w:cantSplit/>
          <w:trHeight w:val="343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19.与同伴合作、分享、交流，并能够延伸到家庭、生活。</w:t>
            </w:r>
          </w:p>
        </w:tc>
      </w:tr>
      <w:tr>
        <w:trPr>
          <w:cantSplit/>
          <w:trHeight w:val="397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效果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20.能够在一日生活中渗透所体验的科学探究，实现教学目标生活化。</w:t>
            </w:r>
          </w:p>
        </w:tc>
      </w:tr>
      <w:tr>
        <w:trPr>
          <w:cantSplit/>
          <w:trHeight w:val="397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21.幼儿兴趣浓厚，伴随着轻松、愉快的游戏进行有层次、渐进性的主动探究。</w:t>
            </w:r>
          </w:p>
        </w:tc>
      </w:tr>
      <w:tr>
        <w:trPr>
          <w:cantSplit/>
          <w:trHeight w:val="90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22.幼儿主体地位体现充分，不同幼儿均得到了适宜的发展。</w:t>
            </w:r>
          </w:p>
        </w:tc>
      </w:tr>
      <w:tr>
        <w:trPr>
          <w:cantSplit/>
          <w:trHeight w:val="322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教师基本功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23.普通话教学，语言规范、精练、生动、流畅，有启发性和感染力。</w:t>
            </w:r>
          </w:p>
        </w:tc>
      </w:tr>
      <w:tr>
        <w:trPr>
          <w:cantSplit/>
          <w:trHeight w:val="322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24.教态亲切、自然、端庄、大方，有亲和力。</w:t>
            </w:r>
          </w:p>
        </w:tc>
      </w:tr>
      <w:tr>
        <w:trPr>
          <w:cantSplit/>
          <w:trHeight w:val="337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25.教师具备一定的科学素养，知识面广，技能全面，操作规范、熟练。</w:t>
            </w:r>
          </w:p>
        </w:tc>
      </w:tr>
      <w:tr>
        <w:trPr>
          <w:cantSplit/>
          <w:trHeight w:val="352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0" w:hangingChars="200" w:hanging="640"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26.活动思路清晰，能够追寻幼儿的问题，给予有深度的、有价值的回应。</w:t>
            </w:r>
          </w:p>
        </w:tc>
      </w:tr>
      <w:tr>
        <w:trPr>
          <w:cantSplit/>
          <w:trHeight w:val="322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27.玩教具制作符合科学探究性，演示的科学现象真实、准确。</w:t>
            </w:r>
          </w:p>
        </w:tc>
      </w:tr>
      <w:tr>
        <w:trPr>
          <w:cantSplit/>
          <w:trHeight w:val="58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活动特色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eastAsia="仿宋" w:cs="宋体" w:hint="eastAsia"/>
                <w:szCs w:val="21"/>
              </w:rPr>
            </w:pPr>
            <w:r>
              <w:rPr>
                <w:rFonts w:ascii="仿宋" w:eastAsia="仿宋" w:cs="宋体" w:hint="eastAsia"/>
                <w:szCs w:val="21"/>
              </w:rPr>
              <w:t>28.活动有创新，具有启发性和引领性，形成独特的活动风格。</w:t>
            </w:r>
          </w:p>
        </w:tc>
      </w:tr>
    </w:tbl>
    <w:p/>
    <w:sectPr>
      <w:pgSz w:w="11907" w:h="16839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savePreviewPicture/>
  <w:compat>
    <w:spaceForUL/>
    <w:balanceSingleByteDoubleByteWidth/>
    <w:ulTrailSpace/>
    <w:doNotExpandShiftReturn/>
    <w:adjustLineHeightInTable/>
    <w:doNotUseIndentAsNumberingTabStop/>
    <w:useAltKinsokuLineBreakRules/>
    <w:doNotSuppressIndentation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hAnsi="Times New Roman"/>
      <w:snapToGrid w:val="0"/>
      <w:kern w:val="-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D018FE9-F8D5-425D-9483-BCF25B52019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3</Pages>
  <Words>0</Words>
  <Characters>789</Characters>
  <Lines>0</Lines>
  <Paragraphs>4</Paragraphs>
  <CharactersWithSpaces>1053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Cynthia</dc:creator>
  <cp:lastModifiedBy>Administrator</cp:lastModifiedBy>
  <cp:revision>1</cp:revision>
  <dcterms:created xsi:type="dcterms:W3CDTF">2021-07-09T01:38:00Z</dcterms:created>
  <dcterms:modified xsi:type="dcterms:W3CDTF">2025-03-07T08:38:18Z</dcterms:modified>
</cp:coreProperties>
</file>