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141" w:rsidRDefault="003307AC">
      <w:pPr>
        <w:jc w:val="center"/>
        <w:outlineLvl w:val="0"/>
      </w:pPr>
      <w:r>
        <w:rPr>
          <w:rFonts w:ascii="黑体" w:eastAsia="黑体" w:hAnsi="黑体" w:cs="黑体" w:hint="eastAsia"/>
          <w:b/>
          <w:color w:val="000000"/>
          <w:sz w:val="44"/>
          <w:lang w:val="uk-UA" w:eastAsia="zh-CN"/>
        </w:rPr>
        <w:t>2016</w:t>
      </w:r>
      <w:r w:rsidR="00AE3414">
        <w:rPr>
          <w:rFonts w:ascii="黑体" w:eastAsia="黑体" w:hAnsi="黑体" w:cs="黑体"/>
          <w:b/>
          <w:color w:val="000000"/>
          <w:sz w:val="44"/>
        </w:rPr>
        <w:t>年部门预算信息公开目录</w:t>
      </w:r>
    </w:p>
    <w:p w:rsidR="00F76141" w:rsidRDefault="00AE3414">
      <w:pPr>
        <w:jc w:val="center"/>
      </w:pPr>
      <w:r>
        <w:rPr>
          <w:rFonts w:ascii="黑体" w:eastAsia="黑体" w:hAnsi="黑体" w:cs="黑体"/>
          <w:b/>
          <w:color w:val="000000"/>
          <w:sz w:val="30"/>
        </w:rPr>
        <w:t xml:space="preserve"> </w:t>
      </w:r>
    </w:p>
    <w:p w:rsidR="00F76141" w:rsidRDefault="00AE3414">
      <w:r>
        <w:rPr>
          <w:rFonts w:ascii="方正楷体_GBK" w:eastAsia="方正楷体_GBK" w:hAnsi="方正楷体_GBK" w:cs="方正楷体_GBK"/>
          <w:b/>
          <w:color w:val="000000"/>
          <w:sz w:val="28"/>
        </w:rPr>
        <w:t>部门预算公开表</w:t>
      </w:r>
    </w:p>
    <w:p w:rsidR="00F76141" w:rsidRDefault="00403182">
      <w:pPr>
        <w:pStyle w:val="10"/>
        <w:tabs>
          <w:tab w:val="right" w:leader="dot" w:pos="14562"/>
        </w:tabs>
        <w:rPr>
          <w:lang w:eastAsia="zh-CN"/>
        </w:rPr>
      </w:pPr>
      <w:r w:rsidRPr="00403182">
        <w:fldChar w:fldCharType="begin"/>
      </w:r>
      <w:r w:rsidR="00AE3414">
        <w:instrText>TOC \o "2-2" \h \z \u</w:instrText>
      </w:r>
      <w:r w:rsidRPr="00403182">
        <w:fldChar w:fldCharType="separate"/>
      </w:r>
      <w:hyperlink w:anchor="_Toc_2_2_0000000001" w:history="1">
        <w:r w:rsidR="00AE3414">
          <w:t>部门预算收支总表</w:t>
        </w:r>
      </w:hyperlink>
    </w:p>
    <w:p w:rsidR="00F76141" w:rsidRDefault="00403182">
      <w:pPr>
        <w:pStyle w:val="10"/>
        <w:tabs>
          <w:tab w:val="right" w:leader="dot" w:pos="14562"/>
        </w:tabs>
        <w:rPr>
          <w:lang w:eastAsia="zh-CN"/>
        </w:rPr>
      </w:pPr>
      <w:hyperlink w:anchor="_Toc_2_2_0000000002" w:history="1">
        <w:r w:rsidR="00AE3414">
          <w:t>部门预算收入总表</w:t>
        </w:r>
      </w:hyperlink>
    </w:p>
    <w:p w:rsidR="00F76141" w:rsidRDefault="00403182">
      <w:pPr>
        <w:pStyle w:val="10"/>
        <w:tabs>
          <w:tab w:val="right" w:leader="dot" w:pos="14562"/>
        </w:tabs>
      </w:pPr>
      <w:hyperlink w:anchor="_Toc_2_2_0000000003" w:history="1">
        <w:r w:rsidR="00AE3414">
          <w:t>部门预算支出总表</w:t>
        </w:r>
      </w:hyperlink>
    </w:p>
    <w:p w:rsidR="00F76141" w:rsidRDefault="00403182">
      <w:pPr>
        <w:pStyle w:val="10"/>
        <w:tabs>
          <w:tab w:val="right" w:leader="dot" w:pos="14562"/>
        </w:tabs>
      </w:pPr>
      <w:hyperlink w:anchor="_Toc_2_2_0000000004" w:history="1">
        <w:r w:rsidR="00AE3414">
          <w:t>部门预算财政拨款收支总表</w:t>
        </w:r>
      </w:hyperlink>
    </w:p>
    <w:p w:rsidR="00F76141" w:rsidRDefault="00403182">
      <w:pPr>
        <w:pStyle w:val="10"/>
        <w:tabs>
          <w:tab w:val="right" w:leader="dot" w:pos="14562"/>
        </w:tabs>
      </w:pPr>
      <w:hyperlink w:anchor="_Toc_2_2_0000000005" w:history="1">
        <w:r w:rsidR="00AE3414">
          <w:t>部门预算一般公共预算财政拨款支出表</w:t>
        </w:r>
      </w:hyperlink>
    </w:p>
    <w:p w:rsidR="00F76141" w:rsidRDefault="00403182">
      <w:pPr>
        <w:pStyle w:val="10"/>
        <w:tabs>
          <w:tab w:val="right" w:leader="dot" w:pos="14562"/>
        </w:tabs>
      </w:pPr>
      <w:hyperlink w:anchor="_Toc_2_2_0000000006" w:history="1">
        <w:r w:rsidR="00AE3414">
          <w:t>部门预算一般公共预算财政拨款基本支出表</w:t>
        </w:r>
      </w:hyperlink>
    </w:p>
    <w:p w:rsidR="00F76141" w:rsidRDefault="00403182">
      <w:pPr>
        <w:pStyle w:val="10"/>
        <w:tabs>
          <w:tab w:val="right" w:leader="dot" w:pos="14562"/>
        </w:tabs>
      </w:pPr>
      <w:hyperlink w:anchor="_Toc_2_2_0000000007" w:history="1">
        <w:r w:rsidR="00AE3414">
          <w:t>部门预算政府性基金预算财政拨款支出表</w:t>
        </w:r>
      </w:hyperlink>
    </w:p>
    <w:p w:rsidR="00F76141" w:rsidRDefault="00403182">
      <w:pPr>
        <w:pStyle w:val="10"/>
        <w:tabs>
          <w:tab w:val="right" w:leader="dot" w:pos="14562"/>
        </w:tabs>
        <w:rPr>
          <w:lang w:eastAsia="zh-CN"/>
        </w:rPr>
      </w:pPr>
      <w:hyperlink w:anchor="_Toc_2_2_0000000008" w:history="1">
        <w:r w:rsidR="00AE3414">
          <w:t>部门预算国有资本经营预算财政拨款支出表</w:t>
        </w:r>
      </w:hyperlink>
    </w:p>
    <w:p w:rsidR="00F76141" w:rsidRDefault="00403182">
      <w:pPr>
        <w:pStyle w:val="10"/>
        <w:tabs>
          <w:tab w:val="right" w:leader="dot" w:pos="14562"/>
        </w:tabs>
      </w:pPr>
      <w:hyperlink w:anchor="_Toc_2_2_0000000009" w:history="1">
        <w:r w:rsidR="00AE3414">
          <w:t>部门预算财政拨款</w:t>
        </w:r>
        <w:r w:rsidR="00AE3414">
          <w:t>“</w:t>
        </w:r>
        <w:r w:rsidR="00AE3414">
          <w:t>三公</w:t>
        </w:r>
        <w:r w:rsidR="00AE3414">
          <w:t>”</w:t>
        </w:r>
        <w:r w:rsidR="00AE3414">
          <w:t>经费支出表</w:t>
        </w:r>
      </w:hyperlink>
    </w:p>
    <w:p w:rsidR="00F76141" w:rsidRDefault="00403182">
      <w:r>
        <w:fldChar w:fldCharType="end"/>
      </w:r>
    </w:p>
    <w:p w:rsidR="00F76141" w:rsidRDefault="00AE3414">
      <w:r>
        <w:rPr>
          <w:rFonts w:ascii="方正楷体_GBK" w:eastAsia="方正楷体_GBK" w:hAnsi="方正楷体_GBK" w:cs="方正楷体_GBK"/>
          <w:b/>
          <w:color w:val="000000"/>
          <w:sz w:val="28"/>
        </w:rPr>
        <w:t>部门预算信息公开情况说明</w:t>
      </w:r>
    </w:p>
    <w:p w:rsidR="00F76141" w:rsidRDefault="00403182">
      <w:pPr>
        <w:pStyle w:val="10"/>
        <w:tabs>
          <w:tab w:val="right" w:leader="dot" w:pos="14562"/>
        </w:tabs>
        <w:rPr>
          <w:lang w:eastAsia="zh-CN"/>
        </w:rPr>
      </w:pPr>
      <w:r w:rsidRPr="00403182">
        <w:fldChar w:fldCharType="begin"/>
      </w:r>
      <w:r w:rsidR="00AE3414">
        <w:instrText>TOC \o "3-3" \h \z \u</w:instrText>
      </w:r>
      <w:r w:rsidRPr="00403182">
        <w:fldChar w:fldCharType="separate"/>
      </w:r>
      <w:hyperlink w:anchor="_Toc_3_3_0000000010" w:history="1">
        <w:r w:rsidR="00AE3414">
          <w:t>一、部门职责及机构设置情况</w:t>
        </w:r>
      </w:hyperlink>
    </w:p>
    <w:p w:rsidR="00F76141" w:rsidRDefault="00403182">
      <w:pPr>
        <w:pStyle w:val="10"/>
        <w:tabs>
          <w:tab w:val="right" w:leader="dot" w:pos="14562"/>
        </w:tabs>
      </w:pPr>
      <w:hyperlink w:anchor="_Toc_3_3_0000000011" w:history="1">
        <w:r w:rsidR="00AE3414">
          <w:t>二、部门预算安排的总体情况</w:t>
        </w:r>
      </w:hyperlink>
    </w:p>
    <w:p w:rsidR="00F76141" w:rsidRDefault="00403182">
      <w:pPr>
        <w:pStyle w:val="10"/>
        <w:tabs>
          <w:tab w:val="right" w:leader="dot" w:pos="14562"/>
        </w:tabs>
      </w:pPr>
      <w:hyperlink w:anchor="_Toc_3_3_0000000012" w:history="1">
        <w:r w:rsidR="00AE3414">
          <w:t>三、机关运行经费安排情况</w:t>
        </w:r>
      </w:hyperlink>
    </w:p>
    <w:p w:rsidR="00F76141" w:rsidRDefault="00403182">
      <w:pPr>
        <w:pStyle w:val="10"/>
        <w:tabs>
          <w:tab w:val="right" w:leader="dot" w:pos="14562"/>
        </w:tabs>
      </w:pPr>
      <w:hyperlink w:anchor="_Toc_3_3_0000000013" w:history="1">
        <w:r w:rsidR="00AE3414">
          <w:t>四、财政拨款</w:t>
        </w:r>
        <w:r w:rsidR="00AE3414">
          <w:t>“</w:t>
        </w:r>
        <w:r w:rsidR="00AE3414">
          <w:t>三公</w:t>
        </w:r>
        <w:r w:rsidR="00AE3414">
          <w:t>”</w:t>
        </w:r>
        <w:r w:rsidR="00AE3414">
          <w:t>经费预算情况及增减变化原因</w:t>
        </w:r>
      </w:hyperlink>
    </w:p>
    <w:p w:rsidR="00F76141" w:rsidRDefault="00403182" w:rsidP="00177DA3">
      <w:pPr>
        <w:pStyle w:val="10"/>
        <w:tabs>
          <w:tab w:val="right" w:leader="dot" w:pos="14562"/>
        </w:tabs>
        <w:rPr>
          <w:lang w:eastAsia="zh-CN"/>
        </w:rPr>
      </w:pPr>
      <w:hyperlink w:anchor="_Toc_3_3_0000000014" w:history="1">
        <w:r w:rsidR="00AE3414">
          <w:t>五、</w:t>
        </w:r>
        <w:r w:rsidR="008B309E">
          <w:t>绩效预算信息</w:t>
        </w:r>
      </w:hyperlink>
    </w:p>
    <w:p w:rsidR="00F76141" w:rsidRDefault="00403182">
      <w:pPr>
        <w:pStyle w:val="10"/>
        <w:tabs>
          <w:tab w:val="right" w:leader="dot" w:pos="14562"/>
        </w:tabs>
      </w:pPr>
      <w:hyperlink w:anchor="_Toc_3_3_0000000017" w:history="1">
        <w:r w:rsidR="00177DA3">
          <w:t>六</w:t>
        </w:r>
        <w:r w:rsidR="00AE3414">
          <w:t>、政府采购预算情况</w:t>
        </w:r>
      </w:hyperlink>
    </w:p>
    <w:p w:rsidR="00F76141" w:rsidRDefault="00403182">
      <w:pPr>
        <w:pStyle w:val="10"/>
        <w:tabs>
          <w:tab w:val="right" w:leader="dot" w:pos="14562"/>
        </w:tabs>
      </w:pPr>
      <w:hyperlink w:anchor="_Toc_3_3_0000000018" w:history="1">
        <w:r w:rsidR="00177DA3">
          <w:t>七</w:t>
        </w:r>
        <w:r w:rsidR="00AE3414">
          <w:t>、国有资产信息</w:t>
        </w:r>
      </w:hyperlink>
    </w:p>
    <w:p w:rsidR="00F76141" w:rsidRDefault="00403182">
      <w:pPr>
        <w:pStyle w:val="10"/>
        <w:tabs>
          <w:tab w:val="right" w:leader="dot" w:pos="14562"/>
        </w:tabs>
      </w:pPr>
      <w:hyperlink w:anchor="_Toc_3_3_0000000019" w:history="1">
        <w:r w:rsidR="00177DA3">
          <w:t>八</w:t>
        </w:r>
        <w:r w:rsidR="00AE3414">
          <w:t>、名词解释</w:t>
        </w:r>
      </w:hyperlink>
    </w:p>
    <w:p w:rsidR="00F76141" w:rsidRDefault="00403182">
      <w:pPr>
        <w:pStyle w:val="10"/>
        <w:tabs>
          <w:tab w:val="right" w:leader="dot" w:pos="14562"/>
        </w:tabs>
      </w:pPr>
      <w:hyperlink w:anchor="_Toc_3_3_0000000020" w:history="1">
        <w:r w:rsidR="00177DA3">
          <w:t>九</w:t>
        </w:r>
        <w:r w:rsidR="00AE3414">
          <w:t>、其他需要说明的事项</w:t>
        </w:r>
      </w:hyperlink>
    </w:p>
    <w:p w:rsidR="00F76141" w:rsidRDefault="00403182">
      <w:pPr>
        <w:sectPr w:rsidR="00F76141">
          <w:pgSz w:w="16840" w:h="11900" w:orient="landscape"/>
          <w:pgMar w:top="1587" w:right="1134" w:bottom="1361" w:left="1134" w:header="720" w:footer="720" w:gutter="0"/>
          <w:pgNumType w:start="1"/>
          <w:cols w:space="720"/>
        </w:sectPr>
      </w:pPr>
      <w:r>
        <w:fldChar w:fldCharType="end"/>
      </w:r>
    </w:p>
    <w:p w:rsidR="00F76141" w:rsidRDefault="00AE3414">
      <w:pPr>
        <w:jc w:val="center"/>
      </w:pPr>
      <w:r>
        <w:rPr>
          <w:rFonts w:ascii="方正小标宋_GBK" w:eastAsia="方正小标宋_GBK" w:hAnsi="方正小标宋_GBK" w:cs="方正小标宋_GBK"/>
          <w:color w:val="000000"/>
          <w:sz w:val="44"/>
        </w:rPr>
        <w:lastRenderedPageBreak/>
        <w:t>唐山市丰南区</w:t>
      </w:r>
      <w:r w:rsidR="00B007BB">
        <w:rPr>
          <w:rFonts w:ascii="方正小标宋_GBK" w:eastAsia="方正小标宋_GBK" w:hAnsi="方正小标宋_GBK" w:cs="方正小标宋_GBK" w:hint="eastAsia"/>
          <w:color w:val="000000"/>
          <w:sz w:val="44"/>
          <w:lang w:eastAsia="zh-CN"/>
        </w:rPr>
        <w:t>市场监督管理局2016</w:t>
      </w:r>
      <w:r>
        <w:rPr>
          <w:rFonts w:ascii="方正小标宋_GBK" w:eastAsia="方正小标宋_GBK" w:hAnsi="方正小标宋_GBK" w:cs="方正小标宋_GBK"/>
          <w:color w:val="000000"/>
          <w:sz w:val="44"/>
        </w:rPr>
        <w:t>年部门预算信息公开情况说明</w:t>
      </w:r>
    </w:p>
    <w:p w:rsidR="00F76141" w:rsidRDefault="00AE341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w:t>
      </w:r>
      <w:r w:rsidR="00B007BB">
        <w:rPr>
          <w:rFonts w:eastAsia="方正仿宋_GBK" w:hint="eastAsia"/>
          <w:color w:val="000000"/>
          <w:sz w:val="28"/>
          <w:lang w:eastAsia="zh-CN"/>
        </w:rPr>
        <w:t>市场监督管理局</w:t>
      </w:r>
      <w:r w:rsidR="00B007BB">
        <w:rPr>
          <w:rFonts w:eastAsia="方正仿宋_GBK" w:hint="eastAsia"/>
          <w:color w:val="000000"/>
          <w:sz w:val="28"/>
          <w:lang w:eastAsia="zh-CN"/>
        </w:rPr>
        <w:t>2016</w:t>
      </w:r>
      <w:r>
        <w:rPr>
          <w:rFonts w:eastAsia="方正仿宋_GBK"/>
          <w:color w:val="000000"/>
          <w:sz w:val="28"/>
        </w:rPr>
        <w:t>年部门预算公开如下：</w:t>
      </w:r>
    </w:p>
    <w:p w:rsidR="00F76141" w:rsidRDefault="00AE3414">
      <w:pPr>
        <w:spacing w:before="10" w:after="10" w:line="360" w:lineRule="auto"/>
        <w:ind w:firstLine="640"/>
        <w:outlineLvl w:val="2"/>
      </w:pPr>
      <w:bookmarkStart w:id="0" w:name="_Toc_3_3_0000000010"/>
      <w:r>
        <w:rPr>
          <w:rFonts w:ascii="黑体" w:eastAsia="黑体" w:hAnsi="黑体" w:cs="黑体"/>
          <w:color w:val="000000"/>
          <w:sz w:val="32"/>
        </w:rPr>
        <w:t>一、部门职责及机构设置情况</w:t>
      </w:r>
      <w:bookmarkEnd w:id="0"/>
    </w:p>
    <w:p w:rsidR="00F76141" w:rsidRDefault="00AE3414">
      <w:pPr>
        <w:ind w:firstLine="640"/>
      </w:pPr>
      <w:r>
        <w:rPr>
          <w:rFonts w:ascii="方正楷体_GBK" w:eastAsia="方正楷体_GBK" w:hAnsi="方正楷体_GBK" w:cs="方正楷体_GBK"/>
          <w:b/>
          <w:color w:val="000000"/>
          <w:sz w:val="32"/>
        </w:rPr>
        <w:t>部门职责：</w:t>
      </w:r>
    </w:p>
    <w:p w:rsidR="00B007BB" w:rsidRPr="00B007BB" w:rsidRDefault="00B007BB" w:rsidP="00B007BB">
      <w:pPr>
        <w:ind w:firstLineChars="200" w:firstLine="560"/>
        <w:rPr>
          <w:rFonts w:eastAsia="方正仿宋_GBK"/>
          <w:sz w:val="28"/>
        </w:rPr>
      </w:pPr>
      <w:r w:rsidRPr="00B007BB">
        <w:rPr>
          <w:rFonts w:eastAsia="方正仿宋_GBK"/>
          <w:sz w:val="28"/>
        </w:rPr>
        <w:t>负责监督管理市场经济秩序；负责监督管理市场交易和网络商品交易及有关服务行为；负责反垄断执法有关工作，依法查处不正当竞争、商业贿赂、走私贩私等经济违法行为，维护市场经营秩序；负责组织建设电子商务信用体系、监管体系；负责监督管理个体工商户、私营企业经营行为；组织开展企业信用体系建设，推进政府企业信用、行业信用建设，实施信用分类管理；负责监督管理经纪人、经纪机构及经纪活动；负责监督管理直销企业和直销人员及其直销活动；负责牵头查处传销违法行为</w:t>
      </w:r>
      <w:r w:rsidRPr="00B007BB">
        <w:rPr>
          <w:rFonts w:eastAsia="方正仿宋_GBK" w:hint="eastAsia"/>
          <w:sz w:val="28"/>
        </w:rPr>
        <w:t>；</w:t>
      </w:r>
      <w:r w:rsidRPr="00B007BB">
        <w:rPr>
          <w:rFonts w:eastAsia="方正仿宋_GBK"/>
          <w:sz w:val="28"/>
        </w:rPr>
        <w:t>负责监督管理商标使用，组织查处商标侵权行为</w:t>
      </w:r>
      <w:r w:rsidRPr="00B007BB">
        <w:rPr>
          <w:rFonts w:eastAsia="方正仿宋_GBK" w:hint="eastAsia"/>
          <w:sz w:val="28"/>
        </w:rPr>
        <w:t>；</w:t>
      </w:r>
      <w:r w:rsidRPr="00B007BB">
        <w:rPr>
          <w:rFonts w:eastAsia="方正仿宋_GBK"/>
          <w:sz w:val="28"/>
        </w:rPr>
        <w:t>负责监督管理广告活动工作，指导广告业发展</w:t>
      </w:r>
      <w:r w:rsidRPr="00B007BB">
        <w:rPr>
          <w:rFonts w:eastAsia="方正仿宋_GBK" w:hint="eastAsia"/>
          <w:sz w:val="28"/>
        </w:rPr>
        <w:t>；</w:t>
      </w:r>
      <w:r w:rsidRPr="00B007BB">
        <w:rPr>
          <w:rFonts w:eastAsia="方正仿宋_GBK"/>
          <w:sz w:val="28"/>
        </w:rPr>
        <w:t>负责消费者权益保护工作，查处侵害消费者合法权益等违法行为</w:t>
      </w:r>
      <w:r w:rsidRPr="00B007BB">
        <w:rPr>
          <w:rFonts w:eastAsia="方正仿宋_GBK" w:hint="eastAsia"/>
          <w:sz w:val="28"/>
        </w:rPr>
        <w:t>；</w:t>
      </w:r>
      <w:r w:rsidRPr="00B007BB">
        <w:rPr>
          <w:rFonts w:eastAsia="方正仿宋_GBK"/>
          <w:sz w:val="28"/>
        </w:rPr>
        <w:t>负责统一管理辖区内计量工作，监督管理商品量、市场计量行为和计量仲裁检定</w:t>
      </w:r>
      <w:r w:rsidRPr="00B007BB">
        <w:rPr>
          <w:rFonts w:eastAsia="方正仿宋_GBK" w:hint="eastAsia"/>
          <w:sz w:val="28"/>
        </w:rPr>
        <w:t>；</w:t>
      </w:r>
      <w:r w:rsidRPr="00B007BB">
        <w:rPr>
          <w:rFonts w:eastAsia="方正仿宋_GBK"/>
          <w:sz w:val="28"/>
        </w:rPr>
        <w:t>负责产品质量安全监督和认证认可工作；负责管理产品质量安全强制检验、风险监控和监督抽查等工作；负责对质量检验机构及相关社会中介组织进行监督管理，对质量认证产品进行监督检查；负责特种设备安全监察工作</w:t>
      </w:r>
      <w:r w:rsidRPr="00B007BB">
        <w:rPr>
          <w:rFonts w:eastAsia="方正仿宋_GBK" w:hint="eastAsia"/>
          <w:sz w:val="28"/>
        </w:rPr>
        <w:t>，</w:t>
      </w:r>
      <w:r w:rsidRPr="00B007BB">
        <w:rPr>
          <w:rFonts w:eastAsia="方正仿宋_GBK"/>
          <w:sz w:val="28"/>
        </w:rPr>
        <w:t>按规定报告特种设备事故，并配合调查处理</w:t>
      </w:r>
      <w:r w:rsidRPr="00B007BB">
        <w:rPr>
          <w:rFonts w:eastAsia="方正仿宋_GBK" w:hint="eastAsia"/>
          <w:sz w:val="28"/>
        </w:rPr>
        <w:t>；</w:t>
      </w:r>
      <w:r w:rsidRPr="00B007BB">
        <w:rPr>
          <w:rFonts w:eastAsia="方正仿宋_GBK"/>
          <w:sz w:val="28"/>
        </w:rPr>
        <w:t>负责食品安全监督管理和综合协调工作；负责生产、流通领域食品安全行政许可工作；负责餐饮服务许可和餐饮服务环节食品安全管理工作；负责生产加工、流通及消费环节食品安全监督管理工作；负责药品、医疗器械、保健食品、化妆品安全监督管理工作</w:t>
      </w:r>
      <w:r w:rsidRPr="00B007BB">
        <w:rPr>
          <w:rFonts w:eastAsia="方正仿宋_GBK" w:hint="eastAsia"/>
          <w:sz w:val="28"/>
        </w:rPr>
        <w:t>。</w:t>
      </w:r>
      <w:r w:rsidRPr="00B007BB">
        <w:rPr>
          <w:rFonts w:eastAsia="方正仿宋_GBK"/>
          <w:sz w:val="28"/>
        </w:rPr>
        <w:t xml:space="preserve"> </w:t>
      </w:r>
    </w:p>
    <w:p w:rsidR="00F76141" w:rsidRDefault="00AE3414">
      <w:pPr>
        <w:ind w:firstLine="640"/>
      </w:pPr>
      <w:r>
        <w:rPr>
          <w:rFonts w:ascii="方正楷体_GBK" w:eastAsia="方正楷体_GBK" w:hAnsi="方正楷体_GBK" w:cs="方正楷体_GBK"/>
          <w:b/>
          <w:color w:val="000000"/>
          <w:sz w:val="32"/>
        </w:rPr>
        <w:t>机构设置：</w:t>
      </w:r>
    </w:p>
    <w:p w:rsidR="00F76141" w:rsidRDefault="00AE341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F76141">
        <w:trPr>
          <w:trHeight w:val="567"/>
          <w:tblHeader/>
          <w:jc w:val="center"/>
        </w:trPr>
        <w:tc>
          <w:tcPr>
            <w:tcW w:w="5669" w:type="dxa"/>
            <w:vAlign w:val="center"/>
          </w:tcPr>
          <w:p w:rsidR="00F76141" w:rsidRDefault="00AE3414">
            <w:pPr>
              <w:pStyle w:val="11"/>
            </w:pPr>
            <w:r>
              <w:lastRenderedPageBreak/>
              <w:t>单位名称</w:t>
            </w:r>
          </w:p>
        </w:tc>
        <w:tc>
          <w:tcPr>
            <w:tcW w:w="1843" w:type="dxa"/>
            <w:vAlign w:val="center"/>
          </w:tcPr>
          <w:p w:rsidR="00F76141" w:rsidRDefault="00AE3414">
            <w:pPr>
              <w:pStyle w:val="11"/>
            </w:pPr>
            <w:r>
              <w:t>单位性质</w:t>
            </w:r>
          </w:p>
        </w:tc>
        <w:tc>
          <w:tcPr>
            <w:tcW w:w="2126" w:type="dxa"/>
            <w:vAlign w:val="center"/>
          </w:tcPr>
          <w:p w:rsidR="00F76141" w:rsidRDefault="00AE3414">
            <w:pPr>
              <w:pStyle w:val="11"/>
            </w:pPr>
            <w:r>
              <w:t>单位规格</w:t>
            </w:r>
          </w:p>
        </w:tc>
        <w:tc>
          <w:tcPr>
            <w:tcW w:w="3827" w:type="dxa"/>
            <w:vAlign w:val="center"/>
          </w:tcPr>
          <w:p w:rsidR="00F76141" w:rsidRDefault="00AE3414">
            <w:pPr>
              <w:pStyle w:val="11"/>
            </w:pPr>
            <w:r>
              <w:t>经费保障形式</w:t>
            </w:r>
          </w:p>
        </w:tc>
      </w:tr>
      <w:tr w:rsidR="00F76141">
        <w:trPr>
          <w:trHeight w:val="369"/>
          <w:jc w:val="center"/>
        </w:trPr>
        <w:tc>
          <w:tcPr>
            <w:tcW w:w="5669" w:type="dxa"/>
            <w:vAlign w:val="center"/>
          </w:tcPr>
          <w:p w:rsidR="00F76141" w:rsidRDefault="00AE3414" w:rsidP="000D16D2">
            <w:pPr>
              <w:pStyle w:val="23"/>
            </w:pPr>
            <w:r>
              <w:t>唐山市丰南区</w:t>
            </w:r>
            <w:r w:rsidR="000D16D2">
              <w:rPr>
                <w:rFonts w:hint="eastAsia"/>
                <w:lang w:eastAsia="zh-CN"/>
              </w:rPr>
              <w:t>市场监督管理局</w:t>
            </w:r>
            <w:r>
              <w:t>本级</w:t>
            </w:r>
          </w:p>
        </w:tc>
        <w:tc>
          <w:tcPr>
            <w:tcW w:w="1843" w:type="dxa"/>
            <w:vAlign w:val="center"/>
          </w:tcPr>
          <w:p w:rsidR="00F76141" w:rsidRDefault="00AE3414">
            <w:pPr>
              <w:pStyle w:val="31"/>
            </w:pPr>
            <w:r>
              <w:t>行政</w:t>
            </w:r>
          </w:p>
        </w:tc>
        <w:tc>
          <w:tcPr>
            <w:tcW w:w="2126" w:type="dxa"/>
            <w:vAlign w:val="center"/>
          </w:tcPr>
          <w:p w:rsidR="00F76141" w:rsidRDefault="00AE3414">
            <w:pPr>
              <w:pStyle w:val="31"/>
            </w:pPr>
            <w:r>
              <w:t>正科级</w:t>
            </w:r>
          </w:p>
        </w:tc>
        <w:tc>
          <w:tcPr>
            <w:tcW w:w="3827" w:type="dxa"/>
            <w:vAlign w:val="center"/>
          </w:tcPr>
          <w:p w:rsidR="00F76141" w:rsidRDefault="00AE3414">
            <w:pPr>
              <w:pStyle w:val="31"/>
            </w:pPr>
            <w:r>
              <w:t>财政拨款</w:t>
            </w:r>
          </w:p>
        </w:tc>
      </w:tr>
    </w:tbl>
    <w:p w:rsidR="00F76141" w:rsidRDefault="00AE3414">
      <w:pPr>
        <w:spacing w:before="10" w:after="10" w:line="360" w:lineRule="auto"/>
        <w:ind w:firstLine="640"/>
        <w:outlineLvl w:val="2"/>
      </w:pPr>
      <w:bookmarkStart w:id="1" w:name="_Toc_3_3_0000000011"/>
      <w:r>
        <w:rPr>
          <w:rFonts w:ascii="黑体" w:eastAsia="黑体" w:hAnsi="黑体" w:cs="黑体"/>
          <w:color w:val="000000"/>
          <w:sz w:val="32"/>
        </w:rPr>
        <w:t>二、部门预算安排的总体情况</w:t>
      </w:r>
      <w:bookmarkEnd w:id="1"/>
    </w:p>
    <w:p w:rsidR="00F76141" w:rsidRDefault="00AE3414">
      <w:pPr>
        <w:pStyle w:val="-0"/>
      </w:pPr>
      <w:r>
        <w:t>按照预算管理有关规定，目前部门预算的编制实行综合预算管理，即全部收入和支出都反映在预算中。唐山市丰南区</w:t>
      </w:r>
      <w:r w:rsidR="000D16D2">
        <w:rPr>
          <w:rFonts w:hint="eastAsia"/>
          <w:lang w:eastAsia="zh-CN"/>
        </w:rPr>
        <w:t>市场监督管理局</w:t>
      </w:r>
      <w:r>
        <w:t>机关及所属事业单位的收支包含在部门预算中。</w:t>
      </w:r>
    </w:p>
    <w:p w:rsidR="00F76141" w:rsidRDefault="00AE3414">
      <w:pPr>
        <w:pStyle w:val="-0"/>
      </w:pPr>
      <w:r>
        <w:t>1</w:t>
      </w:r>
      <w:r>
        <w:t>、收入说明</w:t>
      </w:r>
    </w:p>
    <w:p w:rsidR="00F76141" w:rsidRDefault="00AE3414">
      <w:pPr>
        <w:pStyle w:val="-0"/>
      </w:pPr>
      <w:r>
        <w:t>反映本部门当年全部收入。</w:t>
      </w:r>
      <w:r w:rsidR="000D16D2">
        <w:rPr>
          <w:rFonts w:hint="eastAsia"/>
          <w:lang w:eastAsia="zh-CN"/>
        </w:rPr>
        <w:t>2016</w:t>
      </w:r>
      <w:r>
        <w:t>年预算收入</w:t>
      </w:r>
      <w:r w:rsidR="000D16D2">
        <w:rPr>
          <w:rFonts w:hint="eastAsia"/>
          <w:lang w:eastAsia="zh-CN"/>
        </w:rPr>
        <w:t>3972.67</w:t>
      </w:r>
      <w:r>
        <w:t>万元，其中：一般公共预算收入</w:t>
      </w:r>
      <w:r w:rsidR="000D16D2">
        <w:rPr>
          <w:rFonts w:hint="eastAsia"/>
          <w:lang w:eastAsia="zh-CN"/>
        </w:rPr>
        <w:t>3972.67</w:t>
      </w:r>
      <w:r>
        <w:t>万元，基金预算收入</w:t>
      </w:r>
      <w:r w:rsidR="001A5C8C">
        <w:t>0</w:t>
      </w:r>
      <w:r>
        <w:t>万元，国有资本经营预算收入</w:t>
      </w:r>
      <w:r w:rsidR="001A5C8C">
        <w:t>0</w:t>
      </w:r>
      <w:r>
        <w:t>万元，财政专户核拨收入</w:t>
      </w:r>
      <w:r w:rsidR="001A5C8C">
        <w:t>0</w:t>
      </w:r>
      <w:r>
        <w:t>万元，单位资金收入</w:t>
      </w:r>
      <w:r w:rsidR="001A5C8C">
        <w:t>0</w:t>
      </w:r>
      <w:r>
        <w:t>万元，上年结转结余</w:t>
      </w:r>
      <w:r w:rsidR="001A5C8C">
        <w:t>0</w:t>
      </w:r>
      <w:r>
        <w:t>万元。</w:t>
      </w:r>
    </w:p>
    <w:p w:rsidR="00F76141" w:rsidRDefault="00AE3414">
      <w:pPr>
        <w:pStyle w:val="-0"/>
      </w:pPr>
      <w:r>
        <w:t>2</w:t>
      </w:r>
      <w:r>
        <w:t>、支出说明</w:t>
      </w:r>
    </w:p>
    <w:p w:rsidR="00F76141" w:rsidRDefault="00AE3414">
      <w:pPr>
        <w:pStyle w:val="-0"/>
      </w:pPr>
      <w:r>
        <w:t>收支预算总表支出栏、基本支出表、项目支出表按经济分类和支出功能分类科目编制，反映唐山市丰南区</w:t>
      </w:r>
      <w:r w:rsidR="000D16D2">
        <w:rPr>
          <w:rFonts w:hint="eastAsia"/>
          <w:lang w:eastAsia="zh-CN"/>
        </w:rPr>
        <w:t>市场监督管理局</w:t>
      </w:r>
      <w:r w:rsidR="000D16D2">
        <w:rPr>
          <w:rFonts w:hint="eastAsia"/>
          <w:lang w:eastAsia="zh-CN"/>
        </w:rPr>
        <w:t>2016</w:t>
      </w:r>
      <w:r>
        <w:t>年度部门预算中支出预算的总体情况。</w:t>
      </w:r>
      <w:r w:rsidR="000D16D2">
        <w:rPr>
          <w:rFonts w:hint="eastAsia"/>
          <w:lang w:val="uk-UA" w:eastAsia="zh-CN"/>
        </w:rPr>
        <w:t>2016</w:t>
      </w:r>
      <w:r>
        <w:t>年支出预算</w:t>
      </w:r>
      <w:r w:rsidR="000D16D2">
        <w:rPr>
          <w:rFonts w:hint="eastAsia"/>
          <w:lang w:eastAsia="zh-CN"/>
        </w:rPr>
        <w:t>3972.67</w:t>
      </w:r>
      <w:r>
        <w:t>万元，其中基本支出</w:t>
      </w:r>
      <w:r w:rsidR="000D16D2">
        <w:rPr>
          <w:rFonts w:hint="eastAsia"/>
          <w:lang w:eastAsia="zh-CN"/>
        </w:rPr>
        <w:t>3230.02</w:t>
      </w:r>
      <w:r>
        <w:t>万元，包括人员经费</w:t>
      </w:r>
      <w:r w:rsidR="000D16D2">
        <w:rPr>
          <w:rFonts w:hint="eastAsia"/>
          <w:lang w:eastAsia="zh-CN"/>
        </w:rPr>
        <w:t>3037.23</w:t>
      </w:r>
      <w:r>
        <w:t>万元和日常公用经费</w:t>
      </w:r>
      <w:r w:rsidR="000D16D2">
        <w:rPr>
          <w:rFonts w:hint="eastAsia"/>
          <w:lang w:eastAsia="zh-CN"/>
        </w:rPr>
        <w:t>192.79</w:t>
      </w:r>
      <w:r>
        <w:t>万元；项目支出</w:t>
      </w:r>
      <w:r w:rsidR="000D16D2">
        <w:rPr>
          <w:rFonts w:hint="eastAsia"/>
          <w:lang w:eastAsia="zh-CN"/>
        </w:rPr>
        <w:t>742.65</w:t>
      </w:r>
      <w:r>
        <w:t>万元，主要为</w:t>
      </w:r>
      <w:r w:rsidR="000D16D2">
        <w:rPr>
          <w:rFonts w:ascii="方正书宋_GBK" w:eastAsia="方正书宋_GBK" w:hint="eastAsia"/>
        </w:rPr>
        <w:t>食品药品及化妆品检测经费</w:t>
      </w:r>
      <w:r w:rsidR="000D16D2">
        <w:rPr>
          <w:rFonts w:ascii="方正书宋_GBK" w:eastAsia="方正书宋_GBK" w:hint="eastAsia"/>
          <w:lang w:eastAsia="zh-CN"/>
        </w:rPr>
        <w:t>、</w:t>
      </w:r>
      <w:r w:rsidR="000D16D2">
        <w:rPr>
          <w:rFonts w:ascii="方正书宋_GBK" w:eastAsia="方正书宋_GBK" w:hint="eastAsia"/>
        </w:rPr>
        <w:t>创建国家食品安全城市暨省食品药品安全县专项经费</w:t>
      </w:r>
      <w:r w:rsidR="000D16D2">
        <w:rPr>
          <w:rFonts w:ascii="方正书宋_GBK" w:eastAsia="方正书宋_GBK" w:hint="eastAsia"/>
          <w:lang w:eastAsia="zh-CN"/>
        </w:rPr>
        <w:t>、</w:t>
      </w:r>
      <w:r w:rsidR="000D16D2">
        <w:rPr>
          <w:rFonts w:ascii="方正书宋_GBK" w:eastAsia="方正书宋_GBK" w:hint="eastAsia"/>
        </w:rPr>
        <w:t>食品药品安全协管员补助经费</w:t>
      </w:r>
      <w:r w:rsidR="000D16D2">
        <w:rPr>
          <w:rFonts w:ascii="方正书宋_GBK" w:eastAsia="方正书宋_GBK" w:hint="eastAsia"/>
          <w:lang w:eastAsia="zh-CN"/>
        </w:rPr>
        <w:t>、</w:t>
      </w:r>
      <w:r w:rsidR="000D16D2">
        <w:rPr>
          <w:rFonts w:ascii="方正书宋_GBK" w:eastAsia="方正书宋_GBK" w:hint="eastAsia"/>
        </w:rPr>
        <w:t>执法办案经费</w:t>
      </w:r>
      <w:r w:rsidR="000D16D2">
        <w:rPr>
          <w:rFonts w:ascii="方正书宋_GBK" w:eastAsia="方正书宋_GBK" w:hint="eastAsia"/>
          <w:lang w:eastAsia="zh-CN"/>
        </w:rPr>
        <w:t>、</w:t>
      </w:r>
      <w:r w:rsidR="000D16D2">
        <w:rPr>
          <w:rFonts w:ascii="方正书宋_GBK" w:eastAsia="方正书宋_GBK" w:hint="eastAsia"/>
        </w:rPr>
        <w:t>瑞明街菜市场门市房改建工程款和前期费用</w:t>
      </w:r>
      <w:r w:rsidR="000D16D2">
        <w:rPr>
          <w:rFonts w:ascii="方正书宋_GBK" w:eastAsia="方正书宋_GBK" w:hint="eastAsia"/>
          <w:lang w:eastAsia="zh-CN"/>
        </w:rPr>
        <w:t>、</w:t>
      </w:r>
      <w:r w:rsidR="000D16D2">
        <w:rPr>
          <w:rFonts w:ascii="方正书宋_GBK" w:eastAsia="方正书宋_GBK" w:hint="eastAsia"/>
        </w:rPr>
        <w:t>市场建设服务中心补助</w:t>
      </w:r>
      <w:r w:rsidR="000D16D2">
        <w:rPr>
          <w:rFonts w:ascii="方正书宋_GBK" w:eastAsia="方正书宋_GBK" w:hint="eastAsia"/>
          <w:lang w:eastAsia="zh-CN"/>
        </w:rPr>
        <w:t>、</w:t>
      </w:r>
      <w:r w:rsidR="000D16D2">
        <w:rPr>
          <w:rFonts w:ascii="方正书宋_GBK" w:eastAsia="方正书宋_GBK" w:hint="eastAsia"/>
        </w:rPr>
        <w:t>机构改革追加经费</w:t>
      </w:r>
      <w:r w:rsidR="000D16D2">
        <w:rPr>
          <w:rFonts w:ascii="方正书宋_GBK" w:eastAsia="方正书宋_GBK" w:hint="eastAsia"/>
          <w:lang w:eastAsia="zh-CN"/>
        </w:rPr>
        <w:t>等</w:t>
      </w:r>
      <w:r>
        <w:t>。</w:t>
      </w:r>
    </w:p>
    <w:p w:rsidR="00F76141" w:rsidRDefault="00AE3414">
      <w:pPr>
        <w:pStyle w:val="-0"/>
      </w:pPr>
      <w:r>
        <w:t>3</w:t>
      </w:r>
      <w:r>
        <w:t>、比上年增减情况</w:t>
      </w:r>
    </w:p>
    <w:p w:rsidR="00F76141" w:rsidRDefault="000D16D2">
      <w:pPr>
        <w:pStyle w:val="-0"/>
      </w:pPr>
      <w:r>
        <w:rPr>
          <w:rFonts w:hint="eastAsia"/>
          <w:lang w:eastAsia="zh-CN"/>
        </w:rPr>
        <w:t>2016</w:t>
      </w:r>
      <w:r w:rsidR="00AE3414">
        <w:t>年预算收支安排</w:t>
      </w:r>
      <w:r>
        <w:rPr>
          <w:rFonts w:hint="eastAsia"/>
          <w:lang w:eastAsia="zh-CN"/>
        </w:rPr>
        <w:t>3972.67</w:t>
      </w:r>
      <w:r w:rsidR="00AE3414">
        <w:t>万元，</w:t>
      </w:r>
      <w:r w:rsidR="003E1683">
        <w:rPr>
          <w:rFonts w:hint="eastAsia"/>
          <w:lang w:eastAsia="zh-CN"/>
        </w:rPr>
        <w:t>由于我部门是</w:t>
      </w:r>
      <w:r w:rsidR="003E1683">
        <w:rPr>
          <w:rFonts w:hint="eastAsia"/>
          <w:lang w:eastAsia="zh-CN"/>
        </w:rPr>
        <w:t>2015</w:t>
      </w:r>
      <w:r w:rsidR="003E1683">
        <w:rPr>
          <w:rFonts w:hint="eastAsia"/>
          <w:lang w:eastAsia="zh-CN"/>
        </w:rPr>
        <w:t>年</w:t>
      </w:r>
      <w:r w:rsidR="003E1683">
        <w:rPr>
          <w:rFonts w:hint="eastAsia"/>
          <w:lang w:eastAsia="zh-CN"/>
        </w:rPr>
        <w:t>7</w:t>
      </w:r>
      <w:r w:rsidR="003E1683">
        <w:rPr>
          <w:rFonts w:hint="eastAsia"/>
          <w:lang w:eastAsia="zh-CN"/>
        </w:rPr>
        <w:t>月机构改革后新成立的单位，这是机构改革后第一年预算，因此无法与</w:t>
      </w:r>
      <w:r w:rsidR="003E1683">
        <w:rPr>
          <w:rFonts w:hint="eastAsia"/>
          <w:lang w:eastAsia="zh-CN"/>
        </w:rPr>
        <w:t>2015</w:t>
      </w:r>
      <w:r w:rsidR="003E1683">
        <w:rPr>
          <w:rFonts w:hint="eastAsia"/>
          <w:lang w:eastAsia="zh-CN"/>
        </w:rPr>
        <w:t>年度对比</w:t>
      </w:r>
      <w:r w:rsidR="00AE3414">
        <w:t>。</w:t>
      </w:r>
    </w:p>
    <w:p w:rsidR="00F76141" w:rsidRDefault="00AE3414">
      <w:pPr>
        <w:spacing w:before="10" w:after="10" w:line="360" w:lineRule="auto"/>
        <w:ind w:firstLine="640"/>
        <w:outlineLvl w:val="2"/>
      </w:pPr>
      <w:bookmarkStart w:id="2" w:name="_Toc_3_3_0000000012"/>
      <w:r>
        <w:rPr>
          <w:rFonts w:ascii="黑体" w:eastAsia="黑体" w:hAnsi="黑体" w:cs="黑体"/>
          <w:color w:val="000000"/>
          <w:sz w:val="32"/>
        </w:rPr>
        <w:t>三、机关运行经费安排情况</w:t>
      </w:r>
      <w:bookmarkEnd w:id="2"/>
    </w:p>
    <w:p w:rsidR="00F76141" w:rsidRDefault="003E1683">
      <w:pPr>
        <w:pStyle w:val="-1"/>
      </w:pPr>
      <w:r>
        <w:rPr>
          <w:rFonts w:hint="eastAsia"/>
          <w:lang w:eastAsia="zh-CN"/>
        </w:rPr>
        <w:lastRenderedPageBreak/>
        <w:t>2016</w:t>
      </w:r>
      <w:r w:rsidR="00AE3414">
        <w:t>年，我部门机关运行经费共计安排</w:t>
      </w:r>
      <w:r>
        <w:rPr>
          <w:rFonts w:hint="eastAsia"/>
          <w:lang w:eastAsia="zh-CN"/>
        </w:rPr>
        <w:t>192.79</w:t>
      </w:r>
      <w:r w:rsidR="00AE3414">
        <w:t>万元，主要用于日常维修、办公用房水电费、办公用房取暖费、办公用房物业管理费等日常运行支出。</w:t>
      </w:r>
    </w:p>
    <w:p w:rsidR="00F76141" w:rsidRDefault="00AE3414">
      <w:pPr>
        <w:spacing w:before="10" w:after="10" w:line="360" w:lineRule="auto"/>
        <w:ind w:firstLine="640"/>
        <w:outlineLvl w:val="2"/>
      </w:pPr>
      <w:bookmarkStart w:id="3" w:name="_Toc_3_3_0000000013"/>
      <w:r>
        <w:rPr>
          <w:rFonts w:ascii="黑体" w:eastAsia="黑体" w:hAnsi="黑体" w:cs="黑体"/>
          <w:color w:val="000000"/>
          <w:sz w:val="32"/>
        </w:rPr>
        <w:t>四、财政拨款“三公”经费预算情况及增减变化原因</w:t>
      </w:r>
      <w:bookmarkEnd w:id="3"/>
    </w:p>
    <w:p w:rsidR="00F76141" w:rsidRDefault="003E1683">
      <w:pPr>
        <w:pStyle w:val="-6"/>
      </w:pPr>
      <w:bookmarkStart w:id="4" w:name="_Toc_3_3_0000000014"/>
      <w:r>
        <w:rPr>
          <w:rFonts w:hint="eastAsia"/>
          <w:lang w:eastAsia="zh-CN"/>
        </w:rPr>
        <w:t>2016</w:t>
      </w:r>
      <w:r w:rsidR="00AE3414">
        <w:t>年，我单位财政拨款</w:t>
      </w:r>
      <w:r w:rsidR="00AE3414">
        <w:t>“</w:t>
      </w:r>
      <w:r w:rsidR="00AE3414">
        <w:t>三公</w:t>
      </w:r>
      <w:r w:rsidR="00AE3414">
        <w:t>”</w:t>
      </w:r>
      <w:r w:rsidR="00AE3414">
        <w:t>经费预算安排</w:t>
      </w:r>
      <w:r>
        <w:rPr>
          <w:rFonts w:hint="eastAsia"/>
          <w:lang w:eastAsia="zh-CN"/>
        </w:rPr>
        <w:t>15</w:t>
      </w:r>
      <w:r w:rsidR="00AE3414">
        <w:t>万元，其中因公出国（境）费</w:t>
      </w:r>
      <w:r w:rsidR="001A5C8C">
        <w:t>0</w:t>
      </w:r>
      <w:r w:rsidR="00AE3414">
        <w:t>万元；公务用车购置及运维费</w:t>
      </w:r>
      <w:r w:rsidR="001A5C8C">
        <w:t>15</w:t>
      </w:r>
      <w:r w:rsidR="00AE3414">
        <w:t>万元（其中：公务用车购置费为</w:t>
      </w:r>
      <w:r w:rsidR="001A5C8C">
        <w:t>0</w:t>
      </w:r>
      <w:r w:rsidR="00AE3414">
        <w:t>万元，公务用车运维费</w:t>
      </w:r>
      <w:r w:rsidR="001A5C8C">
        <w:t>15</w:t>
      </w:r>
      <w:r w:rsidR="00AE3414">
        <w:t>万元</w:t>
      </w:r>
      <w:r w:rsidR="00AE3414">
        <w:t>)</w:t>
      </w:r>
      <w:r w:rsidR="00AE3414">
        <w:t>；公务接待费</w:t>
      </w:r>
      <w:r>
        <w:rPr>
          <w:rFonts w:hint="eastAsia"/>
          <w:lang w:eastAsia="zh-CN"/>
        </w:rPr>
        <w:t>0</w:t>
      </w:r>
      <w:r w:rsidR="00AE3414">
        <w:t>万元。</w:t>
      </w:r>
      <w:r w:rsidR="0002601C">
        <w:rPr>
          <w:rFonts w:hint="eastAsia"/>
          <w:lang w:eastAsia="zh-CN"/>
        </w:rPr>
        <w:t>无法与</w:t>
      </w:r>
      <w:r w:rsidR="0002601C">
        <w:rPr>
          <w:rFonts w:hint="eastAsia"/>
          <w:lang w:eastAsia="zh-CN"/>
        </w:rPr>
        <w:t>2015</w:t>
      </w:r>
      <w:r w:rsidR="0002601C">
        <w:rPr>
          <w:rFonts w:hint="eastAsia"/>
          <w:lang w:eastAsia="zh-CN"/>
        </w:rPr>
        <w:t>年对比</w:t>
      </w:r>
      <w:r w:rsidR="00AE3414">
        <w:t>。</w:t>
      </w:r>
    </w:p>
    <w:bookmarkEnd w:id="4"/>
    <w:p w:rsidR="00D25C90" w:rsidRDefault="00D25C90" w:rsidP="00D25C90">
      <w:pPr>
        <w:spacing w:line="360" w:lineRule="auto"/>
        <w:ind w:firstLine="630"/>
        <w:rPr>
          <w:rFonts w:ascii="黑体" w:eastAsia="黑体" w:hAnsi="黑体"/>
          <w:sz w:val="32"/>
          <w:szCs w:val="32"/>
        </w:rPr>
      </w:pPr>
      <w:r>
        <w:rPr>
          <w:rFonts w:ascii="黑体" w:eastAsia="黑体" w:hAnsi="黑体" w:hint="eastAsia"/>
          <w:sz w:val="32"/>
          <w:szCs w:val="32"/>
        </w:rPr>
        <w:t>五、绩效预算信息</w:t>
      </w:r>
    </w:p>
    <w:p w:rsidR="00F76141" w:rsidRDefault="00AE3414">
      <w:pPr>
        <w:spacing w:line="500" w:lineRule="exact"/>
        <w:ind w:firstLine="560"/>
      </w:pPr>
      <w:r>
        <w:rPr>
          <w:rFonts w:eastAsia="方正仿宋_GBK"/>
          <w:color w:val="000000"/>
          <w:sz w:val="28"/>
        </w:rPr>
        <w:t>（一）总体绩效目标</w:t>
      </w:r>
    </w:p>
    <w:p w:rsidR="0002601C" w:rsidRDefault="0002601C" w:rsidP="0002601C">
      <w:pPr>
        <w:pStyle w:val="-3"/>
      </w:pPr>
      <w:bookmarkStart w:id="5" w:name="_Toc_3_3_0000000017"/>
      <w:r>
        <w:t>继续开展市场秩序维护行动，对流通领域商品质量、服务领域消费维权、民用品维修业侵害消费者权益行为进行彻底整治，努力解决人民群众反映突出的热点、难点问题，依法查处网络消费、实体消费中侵害消费者合法权益行为。继续强化标准的引领作用，以工业开发区和重点工业企业为重点，引导和鼓励企业采用国际标准和国外先进标准，扎实推进企业标准化体系建设。继续推进开展食品安全示范创建活动，深入推进</w:t>
      </w:r>
      <w:r>
        <w:t>“</w:t>
      </w:r>
      <w:r>
        <w:t>放心肉菜示范超市</w:t>
      </w:r>
      <w:r>
        <w:t>”</w:t>
      </w:r>
      <w:r>
        <w:t>创建活动，达到经营者文明诚信守法自律经营，消费者舒心放心满意购物目的。继续加大驰名商标培育力度，服务企业技术创新，走高质量发展之路，制定中国驰名商标等培育计划，积极开展培育工作，扎实推进质量提升行动。继续以更加优质的服务、更加便捷的工作效率帮扶市场主体，按程序按要求持续深化商事登记制度改革，认真做好外资企业登记权限授权承接各项工作。</w:t>
      </w:r>
    </w:p>
    <w:p w:rsidR="00BC0652" w:rsidRPr="006A4512" w:rsidRDefault="00BC0652" w:rsidP="006A4512">
      <w:pPr>
        <w:ind w:firstLineChars="200" w:firstLine="560"/>
        <w:outlineLvl w:val="0"/>
        <w:rPr>
          <w:rFonts w:ascii="方正仿宋简体" w:eastAsia="方正仿宋简体" w:hAnsi="仿宋" w:cs="仿宋"/>
          <w:bCs/>
          <w:color w:val="000000"/>
          <w:sz w:val="28"/>
          <w:szCs w:val="28"/>
        </w:rPr>
      </w:pPr>
      <w:r w:rsidRPr="006A4512">
        <w:rPr>
          <w:rFonts w:ascii="方正仿宋简体" w:eastAsia="方正仿宋简体" w:hAnsi="仿宋" w:cs="仿宋" w:hint="eastAsia"/>
          <w:bCs/>
          <w:color w:val="000000"/>
          <w:sz w:val="28"/>
          <w:szCs w:val="28"/>
          <w:lang w:eastAsia="zh-CN"/>
        </w:rPr>
        <w:t>（二）</w:t>
      </w:r>
      <w:r w:rsidRPr="006A4512">
        <w:rPr>
          <w:rFonts w:ascii="方正仿宋简体" w:eastAsia="方正仿宋简体" w:hAnsi="仿宋" w:cs="仿宋" w:hint="eastAsia"/>
          <w:bCs/>
          <w:color w:val="000000"/>
          <w:sz w:val="28"/>
          <w:szCs w:val="28"/>
        </w:rPr>
        <w:t>实现年度发展规划目标的保障措施</w:t>
      </w:r>
    </w:p>
    <w:p w:rsidR="0002601C" w:rsidRDefault="0002601C" w:rsidP="0002601C">
      <w:pPr>
        <w:pStyle w:val="-5"/>
      </w:pPr>
      <w:r>
        <w:rPr>
          <w:rFonts w:hint="eastAsia"/>
          <w:lang w:eastAsia="zh-CN"/>
        </w:rPr>
        <w:lastRenderedPageBreak/>
        <w:t>1</w:t>
      </w:r>
      <w:r>
        <w:rPr>
          <w:rFonts w:hint="eastAsia"/>
          <w:lang w:eastAsia="zh-CN"/>
        </w:rPr>
        <w:t>、</w:t>
      </w:r>
      <w:r>
        <w:t>完善制度建设。深入贯彻党的十九大精神，认真落实《预算法》等相关法律法规，完善预算绩效管理制度、资金支出管理办法，为全年预算绩效目标的实现奠定制度基础。严守法规和标准，用最严格的监管、最严厉的处罚、最严肃的问责，切实保障监管职能到位，服务地方经济的发展。</w:t>
      </w:r>
    </w:p>
    <w:p w:rsidR="0002601C" w:rsidRDefault="0002601C" w:rsidP="0002601C">
      <w:pPr>
        <w:pStyle w:val="-5"/>
      </w:pPr>
      <w:r>
        <w:rPr>
          <w:rFonts w:hint="eastAsia"/>
          <w:lang w:eastAsia="zh-CN"/>
        </w:rPr>
        <w:t>2</w:t>
      </w:r>
      <w:r>
        <w:rPr>
          <w:rFonts w:hint="eastAsia"/>
          <w:lang w:eastAsia="zh-CN"/>
        </w:rPr>
        <w:t>、</w:t>
      </w:r>
      <w:r>
        <w:t>加强支出管理。紧紧围绕区委区政府决策部署，本着深化改革、依法理财、突出重点、厉行节约的原则，通过优化支出结构、编细编实</w:t>
      </w:r>
      <w:r>
        <w:t>2024</w:t>
      </w:r>
      <w:r>
        <w:t>年预算、加快履行政府采购手续、尽快启动项目、及时支付资金、按规定及时下达资金等多种措施，加强支出管理，确保支出进度达标，从而保障各项活动的正常开展。</w:t>
      </w:r>
    </w:p>
    <w:p w:rsidR="0002601C" w:rsidRDefault="0002601C" w:rsidP="0002601C">
      <w:pPr>
        <w:pStyle w:val="-5"/>
      </w:pPr>
      <w:r>
        <w:rPr>
          <w:rFonts w:hint="eastAsia"/>
          <w:lang w:eastAsia="zh-CN"/>
        </w:rPr>
        <w:t>3</w:t>
      </w:r>
      <w:r>
        <w:rPr>
          <w:rFonts w:hint="eastAsia"/>
          <w:lang w:eastAsia="zh-CN"/>
        </w:rPr>
        <w:t>、</w:t>
      </w:r>
      <w:r>
        <w:t>加强绩效运行监控。按要求开展绩效运行监控，发现问题及时采取措施，确保绩效目标如期保质实现。</w:t>
      </w:r>
    </w:p>
    <w:p w:rsidR="0002601C" w:rsidRDefault="0002601C" w:rsidP="0002601C">
      <w:pPr>
        <w:pStyle w:val="-5"/>
      </w:pPr>
      <w:r>
        <w:rPr>
          <w:rFonts w:hint="eastAsia"/>
          <w:lang w:eastAsia="zh-CN"/>
        </w:rPr>
        <w:t>4</w:t>
      </w:r>
      <w:r>
        <w:rPr>
          <w:rFonts w:hint="eastAsia"/>
          <w:lang w:eastAsia="zh-CN"/>
        </w:rPr>
        <w:t>、</w:t>
      </w:r>
      <w:r>
        <w:t>做好绩效自评。做好</w:t>
      </w:r>
      <w:r>
        <w:t>2023</w:t>
      </w:r>
      <w:r>
        <w:t>年度部门预算绩效自评和重点评价工作，对评价中发现的问题及时整改，调整优化支出结构，提高财政资金使用效益。</w:t>
      </w:r>
    </w:p>
    <w:p w:rsidR="0002601C" w:rsidRDefault="0002601C" w:rsidP="0002601C">
      <w:pPr>
        <w:pStyle w:val="-5"/>
      </w:pPr>
      <w:r>
        <w:rPr>
          <w:rFonts w:hint="eastAsia"/>
          <w:lang w:eastAsia="zh-CN"/>
        </w:rPr>
        <w:t>5</w:t>
      </w:r>
      <w:r>
        <w:rPr>
          <w:rFonts w:hint="eastAsia"/>
          <w:lang w:eastAsia="zh-CN"/>
        </w:rPr>
        <w:t>、</w:t>
      </w:r>
      <w:r>
        <w:t>规范财务资产管理。完善财务管理制度，严格审批程序，加强固定资产登记、使用和报废处置管理，做到支出合理，物尽其用。</w:t>
      </w:r>
    </w:p>
    <w:p w:rsidR="0002601C" w:rsidRDefault="0002601C" w:rsidP="0002601C">
      <w:pPr>
        <w:pStyle w:val="-5"/>
      </w:pPr>
      <w:r>
        <w:rPr>
          <w:rFonts w:hint="eastAsia"/>
          <w:lang w:eastAsia="zh-CN"/>
        </w:rPr>
        <w:t>6</w:t>
      </w:r>
      <w:r>
        <w:rPr>
          <w:rFonts w:hint="eastAsia"/>
          <w:lang w:eastAsia="zh-CN"/>
        </w:rPr>
        <w:t>、</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02601C" w:rsidRDefault="0002601C" w:rsidP="0002601C">
      <w:pPr>
        <w:pStyle w:val="-5"/>
        <w:sectPr w:rsidR="0002601C">
          <w:pgSz w:w="16840" w:h="11900" w:orient="landscape"/>
          <w:pgMar w:top="1361" w:right="1020" w:bottom="1361" w:left="1020" w:header="720" w:footer="720" w:gutter="0"/>
          <w:cols w:space="720"/>
        </w:sectPr>
      </w:pPr>
      <w:r>
        <w:rPr>
          <w:rFonts w:hint="eastAsia"/>
          <w:lang w:eastAsia="zh-CN"/>
        </w:rPr>
        <w:t>7</w:t>
      </w:r>
      <w:r>
        <w:rPr>
          <w:rFonts w:hint="eastAsia"/>
          <w:lang w:eastAsia="zh-CN"/>
        </w:rPr>
        <w:t>、</w:t>
      </w:r>
      <w:r>
        <w:t>加强宣传培训调研等。认真谋划落实机构改革，继续抓好常规业务工作和各项专项整治工作，全面加强监管队伍建设和从业人员规范化培训，提高本部门职工业务素质；加强调研，提出优化财政资金配置、提高资金使用效益的意见意见；加大宣传力度，强化预算绩效管理意识，促进预算绩效管理水平进一步提升。</w:t>
      </w:r>
    </w:p>
    <w:p w:rsidR="00CD471C" w:rsidRPr="006A4512" w:rsidRDefault="003B79D8" w:rsidP="00CD471C">
      <w:pPr>
        <w:spacing w:line="360" w:lineRule="auto"/>
        <w:ind w:firstLine="630"/>
        <w:rPr>
          <w:rFonts w:ascii="方正仿宋简体" w:eastAsia="方正仿宋简体" w:hAnsi="楷体"/>
          <w:sz w:val="28"/>
          <w:szCs w:val="28"/>
        </w:rPr>
      </w:pPr>
      <w:r w:rsidRPr="006A4512">
        <w:rPr>
          <w:rFonts w:ascii="方正仿宋简体" w:eastAsia="方正仿宋简体" w:hAnsi="楷体" w:hint="eastAsia"/>
          <w:sz w:val="28"/>
          <w:szCs w:val="28"/>
        </w:rPr>
        <w:lastRenderedPageBreak/>
        <w:t>（三</w:t>
      </w:r>
      <w:r w:rsidR="00CD471C" w:rsidRPr="006A4512">
        <w:rPr>
          <w:rFonts w:ascii="方正仿宋简体" w:eastAsia="方正仿宋简体" w:hAnsi="楷体" w:hint="eastAsia"/>
          <w:sz w:val="28"/>
          <w:szCs w:val="28"/>
        </w:rPr>
        <w:t>）部门职责及工作活动绩效目标指标</w:t>
      </w:r>
    </w:p>
    <w:tbl>
      <w:tblPr>
        <w:tblW w:w="0" w:type="auto"/>
        <w:tblInd w:w="93" w:type="dxa"/>
        <w:tblLayout w:type="fixed"/>
        <w:tblLook w:val="0000"/>
      </w:tblPr>
      <w:tblGrid>
        <w:gridCol w:w="1600"/>
        <w:gridCol w:w="1202"/>
        <w:gridCol w:w="2498"/>
        <w:gridCol w:w="2860"/>
        <w:gridCol w:w="3000"/>
        <w:gridCol w:w="840"/>
        <w:gridCol w:w="820"/>
        <w:gridCol w:w="1020"/>
        <w:gridCol w:w="900"/>
      </w:tblGrid>
      <w:tr w:rsidR="00270170" w:rsidTr="00AB2416">
        <w:trPr>
          <w:trHeight w:val="750"/>
        </w:trPr>
        <w:tc>
          <w:tcPr>
            <w:tcW w:w="14740" w:type="dxa"/>
            <w:gridSpan w:val="9"/>
            <w:tcBorders>
              <w:top w:val="nil"/>
              <w:left w:val="nil"/>
              <w:bottom w:val="single" w:sz="4" w:space="0" w:color="auto"/>
              <w:right w:val="nil"/>
            </w:tcBorders>
          </w:tcPr>
          <w:p w:rsidR="00270170" w:rsidRDefault="00270170" w:rsidP="00AB2416">
            <w:pPr>
              <w:jc w:val="center"/>
              <w:rPr>
                <w:rFonts w:ascii="宋体" w:hAnsi="宋体" w:cs="宋体"/>
                <w:b/>
                <w:bCs/>
                <w:sz w:val="36"/>
                <w:szCs w:val="36"/>
              </w:rPr>
            </w:pPr>
            <w:proofErr w:type="spellStart"/>
            <w:r>
              <w:rPr>
                <w:rFonts w:ascii="宋体" w:hAnsi="宋体" w:cs="宋体" w:hint="eastAsia"/>
                <w:b/>
                <w:bCs/>
                <w:sz w:val="36"/>
                <w:szCs w:val="36"/>
              </w:rPr>
              <w:t>部门职责-工作活动绩效目标指标</w:t>
            </w:r>
            <w:proofErr w:type="spellEnd"/>
          </w:p>
          <w:p w:rsidR="00270170" w:rsidRDefault="00270170" w:rsidP="00AB2416">
            <w:pPr>
              <w:rPr>
                <w:rFonts w:ascii="宋体" w:hAnsi="宋体" w:cs="宋体"/>
                <w:b/>
                <w:bCs/>
                <w:sz w:val="36"/>
                <w:szCs w:val="36"/>
              </w:rPr>
            </w:pPr>
            <w:r>
              <w:rPr>
                <w:rFonts w:ascii="宋体" w:hAnsi="宋体" w:cs="宋体" w:hint="eastAsia"/>
                <w:b/>
                <w:bCs/>
              </w:rPr>
              <w:t xml:space="preserve">443市场监督管理局 </w:t>
            </w:r>
            <w:r>
              <w:rPr>
                <w:rFonts w:ascii="宋体" w:hAnsi="宋体" w:cs="宋体" w:hint="eastAsia"/>
                <w:b/>
                <w:bCs/>
                <w:sz w:val="28"/>
                <w:szCs w:val="28"/>
              </w:rPr>
              <w:t xml:space="preserve">                                                                               </w:t>
            </w:r>
            <w:proofErr w:type="spellStart"/>
            <w:r>
              <w:rPr>
                <w:rFonts w:ascii="宋体" w:hAnsi="宋体" w:cs="宋体" w:hint="eastAsia"/>
              </w:rPr>
              <w:t>单位：万元</w:t>
            </w:r>
            <w:proofErr w:type="spellEnd"/>
          </w:p>
        </w:tc>
      </w:tr>
      <w:tr w:rsidR="00270170" w:rsidTr="00AB2416">
        <w:trPr>
          <w:trHeight w:val="300"/>
        </w:trPr>
        <w:tc>
          <w:tcPr>
            <w:tcW w:w="1600" w:type="dxa"/>
            <w:tcBorders>
              <w:top w:val="nil"/>
              <w:left w:val="single" w:sz="4" w:space="0" w:color="auto"/>
              <w:bottom w:val="single" w:sz="4" w:space="0" w:color="auto"/>
              <w:right w:val="single" w:sz="4" w:space="0" w:color="auto"/>
            </w:tcBorders>
          </w:tcPr>
          <w:p w:rsidR="00270170" w:rsidRDefault="00270170" w:rsidP="00AB2416">
            <w:pPr>
              <w:rPr>
                <w:rFonts w:ascii="宋体" w:hAnsi="宋体" w:cs="宋体"/>
                <w:sz w:val="18"/>
                <w:szCs w:val="18"/>
              </w:rPr>
            </w:pPr>
            <w:proofErr w:type="spellStart"/>
            <w:r>
              <w:rPr>
                <w:rFonts w:ascii="宋体" w:hAnsi="宋体" w:cs="宋体" w:hint="eastAsia"/>
                <w:sz w:val="18"/>
                <w:szCs w:val="18"/>
              </w:rPr>
              <w:t>职责活动</w:t>
            </w:r>
            <w:proofErr w:type="spellEnd"/>
          </w:p>
        </w:tc>
        <w:tc>
          <w:tcPr>
            <w:tcW w:w="1202" w:type="dxa"/>
            <w:tcBorders>
              <w:top w:val="nil"/>
              <w:left w:val="nil"/>
              <w:bottom w:val="single" w:sz="4" w:space="0" w:color="auto"/>
              <w:right w:val="single" w:sz="4" w:space="0" w:color="auto"/>
            </w:tcBorders>
          </w:tcPr>
          <w:p w:rsidR="00270170" w:rsidRDefault="00270170" w:rsidP="00AB2416">
            <w:pPr>
              <w:rPr>
                <w:rFonts w:ascii="宋体" w:hAnsi="宋体" w:cs="宋体"/>
                <w:sz w:val="18"/>
                <w:szCs w:val="18"/>
              </w:rPr>
            </w:pPr>
            <w:proofErr w:type="spellStart"/>
            <w:r>
              <w:rPr>
                <w:rFonts w:ascii="宋体" w:hAnsi="宋体" w:cs="宋体" w:hint="eastAsia"/>
                <w:sz w:val="18"/>
                <w:szCs w:val="18"/>
              </w:rPr>
              <w:t>年度预算数</w:t>
            </w:r>
            <w:proofErr w:type="spellEnd"/>
          </w:p>
        </w:tc>
        <w:tc>
          <w:tcPr>
            <w:tcW w:w="2498" w:type="dxa"/>
            <w:tcBorders>
              <w:top w:val="nil"/>
              <w:left w:val="nil"/>
              <w:bottom w:val="single" w:sz="4" w:space="0" w:color="auto"/>
              <w:right w:val="single" w:sz="4" w:space="0" w:color="auto"/>
            </w:tcBorders>
          </w:tcPr>
          <w:p w:rsidR="00270170" w:rsidRDefault="00270170" w:rsidP="00AB2416">
            <w:pPr>
              <w:rPr>
                <w:rFonts w:ascii="宋体" w:hAnsi="宋体" w:cs="宋体"/>
                <w:sz w:val="18"/>
                <w:szCs w:val="18"/>
              </w:rPr>
            </w:pPr>
            <w:proofErr w:type="spellStart"/>
            <w:r>
              <w:rPr>
                <w:rFonts w:ascii="宋体" w:hAnsi="宋体" w:cs="宋体" w:hint="eastAsia"/>
                <w:sz w:val="18"/>
                <w:szCs w:val="18"/>
              </w:rPr>
              <w:t>内容描述</w:t>
            </w:r>
            <w:proofErr w:type="spellEnd"/>
          </w:p>
        </w:tc>
        <w:tc>
          <w:tcPr>
            <w:tcW w:w="2860" w:type="dxa"/>
            <w:tcBorders>
              <w:top w:val="nil"/>
              <w:left w:val="nil"/>
              <w:bottom w:val="single" w:sz="4" w:space="0" w:color="auto"/>
              <w:right w:val="single" w:sz="4" w:space="0" w:color="auto"/>
            </w:tcBorders>
          </w:tcPr>
          <w:p w:rsidR="00270170" w:rsidRDefault="00270170" w:rsidP="00AB2416">
            <w:pPr>
              <w:rPr>
                <w:rFonts w:ascii="宋体" w:hAnsi="宋体" w:cs="宋体"/>
                <w:sz w:val="18"/>
                <w:szCs w:val="18"/>
              </w:rPr>
            </w:pPr>
            <w:proofErr w:type="spellStart"/>
            <w:r>
              <w:rPr>
                <w:rFonts w:ascii="宋体" w:hAnsi="宋体" w:cs="宋体" w:hint="eastAsia"/>
                <w:sz w:val="18"/>
                <w:szCs w:val="18"/>
              </w:rPr>
              <w:t>绩效目标</w:t>
            </w:r>
            <w:proofErr w:type="spellEnd"/>
          </w:p>
        </w:tc>
        <w:tc>
          <w:tcPr>
            <w:tcW w:w="3000" w:type="dxa"/>
            <w:tcBorders>
              <w:top w:val="nil"/>
              <w:left w:val="nil"/>
              <w:bottom w:val="single" w:sz="4" w:space="0" w:color="auto"/>
              <w:right w:val="single" w:sz="4" w:space="0" w:color="auto"/>
            </w:tcBorders>
          </w:tcPr>
          <w:p w:rsidR="00270170" w:rsidRDefault="00270170" w:rsidP="00AB2416">
            <w:pPr>
              <w:rPr>
                <w:rFonts w:ascii="宋体" w:hAnsi="宋体" w:cs="宋体"/>
                <w:sz w:val="18"/>
                <w:szCs w:val="18"/>
              </w:rPr>
            </w:pPr>
            <w:proofErr w:type="spellStart"/>
            <w:r>
              <w:rPr>
                <w:rFonts w:ascii="宋体" w:hAnsi="宋体" w:cs="宋体" w:hint="eastAsia"/>
                <w:sz w:val="18"/>
                <w:szCs w:val="18"/>
              </w:rPr>
              <w:t>绩效指标</w:t>
            </w:r>
            <w:proofErr w:type="spellEnd"/>
          </w:p>
        </w:tc>
        <w:tc>
          <w:tcPr>
            <w:tcW w:w="840" w:type="dxa"/>
            <w:tcBorders>
              <w:top w:val="nil"/>
              <w:left w:val="nil"/>
              <w:bottom w:val="single" w:sz="4" w:space="0" w:color="auto"/>
              <w:right w:val="single" w:sz="4" w:space="0" w:color="auto"/>
            </w:tcBorders>
          </w:tcPr>
          <w:p w:rsidR="00270170" w:rsidRDefault="00270170" w:rsidP="00AB2416">
            <w:pPr>
              <w:rPr>
                <w:rFonts w:ascii="宋体" w:hAnsi="宋体" w:cs="宋体"/>
                <w:sz w:val="18"/>
                <w:szCs w:val="18"/>
              </w:rPr>
            </w:pPr>
            <w:r>
              <w:rPr>
                <w:rFonts w:ascii="宋体" w:hAnsi="宋体" w:cs="宋体" w:hint="eastAsia"/>
                <w:sz w:val="18"/>
                <w:szCs w:val="18"/>
              </w:rPr>
              <w:t>优</w:t>
            </w:r>
          </w:p>
        </w:tc>
        <w:tc>
          <w:tcPr>
            <w:tcW w:w="820" w:type="dxa"/>
            <w:tcBorders>
              <w:top w:val="nil"/>
              <w:left w:val="nil"/>
              <w:bottom w:val="single" w:sz="4" w:space="0" w:color="auto"/>
              <w:right w:val="single" w:sz="4" w:space="0" w:color="auto"/>
            </w:tcBorders>
          </w:tcPr>
          <w:p w:rsidR="00270170" w:rsidRDefault="00270170" w:rsidP="00AB2416">
            <w:pPr>
              <w:rPr>
                <w:rFonts w:ascii="宋体" w:hAnsi="宋体" w:cs="宋体"/>
                <w:sz w:val="18"/>
                <w:szCs w:val="18"/>
              </w:rPr>
            </w:pPr>
            <w:r>
              <w:rPr>
                <w:rFonts w:ascii="宋体" w:hAnsi="宋体" w:cs="宋体" w:hint="eastAsia"/>
                <w:sz w:val="18"/>
                <w:szCs w:val="18"/>
              </w:rPr>
              <w:t>良</w:t>
            </w:r>
          </w:p>
        </w:tc>
        <w:tc>
          <w:tcPr>
            <w:tcW w:w="1020" w:type="dxa"/>
            <w:tcBorders>
              <w:top w:val="nil"/>
              <w:left w:val="nil"/>
              <w:bottom w:val="single" w:sz="4" w:space="0" w:color="auto"/>
              <w:right w:val="single" w:sz="4" w:space="0" w:color="auto"/>
            </w:tcBorders>
          </w:tcPr>
          <w:p w:rsidR="00270170" w:rsidRDefault="00270170" w:rsidP="00AB2416">
            <w:pPr>
              <w:rPr>
                <w:rFonts w:ascii="宋体" w:hAnsi="宋体" w:cs="宋体"/>
                <w:sz w:val="18"/>
                <w:szCs w:val="18"/>
              </w:rPr>
            </w:pPr>
            <w:r>
              <w:rPr>
                <w:rFonts w:ascii="宋体" w:hAnsi="宋体" w:cs="宋体" w:hint="eastAsia"/>
                <w:sz w:val="18"/>
                <w:szCs w:val="18"/>
              </w:rPr>
              <w:t>中</w:t>
            </w:r>
          </w:p>
        </w:tc>
        <w:tc>
          <w:tcPr>
            <w:tcW w:w="900" w:type="dxa"/>
            <w:tcBorders>
              <w:top w:val="nil"/>
              <w:left w:val="nil"/>
              <w:bottom w:val="single" w:sz="4" w:space="0" w:color="auto"/>
              <w:right w:val="single" w:sz="4" w:space="0" w:color="auto"/>
            </w:tcBorders>
          </w:tcPr>
          <w:p w:rsidR="00270170" w:rsidRDefault="00270170" w:rsidP="00AB2416">
            <w:pPr>
              <w:rPr>
                <w:rFonts w:ascii="宋体" w:hAnsi="宋体" w:cs="宋体"/>
                <w:sz w:val="18"/>
                <w:szCs w:val="18"/>
              </w:rPr>
            </w:pPr>
            <w:r>
              <w:rPr>
                <w:rFonts w:ascii="宋体" w:hAnsi="宋体" w:cs="宋体" w:hint="eastAsia"/>
                <w:sz w:val="18"/>
                <w:szCs w:val="18"/>
              </w:rPr>
              <w:t>差</w:t>
            </w:r>
          </w:p>
        </w:tc>
      </w:tr>
      <w:tr w:rsidR="00270170" w:rsidTr="00AB2416">
        <w:trPr>
          <w:trHeight w:val="1090"/>
        </w:trPr>
        <w:tc>
          <w:tcPr>
            <w:tcW w:w="1600" w:type="dxa"/>
            <w:tcBorders>
              <w:top w:val="nil"/>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食品安全管理</w:t>
            </w:r>
            <w:proofErr w:type="spellEnd"/>
          </w:p>
        </w:tc>
        <w:tc>
          <w:tcPr>
            <w:tcW w:w="1202"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334.01</w:t>
            </w:r>
          </w:p>
        </w:tc>
        <w:tc>
          <w:tcPr>
            <w:tcW w:w="2498" w:type="dxa"/>
            <w:tcBorders>
              <w:top w:val="nil"/>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对食品生产、流通、餐饮消费环节进行监管，及时发现和排除食品安全问题，确保大型活动期间的食品安全</w:t>
            </w:r>
            <w:proofErr w:type="spellEnd"/>
          </w:p>
        </w:tc>
        <w:tc>
          <w:tcPr>
            <w:tcW w:w="286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通过对食品各个环节的强力监管，及时发现食品监管中存在的问题，做好重大活动和暑期食品安全保障</w:t>
            </w:r>
            <w:proofErr w:type="spellEnd"/>
          </w:p>
        </w:tc>
        <w:tc>
          <w:tcPr>
            <w:tcW w:w="3000" w:type="dxa"/>
            <w:tcBorders>
              <w:top w:val="single" w:sz="4" w:space="0" w:color="auto"/>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820" w:type="dxa"/>
            <w:tcBorders>
              <w:top w:val="single" w:sz="4" w:space="0" w:color="auto"/>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9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
        </w:tc>
      </w:tr>
      <w:tr w:rsidR="00270170" w:rsidTr="00AB2416">
        <w:trPr>
          <w:trHeight w:val="765"/>
        </w:trPr>
        <w:tc>
          <w:tcPr>
            <w:tcW w:w="1600" w:type="dxa"/>
            <w:vMerge w:val="restart"/>
            <w:tcBorders>
              <w:top w:val="nil"/>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食品（含保健品）安全监管</w:t>
            </w:r>
            <w:proofErr w:type="spellEnd"/>
          </w:p>
        </w:tc>
        <w:tc>
          <w:tcPr>
            <w:tcW w:w="1202" w:type="dxa"/>
            <w:vMerge w:val="restart"/>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334.01</w:t>
            </w:r>
          </w:p>
        </w:tc>
        <w:tc>
          <w:tcPr>
            <w:tcW w:w="2498" w:type="dxa"/>
            <w:vMerge w:val="restart"/>
            <w:tcBorders>
              <w:top w:val="nil"/>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对食品生产、流通、餐饮消费环节和保健食品的强力监管，及时发现和排除食品安全问题</w:t>
            </w:r>
            <w:proofErr w:type="spellEnd"/>
          </w:p>
        </w:tc>
        <w:tc>
          <w:tcPr>
            <w:tcW w:w="2860" w:type="dxa"/>
            <w:vMerge w:val="restart"/>
            <w:tcBorders>
              <w:top w:val="nil"/>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确保食品生产、流通、消费环节和保健食品不出现重大事故</w:t>
            </w:r>
            <w:proofErr w:type="spellEnd"/>
          </w:p>
        </w:tc>
        <w:tc>
          <w:tcPr>
            <w:tcW w:w="30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食品生产企业检查率</w:t>
            </w:r>
            <w:proofErr w:type="spellEnd"/>
          </w:p>
        </w:tc>
        <w:tc>
          <w:tcPr>
            <w:tcW w:w="84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≥95%</w:t>
            </w:r>
          </w:p>
        </w:tc>
        <w:tc>
          <w:tcPr>
            <w:tcW w:w="82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≥85%</w:t>
            </w:r>
          </w:p>
        </w:tc>
        <w:tc>
          <w:tcPr>
            <w:tcW w:w="102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≥80%</w:t>
            </w:r>
          </w:p>
        </w:tc>
        <w:tc>
          <w:tcPr>
            <w:tcW w:w="9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＜80%</w:t>
            </w:r>
          </w:p>
        </w:tc>
      </w:tr>
      <w:tr w:rsidR="00270170" w:rsidTr="00AB2416">
        <w:trPr>
          <w:trHeight w:val="735"/>
        </w:trPr>
        <w:tc>
          <w:tcPr>
            <w:tcW w:w="1600" w:type="dxa"/>
            <w:vMerge/>
            <w:tcBorders>
              <w:top w:val="nil"/>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1202" w:type="dxa"/>
            <w:vMerge/>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vMerge/>
            <w:tcBorders>
              <w:top w:val="nil"/>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860" w:type="dxa"/>
            <w:vMerge/>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30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不合格样品生产企业处理率</w:t>
            </w:r>
            <w:proofErr w:type="spellEnd"/>
          </w:p>
        </w:tc>
        <w:tc>
          <w:tcPr>
            <w:tcW w:w="84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1</w:t>
            </w:r>
          </w:p>
        </w:tc>
        <w:tc>
          <w:tcPr>
            <w:tcW w:w="82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≥95%</w:t>
            </w:r>
          </w:p>
        </w:tc>
        <w:tc>
          <w:tcPr>
            <w:tcW w:w="102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c>
          <w:tcPr>
            <w:tcW w:w="9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r>
      <w:tr w:rsidR="00270170" w:rsidTr="00AB2416">
        <w:trPr>
          <w:trHeight w:val="675"/>
        </w:trPr>
        <w:tc>
          <w:tcPr>
            <w:tcW w:w="1600" w:type="dxa"/>
            <w:vMerge/>
            <w:tcBorders>
              <w:top w:val="nil"/>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1202" w:type="dxa"/>
            <w:vMerge/>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vMerge/>
            <w:tcBorders>
              <w:top w:val="nil"/>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860" w:type="dxa"/>
            <w:vMerge/>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30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餐饮业、食堂等消费环节安全信息监测覆盖面</w:t>
            </w:r>
            <w:proofErr w:type="spellEnd"/>
          </w:p>
        </w:tc>
        <w:tc>
          <w:tcPr>
            <w:tcW w:w="84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c>
          <w:tcPr>
            <w:tcW w:w="82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≥85%</w:t>
            </w:r>
          </w:p>
        </w:tc>
        <w:tc>
          <w:tcPr>
            <w:tcW w:w="102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≥80%</w:t>
            </w:r>
          </w:p>
        </w:tc>
        <w:tc>
          <w:tcPr>
            <w:tcW w:w="9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＜80%</w:t>
            </w:r>
          </w:p>
        </w:tc>
      </w:tr>
      <w:tr w:rsidR="00270170" w:rsidTr="00AB2416">
        <w:trPr>
          <w:trHeight w:val="765"/>
        </w:trPr>
        <w:tc>
          <w:tcPr>
            <w:tcW w:w="1600" w:type="dxa"/>
            <w:vMerge/>
            <w:tcBorders>
              <w:top w:val="nil"/>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1202" w:type="dxa"/>
            <w:vMerge/>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vMerge/>
            <w:tcBorders>
              <w:top w:val="nil"/>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860" w:type="dxa"/>
            <w:vMerge/>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30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食品抽验计划完成率</w:t>
            </w:r>
            <w:proofErr w:type="spellEnd"/>
          </w:p>
        </w:tc>
        <w:tc>
          <w:tcPr>
            <w:tcW w:w="84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≥95%</w:t>
            </w:r>
          </w:p>
        </w:tc>
        <w:tc>
          <w:tcPr>
            <w:tcW w:w="82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≥85%</w:t>
            </w:r>
          </w:p>
        </w:tc>
        <w:tc>
          <w:tcPr>
            <w:tcW w:w="102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≥80%</w:t>
            </w:r>
          </w:p>
        </w:tc>
        <w:tc>
          <w:tcPr>
            <w:tcW w:w="9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＜80%</w:t>
            </w:r>
          </w:p>
        </w:tc>
      </w:tr>
      <w:tr w:rsidR="00270170" w:rsidTr="00AB2416">
        <w:trPr>
          <w:trHeight w:val="466"/>
        </w:trPr>
        <w:tc>
          <w:tcPr>
            <w:tcW w:w="1600" w:type="dxa"/>
            <w:vMerge w:val="restart"/>
            <w:tcBorders>
              <w:top w:val="nil"/>
              <w:left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重大活动餐饮服务食品安全保障</w:t>
            </w:r>
            <w:proofErr w:type="spellEnd"/>
          </w:p>
        </w:tc>
        <w:tc>
          <w:tcPr>
            <w:tcW w:w="1202" w:type="dxa"/>
            <w:vMerge w:val="restart"/>
            <w:tcBorders>
              <w:top w:val="single" w:sz="4" w:space="0" w:color="auto"/>
              <w:left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vMerge w:val="restart"/>
            <w:tcBorders>
              <w:top w:val="nil"/>
              <w:left w:val="single" w:sz="4" w:space="0" w:color="auto"/>
              <w:right w:val="single" w:sz="4" w:space="0" w:color="auto"/>
            </w:tcBorders>
            <w:vAlign w:val="center"/>
          </w:tcPr>
          <w:p w:rsidR="00270170" w:rsidRDefault="00270170" w:rsidP="00AB2416">
            <w:pPr>
              <w:textAlignment w:val="center"/>
              <w:rPr>
                <w:rFonts w:ascii="宋体" w:hAnsi="宋体" w:cs="宋体"/>
                <w:sz w:val="18"/>
                <w:szCs w:val="18"/>
              </w:rPr>
            </w:pPr>
            <w:r>
              <w:rPr>
                <w:rFonts w:ascii="宋体" w:hAnsi="宋体" w:cs="宋体" w:hint="eastAsia"/>
                <w:color w:val="000000"/>
                <w:sz w:val="18"/>
                <w:szCs w:val="18"/>
              </w:rPr>
              <w:t>规范重大活动餐饮服务单位食品安全监管，确保大型政治、经济、文化、体育活动以及在我区范围内举办各类大型会议等活动期间的餐饮服务食品安全。</w:t>
            </w:r>
          </w:p>
        </w:tc>
        <w:tc>
          <w:tcPr>
            <w:tcW w:w="2860" w:type="dxa"/>
            <w:vMerge w:val="restart"/>
            <w:tcBorders>
              <w:top w:val="single" w:sz="4" w:space="0" w:color="auto"/>
              <w:left w:val="single" w:sz="4" w:space="0" w:color="auto"/>
              <w:right w:val="single" w:sz="4" w:space="0" w:color="auto"/>
            </w:tcBorders>
            <w:vAlign w:val="center"/>
          </w:tcPr>
          <w:p w:rsidR="00270170" w:rsidRDefault="00270170" w:rsidP="00AB2416">
            <w:pPr>
              <w:textAlignment w:val="center"/>
              <w:rPr>
                <w:rFonts w:ascii="宋体" w:hAnsi="宋体" w:cs="宋体"/>
                <w:sz w:val="18"/>
                <w:szCs w:val="18"/>
              </w:rPr>
            </w:pPr>
            <w:proofErr w:type="spellStart"/>
            <w:r>
              <w:rPr>
                <w:rFonts w:ascii="宋体" w:hAnsi="宋体" w:cs="宋体" w:hint="eastAsia"/>
                <w:color w:val="000000"/>
                <w:sz w:val="18"/>
                <w:szCs w:val="18"/>
              </w:rPr>
              <w:t>提升重大活动餐饮服务食品安全监管水平</w:t>
            </w:r>
            <w:proofErr w:type="spellEnd"/>
          </w:p>
        </w:tc>
        <w:tc>
          <w:tcPr>
            <w:tcW w:w="3000" w:type="dxa"/>
            <w:tcBorders>
              <w:top w:val="nil"/>
              <w:left w:val="nil"/>
              <w:bottom w:val="single" w:sz="4" w:space="0" w:color="auto"/>
              <w:right w:val="single" w:sz="4" w:space="0" w:color="auto"/>
            </w:tcBorders>
            <w:vAlign w:val="center"/>
          </w:tcPr>
          <w:p w:rsidR="00270170" w:rsidRDefault="00270170" w:rsidP="00AB2416">
            <w:pPr>
              <w:textAlignment w:val="center"/>
              <w:rPr>
                <w:rFonts w:ascii="宋体" w:hAnsi="宋体" w:cs="宋体"/>
                <w:sz w:val="18"/>
                <w:szCs w:val="18"/>
              </w:rPr>
            </w:pPr>
            <w:proofErr w:type="spellStart"/>
            <w:r>
              <w:rPr>
                <w:rFonts w:ascii="宋体" w:hAnsi="宋体" w:cs="宋体" w:hint="eastAsia"/>
                <w:color w:val="000000"/>
                <w:sz w:val="18"/>
                <w:szCs w:val="18"/>
              </w:rPr>
              <w:t>餐饮服务接待单位达标率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sz w:val="18"/>
                <w:szCs w:val="18"/>
              </w:rPr>
            </w:pPr>
            <w:r>
              <w:rPr>
                <w:rFonts w:ascii="宋体" w:hAnsi="宋体" w:cs="宋体" w:hint="eastAsia"/>
                <w:color w:val="000000"/>
                <w:sz w:val="18"/>
                <w:szCs w:val="18"/>
              </w:rPr>
              <w:t>1</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sz w:val="18"/>
                <w:szCs w:val="18"/>
              </w:rPr>
            </w:pPr>
            <w:r>
              <w:rPr>
                <w:rFonts w:ascii="宋体" w:hAnsi="宋体" w:cs="宋体" w:hint="eastAsia"/>
                <w:color w:val="000000"/>
                <w:sz w:val="18"/>
                <w:szCs w:val="18"/>
              </w:rPr>
              <w:t>≥95%</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sz w:val="18"/>
                <w:szCs w:val="18"/>
              </w:rPr>
            </w:pPr>
            <w:r>
              <w:rPr>
                <w:rFonts w:ascii="宋体" w:hAnsi="宋体" w:cs="宋体" w:hint="eastAsia"/>
                <w:color w:val="000000"/>
                <w:sz w:val="18"/>
                <w:szCs w:val="18"/>
              </w:rPr>
              <w:t>≥90%</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sz w:val="18"/>
                <w:szCs w:val="18"/>
              </w:rPr>
            </w:pPr>
            <w:r>
              <w:rPr>
                <w:rFonts w:ascii="宋体" w:hAnsi="宋体" w:cs="宋体" w:hint="eastAsia"/>
                <w:color w:val="000000"/>
                <w:sz w:val="18"/>
                <w:szCs w:val="18"/>
              </w:rPr>
              <w:t>＜90%</w:t>
            </w:r>
          </w:p>
        </w:tc>
      </w:tr>
      <w:tr w:rsidR="00270170" w:rsidTr="00AB2416">
        <w:trPr>
          <w:trHeight w:val="466"/>
        </w:trPr>
        <w:tc>
          <w:tcPr>
            <w:tcW w:w="1600" w:type="dxa"/>
            <w:vMerge/>
            <w:tcBorders>
              <w:left w:val="single" w:sz="4" w:space="0" w:color="auto"/>
              <w:right w:val="single" w:sz="4" w:space="0" w:color="auto"/>
            </w:tcBorders>
            <w:vAlign w:val="center"/>
          </w:tcPr>
          <w:p w:rsidR="00270170" w:rsidRDefault="00270170" w:rsidP="00AB2416"/>
        </w:tc>
        <w:tc>
          <w:tcPr>
            <w:tcW w:w="1202" w:type="dxa"/>
            <w:vMerge/>
            <w:tcBorders>
              <w:left w:val="single" w:sz="4" w:space="0" w:color="auto"/>
              <w:right w:val="single" w:sz="4" w:space="0" w:color="auto"/>
            </w:tcBorders>
            <w:vAlign w:val="center"/>
          </w:tcPr>
          <w:p w:rsidR="00270170" w:rsidRDefault="00270170" w:rsidP="00AB2416"/>
        </w:tc>
        <w:tc>
          <w:tcPr>
            <w:tcW w:w="2498" w:type="dxa"/>
            <w:vMerge/>
            <w:tcBorders>
              <w:left w:val="single" w:sz="4" w:space="0" w:color="auto"/>
              <w:right w:val="single" w:sz="4" w:space="0" w:color="auto"/>
            </w:tcBorders>
            <w:vAlign w:val="center"/>
          </w:tcPr>
          <w:p w:rsidR="00270170" w:rsidRDefault="00270170" w:rsidP="00AB2416"/>
        </w:tc>
        <w:tc>
          <w:tcPr>
            <w:tcW w:w="2860" w:type="dxa"/>
            <w:vMerge/>
            <w:tcBorders>
              <w:left w:val="single" w:sz="4" w:space="0" w:color="auto"/>
              <w:right w:val="single" w:sz="4" w:space="0" w:color="auto"/>
            </w:tcBorders>
            <w:vAlign w:val="center"/>
          </w:tcPr>
          <w:p w:rsidR="00270170" w:rsidRDefault="00270170" w:rsidP="00AB2416"/>
        </w:tc>
        <w:tc>
          <w:tcPr>
            <w:tcW w:w="3000" w:type="dxa"/>
            <w:tcBorders>
              <w:top w:val="nil"/>
              <w:left w:val="nil"/>
              <w:bottom w:val="single" w:sz="4" w:space="0" w:color="auto"/>
              <w:right w:val="single" w:sz="4" w:space="0" w:color="auto"/>
            </w:tcBorders>
            <w:vAlign w:val="center"/>
          </w:tcPr>
          <w:p w:rsidR="00270170" w:rsidRDefault="00270170" w:rsidP="00AB2416">
            <w:pPr>
              <w:textAlignment w:val="center"/>
              <w:rPr>
                <w:rFonts w:ascii="宋体" w:hAnsi="宋体" w:cs="宋体"/>
                <w:sz w:val="18"/>
                <w:szCs w:val="18"/>
              </w:rPr>
            </w:pPr>
            <w:proofErr w:type="spellStart"/>
            <w:r>
              <w:rPr>
                <w:rFonts w:ascii="宋体" w:hAnsi="宋体" w:cs="宋体" w:hint="eastAsia"/>
                <w:color w:val="000000"/>
                <w:sz w:val="18"/>
                <w:szCs w:val="18"/>
              </w:rPr>
              <w:t>重大活动餐饮服务接待单位食品抽检合格率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sz w:val="18"/>
                <w:szCs w:val="18"/>
              </w:rPr>
            </w:pPr>
            <w:r>
              <w:rPr>
                <w:rFonts w:ascii="宋体" w:hAnsi="宋体" w:cs="宋体" w:hint="eastAsia"/>
                <w:color w:val="000000"/>
                <w:sz w:val="18"/>
                <w:szCs w:val="18"/>
              </w:rPr>
              <w:t>≥95%</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sz w:val="18"/>
                <w:szCs w:val="18"/>
              </w:rPr>
            </w:pPr>
            <w:r>
              <w:rPr>
                <w:rFonts w:ascii="宋体" w:hAnsi="宋体" w:cs="宋体" w:hint="eastAsia"/>
                <w:color w:val="000000"/>
                <w:sz w:val="18"/>
                <w:szCs w:val="18"/>
              </w:rPr>
              <w:t>≥90%</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sz w:val="18"/>
                <w:szCs w:val="18"/>
              </w:rPr>
            </w:pPr>
            <w:r>
              <w:rPr>
                <w:rFonts w:ascii="宋体" w:hAnsi="宋体" w:cs="宋体" w:hint="eastAsia"/>
                <w:color w:val="000000"/>
                <w:sz w:val="18"/>
                <w:szCs w:val="18"/>
              </w:rPr>
              <w:t>≥85%</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sz w:val="18"/>
                <w:szCs w:val="18"/>
              </w:rPr>
            </w:pPr>
            <w:r>
              <w:rPr>
                <w:rFonts w:ascii="宋体" w:hAnsi="宋体" w:cs="宋体" w:hint="eastAsia"/>
                <w:color w:val="000000"/>
                <w:sz w:val="18"/>
                <w:szCs w:val="18"/>
              </w:rPr>
              <w:t>＜85%</w:t>
            </w:r>
          </w:p>
        </w:tc>
      </w:tr>
      <w:tr w:rsidR="00270170" w:rsidTr="00AB2416">
        <w:trPr>
          <w:trHeight w:val="466"/>
        </w:trPr>
        <w:tc>
          <w:tcPr>
            <w:tcW w:w="1600"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1202"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860"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3000" w:type="dxa"/>
            <w:tcBorders>
              <w:top w:val="nil"/>
              <w:left w:val="nil"/>
              <w:bottom w:val="single" w:sz="4" w:space="0" w:color="auto"/>
              <w:right w:val="single" w:sz="4" w:space="0" w:color="auto"/>
            </w:tcBorders>
            <w:vAlign w:val="center"/>
          </w:tcPr>
          <w:p w:rsidR="00270170" w:rsidRDefault="00270170" w:rsidP="00AB2416">
            <w:pPr>
              <w:textAlignment w:val="center"/>
              <w:rPr>
                <w:rFonts w:ascii="宋体" w:hAnsi="宋体" w:cs="宋体"/>
                <w:sz w:val="18"/>
                <w:szCs w:val="18"/>
              </w:rPr>
            </w:pPr>
            <w:proofErr w:type="spellStart"/>
            <w:r>
              <w:rPr>
                <w:rFonts w:ascii="宋体" w:hAnsi="宋体" w:cs="宋体" w:hint="eastAsia"/>
                <w:color w:val="000000"/>
                <w:sz w:val="18"/>
                <w:szCs w:val="18"/>
              </w:rPr>
              <w:t>暑供食品监督抽检覆盖率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sz w:val="18"/>
                <w:szCs w:val="18"/>
              </w:rPr>
            </w:pPr>
            <w:r>
              <w:rPr>
                <w:rFonts w:ascii="宋体" w:hAnsi="宋体" w:cs="宋体" w:hint="eastAsia"/>
                <w:color w:val="000000"/>
                <w:sz w:val="18"/>
                <w:szCs w:val="18"/>
              </w:rPr>
              <w:t>1</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sz w:val="18"/>
                <w:szCs w:val="18"/>
              </w:rPr>
            </w:pPr>
            <w:r>
              <w:rPr>
                <w:rFonts w:ascii="宋体" w:hAnsi="宋体" w:cs="宋体" w:hint="eastAsia"/>
                <w:color w:val="000000"/>
                <w:sz w:val="18"/>
                <w:szCs w:val="18"/>
              </w:rPr>
              <w:t>≥95%</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sz w:val="18"/>
                <w:szCs w:val="18"/>
              </w:rPr>
            </w:pPr>
            <w:r>
              <w:rPr>
                <w:rFonts w:ascii="宋体" w:hAnsi="宋体" w:cs="宋体" w:hint="eastAsia"/>
                <w:color w:val="000000"/>
                <w:sz w:val="18"/>
                <w:szCs w:val="18"/>
              </w:rPr>
              <w:t>≥90%</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sz w:val="18"/>
                <w:szCs w:val="18"/>
              </w:rPr>
            </w:pPr>
            <w:r>
              <w:rPr>
                <w:rFonts w:ascii="宋体" w:hAnsi="宋体" w:cs="宋体" w:hint="eastAsia"/>
                <w:color w:val="000000"/>
                <w:sz w:val="18"/>
                <w:szCs w:val="18"/>
              </w:rPr>
              <w:t>＜90%</w:t>
            </w:r>
          </w:p>
        </w:tc>
      </w:tr>
      <w:tr w:rsidR="00270170" w:rsidTr="00AB2416">
        <w:trPr>
          <w:trHeight w:val="466"/>
        </w:trPr>
        <w:tc>
          <w:tcPr>
            <w:tcW w:w="16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药品安全管理</w:t>
            </w:r>
            <w:proofErr w:type="spellEnd"/>
          </w:p>
        </w:tc>
        <w:tc>
          <w:tcPr>
            <w:tcW w:w="1202"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全面加强对基本药物（医疗器械及包装材料）及化妆品的质量监管指导，监督药品生产企业严格按照药品标准进行生产，做好药物不良反应监测及调查处置</w:t>
            </w:r>
          </w:p>
        </w:tc>
        <w:tc>
          <w:tcPr>
            <w:tcW w:w="286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通过对药品和化妆品从研究、生产、流通、销售各个环节的强力监管，及时发现制假售假药问题，重点做好基本药物招标工作和不良反应事件的处置工作，确保我区药物的合格率</w:t>
            </w: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r>
      <w:tr w:rsidR="00270170" w:rsidTr="00AB2416">
        <w:trPr>
          <w:trHeight w:val="371"/>
        </w:trPr>
        <w:tc>
          <w:tcPr>
            <w:tcW w:w="1600" w:type="dxa"/>
            <w:vMerge w:val="restart"/>
            <w:tcBorders>
              <w:top w:val="single" w:sz="4" w:space="0" w:color="auto"/>
              <w:left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药品（医疗器械</w:t>
            </w:r>
            <w:r>
              <w:rPr>
                <w:rFonts w:ascii="宋体" w:hAnsi="宋体" w:cs="宋体" w:hint="eastAsia"/>
                <w:sz w:val="18"/>
                <w:szCs w:val="18"/>
              </w:rPr>
              <w:lastRenderedPageBreak/>
              <w:t>）监管</w:t>
            </w:r>
            <w:proofErr w:type="spellEnd"/>
          </w:p>
        </w:tc>
        <w:tc>
          <w:tcPr>
            <w:tcW w:w="1202" w:type="dxa"/>
            <w:vMerge w:val="restart"/>
            <w:tcBorders>
              <w:top w:val="single" w:sz="4" w:space="0" w:color="auto"/>
              <w:left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vMerge w:val="restart"/>
            <w:tcBorders>
              <w:top w:val="single" w:sz="4" w:space="0" w:color="auto"/>
              <w:left w:val="single" w:sz="4" w:space="0" w:color="auto"/>
              <w:right w:val="single" w:sz="4" w:space="0" w:color="auto"/>
            </w:tcBorders>
            <w:vAlign w:val="center"/>
          </w:tcPr>
          <w:p w:rsidR="00270170" w:rsidRDefault="00270170" w:rsidP="00AB2416">
            <w:pPr>
              <w:textAlignment w:val="center"/>
              <w:rPr>
                <w:rFonts w:ascii="宋体" w:hAnsi="宋体" w:cs="宋体"/>
                <w:sz w:val="18"/>
                <w:szCs w:val="18"/>
              </w:rPr>
            </w:pPr>
            <w:r>
              <w:rPr>
                <w:rFonts w:ascii="宋体" w:hAnsi="宋体" w:cs="宋体" w:hint="eastAsia"/>
                <w:color w:val="000000"/>
                <w:sz w:val="18"/>
                <w:szCs w:val="18"/>
              </w:rPr>
              <w:t>通过对国家基本药物目录品</w:t>
            </w:r>
            <w:r>
              <w:rPr>
                <w:rFonts w:ascii="宋体" w:hAnsi="宋体" w:cs="宋体" w:hint="eastAsia"/>
                <w:color w:val="000000"/>
                <w:sz w:val="18"/>
                <w:szCs w:val="18"/>
              </w:rPr>
              <w:lastRenderedPageBreak/>
              <w:t>种的全覆盖抽验，全面加强对基本药物的质量监管；对参加集中采购的药品生产经营企业及其申报的资质及有关证明文件进行审核把关；协助建立完善流通环节药品安全隐患排查治理机制。</w:t>
            </w:r>
          </w:p>
        </w:tc>
        <w:tc>
          <w:tcPr>
            <w:tcW w:w="2860" w:type="dxa"/>
            <w:vMerge w:val="restart"/>
            <w:tcBorders>
              <w:top w:val="single" w:sz="4" w:space="0" w:color="auto"/>
              <w:left w:val="single" w:sz="4" w:space="0" w:color="auto"/>
              <w:right w:val="single" w:sz="4" w:space="0" w:color="auto"/>
            </w:tcBorders>
            <w:vAlign w:val="center"/>
          </w:tcPr>
          <w:p w:rsidR="00270170" w:rsidRDefault="00270170" w:rsidP="00AB2416">
            <w:pPr>
              <w:textAlignment w:val="center"/>
              <w:rPr>
                <w:rFonts w:ascii="宋体" w:hAnsi="宋体" w:cs="宋体"/>
                <w:sz w:val="18"/>
                <w:szCs w:val="18"/>
              </w:rPr>
            </w:pPr>
            <w:proofErr w:type="spellStart"/>
            <w:r>
              <w:rPr>
                <w:rFonts w:ascii="宋体" w:hAnsi="宋体" w:cs="宋体" w:hint="eastAsia"/>
                <w:color w:val="000000"/>
                <w:sz w:val="18"/>
                <w:szCs w:val="18"/>
              </w:rPr>
              <w:lastRenderedPageBreak/>
              <w:t>实现基本药物品种全覆盖抽验；</w:t>
            </w:r>
            <w:r>
              <w:rPr>
                <w:rFonts w:ascii="宋体" w:hAnsi="宋体" w:cs="宋体" w:hint="eastAsia"/>
                <w:color w:val="000000"/>
                <w:sz w:val="18"/>
                <w:szCs w:val="18"/>
              </w:rPr>
              <w:lastRenderedPageBreak/>
              <w:t>规范药品采购、储存、销售、运输等环节，确保药品质量</w:t>
            </w:r>
            <w:proofErr w:type="spellEnd"/>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roofErr w:type="spellStart"/>
            <w:r>
              <w:rPr>
                <w:rFonts w:ascii="宋体" w:hAnsi="宋体" w:cs="宋体" w:hint="eastAsia"/>
                <w:color w:val="000000"/>
                <w:sz w:val="18"/>
                <w:szCs w:val="18"/>
              </w:rPr>
              <w:lastRenderedPageBreak/>
              <w:t>对检出问题的产品依法核查处置率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≥95%</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≥90%</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≥85%</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＜85%</w:t>
            </w:r>
          </w:p>
        </w:tc>
      </w:tr>
      <w:tr w:rsidR="00270170" w:rsidTr="00AB2416">
        <w:trPr>
          <w:trHeight w:val="371"/>
        </w:trPr>
        <w:tc>
          <w:tcPr>
            <w:tcW w:w="1600" w:type="dxa"/>
            <w:vMerge/>
            <w:tcBorders>
              <w:left w:val="single" w:sz="4" w:space="0" w:color="auto"/>
              <w:right w:val="single" w:sz="4" w:space="0" w:color="auto"/>
            </w:tcBorders>
            <w:vAlign w:val="center"/>
          </w:tcPr>
          <w:p w:rsidR="00270170" w:rsidRDefault="00270170" w:rsidP="00AB2416">
            <w:pPr>
              <w:textAlignment w:val="center"/>
            </w:pPr>
          </w:p>
        </w:tc>
        <w:tc>
          <w:tcPr>
            <w:tcW w:w="1202" w:type="dxa"/>
            <w:vMerge/>
            <w:tcBorders>
              <w:left w:val="single" w:sz="4" w:space="0" w:color="auto"/>
              <w:right w:val="single" w:sz="4" w:space="0" w:color="auto"/>
            </w:tcBorders>
            <w:vAlign w:val="center"/>
          </w:tcPr>
          <w:p w:rsidR="00270170" w:rsidRDefault="00270170" w:rsidP="00AB2416">
            <w:pPr>
              <w:textAlignment w:val="center"/>
            </w:pPr>
          </w:p>
        </w:tc>
        <w:tc>
          <w:tcPr>
            <w:tcW w:w="2498" w:type="dxa"/>
            <w:vMerge/>
            <w:tcBorders>
              <w:left w:val="single" w:sz="4" w:space="0" w:color="auto"/>
              <w:right w:val="single" w:sz="4" w:space="0" w:color="auto"/>
            </w:tcBorders>
            <w:vAlign w:val="center"/>
          </w:tcPr>
          <w:p w:rsidR="00270170" w:rsidRDefault="00270170" w:rsidP="00AB2416">
            <w:pPr>
              <w:textAlignment w:val="center"/>
            </w:pPr>
          </w:p>
        </w:tc>
        <w:tc>
          <w:tcPr>
            <w:tcW w:w="2860" w:type="dxa"/>
            <w:vMerge/>
            <w:tcBorders>
              <w:left w:val="single" w:sz="4" w:space="0" w:color="auto"/>
              <w:right w:val="single" w:sz="4" w:space="0" w:color="auto"/>
            </w:tcBorders>
            <w:vAlign w:val="center"/>
          </w:tcPr>
          <w:p w:rsidR="00270170" w:rsidRDefault="00270170" w:rsidP="00AB2416">
            <w:pPr>
              <w:textAlignment w:val="center"/>
            </w:pP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roofErr w:type="spellStart"/>
            <w:r>
              <w:rPr>
                <w:rFonts w:ascii="宋体" w:hAnsi="宋体" w:cs="宋体" w:hint="eastAsia"/>
                <w:color w:val="000000"/>
                <w:sz w:val="18"/>
                <w:szCs w:val="18"/>
              </w:rPr>
              <w:t>医疗器械及药品包装材料抽检计划完成率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≥95%</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≥90%</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≥85%</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＜85%</w:t>
            </w:r>
          </w:p>
        </w:tc>
      </w:tr>
      <w:tr w:rsidR="00270170" w:rsidTr="00AB2416">
        <w:trPr>
          <w:trHeight w:val="371"/>
        </w:trPr>
        <w:tc>
          <w:tcPr>
            <w:tcW w:w="1600" w:type="dxa"/>
            <w:vMerge/>
            <w:tcBorders>
              <w:left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1202" w:type="dxa"/>
            <w:vMerge/>
            <w:tcBorders>
              <w:left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2498" w:type="dxa"/>
            <w:vMerge/>
            <w:tcBorders>
              <w:left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2860" w:type="dxa"/>
            <w:vMerge/>
            <w:tcBorders>
              <w:left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roofErr w:type="spellStart"/>
            <w:r>
              <w:rPr>
                <w:rFonts w:ascii="宋体" w:hAnsi="宋体" w:cs="宋体" w:hint="eastAsia"/>
                <w:color w:val="000000"/>
                <w:sz w:val="18"/>
                <w:szCs w:val="18"/>
              </w:rPr>
              <w:t>中标单位资质准确率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1</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≥98%</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≥95%</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＜95%</w:t>
            </w:r>
          </w:p>
        </w:tc>
      </w:tr>
      <w:tr w:rsidR="00270170" w:rsidTr="00AB2416">
        <w:trPr>
          <w:trHeight w:val="371"/>
        </w:trPr>
        <w:tc>
          <w:tcPr>
            <w:tcW w:w="1600" w:type="dxa"/>
            <w:vMerge/>
            <w:tcBorders>
              <w:left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1202" w:type="dxa"/>
            <w:vMerge/>
            <w:tcBorders>
              <w:left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2498" w:type="dxa"/>
            <w:vMerge/>
            <w:tcBorders>
              <w:left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2860" w:type="dxa"/>
            <w:vMerge/>
            <w:tcBorders>
              <w:left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roofErr w:type="spellStart"/>
            <w:r>
              <w:rPr>
                <w:rFonts w:ascii="宋体" w:hAnsi="宋体" w:cs="宋体" w:hint="eastAsia"/>
                <w:color w:val="000000"/>
                <w:sz w:val="18"/>
                <w:szCs w:val="18"/>
              </w:rPr>
              <w:t>国家基本药物目录品种的全覆盖抽验完成率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≥95%</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≥90%</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≥85%</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＜85%</w:t>
            </w:r>
          </w:p>
        </w:tc>
      </w:tr>
      <w:tr w:rsidR="00270170" w:rsidTr="00AB2416">
        <w:trPr>
          <w:trHeight w:val="371"/>
        </w:trPr>
        <w:tc>
          <w:tcPr>
            <w:tcW w:w="1600" w:type="dxa"/>
            <w:vMerge/>
            <w:tcBorders>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1202" w:type="dxa"/>
            <w:vMerge/>
            <w:tcBorders>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2498" w:type="dxa"/>
            <w:vMerge/>
            <w:tcBorders>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2860" w:type="dxa"/>
            <w:vMerge/>
            <w:tcBorders>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roofErr w:type="spellStart"/>
            <w:r>
              <w:rPr>
                <w:rFonts w:ascii="宋体" w:hAnsi="宋体" w:cs="宋体" w:hint="eastAsia"/>
                <w:color w:val="000000"/>
                <w:sz w:val="18"/>
                <w:szCs w:val="18"/>
              </w:rPr>
              <w:t>药品中标样品检验完成率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1</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≥98%</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≥95%</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＜95%</w:t>
            </w:r>
          </w:p>
        </w:tc>
      </w:tr>
      <w:tr w:rsidR="00270170" w:rsidTr="00AB2416">
        <w:trPr>
          <w:trHeight w:val="90"/>
        </w:trPr>
        <w:tc>
          <w:tcPr>
            <w:tcW w:w="1600" w:type="dxa"/>
            <w:vMerge w:val="restart"/>
            <w:tcBorders>
              <w:left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roofErr w:type="spellStart"/>
            <w:r>
              <w:rPr>
                <w:rFonts w:ascii="宋体" w:hAnsi="宋体" w:cs="宋体" w:hint="eastAsia"/>
                <w:color w:val="000000"/>
                <w:sz w:val="18"/>
                <w:szCs w:val="18"/>
              </w:rPr>
              <w:t>药品标准实施与认证</w:t>
            </w:r>
            <w:proofErr w:type="spellEnd"/>
          </w:p>
        </w:tc>
        <w:tc>
          <w:tcPr>
            <w:tcW w:w="1202" w:type="dxa"/>
            <w:vMerge w:val="restart"/>
            <w:tcBorders>
              <w:left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2498" w:type="dxa"/>
            <w:vMerge w:val="restart"/>
            <w:tcBorders>
              <w:left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指导和监督药品生产企业严格按照药品标准进行生产，对GSP、GMP认证检查员培训。</w:t>
            </w:r>
          </w:p>
        </w:tc>
        <w:tc>
          <w:tcPr>
            <w:tcW w:w="2860" w:type="dxa"/>
            <w:vMerge w:val="restart"/>
            <w:tcBorders>
              <w:left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roofErr w:type="spellStart"/>
            <w:r>
              <w:rPr>
                <w:rFonts w:ascii="宋体" w:hAnsi="宋体" w:cs="宋体" w:hint="eastAsia"/>
                <w:color w:val="000000"/>
                <w:sz w:val="18"/>
                <w:szCs w:val="18"/>
              </w:rPr>
              <w:t>提高药品质量控制水平、从源头上保证药品质量</w:t>
            </w:r>
            <w:proofErr w:type="spellEnd"/>
            <w:r>
              <w:rPr>
                <w:rFonts w:ascii="宋体" w:hAnsi="宋体" w:cs="宋体" w:hint="eastAsia"/>
                <w:color w:val="000000"/>
                <w:sz w:val="18"/>
                <w:szCs w:val="18"/>
              </w:rPr>
              <w:t>。</w:t>
            </w: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对80%骨干认证检查员培训率</w:t>
            </w:r>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1</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≥95%</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≥90%</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＜90%</w:t>
            </w:r>
          </w:p>
        </w:tc>
      </w:tr>
      <w:tr w:rsidR="00270170" w:rsidTr="00AB2416">
        <w:trPr>
          <w:trHeight w:val="140"/>
        </w:trPr>
        <w:tc>
          <w:tcPr>
            <w:tcW w:w="1600" w:type="dxa"/>
            <w:vMerge/>
            <w:tcBorders>
              <w:left w:val="single" w:sz="4" w:space="0" w:color="auto"/>
              <w:right w:val="single" w:sz="4" w:space="0" w:color="auto"/>
            </w:tcBorders>
            <w:vAlign w:val="center"/>
          </w:tcPr>
          <w:p w:rsidR="00270170" w:rsidRDefault="00270170" w:rsidP="00AB2416">
            <w:pPr>
              <w:textAlignment w:val="center"/>
            </w:pPr>
          </w:p>
        </w:tc>
        <w:tc>
          <w:tcPr>
            <w:tcW w:w="1202" w:type="dxa"/>
            <w:vMerge/>
            <w:tcBorders>
              <w:left w:val="single" w:sz="4" w:space="0" w:color="auto"/>
              <w:right w:val="single" w:sz="4" w:space="0" w:color="auto"/>
            </w:tcBorders>
            <w:vAlign w:val="center"/>
          </w:tcPr>
          <w:p w:rsidR="00270170" w:rsidRDefault="00270170" w:rsidP="00AB2416">
            <w:pPr>
              <w:textAlignment w:val="center"/>
            </w:pPr>
          </w:p>
        </w:tc>
        <w:tc>
          <w:tcPr>
            <w:tcW w:w="2498" w:type="dxa"/>
            <w:vMerge/>
            <w:tcBorders>
              <w:left w:val="single" w:sz="4" w:space="0" w:color="auto"/>
              <w:right w:val="single" w:sz="4" w:space="0" w:color="auto"/>
            </w:tcBorders>
            <w:vAlign w:val="center"/>
          </w:tcPr>
          <w:p w:rsidR="00270170" w:rsidRDefault="00270170" w:rsidP="00AB2416">
            <w:pPr>
              <w:textAlignment w:val="center"/>
            </w:pPr>
          </w:p>
        </w:tc>
        <w:tc>
          <w:tcPr>
            <w:tcW w:w="2860" w:type="dxa"/>
            <w:vMerge/>
            <w:tcBorders>
              <w:left w:val="single" w:sz="4" w:space="0" w:color="auto"/>
              <w:right w:val="single" w:sz="4" w:space="0" w:color="auto"/>
            </w:tcBorders>
            <w:vAlign w:val="center"/>
          </w:tcPr>
          <w:p w:rsidR="00270170" w:rsidRDefault="00270170" w:rsidP="00AB2416">
            <w:pPr>
              <w:textAlignment w:val="center"/>
            </w:pP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roofErr w:type="spellStart"/>
            <w:r>
              <w:rPr>
                <w:rFonts w:ascii="宋体" w:hAnsi="宋体" w:cs="宋体" w:hint="eastAsia"/>
                <w:color w:val="000000"/>
                <w:sz w:val="18"/>
                <w:szCs w:val="18"/>
              </w:rPr>
              <w:t>药品生产企业检查覆盖面</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1</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≥95%</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≥90%</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＜90%</w:t>
            </w:r>
          </w:p>
        </w:tc>
      </w:tr>
      <w:tr w:rsidR="00270170" w:rsidTr="00AB2416">
        <w:trPr>
          <w:trHeight w:val="140"/>
        </w:trPr>
        <w:tc>
          <w:tcPr>
            <w:tcW w:w="1600" w:type="dxa"/>
            <w:vMerge/>
            <w:tcBorders>
              <w:left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1202" w:type="dxa"/>
            <w:vMerge/>
            <w:tcBorders>
              <w:left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2498" w:type="dxa"/>
            <w:vMerge/>
            <w:tcBorders>
              <w:left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2860" w:type="dxa"/>
            <w:vMerge/>
            <w:tcBorders>
              <w:left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roofErr w:type="spellStart"/>
            <w:r>
              <w:rPr>
                <w:rFonts w:ascii="宋体" w:hAnsi="宋体" w:cs="宋体" w:hint="eastAsia"/>
                <w:color w:val="000000"/>
                <w:sz w:val="18"/>
                <w:szCs w:val="18"/>
              </w:rPr>
              <w:t>药品经营企业日常跟踪检查率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≥70%</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≥65%</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≥60%</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＜60%</w:t>
            </w:r>
          </w:p>
        </w:tc>
      </w:tr>
      <w:tr w:rsidR="00270170" w:rsidTr="00AB2416">
        <w:trPr>
          <w:trHeight w:val="140"/>
        </w:trPr>
        <w:tc>
          <w:tcPr>
            <w:tcW w:w="1600" w:type="dxa"/>
            <w:vMerge/>
            <w:tcBorders>
              <w:left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1202" w:type="dxa"/>
            <w:vMerge/>
            <w:tcBorders>
              <w:left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2498" w:type="dxa"/>
            <w:vMerge/>
            <w:tcBorders>
              <w:left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2860" w:type="dxa"/>
            <w:vMerge/>
            <w:tcBorders>
              <w:left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roofErr w:type="spellStart"/>
            <w:r>
              <w:rPr>
                <w:rFonts w:ascii="宋体" w:hAnsi="宋体" w:cs="宋体" w:hint="eastAsia"/>
                <w:color w:val="000000"/>
                <w:sz w:val="18"/>
                <w:szCs w:val="18"/>
              </w:rPr>
              <w:t>对药品生产企业监督检查率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≥90%</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≥80%</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≥70%</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＜70%</w:t>
            </w:r>
          </w:p>
        </w:tc>
      </w:tr>
      <w:tr w:rsidR="00270170" w:rsidTr="00AB2416">
        <w:trPr>
          <w:trHeight w:val="140"/>
        </w:trPr>
        <w:tc>
          <w:tcPr>
            <w:tcW w:w="1600" w:type="dxa"/>
            <w:vMerge/>
            <w:tcBorders>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1202" w:type="dxa"/>
            <w:vMerge/>
            <w:tcBorders>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2498" w:type="dxa"/>
            <w:vMerge/>
            <w:tcBorders>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2860" w:type="dxa"/>
            <w:vMerge/>
            <w:tcBorders>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roofErr w:type="spellStart"/>
            <w:r>
              <w:rPr>
                <w:rFonts w:ascii="宋体" w:hAnsi="宋体" w:cs="宋体" w:hint="eastAsia"/>
                <w:color w:val="000000"/>
                <w:sz w:val="18"/>
                <w:szCs w:val="18"/>
              </w:rPr>
              <w:t>药品经营企业日常跟踪检查率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≥70%</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≥65%</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≥60%</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＜60%</w:t>
            </w:r>
          </w:p>
        </w:tc>
      </w:tr>
      <w:tr w:rsidR="00270170" w:rsidTr="00AB2416">
        <w:trPr>
          <w:trHeight w:val="311"/>
        </w:trPr>
        <w:tc>
          <w:tcPr>
            <w:tcW w:w="1600" w:type="dxa"/>
            <w:vMerge w:val="restart"/>
            <w:tcBorders>
              <w:left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roofErr w:type="spellStart"/>
            <w:r>
              <w:rPr>
                <w:rFonts w:ascii="宋体" w:hAnsi="宋体" w:cs="宋体" w:hint="eastAsia"/>
                <w:color w:val="000000"/>
                <w:sz w:val="18"/>
                <w:szCs w:val="18"/>
              </w:rPr>
              <w:t>化妆品监管</w:t>
            </w:r>
            <w:proofErr w:type="spellEnd"/>
          </w:p>
        </w:tc>
        <w:tc>
          <w:tcPr>
            <w:tcW w:w="1202" w:type="dxa"/>
            <w:vMerge w:val="restart"/>
            <w:tcBorders>
              <w:left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2498" w:type="dxa"/>
            <w:vMerge w:val="restart"/>
            <w:tcBorders>
              <w:left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roofErr w:type="spellStart"/>
            <w:r>
              <w:rPr>
                <w:rFonts w:ascii="宋体" w:hAnsi="宋体" w:cs="宋体" w:hint="eastAsia"/>
                <w:color w:val="000000"/>
                <w:sz w:val="18"/>
                <w:szCs w:val="18"/>
              </w:rPr>
              <w:t>对化妆品生产企业、经营企业的经常性监督检查、化妆品许可工作、对乡镇监管工作的检查指导、培训等工作</w:t>
            </w:r>
            <w:proofErr w:type="spellEnd"/>
            <w:r>
              <w:rPr>
                <w:rFonts w:ascii="宋体" w:hAnsi="宋体" w:cs="宋体" w:hint="eastAsia"/>
                <w:color w:val="000000"/>
                <w:sz w:val="18"/>
                <w:szCs w:val="18"/>
              </w:rPr>
              <w:t>。</w:t>
            </w:r>
          </w:p>
        </w:tc>
        <w:tc>
          <w:tcPr>
            <w:tcW w:w="2860" w:type="dxa"/>
            <w:vMerge w:val="restart"/>
            <w:tcBorders>
              <w:left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roofErr w:type="spellStart"/>
            <w:r>
              <w:rPr>
                <w:rFonts w:ascii="宋体" w:hAnsi="宋体" w:cs="宋体" w:hint="eastAsia"/>
                <w:color w:val="000000"/>
                <w:sz w:val="18"/>
                <w:szCs w:val="18"/>
              </w:rPr>
              <w:t>掌握化妆品安全状况、打击违法产品、保障化妆品质量安全</w:t>
            </w:r>
            <w:proofErr w:type="spellEnd"/>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roofErr w:type="spellStart"/>
            <w:r>
              <w:rPr>
                <w:rFonts w:ascii="宋体" w:hAnsi="宋体" w:cs="宋体" w:hint="eastAsia"/>
                <w:color w:val="000000"/>
                <w:sz w:val="18"/>
                <w:szCs w:val="18"/>
              </w:rPr>
              <w:t>全区生产、经营企业检查覆盖率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1</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≥95%</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≥90%</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＜90%</w:t>
            </w:r>
          </w:p>
        </w:tc>
      </w:tr>
      <w:tr w:rsidR="00270170" w:rsidTr="00AB2416">
        <w:trPr>
          <w:trHeight w:val="311"/>
        </w:trPr>
        <w:tc>
          <w:tcPr>
            <w:tcW w:w="1600" w:type="dxa"/>
            <w:vMerge/>
            <w:tcBorders>
              <w:left w:val="single" w:sz="4" w:space="0" w:color="auto"/>
              <w:right w:val="single" w:sz="4" w:space="0" w:color="auto"/>
            </w:tcBorders>
            <w:vAlign w:val="center"/>
          </w:tcPr>
          <w:p w:rsidR="00270170" w:rsidRDefault="00270170" w:rsidP="00AB2416">
            <w:pPr>
              <w:textAlignment w:val="center"/>
            </w:pPr>
          </w:p>
        </w:tc>
        <w:tc>
          <w:tcPr>
            <w:tcW w:w="1202" w:type="dxa"/>
            <w:vMerge/>
            <w:tcBorders>
              <w:left w:val="single" w:sz="4" w:space="0" w:color="auto"/>
              <w:right w:val="single" w:sz="4" w:space="0" w:color="auto"/>
            </w:tcBorders>
            <w:vAlign w:val="center"/>
          </w:tcPr>
          <w:p w:rsidR="00270170" w:rsidRDefault="00270170" w:rsidP="00AB2416">
            <w:pPr>
              <w:textAlignment w:val="center"/>
            </w:pPr>
          </w:p>
        </w:tc>
        <w:tc>
          <w:tcPr>
            <w:tcW w:w="2498" w:type="dxa"/>
            <w:vMerge/>
            <w:tcBorders>
              <w:left w:val="single" w:sz="4" w:space="0" w:color="auto"/>
              <w:right w:val="single" w:sz="4" w:space="0" w:color="auto"/>
            </w:tcBorders>
            <w:vAlign w:val="center"/>
          </w:tcPr>
          <w:p w:rsidR="00270170" w:rsidRDefault="00270170" w:rsidP="00AB2416">
            <w:pPr>
              <w:textAlignment w:val="center"/>
            </w:pPr>
          </w:p>
        </w:tc>
        <w:tc>
          <w:tcPr>
            <w:tcW w:w="2860" w:type="dxa"/>
            <w:vMerge/>
            <w:tcBorders>
              <w:left w:val="single" w:sz="4" w:space="0" w:color="auto"/>
              <w:right w:val="single" w:sz="4" w:space="0" w:color="auto"/>
            </w:tcBorders>
            <w:vAlign w:val="center"/>
          </w:tcPr>
          <w:p w:rsidR="00270170" w:rsidRDefault="00270170" w:rsidP="00AB2416">
            <w:pPr>
              <w:textAlignment w:val="center"/>
            </w:pP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roofErr w:type="spellStart"/>
            <w:r>
              <w:rPr>
                <w:rFonts w:ascii="宋体" w:hAnsi="宋体" w:cs="宋体" w:hint="eastAsia"/>
                <w:color w:val="000000"/>
                <w:sz w:val="18"/>
                <w:szCs w:val="18"/>
              </w:rPr>
              <w:t>不合格产品查处率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1</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≥95%</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≥90%</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＜90%</w:t>
            </w:r>
          </w:p>
        </w:tc>
      </w:tr>
      <w:tr w:rsidR="00270170" w:rsidTr="00AB2416">
        <w:trPr>
          <w:trHeight w:val="311"/>
        </w:trPr>
        <w:tc>
          <w:tcPr>
            <w:tcW w:w="1600" w:type="dxa"/>
            <w:vMerge/>
            <w:tcBorders>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1202" w:type="dxa"/>
            <w:vMerge/>
            <w:tcBorders>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2498" w:type="dxa"/>
            <w:vMerge/>
            <w:tcBorders>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2860" w:type="dxa"/>
            <w:vMerge/>
            <w:tcBorders>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roofErr w:type="spellStart"/>
            <w:r>
              <w:rPr>
                <w:rFonts w:ascii="宋体" w:hAnsi="宋体" w:cs="宋体" w:hint="eastAsia"/>
                <w:color w:val="000000"/>
                <w:sz w:val="18"/>
                <w:szCs w:val="18"/>
              </w:rPr>
              <w:t>有证企业产品备案率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≥98%</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≥95%</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≥85%</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＜85%</w:t>
            </w:r>
          </w:p>
        </w:tc>
      </w:tr>
      <w:tr w:rsidR="00270170" w:rsidTr="00AB2416">
        <w:trPr>
          <w:trHeight w:val="311"/>
        </w:trPr>
        <w:tc>
          <w:tcPr>
            <w:tcW w:w="1600" w:type="dxa"/>
            <w:tcBorders>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roofErr w:type="spellStart"/>
            <w:r>
              <w:rPr>
                <w:rFonts w:ascii="宋体" w:hAnsi="宋体" w:cs="宋体" w:hint="eastAsia"/>
                <w:sz w:val="18"/>
                <w:szCs w:val="18"/>
              </w:rPr>
              <w:t>食品药品案件查处</w:t>
            </w:r>
            <w:proofErr w:type="spellEnd"/>
          </w:p>
        </w:tc>
        <w:tc>
          <w:tcPr>
            <w:tcW w:w="1202" w:type="dxa"/>
            <w:tcBorders>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3</w:t>
            </w:r>
          </w:p>
        </w:tc>
        <w:tc>
          <w:tcPr>
            <w:tcW w:w="2498" w:type="dxa"/>
            <w:tcBorders>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roofErr w:type="spellStart"/>
            <w:r>
              <w:rPr>
                <w:rFonts w:ascii="宋体" w:hAnsi="宋体" w:cs="宋体" w:hint="eastAsia"/>
                <w:color w:val="000000"/>
                <w:sz w:val="18"/>
                <w:szCs w:val="18"/>
              </w:rPr>
              <w:t>对危害群众食品及药品安全的案件进行查处，确保人民群众饮食用药和器械安全</w:t>
            </w:r>
            <w:proofErr w:type="spellEnd"/>
          </w:p>
        </w:tc>
        <w:tc>
          <w:tcPr>
            <w:tcW w:w="2860" w:type="dxa"/>
            <w:tcBorders>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color w:val="000000"/>
                <w:sz w:val="18"/>
                <w:szCs w:val="18"/>
              </w:rPr>
              <w:t>加强食品药品医疗器械知识的宣传，鼓励人民群众举报食品药品案件线索，及时发现和查处食品药品制假售假案件，保持对食品药品案件的零容忍，确保不出现重大责任事故</w:t>
            </w: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
        </w:tc>
      </w:tr>
      <w:tr w:rsidR="00270170" w:rsidTr="00AB2416">
        <w:trPr>
          <w:trHeight w:val="1125"/>
        </w:trPr>
        <w:tc>
          <w:tcPr>
            <w:tcW w:w="1600" w:type="dxa"/>
            <w:vMerge w:val="restart"/>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稽查和打假办案工作</w:t>
            </w:r>
            <w:proofErr w:type="spellEnd"/>
          </w:p>
        </w:tc>
        <w:tc>
          <w:tcPr>
            <w:tcW w:w="1202" w:type="dxa"/>
            <w:vMerge w:val="restart"/>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 xml:space="preserve">　3</w:t>
            </w:r>
          </w:p>
        </w:tc>
        <w:tc>
          <w:tcPr>
            <w:tcW w:w="2498" w:type="dxa"/>
            <w:vMerge w:val="restart"/>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sz w:val="18"/>
                <w:szCs w:val="18"/>
              </w:rPr>
            </w:pPr>
            <w:r>
              <w:rPr>
                <w:rFonts w:ascii="宋体" w:hAnsi="宋体" w:cs="宋体" w:hint="eastAsia"/>
                <w:color w:val="000000"/>
                <w:sz w:val="18"/>
                <w:szCs w:val="18"/>
              </w:rPr>
              <w:t>开展食品（含保健食品、酒类）、药品、医疗器材及化妆品安全违法案件的稽查工作，并对违法生产、经营、使用药品、医疗器械案件以及违法生产、经营食品的案件进行查处，保障人民群众用药饮食和器械安全，维持正常市场经济秩序。</w:t>
            </w:r>
          </w:p>
        </w:tc>
        <w:tc>
          <w:tcPr>
            <w:tcW w:w="2860" w:type="dxa"/>
            <w:vMerge w:val="restart"/>
            <w:tcBorders>
              <w:top w:val="single" w:sz="4" w:space="0" w:color="auto"/>
              <w:left w:val="nil"/>
              <w:right w:val="single" w:sz="4" w:space="0" w:color="auto"/>
            </w:tcBorders>
            <w:vAlign w:val="center"/>
          </w:tcPr>
          <w:p w:rsidR="00270170" w:rsidRDefault="00270170" w:rsidP="00AB2416">
            <w:pPr>
              <w:textAlignment w:val="center"/>
              <w:rPr>
                <w:rFonts w:ascii="宋体" w:hAnsi="宋体" w:cs="宋体"/>
                <w:color w:val="000000"/>
                <w:sz w:val="18"/>
                <w:szCs w:val="18"/>
              </w:rPr>
            </w:pPr>
            <w:proofErr w:type="spellStart"/>
            <w:r>
              <w:rPr>
                <w:rFonts w:ascii="宋体" w:hAnsi="宋体" w:cs="宋体" w:hint="eastAsia"/>
                <w:color w:val="000000"/>
                <w:sz w:val="18"/>
                <w:szCs w:val="18"/>
              </w:rPr>
              <w:t>震慑犯罪，确保制假售假案件呈下降态势</w:t>
            </w:r>
            <w:proofErr w:type="spellEnd"/>
          </w:p>
          <w:p w:rsidR="00270170" w:rsidRDefault="00270170" w:rsidP="00AB2416">
            <w:pPr>
              <w:rPr>
                <w:rFonts w:ascii="宋体" w:hAnsi="宋体" w:cs="宋体"/>
                <w:sz w:val="18"/>
                <w:szCs w:val="18"/>
              </w:rPr>
            </w:pPr>
          </w:p>
        </w:tc>
        <w:tc>
          <w:tcPr>
            <w:tcW w:w="3000" w:type="dxa"/>
            <w:tcBorders>
              <w:top w:val="single" w:sz="4" w:space="0" w:color="auto"/>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制假售假案件下降率</w:t>
            </w:r>
            <w:proofErr w:type="spellEnd"/>
          </w:p>
        </w:tc>
        <w:tc>
          <w:tcPr>
            <w:tcW w:w="840" w:type="dxa"/>
            <w:tcBorders>
              <w:top w:val="single" w:sz="4" w:space="0" w:color="auto"/>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≥3%</w:t>
            </w:r>
          </w:p>
        </w:tc>
        <w:tc>
          <w:tcPr>
            <w:tcW w:w="820" w:type="dxa"/>
            <w:tcBorders>
              <w:top w:val="single" w:sz="4" w:space="0" w:color="auto"/>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≥2%</w:t>
            </w:r>
          </w:p>
        </w:tc>
        <w:tc>
          <w:tcPr>
            <w:tcW w:w="1020" w:type="dxa"/>
            <w:tcBorders>
              <w:top w:val="single" w:sz="4" w:space="0" w:color="auto"/>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≥1%</w:t>
            </w:r>
          </w:p>
        </w:tc>
        <w:tc>
          <w:tcPr>
            <w:tcW w:w="900" w:type="dxa"/>
            <w:tcBorders>
              <w:top w:val="single" w:sz="4" w:space="0" w:color="auto"/>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＜1%</w:t>
            </w:r>
          </w:p>
        </w:tc>
      </w:tr>
      <w:tr w:rsidR="00270170" w:rsidTr="00AB2416">
        <w:trPr>
          <w:trHeight w:val="750"/>
        </w:trPr>
        <w:tc>
          <w:tcPr>
            <w:tcW w:w="1600" w:type="dxa"/>
            <w:vMerge/>
            <w:tcBorders>
              <w:top w:val="nil"/>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1202" w:type="dxa"/>
            <w:vMerge/>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vMerge/>
            <w:tcBorders>
              <w:top w:val="nil"/>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860" w:type="dxa"/>
            <w:vMerge/>
            <w:tcBorders>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30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案件查处率</w:t>
            </w:r>
            <w:proofErr w:type="spellEnd"/>
          </w:p>
        </w:tc>
        <w:tc>
          <w:tcPr>
            <w:tcW w:w="84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1</w:t>
            </w:r>
          </w:p>
        </w:tc>
        <w:tc>
          <w:tcPr>
            <w:tcW w:w="82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≥95%</w:t>
            </w:r>
          </w:p>
        </w:tc>
        <w:tc>
          <w:tcPr>
            <w:tcW w:w="102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c>
          <w:tcPr>
            <w:tcW w:w="9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r>
      <w:tr w:rsidR="00270170" w:rsidTr="00AB2416">
        <w:trPr>
          <w:trHeight w:val="750"/>
        </w:trPr>
        <w:tc>
          <w:tcPr>
            <w:tcW w:w="16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工商管理事务</w:t>
            </w:r>
            <w:proofErr w:type="spellEnd"/>
          </w:p>
        </w:tc>
        <w:tc>
          <w:tcPr>
            <w:tcW w:w="1202"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sz w:val="18"/>
                <w:szCs w:val="18"/>
              </w:rPr>
            </w:pPr>
            <w:proofErr w:type="spellStart"/>
            <w:r>
              <w:rPr>
                <w:rFonts w:ascii="宋体" w:hAnsi="宋体" w:cs="宋体" w:hint="eastAsia"/>
                <w:color w:val="000000"/>
                <w:sz w:val="18"/>
                <w:szCs w:val="18"/>
              </w:rPr>
              <w:t>运用行政与法律手段，对市场经营主体及市场行为进行行政指导、监督管理</w:t>
            </w:r>
            <w:proofErr w:type="spellEnd"/>
            <w:r>
              <w:rPr>
                <w:rFonts w:ascii="宋体" w:hAnsi="宋体" w:cs="宋体" w:hint="eastAsia"/>
                <w:color w:val="000000"/>
                <w:sz w:val="18"/>
                <w:szCs w:val="18"/>
              </w:rPr>
              <w:t>。</w:t>
            </w:r>
          </w:p>
        </w:tc>
        <w:tc>
          <w:tcPr>
            <w:tcW w:w="286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sz w:val="18"/>
                <w:szCs w:val="18"/>
              </w:rPr>
            </w:pPr>
            <w:proofErr w:type="spellStart"/>
            <w:r>
              <w:rPr>
                <w:rFonts w:ascii="宋体" w:hAnsi="宋体" w:cs="宋体" w:hint="eastAsia"/>
                <w:color w:val="000000"/>
                <w:sz w:val="18"/>
                <w:szCs w:val="18"/>
              </w:rPr>
              <w:t>建立和维护市场秩序，服务地方经济发展</w:t>
            </w:r>
            <w:proofErr w:type="spellEnd"/>
            <w:r>
              <w:rPr>
                <w:rFonts w:ascii="宋体" w:hAnsi="宋体" w:cs="宋体" w:hint="eastAsia"/>
                <w:color w:val="000000"/>
                <w:sz w:val="18"/>
                <w:szCs w:val="18"/>
              </w:rPr>
              <w:t>。</w:t>
            </w: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r>
      <w:tr w:rsidR="00270170" w:rsidTr="00AB2416">
        <w:trPr>
          <w:trHeight w:val="619"/>
        </w:trPr>
        <w:tc>
          <w:tcPr>
            <w:tcW w:w="1600" w:type="dxa"/>
            <w:vMerge w:val="restart"/>
            <w:tcBorders>
              <w:top w:val="single" w:sz="4" w:space="0" w:color="auto"/>
              <w:left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市场监督管理</w:t>
            </w:r>
            <w:proofErr w:type="spellEnd"/>
          </w:p>
        </w:tc>
        <w:tc>
          <w:tcPr>
            <w:tcW w:w="1202" w:type="dxa"/>
            <w:vMerge w:val="restart"/>
            <w:tcBorders>
              <w:top w:val="single" w:sz="4" w:space="0" w:color="auto"/>
              <w:left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vMerge w:val="restart"/>
            <w:tcBorders>
              <w:top w:val="single" w:sz="4" w:space="0" w:color="auto"/>
              <w:left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sz w:val="18"/>
                <w:szCs w:val="18"/>
              </w:rPr>
              <w:t>依法规范和维护全区各类市场经营秩序，监督管理市场</w:t>
            </w:r>
            <w:r>
              <w:rPr>
                <w:rFonts w:ascii="宋体" w:hAnsi="宋体" w:cs="宋体" w:hint="eastAsia"/>
                <w:sz w:val="18"/>
                <w:szCs w:val="18"/>
              </w:rPr>
              <w:lastRenderedPageBreak/>
              <w:t>交易行为和网络商品交易及有关服务的行为。依法实施合同行政监督管理，负责管理动产抵押登记，组织监管管理拍卖行为，依法查处合同欺诈等违法行为。</w:t>
            </w:r>
          </w:p>
        </w:tc>
        <w:tc>
          <w:tcPr>
            <w:tcW w:w="2860" w:type="dxa"/>
            <w:vMerge w:val="restart"/>
            <w:tcBorders>
              <w:top w:val="single" w:sz="4" w:space="0" w:color="auto"/>
              <w:left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roofErr w:type="spellStart"/>
            <w:r>
              <w:rPr>
                <w:rFonts w:ascii="宋体" w:hAnsi="宋体" w:cs="宋体" w:hint="eastAsia"/>
                <w:sz w:val="18"/>
                <w:szCs w:val="18"/>
              </w:rPr>
              <w:lastRenderedPageBreak/>
              <w:t>增强各类市场诚信经营意识和规范网络交易管理，维护市场秩序</w:t>
            </w:r>
            <w:proofErr w:type="spellEnd"/>
            <w:r>
              <w:rPr>
                <w:rFonts w:ascii="宋体" w:hAnsi="宋体" w:cs="宋体" w:hint="eastAsia"/>
                <w:sz w:val="18"/>
                <w:szCs w:val="18"/>
              </w:rPr>
              <w:lastRenderedPageBreak/>
              <w:t>。</w:t>
            </w: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lastRenderedPageBreak/>
              <w:t>网络市场交易监管开展率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≥70%</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≥50%</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&lt;50%</w:t>
            </w:r>
          </w:p>
        </w:tc>
      </w:tr>
      <w:tr w:rsidR="00270170" w:rsidTr="00AB2416">
        <w:trPr>
          <w:trHeight w:val="619"/>
        </w:trPr>
        <w:tc>
          <w:tcPr>
            <w:tcW w:w="1600" w:type="dxa"/>
            <w:vMerge/>
            <w:tcBorders>
              <w:left w:val="single" w:sz="4" w:space="0" w:color="auto"/>
              <w:right w:val="single" w:sz="4" w:space="0" w:color="auto"/>
            </w:tcBorders>
            <w:vAlign w:val="center"/>
          </w:tcPr>
          <w:p w:rsidR="00270170" w:rsidRDefault="00270170" w:rsidP="00AB2416"/>
        </w:tc>
        <w:tc>
          <w:tcPr>
            <w:tcW w:w="1202" w:type="dxa"/>
            <w:vMerge/>
            <w:tcBorders>
              <w:left w:val="single" w:sz="4" w:space="0" w:color="auto"/>
              <w:right w:val="single" w:sz="4" w:space="0" w:color="auto"/>
            </w:tcBorders>
            <w:vAlign w:val="center"/>
          </w:tcPr>
          <w:p w:rsidR="00270170" w:rsidRDefault="00270170" w:rsidP="00AB2416"/>
        </w:tc>
        <w:tc>
          <w:tcPr>
            <w:tcW w:w="2498" w:type="dxa"/>
            <w:vMerge/>
            <w:tcBorders>
              <w:left w:val="single" w:sz="4" w:space="0" w:color="auto"/>
              <w:right w:val="single" w:sz="4" w:space="0" w:color="auto"/>
            </w:tcBorders>
            <w:vAlign w:val="center"/>
          </w:tcPr>
          <w:p w:rsidR="00270170" w:rsidRDefault="00270170" w:rsidP="00AB2416"/>
        </w:tc>
        <w:tc>
          <w:tcPr>
            <w:tcW w:w="2860" w:type="dxa"/>
            <w:vMerge/>
            <w:tcBorders>
              <w:left w:val="single" w:sz="4" w:space="0" w:color="auto"/>
              <w:right w:val="single" w:sz="4" w:space="0" w:color="auto"/>
            </w:tcBorders>
            <w:vAlign w:val="center"/>
          </w:tcPr>
          <w:p w:rsidR="00270170" w:rsidRDefault="00270170" w:rsidP="00AB2416"/>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监管执法计划完成率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≥70%</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≥50%</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&lt;50%</w:t>
            </w:r>
          </w:p>
        </w:tc>
      </w:tr>
      <w:tr w:rsidR="00270170" w:rsidTr="00AB2416">
        <w:trPr>
          <w:trHeight w:val="619"/>
        </w:trPr>
        <w:tc>
          <w:tcPr>
            <w:tcW w:w="1600"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1202"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860"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市场监管执法案件办结率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≥70%</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≥50%</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&lt;50%</w:t>
            </w:r>
          </w:p>
        </w:tc>
      </w:tr>
      <w:tr w:rsidR="00270170" w:rsidTr="00AB2416">
        <w:trPr>
          <w:trHeight w:val="466"/>
        </w:trPr>
        <w:tc>
          <w:tcPr>
            <w:tcW w:w="1600" w:type="dxa"/>
            <w:vMerge w:val="restart"/>
            <w:tcBorders>
              <w:left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市场主体登记与监管</w:t>
            </w:r>
            <w:proofErr w:type="spellEnd"/>
          </w:p>
        </w:tc>
        <w:tc>
          <w:tcPr>
            <w:tcW w:w="1202" w:type="dxa"/>
            <w:vMerge w:val="restart"/>
            <w:tcBorders>
              <w:left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vMerge w:val="restart"/>
            <w:tcBorders>
              <w:left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全区各类企业、农民专业合作社和从事经营活动的单位、个人等市场主体的登记注册和监督管理，依法查处取缔无照经营，组织指导全区企业、个体工商户、商品交易市场信用分类管理。开展非公党建与安全生产工作。</w:t>
            </w:r>
          </w:p>
        </w:tc>
        <w:tc>
          <w:tcPr>
            <w:tcW w:w="2860" w:type="dxa"/>
            <w:vMerge w:val="restart"/>
            <w:tcBorders>
              <w:left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促进市场主体的快速增长</w:t>
            </w:r>
            <w:proofErr w:type="spellEnd"/>
            <w:r>
              <w:rPr>
                <w:rFonts w:ascii="宋体" w:hAnsi="宋体" w:cs="宋体" w:hint="eastAsia"/>
                <w:sz w:val="18"/>
                <w:szCs w:val="18"/>
              </w:rPr>
              <w:t>。</w:t>
            </w:r>
            <w:proofErr w:type="spellStart"/>
            <w:r>
              <w:rPr>
                <w:rFonts w:ascii="宋体" w:hAnsi="宋体" w:cs="宋体" w:hint="eastAsia"/>
                <w:sz w:val="18"/>
                <w:szCs w:val="18"/>
              </w:rPr>
              <w:t>强化信用体系建设，构建“一处违法、处处受限”监管局面，为政府决策和社会公众提供信息服务</w:t>
            </w:r>
            <w:proofErr w:type="spellEnd"/>
            <w:r>
              <w:rPr>
                <w:rFonts w:ascii="宋体" w:hAnsi="宋体" w:cs="宋体" w:hint="eastAsia"/>
                <w:sz w:val="18"/>
                <w:szCs w:val="18"/>
              </w:rPr>
              <w:t>。</w:t>
            </w:r>
          </w:p>
          <w:p w:rsidR="00270170" w:rsidRDefault="00270170" w:rsidP="00AB2416">
            <w:pPr>
              <w:rPr>
                <w:rFonts w:ascii="宋体" w:hAnsi="宋体" w:cs="宋体"/>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市场主体抽查率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≥80%</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≥70%</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&lt;70%</w:t>
            </w:r>
          </w:p>
        </w:tc>
      </w:tr>
      <w:tr w:rsidR="00270170" w:rsidTr="00AB2416">
        <w:trPr>
          <w:trHeight w:val="466"/>
        </w:trPr>
        <w:tc>
          <w:tcPr>
            <w:tcW w:w="1600" w:type="dxa"/>
            <w:vMerge/>
            <w:tcBorders>
              <w:left w:val="single" w:sz="4" w:space="0" w:color="auto"/>
              <w:right w:val="single" w:sz="4" w:space="0" w:color="auto"/>
            </w:tcBorders>
            <w:vAlign w:val="center"/>
          </w:tcPr>
          <w:p w:rsidR="00270170" w:rsidRDefault="00270170" w:rsidP="00AB2416"/>
        </w:tc>
        <w:tc>
          <w:tcPr>
            <w:tcW w:w="1202" w:type="dxa"/>
            <w:vMerge/>
            <w:tcBorders>
              <w:left w:val="single" w:sz="4" w:space="0" w:color="auto"/>
              <w:right w:val="single" w:sz="4" w:space="0" w:color="auto"/>
            </w:tcBorders>
            <w:vAlign w:val="center"/>
          </w:tcPr>
          <w:p w:rsidR="00270170" w:rsidRDefault="00270170" w:rsidP="00AB2416"/>
        </w:tc>
        <w:tc>
          <w:tcPr>
            <w:tcW w:w="2498" w:type="dxa"/>
            <w:vMerge/>
            <w:tcBorders>
              <w:left w:val="single" w:sz="4" w:space="0" w:color="auto"/>
              <w:right w:val="single" w:sz="4" w:space="0" w:color="auto"/>
            </w:tcBorders>
            <w:vAlign w:val="center"/>
          </w:tcPr>
          <w:p w:rsidR="00270170" w:rsidRDefault="00270170" w:rsidP="00AB2416"/>
        </w:tc>
        <w:tc>
          <w:tcPr>
            <w:tcW w:w="2860" w:type="dxa"/>
            <w:vMerge/>
            <w:tcBorders>
              <w:left w:val="single" w:sz="4" w:space="0" w:color="auto"/>
              <w:right w:val="single" w:sz="4" w:space="0" w:color="auto"/>
            </w:tcBorders>
            <w:vAlign w:val="center"/>
          </w:tcPr>
          <w:p w:rsidR="00270170" w:rsidRDefault="00270170" w:rsidP="00AB2416"/>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开展市场主体登记等工作的宣传活动次数</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≥5</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4</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3</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&lt;3</w:t>
            </w:r>
          </w:p>
        </w:tc>
      </w:tr>
      <w:tr w:rsidR="00270170" w:rsidTr="00AB2416">
        <w:trPr>
          <w:trHeight w:val="466"/>
        </w:trPr>
        <w:tc>
          <w:tcPr>
            <w:tcW w:w="1600" w:type="dxa"/>
            <w:vMerge/>
            <w:tcBorders>
              <w:left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1202" w:type="dxa"/>
            <w:vMerge/>
            <w:tcBorders>
              <w:left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vMerge/>
            <w:tcBorders>
              <w:left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860" w:type="dxa"/>
            <w:vMerge/>
            <w:tcBorders>
              <w:left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企业登记率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≥80%</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≥70%</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&lt;70%</w:t>
            </w:r>
          </w:p>
        </w:tc>
      </w:tr>
      <w:tr w:rsidR="00270170" w:rsidTr="00AB2416">
        <w:trPr>
          <w:trHeight w:val="466"/>
        </w:trPr>
        <w:tc>
          <w:tcPr>
            <w:tcW w:w="1600"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1202"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860"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市场主体违法案件受理办结率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≥80%</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≥70%</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&lt;70%</w:t>
            </w:r>
          </w:p>
        </w:tc>
      </w:tr>
      <w:tr w:rsidR="00270170" w:rsidTr="00AB2416">
        <w:trPr>
          <w:trHeight w:val="389"/>
        </w:trPr>
        <w:tc>
          <w:tcPr>
            <w:tcW w:w="1600" w:type="dxa"/>
            <w:vMerge w:val="restart"/>
            <w:tcBorders>
              <w:left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流通领域商品质量监督管理</w:t>
            </w:r>
            <w:proofErr w:type="spellEnd"/>
          </w:p>
        </w:tc>
        <w:tc>
          <w:tcPr>
            <w:tcW w:w="1202" w:type="dxa"/>
            <w:vMerge w:val="restart"/>
            <w:tcBorders>
              <w:left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vMerge w:val="restart"/>
            <w:tcBorders>
              <w:left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依法对流通领域商品质量（不含食品、农资、成品油）进行抽查检验，开展对生产资料、农资、成品油等进行分批次抽检</w:t>
            </w:r>
            <w:proofErr w:type="spellEnd"/>
            <w:r>
              <w:rPr>
                <w:rFonts w:ascii="宋体" w:hAnsi="宋体" w:cs="宋体" w:hint="eastAsia"/>
                <w:sz w:val="18"/>
                <w:szCs w:val="18"/>
              </w:rPr>
              <w:t>。</w:t>
            </w:r>
          </w:p>
        </w:tc>
        <w:tc>
          <w:tcPr>
            <w:tcW w:w="2860" w:type="dxa"/>
            <w:vMerge w:val="restart"/>
            <w:tcBorders>
              <w:left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通过开展抽检工作，不断提升我区流通领域商品质量水平</w:t>
            </w:r>
            <w:proofErr w:type="spellEnd"/>
            <w:r>
              <w:rPr>
                <w:rFonts w:ascii="宋体" w:hAnsi="宋体" w:cs="宋体" w:hint="eastAsia"/>
                <w:sz w:val="18"/>
                <w:szCs w:val="18"/>
              </w:rPr>
              <w:t>。</w:t>
            </w:r>
            <w:proofErr w:type="spellStart"/>
            <w:r>
              <w:rPr>
                <w:rFonts w:ascii="宋体" w:hAnsi="宋体" w:cs="宋体" w:hint="eastAsia"/>
                <w:sz w:val="18"/>
                <w:szCs w:val="18"/>
              </w:rPr>
              <w:t>保护农民利益，更好的维护正常的市场经济秩序</w:t>
            </w:r>
            <w:proofErr w:type="spellEnd"/>
            <w:r>
              <w:rPr>
                <w:rFonts w:ascii="宋体" w:hAnsi="宋体" w:cs="宋体" w:hint="eastAsia"/>
                <w:sz w:val="18"/>
                <w:szCs w:val="18"/>
              </w:rPr>
              <w:t>。</w:t>
            </w: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商品抽检率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≥70%</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≥50%</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&lt;50%</w:t>
            </w:r>
          </w:p>
        </w:tc>
      </w:tr>
      <w:tr w:rsidR="00270170" w:rsidTr="00AB2416">
        <w:trPr>
          <w:trHeight w:val="389"/>
        </w:trPr>
        <w:tc>
          <w:tcPr>
            <w:tcW w:w="1600" w:type="dxa"/>
            <w:vMerge/>
            <w:tcBorders>
              <w:left w:val="single" w:sz="4" w:space="0" w:color="auto"/>
              <w:right w:val="single" w:sz="4" w:space="0" w:color="auto"/>
            </w:tcBorders>
            <w:vAlign w:val="center"/>
          </w:tcPr>
          <w:p w:rsidR="00270170" w:rsidRDefault="00270170" w:rsidP="00AB2416"/>
        </w:tc>
        <w:tc>
          <w:tcPr>
            <w:tcW w:w="1202" w:type="dxa"/>
            <w:vMerge/>
            <w:tcBorders>
              <w:left w:val="single" w:sz="4" w:space="0" w:color="auto"/>
              <w:right w:val="single" w:sz="4" w:space="0" w:color="auto"/>
            </w:tcBorders>
            <w:vAlign w:val="center"/>
          </w:tcPr>
          <w:p w:rsidR="00270170" w:rsidRDefault="00270170" w:rsidP="00AB2416"/>
        </w:tc>
        <w:tc>
          <w:tcPr>
            <w:tcW w:w="2498" w:type="dxa"/>
            <w:vMerge/>
            <w:tcBorders>
              <w:left w:val="single" w:sz="4" w:space="0" w:color="auto"/>
              <w:right w:val="single" w:sz="4" w:space="0" w:color="auto"/>
            </w:tcBorders>
            <w:vAlign w:val="center"/>
          </w:tcPr>
          <w:p w:rsidR="00270170" w:rsidRDefault="00270170" w:rsidP="00AB2416"/>
        </w:tc>
        <w:tc>
          <w:tcPr>
            <w:tcW w:w="2860" w:type="dxa"/>
            <w:vMerge/>
            <w:tcBorders>
              <w:left w:val="single" w:sz="4" w:space="0" w:color="auto"/>
              <w:right w:val="single" w:sz="4" w:space="0" w:color="auto"/>
            </w:tcBorders>
            <w:vAlign w:val="center"/>
          </w:tcPr>
          <w:p w:rsidR="00270170" w:rsidRDefault="00270170" w:rsidP="00AB2416"/>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农资、成品油抽检率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≥70%</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≥50%</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&lt;50%</w:t>
            </w:r>
          </w:p>
        </w:tc>
      </w:tr>
      <w:tr w:rsidR="00270170" w:rsidTr="00AB2416">
        <w:trPr>
          <w:trHeight w:val="389"/>
        </w:trPr>
        <w:tc>
          <w:tcPr>
            <w:tcW w:w="1600"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1202"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860"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对流通领域商品违法案件处罚率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≥80%</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≥70%</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&lt;70%</w:t>
            </w:r>
          </w:p>
        </w:tc>
      </w:tr>
      <w:tr w:rsidR="00270170" w:rsidTr="00AB2416">
        <w:trPr>
          <w:trHeight w:val="408"/>
        </w:trPr>
        <w:tc>
          <w:tcPr>
            <w:tcW w:w="1600" w:type="dxa"/>
            <w:vMerge w:val="restart"/>
            <w:tcBorders>
              <w:left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商标广告监督管理</w:t>
            </w:r>
            <w:proofErr w:type="spellEnd"/>
          </w:p>
        </w:tc>
        <w:tc>
          <w:tcPr>
            <w:tcW w:w="1202" w:type="dxa"/>
            <w:vMerge w:val="restart"/>
            <w:tcBorders>
              <w:left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vMerge w:val="restart"/>
            <w:tcBorders>
              <w:left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实施全区商标管理工作，依法保护商标专用权和查处商标侵权行为，推荐和保护驰名商标，管理和保护特殊标志、官方标志以及著名商标，指导全区广告业发展，监督管理广告活动。</w:t>
            </w:r>
          </w:p>
        </w:tc>
        <w:tc>
          <w:tcPr>
            <w:tcW w:w="2860" w:type="dxa"/>
            <w:vMerge w:val="restart"/>
            <w:tcBorders>
              <w:left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开展全区商标管理工作</w:t>
            </w:r>
            <w:proofErr w:type="spellEnd"/>
            <w:r>
              <w:rPr>
                <w:rFonts w:ascii="宋体" w:hAnsi="宋体" w:cs="宋体" w:hint="eastAsia"/>
                <w:sz w:val="18"/>
                <w:szCs w:val="18"/>
              </w:rPr>
              <w:t>。</w:t>
            </w:r>
            <w:proofErr w:type="spellStart"/>
            <w:r>
              <w:rPr>
                <w:rFonts w:ascii="宋体" w:hAnsi="宋体" w:cs="宋体" w:hint="eastAsia"/>
                <w:sz w:val="18"/>
                <w:szCs w:val="18"/>
              </w:rPr>
              <w:t>指导广告业发展，负责广告活动的监督管理工作</w:t>
            </w:r>
            <w:proofErr w:type="spellEnd"/>
            <w:r>
              <w:rPr>
                <w:rFonts w:ascii="宋体" w:hAnsi="宋体" w:cs="宋体" w:hint="eastAsia"/>
                <w:sz w:val="18"/>
                <w:szCs w:val="18"/>
              </w:rPr>
              <w:t>。</w:t>
            </w: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广告监测覆盖率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≥70%</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≥50%</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&lt;50%</w:t>
            </w:r>
          </w:p>
        </w:tc>
      </w:tr>
      <w:tr w:rsidR="00270170" w:rsidTr="00AB2416">
        <w:trPr>
          <w:trHeight w:val="408"/>
        </w:trPr>
        <w:tc>
          <w:tcPr>
            <w:tcW w:w="1600" w:type="dxa"/>
            <w:vMerge/>
            <w:tcBorders>
              <w:left w:val="single" w:sz="4" w:space="0" w:color="auto"/>
              <w:right w:val="single" w:sz="4" w:space="0" w:color="auto"/>
            </w:tcBorders>
            <w:vAlign w:val="center"/>
          </w:tcPr>
          <w:p w:rsidR="00270170" w:rsidRDefault="00270170" w:rsidP="00AB2416"/>
        </w:tc>
        <w:tc>
          <w:tcPr>
            <w:tcW w:w="1202" w:type="dxa"/>
            <w:vMerge/>
            <w:tcBorders>
              <w:left w:val="single" w:sz="4" w:space="0" w:color="auto"/>
              <w:right w:val="single" w:sz="4" w:space="0" w:color="auto"/>
            </w:tcBorders>
            <w:vAlign w:val="center"/>
          </w:tcPr>
          <w:p w:rsidR="00270170" w:rsidRDefault="00270170" w:rsidP="00AB2416"/>
        </w:tc>
        <w:tc>
          <w:tcPr>
            <w:tcW w:w="2498" w:type="dxa"/>
            <w:vMerge/>
            <w:tcBorders>
              <w:left w:val="single" w:sz="4" w:space="0" w:color="auto"/>
              <w:right w:val="single" w:sz="4" w:space="0" w:color="auto"/>
            </w:tcBorders>
            <w:vAlign w:val="center"/>
          </w:tcPr>
          <w:p w:rsidR="00270170" w:rsidRDefault="00270170" w:rsidP="00AB2416"/>
        </w:tc>
        <w:tc>
          <w:tcPr>
            <w:tcW w:w="2860" w:type="dxa"/>
            <w:vMerge/>
            <w:tcBorders>
              <w:left w:val="single" w:sz="4" w:space="0" w:color="auto"/>
              <w:right w:val="single" w:sz="4" w:space="0" w:color="auto"/>
            </w:tcBorders>
            <w:vAlign w:val="center"/>
          </w:tcPr>
          <w:p w:rsidR="00270170" w:rsidRDefault="00270170" w:rsidP="00AB2416"/>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推荐驰名商标工作完成率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≥70%</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≥50%</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&lt;50%</w:t>
            </w:r>
          </w:p>
        </w:tc>
      </w:tr>
      <w:tr w:rsidR="00270170" w:rsidTr="00AB2416">
        <w:trPr>
          <w:trHeight w:val="408"/>
        </w:trPr>
        <w:tc>
          <w:tcPr>
            <w:tcW w:w="1600" w:type="dxa"/>
            <w:vMerge/>
            <w:tcBorders>
              <w:left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1202" w:type="dxa"/>
            <w:vMerge/>
            <w:tcBorders>
              <w:left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vMerge/>
            <w:tcBorders>
              <w:left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860" w:type="dxa"/>
            <w:vMerge/>
            <w:tcBorders>
              <w:left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广告案件查处率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≥70%</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≥50%</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&lt;50%</w:t>
            </w:r>
          </w:p>
        </w:tc>
      </w:tr>
      <w:tr w:rsidR="00270170" w:rsidTr="00AB2416">
        <w:trPr>
          <w:trHeight w:val="408"/>
        </w:trPr>
        <w:tc>
          <w:tcPr>
            <w:tcW w:w="1600"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1202"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860"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商标案件查处率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≥70%</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≥50%</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&lt;50%</w:t>
            </w:r>
          </w:p>
        </w:tc>
      </w:tr>
      <w:tr w:rsidR="00270170" w:rsidTr="00AB2416">
        <w:trPr>
          <w:trHeight w:val="408"/>
        </w:trPr>
        <w:tc>
          <w:tcPr>
            <w:tcW w:w="16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执法办案</w:t>
            </w:r>
            <w:proofErr w:type="spellEnd"/>
          </w:p>
        </w:tc>
        <w:tc>
          <w:tcPr>
            <w:tcW w:w="1202"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120</w:t>
            </w:r>
          </w:p>
        </w:tc>
        <w:tc>
          <w:tcPr>
            <w:tcW w:w="2498"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依法查处各类违法行为，组织开展专项执法行动，查处性质恶劣、跨区域、社会影响大、严重损害群众利益和破坏市场秩序的大案要案，开展与执法办案有关的各项工作，维护公平竞争的市场秩序。</w:t>
            </w:r>
          </w:p>
        </w:tc>
        <w:tc>
          <w:tcPr>
            <w:tcW w:w="286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sz w:val="18"/>
                <w:szCs w:val="18"/>
              </w:rPr>
            </w:pPr>
            <w:proofErr w:type="spellStart"/>
            <w:r>
              <w:rPr>
                <w:rFonts w:ascii="宋体" w:hAnsi="宋体" w:cs="宋体" w:hint="eastAsia"/>
                <w:color w:val="000000"/>
                <w:sz w:val="18"/>
                <w:szCs w:val="18"/>
              </w:rPr>
              <w:t>严厉打击各类违法行为，更好地维护市场经济和社会秩序</w:t>
            </w:r>
            <w:proofErr w:type="spellEnd"/>
            <w:r>
              <w:rPr>
                <w:rFonts w:ascii="宋体" w:hAnsi="宋体" w:cs="宋体" w:hint="eastAsia"/>
                <w:color w:val="000000"/>
                <w:sz w:val="18"/>
                <w:szCs w:val="18"/>
              </w:rPr>
              <w:t>。</w:t>
            </w: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r>
      <w:tr w:rsidR="00270170" w:rsidTr="00AB2416">
        <w:trPr>
          <w:trHeight w:val="705"/>
        </w:trPr>
        <w:tc>
          <w:tcPr>
            <w:tcW w:w="1600" w:type="dxa"/>
            <w:vMerge w:val="restart"/>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执法办案</w:t>
            </w:r>
            <w:proofErr w:type="spellEnd"/>
          </w:p>
        </w:tc>
        <w:tc>
          <w:tcPr>
            <w:tcW w:w="1202" w:type="dxa"/>
            <w:vMerge w:val="restart"/>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120</w:t>
            </w:r>
          </w:p>
        </w:tc>
        <w:tc>
          <w:tcPr>
            <w:tcW w:w="2498" w:type="dxa"/>
            <w:vMerge w:val="restart"/>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依法查处各类违法行为，组织开展专项执法行动，查处性质恶劣、跨区域、社会影</w:t>
            </w:r>
            <w:r>
              <w:rPr>
                <w:rFonts w:ascii="宋体" w:hAnsi="宋体" w:cs="宋体" w:hint="eastAsia"/>
                <w:sz w:val="18"/>
                <w:szCs w:val="18"/>
              </w:rPr>
              <w:lastRenderedPageBreak/>
              <w:t>响大、严重损害群众利益和破坏市场秩序的大案要案，开展与执法办案有关的各项工作，维护公平竞争的市场秩序。</w:t>
            </w:r>
          </w:p>
        </w:tc>
        <w:tc>
          <w:tcPr>
            <w:tcW w:w="2860" w:type="dxa"/>
            <w:vMerge w:val="restart"/>
            <w:tcBorders>
              <w:top w:val="single" w:sz="4" w:space="0" w:color="auto"/>
              <w:left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lastRenderedPageBreak/>
              <w:t>构建打击传销体系，促进社会和谐稳定，维护公平竞争的市场秩序</w:t>
            </w:r>
            <w:proofErr w:type="spellEnd"/>
            <w:r>
              <w:rPr>
                <w:rFonts w:ascii="宋体" w:hAnsi="宋体" w:cs="宋体" w:hint="eastAsia"/>
                <w:sz w:val="18"/>
                <w:szCs w:val="18"/>
              </w:rPr>
              <w:t>。</w:t>
            </w:r>
          </w:p>
          <w:p w:rsidR="00270170" w:rsidRDefault="00270170" w:rsidP="00AB2416">
            <w:pPr>
              <w:rPr>
                <w:rFonts w:ascii="宋体" w:hAnsi="宋体" w:cs="宋体"/>
                <w:sz w:val="18"/>
                <w:szCs w:val="18"/>
              </w:rPr>
            </w:pPr>
          </w:p>
        </w:tc>
        <w:tc>
          <w:tcPr>
            <w:tcW w:w="30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lastRenderedPageBreak/>
              <w:t>上级授权反垄断案件查处率</w:t>
            </w:r>
            <w:proofErr w:type="spellEnd"/>
          </w:p>
        </w:tc>
        <w:tc>
          <w:tcPr>
            <w:tcW w:w="84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c>
          <w:tcPr>
            <w:tcW w:w="82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≥70%</w:t>
            </w:r>
          </w:p>
        </w:tc>
        <w:tc>
          <w:tcPr>
            <w:tcW w:w="102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≥50%</w:t>
            </w:r>
          </w:p>
        </w:tc>
        <w:tc>
          <w:tcPr>
            <w:tcW w:w="9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&lt;50%</w:t>
            </w:r>
          </w:p>
        </w:tc>
      </w:tr>
      <w:tr w:rsidR="00270170" w:rsidTr="00AB2416">
        <w:trPr>
          <w:trHeight w:val="660"/>
        </w:trPr>
        <w:tc>
          <w:tcPr>
            <w:tcW w:w="1600" w:type="dxa"/>
            <w:vMerge/>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1202" w:type="dxa"/>
            <w:vMerge/>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vMerge/>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860" w:type="dxa"/>
            <w:vMerge/>
            <w:tcBorders>
              <w:left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30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对企业行政指导工作次数（次</w:t>
            </w:r>
            <w:proofErr w:type="spellEnd"/>
            <w:r>
              <w:rPr>
                <w:rFonts w:ascii="宋体" w:hAnsi="宋体" w:cs="宋体" w:hint="eastAsia"/>
                <w:sz w:val="18"/>
                <w:szCs w:val="18"/>
              </w:rPr>
              <w:t>)</w:t>
            </w:r>
          </w:p>
        </w:tc>
        <w:tc>
          <w:tcPr>
            <w:tcW w:w="84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≥4</w:t>
            </w:r>
          </w:p>
        </w:tc>
        <w:tc>
          <w:tcPr>
            <w:tcW w:w="82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3</w:t>
            </w:r>
          </w:p>
        </w:tc>
        <w:tc>
          <w:tcPr>
            <w:tcW w:w="102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2</w:t>
            </w:r>
          </w:p>
        </w:tc>
        <w:tc>
          <w:tcPr>
            <w:tcW w:w="9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&lt;2</w:t>
            </w:r>
          </w:p>
        </w:tc>
      </w:tr>
      <w:tr w:rsidR="00270170" w:rsidTr="00AB2416">
        <w:trPr>
          <w:trHeight w:val="600"/>
        </w:trPr>
        <w:tc>
          <w:tcPr>
            <w:tcW w:w="1600" w:type="dxa"/>
            <w:vMerge/>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1202" w:type="dxa"/>
            <w:vMerge/>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vMerge/>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860"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30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执法案件查处率</w:t>
            </w:r>
            <w:proofErr w:type="spellEnd"/>
          </w:p>
        </w:tc>
        <w:tc>
          <w:tcPr>
            <w:tcW w:w="84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c>
          <w:tcPr>
            <w:tcW w:w="82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≥70%</w:t>
            </w:r>
          </w:p>
        </w:tc>
        <w:tc>
          <w:tcPr>
            <w:tcW w:w="102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≥50%</w:t>
            </w:r>
          </w:p>
        </w:tc>
        <w:tc>
          <w:tcPr>
            <w:tcW w:w="9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&lt;50%</w:t>
            </w:r>
          </w:p>
        </w:tc>
      </w:tr>
      <w:tr w:rsidR="00270170" w:rsidTr="00AB2416">
        <w:trPr>
          <w:trHeight w:val="600"/>
        </w:trPr>
        <w:tc>
          <w:tcPr>
            <w:tcW w:w="16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消费者权益保护</w:t>
            </w:r>
            <w:proofErr w:type="spellEnd"/>
          </w:p>
        </w:tc>
        <w:tc>
          <w:tcPr>
            <w:tcW w:w="1202"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开展全区消费者权益保护工作，查处经营假冒伪劣商品等违法行为；开展查处侵害消费者权益的行为，处理消费者和经营者投诉举报，指导调解消费纠纷工作，保护消费者合法权益，维护经营者正当利益。</w:t>
            </w:r>
          </w:p>
        </w:tc>
        <w:tc>
          <w:tcPr>
            <w:tcW w:w="2860" w:type="dxa"/>
            <w:tcBorders>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sz w:val="18"/>
                <w:szCs w:val="18"/>
              </w:rPr>
            </w:pPr>
            <w:proofErr w:type="spellStart"/>
            <w:r>
              <w:rPr>
                <w:rFonts w:ascii="宋体" w:hAnsi="宋体" w:cs="宋体" w:hint="eastAsia"/>
                <w:color w:val="000000"/>
                <w:sz w:val="18"/>
                <w:szCs w:val="18"/>
              </w:rPr>
              <w:t>通过调解处理消费纠纷，组织开展查处侵害消费者合法权益案件，稳定社会秩序，为构建“和谐社会”做出积极的贡献</w:t>
            </w:r>
            <w:proofErr w:type="spellEnd"/>
            <w:r>
              <w:rPr>
                <w:rFonts w:ascii="宋体" w:hAnsi="宋体" w:cs="宋体" w:hint="eastAsia"/>
                <w:color w:val="000000"/>
                <w:sz w:val="18"/>
                <w:szCs w:val="18"/>
              </w:rPr>
              <w:t>。</w:t>
            </w:r>
          </w:p>
        </w:tc>
        <w:tc>
          <w:tcPr>
            <w:tcW w:w="30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84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82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102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9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
        </w:tc>
      </w:tr>
      <w:tr w:rsidR="00270170" w:rsidTr="00AB2416">
        <w:trPr>
          <w:trHeight w:val="765"/>
        </w:trPr>
        <w:tc>
          <w:tcPr>
            <w:tcW w:w="1600" w:type="dxa"/>
            <w:vMerge w:val="restart"/>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消费者权益保护</w:t>
            </w:r>
            <w:proofErr w:type="spellEnd"/>
          </w:p>
        </w:tc>
        <w:tc>
          <w:tcPr>
            <w:tcW w:w="1202" w:type="dxa"/>
            <w:vMerge w:val="restart"/>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 xml:space="preserve">　</w:t>
            </w:r>
          </w:p>
        </w:tc>
        <w:tc>
          <w:tcPr>
            <w:tcW w:w="2498" w:type="dxa"/>
            <w:vMerge w:val="restart"/>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开展全区消费者权益保护工作，查处经营假冒伪劣商品等违法行为；开展查处侵害消费者权益的行为，处理消费者和经营者投诉举报，指导调解消费纠纷工作，保护消费者合法权益，维护经营者正当利益。</w:t>
            </w:r>
          </w:p>
        </w:tc>
        <w:tc>
          <w:tcPr>
            <w:tcW w:w="2860" w:type="dxa"/>
            <w:vMerge w:val="restart"/>
            <w:tcBorders>
              <w:top w:val="single" w:sz="4" w:space="0" w:color="auto"/>
              <w:left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建立、健全消费者权益保护机制，增强群众自我保护的消费维权意识，构建“和谐社会</w:t>
            </w:r>
            <w:proofErr w:type="spellEnd"/>
            <w:r>
              <w:rPr>
                <w:rFonts w:ascii="宋体" w:hAnsi="宋体" w:cs="宋体" w:hint="eastAsia"/>
                <w:sz w:val="18"/>
                <w:szCs w:val="18"/>
              </w:rPr>
              <w:t>”。</w:t>
            </w:r>
          </w:p>
          <w:p w:rsidR="00270170" w:rsidRDefault="00270170" w:rsidP="00AB2416">
            <w:pPr>
              <w:rPr>
                <w:rFonts w:ascii="宋体" w:hAnsi="宋体" w:cs="宋体"/>
                <w:sz w:val="18"/>
                <w:szCs w:val="18"/>
              </w:rPr>
            </w:pPr>
          </w:p>
        </w:tc>
        <w:tc>
          <w:tcPr>
            <w:tcW w:w="30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消费者权益宣传活动</w:t>
            </w:r>
            <w:proofErr w:type="spellEnd"/>
          </w:p>
        </w:tc>
        <w:tc>
          <w:tcPr>
            <w:tcW w:w="84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≥7</w:t>
            </w:r>
          </w:p>
        </w:tc>
        <w:tc>
          <w:tcPr>
            <w:tcW w:w="82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≥5</w:t>
            </w:r>
          </w:p>
        </w:tc>
        <w:tc>
          <w:tcPr>
            <w:tcW w:w="102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≥3</w:t>
            </w:r>
          </w:p>
        </w:tc>
        <w:tc>
          <w:tcPr>
            <w:tcW w:w="9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&lt;3</w:t>
            </w:r>
          </w:p>
        </w:tc>
      </w:tr>
      <w:tr w:rsidR="00270170" w:rsidTr="00AB2416">
        <w:trPr>
          <w:trHeight w:val="795"/>
        </w:trPr>
        <w:tc>
          <w:tcPr>
            <w:tcW w:w="1600" w:type="dxa"/>
            <w:vMerge/>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1202" w:type="dxa"/>
            <w:vMerge/>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vMerge/>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860"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30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消费投诉办结率</w:t>
            </w:r>
            <w:proofErr w:type="spellEnd"/>
          </w:p>
        </w:tc>
        <w:tc>
          <w:tcPr>
            <w:tcW w:w="84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c>
          <w:tcPr>
            <w:tcW w:w="82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≥80%</w:t>
            </w:r>
          </w:p>
        </w:tc>
        <w:tc>
          <w:tcPr>
            <w:tcW w:w="102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≥70%</w:t>
            </w:r>
          </w:p>
        </w:tc>
        <w:tc>
          <w:tcPr>
            <w:tcW w:w="9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&lt;70%</w:t>
            </w:r>
          </w:p>
        </w:tc>
      </w:tr>
      <w:tr w:rsidR="00270170" w:rsidTr="00AB2416">
        <w:trPr>
          <w:trHeight w:val="795"/>
        </w:trPr>
        <w:tc>
          <w:tcPr>
            <w:tcW w:w="16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质量技术监督管理</w:t>
            </w:r>
            <w:proofErr w:type="spellEnd"/>
          </w:p>
        </w:tc>
        <w:tc>
          <w:tcPr>
            <w:tcW w:w="1202"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30</w:t>
            </w:r>
          </w:p>
        </w:tc>
        <w:tc>
          <w:tcPr>
            <w:tcW w:w="2498"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sz w:val="18"/>
                <w:szCs w:val="18"/>
              </w:rPr>
            </w:pPr>
            <w:proofErr w:type="spellStart"/>
            <w:r>
              <w:rPr>
                <w:rFonts w:ascii="宋体" w:hAnsi="宋体" w:cs="宋体" w:hint="eastAsia"/>
                <w:color w:val="000000"/>
                <w:sz w:val="18"/>
                <w:szCs w:val="18"/>
              </w:rPr>
              <w:t>全区质量监督、工业产品质量安全监督、标准化、计量、认证认可、特种设备及食品相关产品质量监督管理等</w:t>
            </w:r>
            <w:proofErr w:type="spellEnd"/>
            <w:r>
              <w:rPr>
                <w:rFonts w:ascii="宋体" w:hAnsi="宋体" w:cs="宋体" w:hint="eastAsia"/>
                <w:color w:val="000000"/>
                <w:sz w:val="18"/>
                <w:szCs w:val="18"/>
              </w:rPr>
              <w:t>。</w:t>
            </w:r>
          </w:p>
        </w:tc>
        <w:tc>
          <w:tcPr>
            <w:tcW w:w="2860" w:type="dxa"/>
            <w:tcBorders>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sz w:val="18"/>
                <w:szCs w:val="18"/>
              </w:rPr>
            </w:pPr>
            <w:proofErr w:type="spellStart"/>
            <w:r>
              <w:rPr>
                <w:rFonts w:ascii="宋体" w:hAnsi="宋体" w:cs="宋体" w:hint="eastAsia"/>
                <w:color w:val="000000"/>
                <w:sz w:val="18"/>
                <w:szCs w:val="18"/>
              </w:rPr>
              <w:t>提高质量管理水平，提升产品质量</w:t>
            </w:r>
            <w:proofErr w:type="spellEnd"/>
            <w:r>
              <w:rPr>
                <w:rFonts w:ascii="宋体" w:hAnsi="宋体" w:cs="宋体" w:hint="eastAsia"/>
                <w:color w:val="000000"/>
                <w:sz w:val="18"/>
                <w:szCs w:val="18"/>
              </w:rPr>
              <w:t>。</w:t>
            </w:r>
          </w:p>
        </w:tc>
        <w:tc>
          <w:tcPr>
            <w:tcW w:w="30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84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82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102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9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
        </w:tc>
      </w:tr>
      <w:tr w:rsidR="00270170" w:rsidTr="00AB2416">
        <w:trPr>
          <w:trHeight w:val="711"/>
        </w:trPr>
        <w:tc>
          <w:tcPr>
            <w:tcW w:w="1600" w:type="dxa"/>
            <w:vMerge w:val="restart"/>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质量管理</w:t>
            </w:r>
            <w:proofErr w:type="spellEnd"/>
          </w:p>
        </w:tc>
        <w:tc>
          <w:tcPr>
            <w:tcW w:w="1202" w:type="dxa"/>
            <w:vMerge w:val="restart"/>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vMerge w:val="restart"/>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sz w:val="18"/>
                <w:szCs w:val="18"/>
              </w:rPr>
              <w:t>负责拟定并组织实施全区质量发展规划和质量奖励制度，推进实施名牌发展战略，组织实施重大工程设备监理制度，组织重大产品质量事故调查，落实产品“三包”、防伪工作。</w:t>
            </w:r>
          </w:p>
        </w:tc>
        <w:tc>
          <w:tcPr>
            <w:tcW w:w="2860" w:type="dxa"/>
            <w:vMerge w:val="restart"/>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sz w:val="18"/>
                <w:szCs w:val="18"/>
              </w:rPr>
              <w:t>提高全区整体质量水平，建立质量诚信制度，促进企业诚信经营，激励企业提升质量管理和产品质量，督促企业落实产品质量责任，切实保护消费者合法权益。</w:t>
            </w: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数据库信息录入数量</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≥20</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≥18</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≥15</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&lt;15</w:t>
            </w:r>
          </w:p>
        </w:tc>
      </w:tr>
      <w:tr w:rsidR="00270170" w:rsidTr="00AB2416">
        <w:trPr>
          <w:trHeight w:val="466"/>
        </w:trPr>
        <w:tc>
          <w:tcPr>
            <w:tcW w:w="1600" w:type="dxa"/>
            <w:vMerge/>
            <w:tcBorders>
              <w:top w:val="single" w:sz="4" w:space="0" w:color="auto"/>
              <w:left w:val="single" w:sz="4" w:space="0" w:color="auto"/>
              <w:bottom w:val="single" w:sz="4" w:space="0" w:color="auto"/>
              <w:right w:val="single" w:sz="4" w:space="0" w:color="auto"/>
            </w:tcBorders>
            <w:vAlign w:val="center"/>
          </w:tcPr>
          <w:p w:rsidR="00270170" w:rsidRDefault="00270170" w:rsidP="00AB2416"/>
        </w:tc>
        <w:tc>
          <w:tcPr>
            <w:tcW w:w="1202" w:type="dxa"/>
            <w:vMerge/>
            <w:tcBorders>
              <w:top w:val="single" w:sz="4" w:space="0" w:color="auto"/>
              <w:left w:val="single" w:sz="4" w:space="0" w:color="auto"/>
              <w:bottom w:val="single" w:sz="4" w:space="0" w:color="auto"/>
              <w:right w:val="single" w:sz="4" w:space="0" w:color="auto"/>
            </w:tcBorders>
            <w:vAlign w:val="center"/>
          </w:tcPr>
          <w:p w:rsidR="00270170" w:rsidRDefault="00270170" w:rsidP="00AB2416"/>
        </w:tc>
        <w:tc>
          <w:tcPr>
            <w:tcW w:w="2498" w:type="dxa"/>
            <w:vMerge/>
            <w:tcBorders>
              <w:top w:val="single" w:sz="4" w:space="0" w:color="auto"/>
              <w:left w:val="single" w:sz="4" w:space="0" w:color="auto"/>
              <w:bottom w:val="single" w:sz="4" w:space="0" w:color="auto"/>
              <w:right w:val="single" w:sz="4" w:space="0" w:color="auto"/>
            </w:tcBorders>
            <w:vAlign w:val="center"/>
          </w:tcPr>
          <w:p w:rsidR="00270170" w:rsidRDefault="00270170" w:rsidP="00AB2416"/>
        </w:tc>
        <w:tc>
          <w:tcPr>
            <w:tcW w:w="2860" w:type="dxa"/>
            <w:vMerge/>
            <w:tcBorders>
              <w:top w:val="single" w:sz="4" w:space="0" w:color="auto"/>
              <w:left w:val="single" w:sz="4" w:space="0" w:color="auto"/>
              <w:bottom w:val="single" w:sz="4" w:space="0" w:color="auto"/>
              <w:right w:val="single" w:sz="4" w:space="0" w:color="auto"/>
            </w:tcBorders>
            <w:vAlign w:val="center"/>
          </w:tcPr>
          <w:p w:rsidR="00270170" w:rsidRDefault="00270170" w:rsidP="00AB2416"/>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名牌产品认定数量</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≥3</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2</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1</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0</w:t>
            </w:r>
          </w:p>
        </w:tc>
      </w:tr>
      <w:tr w:rsidR="00270170" w:rsidTr="00AB2416">
        <w:trPr>
          <w:trHeight w:val="466"/>
        </w:trPr>
        <w:tc>
          <w:tcPr>
            <w:tcW w:w="16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roofErr w:type="spellStart"/>
            <w:r>
              <w:rPr>
                <w:rFonts w:hint="eastAsia"/>
              </w:rPr>
              <w:t>标准化管理</w:t>
            </w:r>
            <w:proofErr w:type="spellEnd"/>
          </w:p>
        </w:tc>
        <w:tc>
          <w:tcPr>
            <w:tcW w:w="1202" w:type="dxa"/>
            <w:tcBorders>
              <w:top w:val="single" w:sz="4" w:space="0" w:color="auto"/>
              <w:left w:val="single" w:sz="4" w:space="0" w:color="auto"/>
              <w:bottom w:val="single" w:sz="4" w:space="0" w:color="auto"/>
              <w:right w:val="single" w:sz="4" w:space="0" w:color="auto"/>
            </w:tcBorders>
            <w:vAlign w:val="center"/>
          </w:tcPr>
          <w:p w:rsidR="00270170" w:rsidRDefault="00270170" w:rsidP="00AB2416"/>
        </w:tc>
        <w:tc>
          <w:tcPr>
            <w:tcW w:w="2498"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roofErr w:type="spellStart"/>
            <w:r>
              <w:rPr>
                <w:rFonts w:ascii="宋体" w:hAnsi="宋体" w:cs="宋体" w:hint="eastAsia"/>
                <w:sz w:val="18"/>
                <w:szCs w:val="18"/>
              </w:rPr>
              <w:t>统一管理全区标准化工作，落实和发布省市制定的标准，宣传贯彻国家标准、行业标准和地方标准，并对标准的实施进行管理和监督</w:t>
            </w:r>
            <w:proofErr w:type="spellEnd"/>
            <w:r>
              <w:rPr>
                <w:rFonts w:ascii="宋体" w:hAnsi="宋体" w:cs="宋体" w:hint="eastAsia"/>
                <w:sz w:val="18"/>
                <w:szCs w:val="18"/>
              </w:rPr>
              <w:t>。</w:t>
            </w:r>
          </w:p>
        </w:tc>
        <w:tc>
          <w:tcPr>
            <w:tcW w:w="286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roofErr w:type="spellStart"/>
            <w:r>
              <w:rPr>
                <w:rFonts w:ascii="宋体" w:hAnsi="宋体" w:cs="宋体" w:hint="eastAsia"/>
                <w:sz w:val="18"/>
                <w:szCs w:val="18"/>
              </w:rPr>
              <w:t>强化标准化综合管理水平，推进农业、服务业标准化建设，促进民营经济健康快速发展，激励技术标准创新</w:t>
            </w:r>
            <w:proofErr w:type="spellEnd"/>
            <w:r>
              <w:rPr>
                <w:rFonts w:ascii="宋体" w:hAnsi="宋体" w:cs="宋体" w:hint="eastAsia"/>
                <w:sz w:val="18"/>
                <w:szCs w:val="18"/>
              </w:rPr>
              <w:t>。</w:t>
            </w: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标准化管理系统用户满意度</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≥85%</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≥70%</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&lt;70%</w:t>
            </w:r>
          </w:p>
        </w:tc>
      </w:tr>
      <w:tr w:rsidR="00270170" w:rsidTr="00AB2416">
        <w:trPr>
          <w:trHeight w:val="463"/>
        </w:trPr>
        <w:tc>
          <w:tcPr>
            <w:tcW w:w="1600" w:type="dxa"/>
            <w:vMerge w:val="restart"/>
            <w:tcBorders>
              <w:top w:val="single" w:sz="4" w:space="0" w:color="auto"/>
              <w:left w:val="single" w:sz="4" w:space="0" w:color="auto"/>
              <w:right w:val="single" w:sz="4" w:space="0" w:color="auto"/>
            </w:tcBorders>
            <w:vAlign w:val="center"/>
          </w:tcPr>
          <w:p w:rsidR="00270170" w:rsidRDefault="00270170" w:rsidP="00AB2416">
            <w:proofErr w:type="spellStart"/>
            <w:r>
              <w:rPr>
                <w:rFonts w:hint="eastAsia"/>
              </w:rPr>
              <w:lastRenderedPageBreak/>
              <w:t>监督管理</w:t>
            </w:r>
            <w:proofErr w:type="spellEnd"/>
          </w:p>
        </w:tc>
        <w:tc>
          <w:tcPr>
            <w:tcW w:w="1202" w:type="dxa"/>
            <w:vMerge w:val="restart"/>
            <w:tcBorders>
              <w:top w:val="single" w:sz="4" w:space="0" w:color="auto"/>
              <w:left w:val="single" w:sz="4" w:space="0" w:color="auto"/>
              <w:right w:val="single" w:sz="4" w:space="0" w:color="auto"/>
            </w:tcBorders>
            <w:vAlign w:val="center"/>
          </w:tcPr>
          <w:p w:rsidR="00270170" w:rsidRDefault="00270170" w:rsidP="00AB2416"/>
        </w:tc>
        <w:tc>
          <w:tcPr>
            <w:tcW w:w="2498" w:type="dxa"/>
            <w:vMerge w:val="restart"/>
            <w:tcBorders>
              <w:top w:val="single" w:sz="4" w:space="0" w:color="auto"/>
              <w:left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管理和监督全区计量标准和标准物质，管理计量器具及量值传递对比，规范和监督商品量和市场计量行为，承担特种设备、工业产品和食品相关产品质量监督管理等工作。</w:t>
            </w:r>
          </w:p>
        </w:tc>
        <w:tc>
          <w:tcPr>
            <w:tcW w:w="2860" w:type="dxa"/>
            <w:vMerge w:val="restart"/>
            <w:tcBorders>
              <w:top w:val="single" w:sz="4" w:space="0" w:color="auto"/>
              <w:left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加大监管力度，提升监管水平，提高产品质量安全</w:t>
            </w:r>
            <w:proofErr w:type="spellEnd"/>
            <w:r>
              <w:rPr>
                <w:rFonts w:ascii="宋体" w:hAnsi="宋体" w:cs="宋体" w:hint="eastAsia"/>
                <w:sz w:val="18"/>
                <w:szCs w:val="18"/>
              </w:rPr>
              <w:t>。</w:t>
            </w: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特种设备获证单位监督抽查企业数量</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 xml:space="preserve">　</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 xml:space="preserve">　</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 xml:space="preserve">　</w:t>
            </w:r>
          </w:p>
        </w:tc>
      </w:tr>
      <w:tr w:rsidR="00270170" w:rsidTr="00AB2416">
        <w:trPr>
          <w:trHeight w:val="463"/>
        </w:trPr>
        <w:tc>
          <w:tcPr>
            <w:tcW w:w="1600" w:type="dxa"/>
            <w:vMerge/>
            <w:tcBorders>
              <w:left w:val="single" w:sz="4" w:space="0" w:color="auto"/>
              <w:right w:val="single" w:sz="4" w:space="0" w:color="auto"/>
            </w:tcBorders>
            <w:vAlign w:val="center"/>
          </w:tcPr>
          <w:p w:rsidR="00270170" w:rsidRDefault="00270170" w:rsidP="00AB2416"/>
        </w:tc>
        <w:tc>
          <w:tcPr>
            <w:tcW w:w="1202" w:type="dxa"/>
            <w:vMerge/>
            <w:tcBorders>
              <w:left w:val="single" w:sz="4" w:space="0" w:color="auto"/>
              <w:right w:val="single" w:sz="4" w:space="0" w:color="auto"/>
            </w:tcBorders>
            <w:vAlign w:val="center"/>
          </w:tcPr>
          <w:p w:rsidR="00270170" w:rsidRDefault="00270170" w:rsidP="00AB2416"/>
        </w:tc>
        <w:tc>
          <w:tcPr>
            <w:tcW w:w="2498" w:type="dxa"/>
            <w:vMerge/>
            <w:tcBorders>
              <w:left w:val="single" w:sz="4" w:space="0" w:color="auto"/>
              <w:right w:val="single" w:sz="4" w:space="0" w:color="auto"/>
            </w:tcBorders>
            <w:vAlign w:val="center"/>
          </w:tcPr>
          <w:p w:rsidR="00270170" w:rsidRDefault="00270170" w:rsidP="00AB2416"/>
        </w:tc>
        <w:tc>
          <w:tcPr>
            <w:tcW w:w="2860" w:type="dxa"/>
            <w:vMerge/>
            <w:tcBorders>
              <w:left w:val="single" w:sz="4" w:space="0" w:color="auto"/>
              <w:right w:val="single" w:sz="4" w:space="0" w:color="auto"/>
            </w:tcBorders>
            <w:vAlign w:val="center"/>
          </w:tcPr>
          <w:p w:rsidR="00270170" w:rsidRDefault="00270170" w:rsidP="00AB2416"/>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计量比对完成率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≥95%</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≥80%</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&lt;80%</w:t>
            </w:r>
          </w:p>
        </w:tc>
      </w:tr>
      <w:tr w:rsidR="00270170" w:rsidTr="00AB2416">
        <w:trPr>
          <w:trHeight w:val="463"/>
        </w:trPr>
        <w:tc>
          <w:tcPr>
            <w:tcW w:w="1600"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1202"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860"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产品质量监督抽查批次数量</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≥15</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≥10</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≥5</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&lt;5</w:t>
            </w:r>
          </w:p>
        </w:tc>
      </w:tr>
      <w:tr w:rsidR="00270170" w:rsidTr="00AB2416">
        <w:trPr>
          <w:trHeight w:val="451"/>
        </w:trPr>
        <w:tc>
          <w:tcPr>
            <w:tcW w:w="1600" w:type="dxa"/>
            <w:vMerge w:val="restart"/>
            <w:tcBorders>
              <w:left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产品质量检验检测</w:t>
            </w:r>
            <w:proofErr w:type="spellEnd"/>
          </w:p>
        </w:tc>
        <w:tc>
          <w:tcPr>
            <w:tcW w:w="1202" w:type="dxa"/>
            <w:vMerge w:val="restart"/>
            <w:tcBorders>
              <w:left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30</w:t>
            </w:r>
          </w:p>
        </w:tc>
        <w:tc>
          <w:tcPr>
            <w:tcW w:w="2498" w:type="dxa"/>
            <w:vMerge w:val="restart"/>
            <w:tcBorders>
              <w:left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负责计量器具及设备、食品相关产品、特种设备检验检测，环境质量、环保产品质量检测</w:t>
            </w:r>
            <w:proofErr w:type="spellEnd"/>
            <w:r>
              <w:rPr>
                <w:rFonts w:ascii="宋体" w:hAnsi="宋体" w:cs="宋体" w:hint="eastAsia"/>
                <w:sz w:val="18"/>
                <w:szCs w:val="18"/>
              </w:rPr>
              <w:t>。</w:t>
            </w:r>
          </w:p>
        </w:tc>
        <w:tc>
          <w:tcPr>
            <w:tcW w:w="2860" w:type="dxa"/>
            <w:vMerge w:val="restart"/>
            <w:tcBorders>
              <w:left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提高检验检测水平</w:t>
            </w:r>
            <w:proofErr w:type="spellEnd"/>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重点管理计量器具检定率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≥95%</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≥80%</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&lt;80%</w:t>
            </w:r>
          </w:p>
        </w:tc>
      </w:tr>
      <w:tr w:rsidR="00270170" w:rsidTr="00AB2416">
        <w:trPr>
          <w:trHeight w:val="416"/>
        </w:trPr>
        <w:tc>
          <w:tcPr>
            <w:tcW w:w="1600" w:type="dxa"/>
            <w:vMerge/>
            <w:tcBorders>
              <w:left w:val="single" w:sz="4" w:space="0" w:color="auto"/>
              <w:right w:val="single" w:sz="4" w:space="0" w:color="auto"/>
            </w:tcBorders>
            <w:vAlign w:val="center"/>
          </w:tcPr>
          <w:p w:rsidR="00270170" w:rsidRDefault="00270170" w:rsidP="00AB2416"/>
        </w:tc>
        <w:tc>
          <w:tcPr>
            <w:tcW w:w="1202" w:type="dxa"/>
            <w:vMerge/>
            <w:tcBorders>
              <w:left w:val="single" w:sz="4" w:space="0" w:color="auto"/>
              <w:right w:val="single" w:sz="4" w:space="0" w:color="auto"/>
            </w:tcBorders>
            <w:vAlign w:val="center"/>
          </w:tcPr>
          <w:p w:rsidR="00270170" w:rsidRDefault="00270170" w:rsidP="00AB2416"/>
        </w:tc>
        <w:tc>
          <w:tcPr>
            <w:tcW w:w="2498" w:type="dxa"/>
            <w:vMerge/>
            <w:tcBorders>
              <w:left w:val="single" w:sz="4" w:space="0" w:color="auto"/>
              <w:right w:val="single" w:sz="4" w:space="0" w:color="auto"/>
            </w:tcBorders>
            <w:vAlign w:val="center"/>
          </w:tcPr>
          <w:p w:rsidR="00270170" w:rsidRDefault="00270170" w:rsidP="00AB2416"/>
        </w:tc>
        <w:tc>
          <w:tcPr>
            <w:tcW w:w="2860" w:type="dxa"/>
            <w:vMerge/>
            <w:tcBorders>
              <w:left w:val="single" w:sz="4" w:space="0" w:color="auto"/>
              <w:right w:val="single" w:sz="4" w:space="0" w:color="auto"/>
            </w:tcBorders>
            <w:vAlign w:val="center"/>
          </w:tcPr>
          <w:p w:rsidR="00270170" w:rsidRDefault="00270170" w:rsidP="00AB2416"/>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检测数据准确度</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≥95%</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≥85%</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&lt;85%</w:t>
            </w:r>
          </w:p>
        </w:tc>
      </w:tr>
      <w:tr w:rsidR="00270170" w:rsidTr="00AB2416">
        <w:trPr>
          <w:trHeight w:val="311"/>
        </w:trPr>
        <w:tc>
          <w:tcPr>
            <w:tcW w:w="1600"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1202"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860"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特种设备定检完成率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≥95%</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≥80%</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&lt;80%</w:t>
            </w:r>
          </w:p>
        </w:tc>
      </w:tr>
      <w:tr w:rsidR="00270170" w:rsidTr="00AB2416">
        <w:trPr>
          <w:trHeight w:val="631"/>
        </w:trPr>
        <w:tc>
          <w:tcPr>
            <w:tcW w:w="1600" w:type="dxa"/>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质量技术监督行政执法</w:t>
            </w:r>
            <w:proofErr w:type="spellEnd"/>
          </w:p>
        </w:tc>
        <w:tc>
          <w:tcPr>
            <w:tcW w:w="1202" w:type="dxa"/>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tcBorders>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sz w:val="18"/>
                <w:szCs w:val="18"/>
              </w:rPr>
            </w:pPr>
            <w:proofErr w:type="spellStart"/>
            <w:r>
              <w:rPr>
                <w:rFonts w:ascii="宋体" w:hAnsi="宋体" w:cs="宋体" w:hint="eastAsia"/>
                <w:color w:val="000000"/>
                <w:sz w:val="18"/>
                <w:szCs w:val="18"/>
              </w:rPr>
              <w:t>负责质量技术监督执法打假有关的各项工作</w:t>
            </w:r>
            <w:proofErr w:type="spellEnd"/>
            <w:r>
              <w:rPr>
                <w:rFonts w:ascii="宋体" w:hAnsi="宋体" w:cs="宋体" w:hint="eastAsia"/>
                <w:color w:val="000000"/>
                <w:sz w:val="18"/>
                <w:szCs w:val="18"/>
              </w:rPr>
              <w:t>。</w:t>
            </w:r>
          </w:p>
        </w:tc>
        <w:tc>
          <w:tcPr>
            <w:tcW w:w="2860" w:type="dxa"/>
            <w:tcBorders>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sz w:val="18"/>
                <w:szCs w:val="18"/>
              </w:rPr>
            </w:pPr>
            <w:proofErr w:type="spellStart"/>
            <w:r>
              <w:rPr>
                <w:rFonts w:ascii="宋体" w:hAnsi="宋体" w:cs="宋体" w:hint="eastAsia"/>
                <w:color w:val="000000"/>
                <w:sz w:val="18"/>
                <w:szCs w:val="18"/>
              </w:rPr>
              <w:t>加大执法力度，规范执法行为</w:t>
            </w:r>
            <w:proofErr w:type="spellEnd"/>
            <w:r>
              <w:rPr>
                <w:rFonts w:ascii="宋体" w:hAnsi="宋体" w:cs="宋体" w:hint="eastAsia"/>
                <w:color w:val="000000"/>
                <w:sz w:val="18"/>
                <w:szCs w:val="18"/>
              </w:rPr>
              <w:t>。</w:t>
            </w: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r>
      <w:tr w:rsidR="00270170" w:rsidTr="00AB2416">
        <w:trPr>
          <w:trHeight w:val="405"/>
        </w:trPr>
        <w:tc>
          <w:tcPr>
            <w:tcW w:w="1600" w:type="dxa"/>
            <w:vMerge w:val="restart"/>
            <w:tcBorders>
              <w:top w:val="nil"/>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打架办案</w:t>
            </w:r>
            <w:proofErr w:type="spellEnd"/>
          </w:p>
        </w:tc>
        <w:tc>
          <w:tcPr>
            <w:tcW w:w="1202" w:type="dxa"/>
            <w:vMerge w:val="restart"/>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 xml:space="preserve">　</w:t>
            </w:r>
          </w:p>
        </w:tc>
        <w:tc>
          <w:tcPr>
            <w:tcW w:w="2498" w:type="dxa"/>
            <w:vMerge w:val="restart"/>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依法查处生产和经销假冒伪劣商品活动中的质量、标准违法行为和流通领域中的计量违法行为，开展区内产品整治，做好打假协调工作等有关打假办案的各项。</w:t>
            </w:r>
          </w:p>
        </w:tc>
        <w:tc>
          <w:tcPr>
            <w:tcW w:w="2860" w:type="dxa"/>
            <w:vMerge w:val="restart"/>
            <w:tcBorders>
              <w:top w:val="single" w:sz="4" w:space="0" w:color="auto"/>
              <w:left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加大执法力度，确保消费者权益</w:t>
            </w:r>
            <w:proofErr w:type="spellEnd"/>
            <w:r>
              <w:rPr>
                <w:rFonts w:ascii="宋体" w:hAnsi="宋体" w:cs="宋体" w:hint="eastAsia"/>
                <w:sz w:val="18"/>
                <w:szCs w:val="18"/>
              </w:rPr>
              <w:t>。</w:t>
            </w:r>
          </w:p>
          <w:p w:rsidR="00270170" w:rsidRDefault="00270170" w:rsidP="00AB2416">
            <w:pPr>
              <w:rPr>
                <w:rFonts w:ascii="宋体" w:hAnsi="宋体" w:cs="宋体"/>
                <w:sz w:val="18"/>
                <w:szCs w:val="18"/>
              </w:rPr>
            </w:pPr>
          </w:p>
        </w:tc>
        <w:tc>
          <w:tcPr>
            <w:tcW w:w="30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违法企业查办及时率</w:t>
            </w:r>
            <w:proofErr w:type="spellEnd"/>
          </w:p>
        </w:tc>
        <w:tc>
          <w:tcPr>
            <w:tcW w:w="84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1</w:t>
            </w:r>
          </w:p>
        </w:tc>
        <w:tc>
          <w:tcPr>
            <w:tcW w:w="82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≥95%</w:t>
            </w:r>
          </w:p>
        </w:tc>
        <w:tc>
          <w:tcPr>
            <w:tcW w:w="102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c>
          <w:tcPr>
            <w:tcW w:w="9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&lt;90%</w:t>
            </w:r>
          </w:p>
        </w:tc>
      </w:tr>
      <w:tr w:rsidR="00270170" w:rsidTr="00AB2416">
        <w:trPr>
          <w:trHeight w:val="435"/>
        </w:trPr>
        <w:tc>
          <w:tcPr>
            <w:tcW w:w="1600" w:type="dxa"/>
            <w:vMerge/>
            <w:tcBorders>
              <w:top w:val="nil"/>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1202" w:type="dxa"/>
            <w:vMerge/>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vMerge/>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860" w:type="dxa"/>
            <w:vMerge/>
            <w:tcBorders>
              <w:left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30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违法企业处理率</w:t>
            </w:r>
            <w:proofErr w:type="spellEnd"/>
          </w:p>
        </w:tc>
        <w:tc>
          <w:tcPr>
            <w:tcW w:w="84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≥95%</w:t>
            </w:r>
          </w:p>
        </w:tc>
        <w:tc>
          <w:tcPr>
            <w:tcW w:w="82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c>
          <w:tcPr>
            <w:tcW w:w="102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≥80%</w:t>
            </w:r>
          </w:p>
        </w:tc>
        <w:tc>
          <w:tcPr>
            <w:tcW w:w="9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&lt;80%</w:t>
            </w:r>
          </w:p>
        </w:tc>
      </w:tr>
      <w:tr w:rsidR="00270170" w:rsidTr="00AB2416">
        <w:trPr>
          <w:trHeight w:val="510"/>
        </w:trPr>
        <w:tc>
          <w:tcPr>
            <w:tcW w:w="1600" w:type="dxa"/>
            <w:vMerge/>
            <w:tcBorders>
              <w:top w:val="nil"/>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1202" w:type="dxa"/>
            <w:vMerge/>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vMerge/>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860"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30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打假案件办结率</w:t>
            </w:r>
            <w:proofErr w:type="spellEnd"/>
          </w:p>
        </w:tc>
        <w:tc>
          <w:tcPr>
            <w:tcW w:w="84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≥95%</w:t>
            </w:r>
          </w:p>
        </w:tc>
        <w:tc>
          <w:tcPr>
            <w:tcW w:w="82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c>
          <w:tcPr>
            <w:tcW w:w="102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≥80%</w:t>
            </w:r>
          </w:p>
        </w:tc>
        <w:tc>
          <w:tcPr>
            <w:tcW w:w="9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&lt;80%</w:t>
            </w:r>
          </w:p>
        </w:tc>
      </w:tr>
      <w:tr w:rsidR="00270170" w:rsidTr="00AB2416">
        <w:trPr>
          <w:trHeight w:val="510"/>
        </w:trPr>
        <w:tc>
          <w:tcPr>
            <w:tcW w:w="1600" w:type="dxa"/>
            <w:tcBorders>
              <w:top w:val="nil"/>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市场监督政务管理</w:t>
            </w:r>
            <w:proofErr w:type="spellEnd"/>
          </w:p>
        </w:tc>
        <w:tc>
          <w:tcPr>
            <w:tcW w:w="1202"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131.28</w:t>
            </w:r>
          </w:p>
        </w:tc>
        <w:tc>
          <w:tcPr>
            <w:tcW w:w="2498"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sz w:val="18"/>
                <w:szCs w:val="18"/>
              </w:rPr>
            </w:pPr>
            <w:r>
              <w:rPr>
                <w:rFonts w:ascii="宋体" w:hAnsi="宋体" w:cs="宋体" w:hint="eastAsia"/>
                <w:color w:val="000000"/>
                <w:sz w:val="18"/>
                <w:szCs w:val="18"/>
              </w:rPr>
              <w:t>主要包括市场监督综合管理、人事、离退休干部、党建、计财、监察、宣传、会议、培训、调研等工作。拟订全区市场监督管理办法、措施和制度，组织指导相关工作开展，并承担政务公开和业务宣传工作。</w:t>
            </w:r>
          </w:p>
        </w:tc>
        <w:tc>
          <w:tcPr>
            <w:tcW w:w="2860" w:type="dxa"/>
            <w:tcBorders>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sz w:val="18"/>
                <w:szCs w:val="18"/>
              </w:rPr>
            </w:pPr>
            <w:proofErr w:type="spellStart"/>
            <w:r>
              <w:rPr>
                <w:rFonts w:ascii="宋体" w:hAnsi="宋体" w:cs="宋体" w:hint="eastAsia"/>
                <w:color w:val="000000"/>
                <w:sz w:val="18"/>
                <w:szCs w:val="18"/>
              </w:rPr>
              <w:t>提高综合保障管理能力，及时处理突发事件，完成各项工作任务</w:t>
            </w:r>
            <w:proofErr w:type="spellEnd"/>
            <w:r>
              <w:rPr>
                <w:rFonts w:ascii="宋体" w:hAnsi="宋体" w:cs="宋体" w:hint="eastAsia"/>
                <w:color w:val="000000"/>
                <w:sz w:val="18"/>
                <w:szCs w:val="18"/>
              </w:rPr>
              <w:t>。</w:t>
            </w:r>
          </w:p>
        </w:tc>
        <w:tc>
          <w:tcPr>
            <w:tcW w:w="30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84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82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102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900" w:type="dxa"/>
            <w:tcBorders>
              <w:top w:val="nil"/>
              <w:left w:val="nil"/>
              <w:bottom w:val="single" w:sz="4" w:space="0" w:color="auto"/>
              <w:right w:val="single" w:sz="4" w:space="0" w:color="auto"/>
            </w:tcBorders>
            <w:vAlign w:val="center"/>
          </w:tcPr>
          <w:p w:rsidR="00270170" w:rsidRDefault="00270170" w:rsidP="00AB2416">
            <w:pPr>
              <w:rPr>
                <w:rFonts w:ascii="宋体" w:hAnsi="宋体" w:cs="宋体"/>
                <w:sz w:val="18"/>
                <w:szCs w:val="18"/>
              </w:rPr>
            </w:pPr>
          </w:p>
        </w:tc>
      </w:tr>
      <w:tr w:rsidR="00270170" w:rsidTr="00AB2416">
        <w:trPr>
          <w:trHeight w:val="418"/>
        </w:trPr>
        <w:tc>
          <w:tcPr>
            <w:tcW w:w="1600" w:type="dxa"/>
            <w:vMerge w:val="restart"/>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综合业务管理</w:t>
            </w:r>
            <w:proofErr w:type="spellEnd"/>
          </w:p>
        </w:tc>
        <w:tc>
          <w:tcPr>
            <w:tcW w:w="1202" w:type="dxa"/>
            <w:vMerge w:val="restart"/>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vMerge w:val="restart"/>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r>
              <w:rPr>
                <w:rFonts w:ascii="宋体" w:hAnsi="宋体" w:cs="宋体" w:hint="eastAsia"/>
                <w:sz w:val="18"/>
                <w:szCs w:val="18"/>
              </w:rPr>
              <w:t>开展全区系统人员宣传、教育、培训工作。强化监管手段，组织开展监督、检查、检测、案件处置、统计分析、信息公开、宣传教育等各项综合业务工作。承办区政府交办其他事项。</w:t>
            </w:r>
          </w:p>
        </w:tc>
        <w:tc>
          <w:tcPr>
            <w:tcW w:w="2860" w:type="dxa"/>
            <w:vMerge w:val="restart"/>
            <w:tcBorders>
              <w:top w:val="single" w:sz="4" w:space="0" w:color="auto"/>
              <w:left w:val="single" w:sz="4" w:space="0" w:color="auto"/>
              <w:bottom w:val="single" w:sz="4" w:space="0" w:color="auto"/>
              <w:right w:val="single" w:sz="4" w:space="0" w:color="auto"/>
            </w:tcBorders>
            <w:vAlign w:val="center"/>
          </w:tcPr>
          <w:p w:rsidR="00270170" w:rsidRDefault="00270170" w:rsidP="00AB2416">
            <w:pPr>
              <w:textAlignment w:val="center"/>
              <w:rPr>
                <w:rFonts w:ascii="宋体" w:hAnsi="宋体" w:cs="宋体"/>
                <w:color w:val="000000"/>
                <w:sz w:val="18"/>
                <w:szCs w:val="18"/>
              </w:rPr>
            </w:pPr>
            <w:proofErr w:type="spellStart"/>
            <w:r>
              <w:rPr>
                <w:rFonts w:ascii="宋体" w:hAnsi="宋体" w:cs="宋体" w:hint="eastAsia"/>
                <w:sz w:val="18"/>
                <w:szCs w:val="18"/>
              </w:rPr>
              <w:t>提高市场监督管理人员的业务能力、工作效率，加强科研和文化建设</w:t>
            </w:r>
            <w:proofErr w:type="spellEnd"/>
            <w:r>
              <w:rPr>
                <w:rFonts w:ascii="宋体" w:hAnsi="宋体" w:cs="宋体" w:hint="eastAsia"/>
                <w:sz w:val="18"/>
                <w:szCs w:val="18"/>
              </w:rPr>
              <w:t>。</w:t>
            </w: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综合业务管理工作完成率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1</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≥95%</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r>
      <w:tr w:rsidR="00270170" w:rsidTr="00AB2416">
        <w:trPr>
          <w:trHeight w:val="618"/>
        </w:trPr>
        <w:tc>
          <w:tcPr>
            <w:tcW w:w="1600" w:type="dxa"/>
            <w:vMerge/>
            <w:tcBorders>
              <w:top w:val="single" w:sz="4" w:space="0" w:color="auto"/>
              <w:left w:val="single" w:sz="4" w:space="0" w:color="auto"/>
              <w:bottom w:val="single" w:sz="4" w:space="0" w:color="auto"/>
              <w:right w:val="single" w:sz="4" w:space="0" w:color="auto"/>
            </w:tcBorders>
            <w:vAlign w:val="center"/>
          </w:tcPr>
          <w:p w:rsidR="00270170" w:rsidRDefault="00270170" w:rsidP="00AB2416"/>
        </w:tc>
        <w:tc>
          <w:tcPr>
            <w:tcW w:w="1202" w:type="dxa"/>
            <w:vMerge/>
            <w:tcBorders>
              <w:top w:val="single" w:sz="4" w:space="0" w:color="auto"/>
              <w:left w:val="single" w:sz="4" w:space="0" w:color="auto"/>
              <w:bottom w:val="single" w:sz="4" w:space="0" w:color="auto"/>
              <w:right w:val="single" w:sz="4" w:space="0" w:color="auto"/>
            </w:tcBorders>
            <w:vAlign w:val="center"/>
          </w:tcPr>
          <w:p w:rsidR="00270170" w:rsidRDefault="00270170" w:rsidP="00AB2416"/>
        </w:tc>
        <w:tc>
          <w:tcPr>
            <w:tcW w:w="2498" w:type="dxa"/>
            <w:vMerge/>
            <w:tcBorders>
              <w:top w:val="single" w:sz="4" w:space="0" w:color="auto"/>
              <w:left w:val="single" w:sz="4" w:space="0" w:color="auto"/>
              <w:bottom w:val="single" w:sz="4" w:space="0" w:color="auto"/>
              <w:right w:val="single" w:sz="4" w:space="0" w:color="auto"/>
            </w:tcBorders>
            <w:vAlign w:val="center"/>
          </w:tcPr>
          <w:p w:rsidR="00270170" w:rsidRDefault="00270170" w:rsidP="00AB2416"/>
        </w:tc>
        <w:tc>
          <w:tcPr>
            <w:tcW w:w="2860" w:type="dxa"/>
            <w:vMerge/>
            <w:tcBorders>
              <w:top w:val="single" w:sz="4" w:space="0" w:color="auto"/>
              <w:left w:val="single" w:sz="4" w:space="0" w:color="auto"/>
              <w:bottom w:val="single" w:sz="4" w:space="0" w:color="auto"/>
              <w:right w:val="single" w:sz="4" w:space="0" w:color="auto"/>
            </w:tcBorders>
            <w:vAlign w:val="center"/>
          </w:tcPr>
          <w:p w:rsidR="00270170" w:rsidRDefault="00270170" w:rsidP="00AB2416"/>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媒体稿件篇数</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≥500</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≥450</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≥400</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&lt;400</w:t>
            </w:r>
          </w:p>
        </w:tc>
      </w:tr>
      <w:tr w:rsidR="00270170" w:rsidTr="00AB2416">
        <w:trPr>
          <w:trHeight w:val="564"/>
        </w:trPr>
        <w:tc>
          <w:tcPr>
            <w:tcW w:w="1600" w:type="dxa"/>
            <w:vMerge/>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1202" w:type="dxa"/>
            <w:vMerge/>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vMerge/>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860" w:type="dxa"/>
            <w:vMerge/>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培训人员人次</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≥50</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≥40</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≥30</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&lt;30</w:t>
            </w:r>
          </w:p>
        </w:tc>
      </w:tr>
      <w:tr w:rsidR="00270170" w:rsidTr="00AB2416">
        <w:trPr>
          <w:trHeight w:val="406"/>
        </w:trPr>
        <w:tc>
          <w:tcPr>
            <w:tcW w:w="1600" w:type="dxa"/>
            <w:vMerge w:val="restart"/>
            <w:tcBorders>
              <w:top w:val="single" w:sz="4" w:space="0" w:color="auto"/>
              <w:left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综合事务管理</w:t>
            </w:r>
            <w:proofErr w:type="spellEnd"/>
          </w:p>
        </w:tc>
        <w:tc>
          <w:tcPr>
            <w:tcW w:w="1202" w:type="dxa"/>
            <w:vMerge w:val="restart"/>
            <w:tcBorders>
              <w:top w:val="single" w:sz="4" w:space="0" w:color="auto"/>
              <w:left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131.28</w:t>
            </w:r>
          </w:p>
        </w:tc>
        <w:tc>
          <w:tcPr>
            <w:tcW w:w="2498" w:type="dxa"/>
            <w:vMerge w:val="restart"/>
            <w:tcBorders>
              <w:top w:val="single" w:sz="4" w:space="0" w:color="auto"/>
              <w:left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对办公场所等设施进行运行维护，开展综合业务平台建设与维护工作，配发统一制</w:t>
            </w:r>
            <w:r>
              <w:rPr>
                <w:rFonts w:ascii="宋体" w:hAnsi="宋体" w:cs="宋体" w:hint="eastAsia"/>
                <w:sz w:val="18"/>
                <w:szCs w:val="18"/>
              </w:rPr>
              <w:lastRenderedPageBreak/>
              <w:t>服，进行设备购置，组织节能减排、车辆运行与管理、设备购置和管理、机关保安、保洁和环境绿化及养护等后勤服务。</w:t>
            </w:r>
          </w:p>
        </w:tc>
        <w:tc>
          <w:tcPr>
            <w:tcW w:w="2860" w:type="dxa"/>
            <w:vMerge w:val="restart"/>
            <w:tcBorders>
              <w:top w:val="single" w:sz="4" w:space="0" w:color="auto"/>
              <w:left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lastRenderedPageBreak/>
              <w:t>提升保障能力及管理水平，完成各项工作任务</w:t>
            </w:r>
            <w:proofErr w:type="spellEnd"/>
            <w:r>
              <w:rPr>
                <w:rFonts w:ascii="宋体" w:hAnsi="宋体" w:cs="宋体" w:hint="eastAsia"/>
                <w:sz w:val="18"/>
                <w:szCs w:val="18"/>
              </w:rPr>
              <w:t>。</w:t>
            </w: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信息平台建设达标率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≥95%</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≥85%</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&lt;85%</w:t>
            </w:r>
          </w:p>
        </w:tc>
      </w:tr>
      <w:tr w:rsidR="00270170" w:rsidTr="00AB2416">
        <w:trPr>
          <w:trHeight w:val="406"/>
        </w:trPr>
        <w:tc>
          <w:tcPr>
            <w:tcW w:w="1600" w:type="dxa"/>
            <w:vMerge/>
            <w:tcBorders>
              <w:left w:val="single" w:sz="4" w:space="0" w:color="auto"/>
              <w:right w:val="single" w:sz="4" w:space="0" w:color="auto"/>
            </w:tcBorders>
            <w:vAlign w:val="center"/>
          </w:tcPr>
          <w:p w:rsidR="00270170" w:rsidRDefault="00270170" w:rsidP="00AB2416"/>
        </w:tc>
        <w:tc>
          <w:tcPr>
            <w:tcW w:w="1202" w:type="dxa"/>
            <w:vMerge/>
            <w:tcBorders>
              <w:left w:val="single" w:sz="4" w:space="0" w:color="auto"/>
              <w:right w:val="single" w:sz="4" w:space="0" w:color="auto"/>
            </w:tcBorders>
            <w:vAlign w:val="center"/>
          </w:tcPr>
          <w:p w:rsidR="00270170" w:rsidRDefault="00270170" w:rsidP="00AB2416"/>
        </w:tc>
        <w:tc>
          <w:tcPr>
            <w:tcW w:w="2498" w:type="dxa"/>
            <w:vMerge/>
            <w:tcBorders>
              <w:left w:val="single" w:sz="4" w:space="0" w:color="auto"/>
              <w:right w:val="single" w:sz="4" w:space="0" w:color="auto"/>
            </w:tcBorders>
            <w:vAlign w:val="center"/>
          </w:tcPr>
          <w:p w:rsidR="00270170" w:rsidRDefault="00270170" w:rsidP="00AB2416"/>
        </w:tc>
        <w:tc>
          <w:tcPr>
            <w:tcW w:w="2860" w:type="dxa"/>
            <w:vMerge/>
            <w:tcBorders>
              <w:left w:val="single" w:sz="4" w:space="0" w:color="auto"/>
              <w:right w:val="single" w:sz="4" w:space="0" w:color="auto"/>
            </w:tcBorders>
            <w:vAlign w:val="center"/>
          </w:tcPr>
          <w:p w:rsidR="00270170" w:rsidRDefault="00270170" w:rsidP="00AB2416"/>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办公场所、设备检修维护</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≥6</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5</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4</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&lt;4</w:t>
            </w:r>
          </w:p>
        </w:tc>
      </w:tr>
      <w:tr w:rsidR="00270170" w:rsidTr="00AB2416">
        <w:trPr>
          <w:trHeight w:val="406"/>
        </w:trPr>
        <w:tc>
          <w:tcPr>
            <w:tcW w:w="1600" w:type="dxa"/>
            <w:vMerge/>
            <w:tcBorders>
              <w:left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1202" w:type="dxa"/>
            <w:vMerge/>
            <w:tcBorders>
              <w:left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vMerge/>
            <w:tcBorders>
              <w:left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860" w:type="dxa"/>
            <w:vMerge/>
            <w:tcBorders>
              <w:left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执法装备配备率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≥95%</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≥80%</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＜80%</w:t>
            </w:r>
          </w:p>
        </w:tc>
      </w:tr>
      <w:tr w:rsidR="00270170" w:rsidTr="00AB2416">
        <w:trPr>
          <w:trHeight w:val="406"/>
        </w:trPr>
        <w:tc>
          <w:tcPr>
            <w:tcW w:w="1600"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1202"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498"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2860" w:type="dxa"/>
            <w:vMerge/>
            <w:tcBorders>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proofErr w:type="spellStart"/>
            <w:r>
              <w:rPr>
                <w:rFonts w:ascii="宋体" w:hAnsi="宋体" w:cs="宋体" w:hint="eastAsia"/>
                <w:sz w:val="18"/>
                <w:szCs w:val="18"/>
              </w:rPr>
              <w:t>综合事务管理工作完成率</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1</w:t>
            </w:r>
          </w:p>
        </w:tc>
        <w:tc>
          <w:tcPr>
            <w:tcW w:w="8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≥95%</w:t>
            </w:r>
          </w:p>
        </w:tc>
        <w:tc>
          <w:tcPr>
            <w:tcW w:w="102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c>
          <w:tcPr>
            <w:tcW w:w="900" w:type="dxa"/>
            <w:tcBorders>
              <w:top w:val="single" w:sz="4" w:space="0" w:color="auto"/>
              <w:left w:val="single" w:sz="4" w:space="0" w:color="auto"/>
              <w:bottom w:val="single" w:sz="4" w:space="0" w:color="auto"/>
              <w:right w:val="single" w:sz="4" w:space="0" w:color="auto"/>
            </w:tcBorders>
            <w:vAlign w:val="center"/>
          </w:tcPr>
          <w:p w:rsidR="00270170" w:rsidRDefault="00270170" w:rsidP="00AB2416">
            <w:pPr>
              <w:rPr>
                <w:rFonts w:ascii="宋体" w:hAnsi="宋体" w:cs="宋体"/>
                <w:sz w:val="18"/>
                <w:szCs w:val="18"/>
              </w:rPr>
            </w:pPr>
            <w:r>
              <w:rPr>
                <w:rFonts w:ascii="宋体" w:hAnsi="宋体" w:cs="宋体" w:hint="eastAsia"/>
                <w:sz w:val="18"/>
                <w:szCs w:val="18"/>
              </w:rPr>
              <w:t>＜90%</w:t>
            </w:r>
          </w:p>
        </w:tc>
      </w:tr>
    </w:tbl>
    <w:p w:rsidR="00F76141" w:rsidRDefault="00FB57FD">
      <w:pPr>
        <w:spacing w:before="10" w:after="10"/>
        <w:ind w:firstLine="640"/>
        <w:outlineLvl w:val="2"/>
      </w:pPr>
      <w:r>
        <w:rPr>
          <w:rFonts w:ascii="黑体" w:eastAsia="黑体" w:hAnsi="黑体" w:cs="黑体"/>
          <w:color w:val="000000"/>
          <w:sz w:val="32"/>
        </w:rPr>
        <w:t>六</w:t>
      </w:r>
      <w:r w:rsidR="00AE3414">
        <w:rPr>
          <w:rFonts w:ascii="黑体" w:eastAsia="黑体" w:hAnsi="黑体" w:cs="黑体"/>
          <w:color w:val="000000"/>
          <w:sz w:val="32"/>
        </w:rPr>
        <w:t>、政府采购预算情况</w:t>
      </w:r>
      <w:bookmarkEnd w:id="5"/>
    </w:p>
    <w:p w:rsidR="00F76141" w:rsidRDefault="00AE3414">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78"/>
        <w:gridCol w:w="1120"/>
        <w:gridCol w:w="1134"/>
        <w:gridCol w:w="709"/>
        <w:gridCol w:w="850"/>
        <w:gridCol w:w="850"/>
        <w:gridCol w:w="964"/>
        <w:gridCol w:w="964"/>
        <w:gridCol w:w="964"/>
        <w:gridCol w:w="964"/>
        <w:gridCol w:w="964"/>
        <w:gridCol w:w="964"/>
        <w:gridCol w:w="964"/>
        <w:gridCol w:w="964"/>
      </w:tblGrid>
      <w:tr w:rsidR="00F76141" w:rsidTr="00D25C9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76141" w:rsidRDefault="00270170" w:rsidP="006A4512">
            <w:pPr>
              <w:pStyle w:val="200"/>
            </w:pPr>
            <w:r>
              <w:rPr>
                <w:rFonts w:hint="eastAsia"/>
                <w:lang w:eastAsia="zh-CN"/>
              </w:rPr>
              <w:t>唐山市丰南区市场监督管理局</w:t>
            </w:r>
          </w:p>
        </w:tc>
        <w:tc>
          <w:tcPr>
            <w:tcW w:w="7712" w:type="dxa"/>
            <w:gridSpan w:val="8"/>
            <w:tcBorders>
              <w:top w:val="single" w:sz="6" w:space="0" w:color="FFFFFF"/>
              <w:left w:val="single" w:sz="6" w:space="0" w:color="FFFFFF"/>
              <w:right w:val="single" w:sz="6" w:space="0" w:color="FFFFFF"/>
            </w:tcBorders>
            <w:vAlign w:val="center"/>
          </w:tcPr>
          <w:p w:rsidR="00F76141" w:rsidRDefault="00AE3414">
            <w:pPr>
              <w:pStyle w:val="230"/>
            </w:pPr>
            <w:r>
              <w:t>单位：万元</w:t>
            </w:r>
          </w:p>
        </w:tc>
      </w:tr>
      <w:tr w:rsidR="00F76141" w:rsidTr="00CA0A98">
        <w:trPr>
          <w:cantSplit/>
          <w:tblHeader/>
          <w:jc w:val="center"/>
        </w:trPr>
        <w:tc>
          <w:tcPr>
            <w:tcW w:w="2679" w:type="dxa"/>
            <w:gridSpan w:val="2"/>
            <w:vAlign w:val="center"/>
          </w:tcPr>
          <w:p w:rsidR="00F76141" w:rsidRDefault="00AE3414">
            <w:pPr>
              <w:pStyle w:val="11"/>
            </w:pPr>
            <w:r>
              <w:t>政府采购项目来源</w:t>
            </w:r>
          </w:p>
        </w:tc>
        <w:tc>
          <w:tcPr>
            <w:tcW w:w="1120" w:type="dxa"/>
            <w:vMerge w:val="restart"/>
            <w:vAlign w:val="center"/>
          </w:tcPr>
          <w:p w:rsidR="00F76141" w:rsidRDefault="00AE3414">
            <w:pPr>
              <w:pStyle w:val="11"/>
            </w:pPr>
            <w:r>
              <w:t>采购物品名称</w:t>
            </w:r>
          </w:p>
        </w:tc>
        <w:tc>
          <w:tcPr>
            <w:tcW w:w="1134" w:type="dxa"/>
            <w:vMerge w:val="restart"/>
            <w:vAlign w:val="center"/>
          </w:tcPr>
          <w:p w:rsidR="00F76141" w:rsidRDefault="00AE3414">
            <w:pPr>
              <w:pStyle w:val="11"/>
            </w:pPr>
            <w:r>
              <w:t>政府采购目录序号</w:t>
            </w:r>
          </w:p>
        </w:tc>
        <w:tc>
          <w:tcPr>
            <w:tcW w:w="709" w:type="dxa"/>
            <w:vMerge w:val="restart"/>
            <w:vAlign w:val="center"/>
          </w:tcPr>
          <w:p w:rsidR="00F76141" w:rsidRDefault="00AE3414">
            <w:pPr>
              <w:pStyle w:val="11"/>
            </w:pPr>
            <w:r>
              <w:t>计量  单位</w:t>
            </w:r>
          </w:p>
        </w:tc>
        <w:tc>
          <w:tcPr>
            <w:tcW w:w="850" w:type="dxa"/>
            <w:vMerge w:val="restart"/>
            <w:vAlign w:val="center"/>
          </w:tcPr>
          <w:p w:rsidR="00F76141" w:rsidRDefault="00AE3414">
            <w:pPr>
              <w:pStyle w:val="11"/>
            </w:pPr>
            <w:r>
              <w:t>数量</w:t>
            </w:r>
          </w:p>
        </w:tc>
        <w:tc>
          <w:tcPr>
            <w:tcW w:w="850" w:type="dxa"/>
            <w:vMerge w:val="restart"/>
            <w:vAlign w:val="center"/>
          </w:tcPr>
          <w:p w:rsidR="00F76141" w:rsidRDefault="00AE3414">
            <w:pPr>
              <w:pStyle w:val="11"/>
            </w:pPr>
            <w:r>
              <w:t>单价</w:t>
            </w:r>
          </w:p>
        </w:tc>
        <w:tc>
          <w:tcPr>
            <w:tcW w:w="6748" w:type="dxa"/>
            <w:gridSpan w:val="7"/>
            <w:vAlign w:val="center"/>
          </w:tcPr>
          <w:p w:rsidR="00F76141" w:rsidRDefault="00AE3414">
            <w:pPr>
              <w:pStyle w:val="11"/>
            </w:pPr>
            <w:r>
              <w:t>政府采购金额（当年部门预算安排资金）</w:t>
            </w:r>
          </w:p>
        </w:tc>
        <w:tc>
          <w:tcPr>
            <w:tcW w:w="964" w:type="dxa"/>
            <w:vMerge w:val="restart"/>
            <w:vAlign w:val="center"/>
          </w:tcPr>
          <w:p w:rsidR="00F76141" w:rsidRDefault="00FB57FD">
            <w:pPr>
              <w:pStyle w:val="11"/>
            </w:pPr>
            <w:r>
              <w:rPr>
                <w:rFonts w:hint="eastAsia"/>
                <w:lang w:eastAsia="zh-CN"/>
              </w:rPr>
              <w:t>XXXX</w:t>
            </w:r>
            <w:r w:rsidR="00AE3414">
              <w:t>年  预留中  小微企  业份额</w:t>
            </w:r>
          </w:p>
        </w:tc>
      </w:tr>
      <w:tr w:rsidR="00F76141" w:rsidTr="00CA0A98">
        <w:trPr>
          <w:cantSplit/>
          <w:tblHeader/>
          <w:jc w:val="center"/>
        </w:trPr>
        <w:tc>
          <w:tcPr>
            <w:tcW w:w="1701" w:type="dxa"/>
            <w:vAlign w:val="center"/>
          </w:tcPr>
          <w:p w:rsidR="00F76141" w:rsidRDefault="00AE3414">
            <w:pPr>
              <w:pStyle w:val="11"/>
            </w:pPr>
            <w:r>
              <w:t>项目名称</w:t>
            </w:r>
          </w:p>
        </w:tc>
        <w:tc>
          <w:tcPr>
            <w:tcW w:w="978" w:type="dxa"/>
            <w:vAlign w:val="center"/>
          </w:tcPr>
          <w:p w:rsidR="00F76141" w:rsidRDefault="00AE3414">
            <w:pPr>
              <w:pStyle w:val="11"/>
            </w:pPr>
            <w:r>
              <w:t>预算    资金</w:t>
            </w:r>
          </w:p>
        </w:tc>
        <w:tc>
          <w:tcPr>
            <w:tcW w:w="1120" w:type="dxa"/>
            <w:vMerge/>
          </w:tcPr>
          <w:p w:rsidR="00F76141" w:rsidRDefault="00F76141"/>
        </w:tc>
        <w:tc>
          <w:tcPr>
            <w:tcW w:w="1134" w:type="dxa"/>
            <w:vMerge/>
          </w:tcPr>
          <w:p w:rsidR="00F76141" w:rsidRDefault="00F76141"/>
        </w:tc>
        <w:tc>
          <w:tcPr>
            <w:tcW w:w="709" w:type="dxa"/>
            <w:vMerge/>
          </w:tcPr>
          <w:p w:rsidR="00F76141" w:rsidRDefault="00F76141"/>
        </w:tc>
        <w:tc>
          <w:tcPr>
            <w:tcW w:w="850" w:type="dxa"/>
            <w:vMerge/>
          </w:tcPr>
          <w:p w:rsidR="00F76141" w:rsidRDefault="00F76141"/>
        </w:tc>
        <w:tc>
          <w:tcPr>
            <w:tcW w:w="850" w:type="dxa"/>
            <w:vMerge/>
          </w:tcPr>
          <w:p w:rsidR="00F76141" w:rsidRDefault="00F76141"/>
        </w:tc>
        <w:tc>
          <w:tcPr>
            <w:tcW w:w="964" w:type="dxa"/>
            <w:vAlign w:val="center"/>
          </w:tcPr>
          <w:p w:rsidR="00F76141" w:rsidRDefault="00AE3414">
            <w:pPr>
              <w:pStyle w:val="11"/>
            </w:pPr>
            <w:r>
              <w:t>合计</w:t>
            </w:r>
          </w:p>
        </w:tc>
        <w:tc>
          <w:tcPr>
            <w:tcW w:w="964" w:type="dxa"/>
            <w:vAlign w:val="center"/>
          </w:tcPr>
          <w:p w:rsidR="00F76141" w:rsidRDefault="00AE3414">
            <w:pPr>
              <w:pStyle w:val="11"/>
            </w:pPr>
            <w:r>
              <w:t>一般公共预算拨款</w:t>
            </w:r>
          </w:p>
        </w:tc>
        <w:tc>
          <w:tcPr>
            <w:tcW w:w="964" w:type="dxa"/>
            <w:vAlign w:val="center"/>
          </w:tcPr>
          <w:p w:rsidR="00F76141" w:rsidRDefault="00AE3414">
            <w:pPr>
              <w:pStyle w:val="11"/>
            </w:pPr>
            <w:r>
              <w:t>基金预算拨款</w:t>
            </w:r>
          </w:p>
        </w:tc>
        <w:tc>
          <w:tcPr>
            <w:tcW w:w="964" w:type="dxa"/>
            <w:vAlign w:val="center"/>
          </w:tcPr>
          <w:p w:rsidR="00F76141" w:rsidRDefault="00AE3414">
            <w:pPr>
              <w:pStyle w:val="11"/>
            </w:pPr>
            <w:r>
              <w:t>国有资本经营预算拨款</w:t>
            </w:r>
          </w:p>
        </w:tc>
        <w:tc>
          <w:tcPr>
            <w:tcW w:w="964" w:type="dxa"/>
            <w:vAlign w:val="center"/>
          </w:tcPr>
          <w:p w:rsidR="00F76141" w:rsidRDefault="00AE3414">
            <w:pPr>
              <w:pStyle w:val="11"/>
            </w:pPr>
            <w:r>
              <w:t>财政专户核拨</w:t>
            </w:r>
          </w:p>
        </w:tc>
        <w:tc>
          <w:tcPr>
            <w:tcW w:w="964" w:type="dxa"/>
            <w:vAlign w:val="center"/>
          </w:tcPr>
          <w:p w:rsidR="00F76141" w:rsidRDefault="00AE3414">
            <w:pPr>
              <w:pStyle w:val="11"/>
            </w:pPr>
            <w:r>
              <w:t>单位    资金</w:t>
            </w:r>
          </w:p>
        </w:tc>
        <w:tc>
          <w:tcPr>
            <w:tcW w:w="964" w:type="dxa"/>
            <w:vAlign w:val="center"/>
          </w:tcPr>
          <w:p w:rsidR="00F76141" w:rsidRDefault="00AE3414">
            <w:pPr>
              <w:pStyle w:val="11"/>
            </w:pPr>
            <w:r>
              <w:t>上年结转结余</w:t>
            </w:r>
          </w:p>
        </w:tc>
        <w:tc>
          <w:tcPr>
            <w:tcW w:w="964" w:type="dxa"/>
            <w:vMerge/>
          </w:tcPr>
          <w:p w:rsidR="00F76141" w:rsidRDefault="00F76141"/>
        </w:tc>
      </w:tr>
      <w:tr w:rsidR="00D25C90" w:rsidTr="00CA0A98">
        <w:trPr>
          <w:cantSplit/>
          <w:jc w:val="center"/>
        </w:trPr>
        <w:tc>
          <w:tcPr>
            <w:tcW w:w="1701" w:type="dxa"/>
            <w:vAlign w:val="center"/>
          </w:tcPr>
          <w:p w:rsidR="00D25C90" w:rsidRDefault="00D25C90" w:rsidP="007D463B">
            <w:pPr>
              <w:pStyle w:val="6"/>
            </w:pPr>
            <w:r>
              <w:t>合  计</w:t>
            </w:r>
          </w:p>
        </w:tc>
        <w:tc>
          <w:tcPr>
            <w:tcW w:w="978" w:type="dxa"/>
            <w:vAlign w:val="center"/>
          </w:tcPr>
          <w:p w:rsidR="00D25C90" w:rsidRDefault="00D25C90" w:rsidP="007D463B">
            <w:pPr>
              <w:pStyle w:val="7"/>
            </w:pPr>
          </w:p>
        </w:tc>
        <w:tc>
          <w:tcPr>
            <w:tcW w:w="1120" w:type="dxa"/>
            <w:vAlign w:val="center"/>
          </w:tcPr>
          <w:p w:rsidR="00D25C90" w:rsidRDefault="00D25C90" w:rsidP="007D463B">
            <w:pPr>
              <w:pStyle w:val="5"/>
            </w:pPr>
          </w:p>
        </w:tc>
        <w:tc>
          <w:tcPr>
            <w:tcW w:w="1134" w:type="dxa"/>
            <w:vAlign w:val="center"/>
          </w:tcPr>
          <w:p w:rsidR="00D25C90" w:rsidRDefault="00D25C90" w:rsidP="007D463B">
            <w:pPr>
              <w:pStyle w:val="5"/>
            </w:pPr>
          </w:p>
        </w:tc>
        <w:tc>
          <w:tcPr>
            <w:tcW w:w="709" w:type="dxa"/>
            <w:vAlign w:val="center"/>
          </w:tcPr>
          <w:p w:rsidR="00D25C90" w:rsidRDefault="00D25C90" w:rsidP="007D463B">
            <w:pPr>
              <w:pStyle w:val="6"/>
            </w:pPr>
          </w:p>
        </w:tc>
        <w:tc>
          <w:tcPr>
            <w:tcW w:w="850" w:type="dxa"/>
            <w:vAlign w:val="center"/>
          </w:tcPr>
          <w:p w:rsidR="00D25C90" w:rsidRDefault="00D25C90" w:rsidP="007D463B">
            <w:pPr>
              <w:pStyle w:val="7"/>
            </w:pPr>
          </w:p>
        </w:tc>
        <w:tc>
          <w:tcPr>
            <w:tcW w:w="850" w:type="dxa"/>
            <w:vAlign w:val="center"/>
          </w:tcPr>
          <w:p w:rsidR="00D25C90" w:rsidRDefault="00D25C90" w:rsidP="007D463B">
            <w:pPr>
              <w:pStyle w:val="7"/>
            </w:pPr>
          </w:p>
        </w:tc>
        <w:tc>
          <w:tcPr>
            <w:tcW w:w="964" w:type="dxa"/>
            <w:vAlign w:val="center"/>
          </w:tcPr>
          <w:p w:rsidR="00D25C90" w:rsidRDefault="00D25C90" w:rsidP="007D463B">
            <w:pPr>
              <w:pStyle w:val="7"/>
            </w:pPr>
            <w:r>
              <w:rPr>
                <w:rFonts w:hint="eastAsia"/>
                <w:lang w:eastAsia="zh-CN"/>
              </w:rPr>
              <w:t>3</w:t>
            </w:r>
            <w:r>
              <w:t>0.00</w:t>
            </w:r>
          </w:p>
        </w:tc>
        <w:tc>
          <w:tcPr>
            <w:tcW w:w="964" w:type="dxa"/>
            <w:vAlign w:val="center"/>
          </w:tcPr>
          <w:p w:rsidR="00D25C90" w:rsidRDefault="00D25C90" w:rsidP="007D463B">
            <w:pPr>
              <w:pStyle w:val="7"/>
            </w:pPr>
            <w:r>
              <w:rPr>
                <w:rFonts w:hint="eastAsia"/>
                <w:lang w:eastAsia="zh-CN"/>
              </w:rPr>
              <w:t>3</w:t>
            </w:r>
            <w:r>
              <w:t>0.00</w:t>
            </w: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r>
              <w:rPr>
                <w:rFonts w:hint="eastAsia"/>
                <w:lang w:eastAsia="zh-CN"/>
              </w:rPr>
              <w:t>3</w:t>
            </w:r>
            <w:r>
              <w:t>0.00</w:t>
            </w:r>
          </w:p>
        </w:tc>
      </w:tr>
      <w:tr w:rsidR="00D25C90" w:rsidTr="00CA0A98">
        <w:trPr>
          <w:cantSplit/>
          <w:jc w:val="center"/>
        </w:trPr>
        <w:tc>
          <w:tcPr>
            <w:tcW w:w="1701" w:type="dxa"/>
            <w:vAlign w:val="center"/>
          </w:tcPr>
          <w:p w:rsidR="00D25C90" w:rsidRDefault="00D25C90" w:rsidP="007D463B">
            <w:pPr>
              <w:pStyle w:val="6"/>
            </w:pPr>
            <w:r>
              <w:t>唐山市丰南区</w:t>
            </w:r>
            <w:r>
              <w:rPr>
                <w:rFonts w:hint="eastAsia"/>
                <w:lang w:eastAsia="zh-CN"/>
              </w:rPr>
              <w:t>全称</w:t>
            </w:r>
            <w:r>
              <w:t>本级小计</w:t>
            </w:r>
          </w:p>
        </w:tc>
        <w:tc>
          <w:tcPr>
            <w:tcW w:w="978" w:type="dxa"/>
            <w:vAlign w:val="center"/>
          </w:tcPr>
          <w:p w:rsidR="00D25C90" w:rsidRDefault="00D25C90" w:rsidP="007D463B">
            <w:pPr>
              <w:pStyle w:val="7"/>
            </w:pPr>
          </w:p>
        </w:tc>
        <w:tc>
          <w:tcPr>
            <w:tcW w:w="1120" w:type="dxa"/>
            <w:vAlign w:val="center"/>
          </w:tcPr>
          <w:p w:rsidR="00D25C90" w:rsidRDefault="00D25C90" w:rsidP="007D463B">
            <w:pPr>
              <w:pStyle w:val="5"/>
            </w:pPr>
          </w:p>
        </w:tc>
        <w:tc>
          <w:tcPr>
            <w:tcW w:w="1134" w:type="dxa"/>
            <w:vAlign w:val="center"/>
          </w:tcPr>
          <w:p w:rsidR="00D25C90" w:rsidRDefault="00D25C90" w:rsidP="007D463B">
            <w:pPr>
              <w:pStyle w:val="5"/>
            </w:pPr>
          </w:p>
        </w:tc>
        <w:tc>
          <w:tcPr>
            <w:tcW w:w="709" w:type="dxa"/>
            <w:vAlign w:val="center"/>
          </w:tcPr>
          <w:p w:rsidR="00D25C90" w:rsidRDefault="00D25C90" w:rsidP="007D463B">
            <w:pPr>
              <w:pStyle w:val="6"/>
            </w:pPr>
          </w:p>
        </w:tc>
        <w:tc>
          <w:tcPr>
            <w:tcW w:w="850" w:type="dxa"/>
            <w:vAlign w:val="center"/>
          </w:tcPr>
          <w:p w:rsidR="00D25C90" w:rsidRDefault="00D25C90" w:rsidP="007D463B">
            <w:pPr>
              <w:pStyle w:val="7"/>
            </w:pPr>
          </w:p>
        </w:tc>
        <w:tc>
          <w:tcPr>
            <w:tcW w:w="850" w:type="dxa"/>
            <w:vAlign w:val="center"/>
          </w:tcPr>
          <w:p w:rsidR="00D25C90" w:rsidRDefault="00D25C90" w:rsidP="007D463B">
            <w:pPr>
              <w:pStyle w:val="7"/>
            </w:pPr>
          </w:p>
        </w:tc>
        <w:tc>
          <w:tcPr>
            <w:tcW w:w="964" w:type="dxa"/>
            <w:vAlign w:val="center"/>
          </w:tcPr>
          <w:p w:rsidR="00D25C90" w:rsidRDefault="00D25C90" w:rsidP="007D463B">
            <w:pPr>
              <w:pStyle w:val="7"/>
            </w:pPr>
            <w:r>
              <w:rPr>
                <w:rFonts w:hint="eastAsia"/>
                <w:lang w:eastAsia="zh-CN"/>
              </w:rPr>
              <w:t>3</w:t>
            </w:r>
            <w:r>
              <w:t>0.00</w:t>
            </w:r>
          </w:p>
        </w:tc>
        <w:tc>
          <w:tcPr>
            <w:tcW w:w="964" w:type="dxa"/>
            <w:vAlign w:val="center"/>
          </w:tcPr>
          <w:p w:rsidR="00D25C90" w:rsidRDefault="00D25C90" w:rsidP="007D463B">
            <w:pPr>
              <w:pStyle w:val="7"/>
            </w:pPr>
            <w:r>
              <w:rPr>
                <w:rFonts w:hint="eastAsia"/>
                <w:lang w:eastAsia="zh-CN"/>
              </w:rPr>
              <w:t>3</w:t>
            </w:r>
            <w:r>
              <w:t>0.00</w:t>
            </w: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r>
              <w:rPr>
                <w:rFonts w:hint="eastAsia"/>
                <w:lang w:eastAsia="zh-CN"/>
              </w:rPr>
              <w:t>3</w:t>
            </w:r>
            <w:r>
              <w:t>0.00</w:t>
            </w:r>
          </w:p>
        </w:tc>
      </w:tr>
      <w:tr w:rsidR="00B0626E" w:rsidTr="008B24CC">
        <w:trPr>
          <w:cantSplit/>
          <w:jc w:val="center"/>
        </w:trPr>
        <w:tc>
          <w:tcPr>
            <w:tcW w:w="1701" w:type="dxa"/>
            <w:vAlign w:val="center"/>
          </w:tcPr>
          <w:p w:rsidR="00B0626E" w:rsidRDefault="00B0626E" w:rsidP="007D463B">
            <w:pPr>
              <w:pStyle w:val="23"/>
            </w:pPr>
            <w:r w:rsidRPr="002A34F9">
              <w:rPr>
                <w:rFonts w:ascii="宋体" w:hAnsi="宋体" w:cs="宋体" w:hint="eastAsia"/>
                <w:sz w:val="22"/>
                <w:szCs w:val="22"/>
              </w:rPr>
              <w:t>食品药品及化妆品检测经费</w:t>
            </w:r>
          </w:p>
        </w:tc>
        <w:tc>
          <w:tcPr>
            <w:tcW w:w="978" w:type="dxa"/>
            <w:vAlign w:val="center"/>
          </w:tcPr>
          <w:p w:rsidR="00B0626E" w:rsidRPr="00865D65" w:rsidRDefault="00B0626E" w:rsidP="007D463B">
            <w:pPr>
              <w:pStyle w:val="4"/>
              <w:rPr>
                <w:rFonts w:ascii="宋体" w:hAnsi="宋体" w:cs="宋体"/>
                <w:sz w:val="16"/>
                <w:szCs w:val="16"/>
              </w:rPr>
            </w:pPr>
            <w:r w:rsidRPr="00865D65">
              <w:rPr>
                <w:rFonts w:ascii="宋体" w:hAnsi="宋体" w:cs="宋体" w:hint="eastAsia"/>
                <w:sz w:val="16"/>
                <w:szCs w:val="16"/>
              </w:rPr>
              <w:t>92</w:t>
            </w:r>
          </w:p>
        </w:tc>
        <w:tc>
          <w:tcPr>
            <w:tcW w:w="1120" w:type="dxa"/>
            <w:vAlign w:val="center"/>
          </w:tcPr>
          <w:p w:rsidR="00B0626E" w:rsidRPr="00865D65" w:rsidRDefault="00B0626E" w:rsidP="007D463B">
            <w:pPr>
              <w:pStyle w:val="23"/>
              <w:rPr>
                <w:rFonts w:ascii="宋体" w:hAnsi="宋体" w:cs="宋体"/>
                <w:sz w:val="16"/>
                <w:szCs w:val="16"/>
              </w:rPr>
            </w:pPr>
            <w:r>
              <w:rPr>
                <w:rFonts w:ascii="宋体" w:hAnsi="宋体" w:cs="宋体" w:hint="eastAsia"/>
                <w:sz w:val="16"/>
                <w:szCs w:val="16"/>
              </w:rPr>
              <w:t>技术测试和分析服务</w:t>
            </w:r>
          </w:p>
        </w:tc>
        <w:tc>
          <w:tcPr>
            <w:tcW w:w="1134" w:type="dxa"/>
            <w:vAlign w:val="center"/>
          </w:tcPr>
          <w:p w:rsidR="00B0626E" w:rsidRPr="00865D65" w:rsidRDefault="00B0626E" w:rsidP="007D463B">
            <w:pPr>
              <w:pStyle w:val="23"/>
              <w:rPr>
                <w:rFonts w:ascii="宋体" w:hAnsi="宋体" w:cs="宋体"/>
                <w:sz w:val="16"/>
                <w:szCs w:val="16"/>
              </w:rPr>
            </w:pPr>
            <w:r>
              <w:rPr>
                <w:rFonts w:ascii="宋体" w:hAnsi="宋体" w:cs="宋体" w:hint="eastAsia"/>
                <w:sz w:val="16"/>
                <w:szCs w:val="16"/>
              </w:rPr>
              <w:t>C0901</w:t>
            </w:r>
          </w:p>
        </w:tc>
        <w:tc>
          <w:tcPr>
            <w:tcW w:w="709" w:type="dxa"/>
            <w:vAlign w:val="center"/>
          </w:tcPr>
          <w:p w:rsidR="00B0626E" w:rsidRPr="00865D65" w:rsidRDefault="00B0626E" w:rsidP="007D463B">
            <w:pPr>
              <w:pStyle w:val="31"/>
              <w:rPr>
                <w:rFonts w:ascii="宋体" w:hAnsi="宋体" w:cs="宋体"/>
                <w:sz w:val="16"/>
                <w:szCs w:val="16"/>
              </w:rPr>
            </w:pPr>
            <w:r w:rsidRPr="00865D65">
              <w:rPr>
                <w:rFonts w:ascii="宋体" w:hAnsi="宋体" w:cs="宋体"/>
                <w:sz w:val="16"/>
                <w:szCs w:val="16"/>
              </w:rPr>
              <w:t>项</w:t>
            </w:r>
          </w:p>
        </w:tc>
        <w:tc>
          <w:tcPr>
            <w:tcW w:w="850" w:type="dxa"/>
            <w:vAlign w:val="center"/>
          </w:tcPr>
          <w:p w:rsidR="00B0626E" w:rsidRPr="00865D65" w:rsidRDefault="00B0626E" w:rsidP="007D463B">
            <w:pPr>
              <w:pStyle w:val="4"/>
              <w:rPr>
                <w:rFonts w:ascii="宋体" w:hAnsi="宋体" w:cs="宋体"/>
                <w:sz w:val="16"/>
                <w:szCs w:val="16"/>
              </w:rPr>
            </w:pPr>
            <w:r w:rsidRPr="00865D65">
              <w:rPr>
                <w:rFonts w:ascii="宋体" w:hAnsi="宋体" w:cs="宋体"/>
                <w:sz w:val="16"/>
                <w:szCs w:val="16"/>
              </w:rPr>
              <w:t>1</w:t>
            </w:r>
          </w:p>
        </w:tc>
        <w:tc>
          <w:tcPr>
            <w:tcW w:w="850" w:type="dxa"/>
            <w:vAlign w:val="center"/>
          </w:tcPr>
          <w:p w:rsidR="00B0626E" w:rsidRPr="00865D65" w:rsidRDefault="00B0626E" w:rsidP="007D463B">
            <w:pPr>
              <w:pStyle w:val="4"/>
              <w:rPr>
                <w:rFonts w:ascii="宋体" w:hAnsi="宋体" w:cs="宋体"/>
                <w:sz w:val="16"/>
                <w:szCs w:val="16"/>
              </w:rPr>
            </w:pPr>
            <w:r w:rsidRPr="00865D65">
              <w:rPr>
                <w:rFonts w:ascii="宋体" w:hAnsi="宋体" w:cs="宋体" w:hint="eastAsia"/>
                <w:sz w:val="16"/>
                <w:szCs w:val="16"/>
              </w:rPr>
              <w:t>92</w:t>
            </w:r>
          </w:p>
        </w:tc>
        <w:tc>
          <w:tcPr>
            <w:tcW w:w="964" w:type="dxa"/>
            <w:vAlign w:val="center"/>
          </w:tcPr>
          <w:p w:rsidR="00B0626E" w:rsidRPr="00865D65" w:rsidRDefault="00B0626E" w:rsidP="007D463B">
            <w:pPr>
              <w:pStyle w:val="4"/>
              <w:rPr>
                <w:rFonts w:ascii="宋体" w:hAnsi="宋体" w:cs="宋体"/>
                <w:sz w:val="16"/>
                <w:szCs w:val="16"/>
              </w:rPr>
            </w:pPr>
            <w:r w:rsidRPr="00865D65">
              <w:rPr>
                <w:rFonts w:ascii="宋体" w:hAnsi="宋体" w:cs="宋体" w:hint="eastAsia"/>
                <w:sz w:val="16"/>
                <w:szCs w:val="16"/>
              </w:rPr>
              <w:t>92</w:t>
            </w:r>
          </w:p>
        </w:tc>
        <w:tc>
          <w:tcPr>
            <w:tcW w:w="964" w:type="dxa"/>
          </w:tcPr>
          <w:p w:rsidR="00B0626E" w:rsidRPr="00865D65" w:rsidRDefault="00B0626E">
            <w:pPr>
              <w:rPr>
                <w:rFonts w:ascii="宋体" w:eastAsia="方正书宋_GBK" w:hAnsi="宋体" w:cs="宋体"/>
                <w:sz w:val="16"/>
                <w:szCs w:val="16"/>
              </w:rPr>
            </w:pPr>
          </w:p>
          <w:p w:rsidR="00710934" w:rsidRPr="00865D65" w:rsidRDefault="00710934">
            <w:pPr>
              <w:rPr>
                <w:rFonts w:ascii="宋体" w:eastAsia="方正书宋_GBK" w:hAnsi="宋体" w:cs="宋体"/>
                <w:sz w:val="16"/>
                <w:szCs w:val="16"/>
              </w:rPr>
            </w:pPr>
            <w:r w:rsidRPr="00865D65">
              <w:rPr>
                <w:rFonts w:ascii="宋体" w:eastAsia="方正书宋_GBK" w:hAnsi="宋体" w:cs="宋体" w:hint="eastAsia"/>
                <w:sz w:val="16"/>
                <w:szCs w:val="16"/>
              </w:rPr>
              <w:t>92</w:t>
            </w:r>
          </w:p>
        </w:tc>
        <w:tc>
          <w:tcPr>
            <w:tcW w:w="964" w:type="dxa"/>
          </w:tcPr>
          <w:p w:rsidR="00B0626E" w:rsidRPr="00865D65" w:rsidRDefault="00B0626E">
            <w:pPr>
              <w:rPr>
                <w:rFonts w:ascii="宋体" w:eastAsia="方正书宋_GBK" w:hAnsi="宋体" w:cs="宋体"/>
                <w:sz w:val="16"/>
                <w:szCs w:val="16"/>
              </w:rPr>
            </w:pPr>
          </w:p>
        </w:tc>
        <w:tc>
          <w:tcPr>
            <w:tcW w:w="964" w:type="dxa"/>
            <w:vAlign w:val="center"/>
          </w:tcPr>
          <w:p w:rsidR="00B0626E" w:rsidRPr="00865D65" w:rsidRDefault="00B0626E" w:rsidP="007D463B">
            <w:pPr>
              <w:pStyle w:val="4"/>
              <w:rPr>
                <w:rFonts w:ascii="宋体" w:hAnsi="宋体" w:cs="宋体"/>
                <w:sz w:val="16"/>
                <w:szCs w:val="16"/>
              </w:rPr>
            </w:pPr>
          </w:p>
        </w:tc>
        <w:tc>
          <w:tcPr>
            <w:tcW w:w="964" w:type="dxa"/>
            <w:vAlign w:val="center"/>
          </w:tcPr>
          <w:p w:rsidR="00B0626E" w:rsidRPr="00865D65" w:rsidRDefault="00B0626E" w:rsidP="007D463B">
            <w:pPr>
              <w:pStyle w:val="4"/>
              <w:rPr>
                <w:rFonts w:ascii="宋体" w:hAnsi="宋体" w:cs="宋体"/>
                <w:sz w:val="16"/>
                <w:szCs w:val="16"/>
              </w:rPr>
            </w:pPr>
          </w:p>
        </w:tc>
        <w:tc>
          <w:tcPr>
            <w:tcW w:w="964" w:type="dxa"/>
            <w:vAlign w:val="center"/>
          </w:tcPr>
          <w:p w:rsidR="00B0626E" w:rsidRPr="00865D65" w:rsidRDefault="00B0626E" w:rsidP="007D463B">
            <w:pPr>
              <w:pStyle w:val="4"/>
              <w:rPr>
                <w:rFonts w:ascii="宋体" w:hAnsi="宋体" w:cs="宋体"/>
                <w:sz w:val="16"/>
                <w:szCs w:val="16"/>
              </w:rPr>
            </w:pPr>
          </w:p>
        </w:tc>
        <w:tc>
          <w:tcPr>
            <w:tcW w:w="964" w:type="dxa"/>
            <w:vAlign w:val="center"/>
          </w:tcPr>
          <w:p w:rsidR="00B0626E" w:rsidRPr="00865D65" w:rsidRDefault="00B0626E" w:rsidP="007D463B">
            <w:pPr>
              <w:pStyle w:val="4"/>
              <w:rPr>
                <w:rFonts w:ascii="宋体" w:hAnsi="宋体" w:cs="宋体"/>
                <w:sz w:val="16"/>
                <w:szCs w:val="16"/>
              </w:rPr>
            </w:pPr>
          </w:p>
        </w:tc>
        <w:tc>
          <w:tcPr>
            <w:tcW w:w="964" w:type="dxa"/>
            <w:vAlign w:val="center"/>
          </w:tcPr>
          <w:p w:rsidR="00B0626E" w:rsidRPr="00865D65" w:rsidRDefault="00B0626E" w:rsidP="007D463B">
            <w:pPr>
              <w:pStyle w:val="4"/>
              <w:rPr>
                <w:rFonts w:ascii="宋体" w:hAnsi="宋体" w:cs="宋体"/>
                <w:sz w:val="16"/>
                <w:szCs w:val="16"/>
              </w:rPr>
            </w:pPr>
            <w:r w:rsidRPr="00865D65">
              <w:rPr>
                <w:rFonts w:ascii="宋体" w:hAnsi="宋体" w:cs="宋体" w:hint="eastAsia"/>
                <w:sz w:val="16"/>
                <w:szCs w:val="16"/>
              </w:rPr>
              <w:t>92</w:t>
            </w:r>
          </w:p>
        </w:tc>
      </w:tr>
      <w:tr w:rsidR="004D3F7D" w:rsidTr="00680B6F">
        <w:trPr>
          <w:cantSplit/>
          <w:jc w:val="center"/>
        </w:trPr>
        <w:tc>
          <w:tcPr>
            <w:tcW w:w="1701" w:type="dxa"/>
            <w:vAlign w:val="center"/>
          </w:tcPr>
          <w:p w:rsidR="004D3F7D" w:rsidRDefault="004D3F7D" w:rsidP="007D463B">
            <w:pPr>
              <w:pStyle w:val="23"/>
            </w:pPr>
            <w:r w:rsidRPr="002A34F9">
              <w:rPr>
                <w:rFonts w:ascii="宋体" w:hAnsi="宋体" w:cs="宋体" w:hint="eastAsia"/>
                <w:sz w:val="22"/>
                <w:szCs w:val="22"/>
              </w:rPr>
              <w:t>创建国家食品安全城市暨省食品药品安全县专项经费</w:t>
            </w:r>
          </w:p>
        </w:tc>
        <w:tc>
          <w:tcPr>
            <w:tcW w:w="978" w:type="dxa"/>
            <w:vAlign w:val="center"/>
          </w:tcPr>
          <w:p w:rsidR="004D3F7D" w:rsidRPr="00865D65" w:rsidRDefault="00147DF7" w:rsidP="007D463B">
            <w:pPr>
              <w:pStyle w:val="4"/>
              <w:rPr>
                <w:rFonts w:ascii="宋体" w:hAnsi="宋体" w:cs="宋体"/>
                <w:sz w:val="16"/>
                <w:szCs w:val="16"/>
              </w:rPr>
            </w:pPr>
            <w:r w:rsidRPr="00865D65">
              <w:rPr>
                <w:rFonts w:ascii="宋体" w:hAnsi="宋体" w:cs="宋体" w:hint="eastAsia"/>
                <w:sz w:val="16"/>
                <w:szCs w:val="16"/>
              </w:rPr>
              <w:t>213.25</w:t>
            </w:r>
          </w:p>
        </w:tc>
        <w:tc>
          <w:tcPr>
            <w:tcW w:w="1120" w:type="dxa"/>
            <w:vAlign w:val="bottom"/>
          </w:tcPr>
          <w:p w:rsidR="004D3F7D" w:rsidRPr="00865D65" w:rsidRDefault="004D3F7D" w:rsidP="001B4F3A">
            <w:pPr>
              <w:rPr>
                <w:rFonts w:ascii="宋体" w:eastAsia="方正书宋_GBK" w:hAnsi="宋体" w:cs="宋体"/>
                <w:sz w:val="16"/>
                <w:szCs w:val="16"/>
              </w:rPr>
            </w:pPr>
            <w:r w:rsidRPr="00865D65">
              <w:rPr>
                <w:rFonts w:ascii="宋体" w:eastAsia="方正书宋_GBK" w:hAnsi="宋体" w:cs="宋体" w:hint="eastAsia"/>
                <w:sz w:val="16"/>
                <w:szCs w:val="16"/>
              </w:rPr>
              <w:t>专用仪器仪表</w:t>
            </w:r>
          </w:p>
        </w:tc>
        <w:tc>
          <w:tcPr>
            <w:tcW w:w="1134" w:type="dxa"/>
            <w:vAlign w:val="bottom"/>
          </w:tcPr>
          <w:p w:rsidR="004D3F7D" w:rsidRPr="00865D65" w:rsidRDefault="004D3F7D" w:rsidP="001B4F3A">
            <w:pPr>
              <w:jc w:val="center"/>
              <w:rPr>
                <w:rFonts w:ascii="宋体" w:eastAsia="方正书宋_GBK" w:hAnsi="宋体" w:cs="宋体"/>
                <w:sz w:val="16"/>
                <w:szCs w:val="16"/>
              </w:rPr>
            </w:pPr>
            <w:r w:rsidRPr="00865D65">
              <w:rPr>
                <w:rFonts w:ascii="宋体" w:eastAsia="方正书宋_GBK" w:hAnsi="宋体" w:cs="宋体" w:hint="eastAsia"/>
                <w:sz w:val="16"/>
                <w:szCs w:val="16"/>
              </w:rPr>
              <w:t>A0334</w:t>
            </w:r>
          </w:p>
        </w:tc>
        <w:tc>
          <w:tcPr>
            <w:tcW w:w="709" w:type="dxa"/>
            <w:vAlign w:val="center"/>
          </w:tcPr>
          <w:p w:rsidR="004D3F7D" w:rsidRPr="00865D65" w:rsidRDefault="00D25765" w:rsidP="007D463B">
            <w:pPr>
              <w:pStyle w:val="31"/>
              <w:rPr>
                <w:rFonts w:ascii="宋体" w:hAnsi="宋体" w:cs="宋体"/>
                <w:sz w:val="16"/>
                <w:szCs w:val="16"/>
              </w:rPr>
            </w:pPr>
            <w:r w:rsidRPr="00865D65">
              <w:rPr>
                <w:rFonts w:ascii="宋体" w:hAnsi="宋体" w:cs="宋体" w:hint="eastAsia"/>
                <w:sz w:val="16"/>
                <w:szCs w:val="16"/>
              </w:rPr>
              <w:t>批</w:t>
            </w:r>
          </w:p>
        </w:tc>
        <w:tc>
          <w:tcPr>
            <w:tcW w:w="850" w:type="dxa"/>
            <w:vAlign w:val="center"/>
          </w:tcPr>
          <w:p w:rsidR="004D3F7D" w:rsidRPr="00865D65" w:rsidRDefault="00D25765" w:rsidP="007D463B">
            <w:pPr>
              <w:pStyle w:val="4"/>
              <w:rPr>
                <w:rFonts w:ascii="宋体" w:hAnsi="宋体" w:cs="宋体"/>
                <w:sz w:val="16"/>
                <w:szCs w:val="16"/>
              </w:rPr>
            </w:pPr>
            <w:r w:rsidRPr="00865D65">
              <w:rPr>
                <w:rFonts w:ascii="宋体" w:hAnsi="宋体" w:cs="宋体" w:hint="eastAsia"/>
                <w:sz w:val="16"/>
                <w:szCs w:val="16"/>
              </w:rPr>
              <w:t>1</w:t>
            </w:r>
          </w:p>
        </w:tc>
        <w:tc>
          <w:tcPr>
            <w:tcW w:w="850" w:type="dxa"/>
            <w:vAlign w:val="center"/>
          </w:tcPr>
          <w:p w:rsidR="004D3F7D" w:rsidRPr="00865D65" w:rsidRDefault="00D25765" w:rsidP="007D463B">
            <w:pPr>
              <w:pStyle w:val="4"/>
              <w:rPr>
                <w:rFonts w:ascii="宋体" w:hAnsi="宋体" w:cs="宋体"/>
                <w:sz w:val="16"/>
                <w:szCs w:val="16"/>
              </w:rPr>
            </w:pPr>
            <w:r w:rsidRPr="00865D65">
              <w:rPr>
                <w:rFonts w:ascii="宋体" w:hAnsi="宋体" w:cs="宋体" w:hint="eastAsia"/>
                <w:sz w:val="16"/>
                <w:szCs w:val="16"/>
              </w:rPr>
              <w:t>213.25</w:t>
            </w:r>
          </w:p>
        </w:tc>
        <w:tc>
          <w:tcPr>
            <w:tcW w:w="964" w:type="dxa"/>
            <w:vAlign w:val="center"/>
          </w:tcPr>
          <w:p w:rsidR="004D3F7D" w:rsidRPr="00865D65" w:rsidRDefault="00CD5984" w:rsidP="007D463B">
            <w:pPr>
              <w:pStyle w:val="4"/>
              <w:rPr>
                <w:rFonts w:ascii="宋体" w:hAnsi="宋体" w:cs="宋体"/>
                <w:sz w:val="16"/>
                <w:szCs w:val="16"/>
              </w:rPr>
            </w:pPr>
            <w:r w:rsidRPr="00865D65">
              <w:rPr>
                <w:rFonts w:ascii="宋体" w:hAnsi="宋体" w:cs="宋体" w:hint="eastAsia"/>
                <w:sz w:val="16"/>
                <w:szCs w:val="16"/>
              </w:rPr>
              <w:t>213.25</w:t>
            </w:r>
          </w:p>
        </w:tc>
        <w:tc>
          <w:tcPr>
            <w:tcW w:w="964" w:type="dxa"/>
            <w:vAlign w:val="center"/>
          </w:tcPr>
          <w:p w:rsidR="004D3F7D" w:rsidRPr="00865D65" w:rsidRDefault="00CD5984" w:rsidP="007D463B">
            <w:pPr>
              <w:pStyle w:val="4"/>
              <w:rPr>
                <w:rFonts w:ascii="宋体" w:hAnsi="宋体" w:cs="宋体"/>
                <w:sz w:val="16"/>
                <w:szCs w:val="16"/>
              </w:rPr>
            </w:pPr>
            <w:r w:rsidRPr="00865D65">
              <w:rPr>
                <w:rFonts w:ascii="宋体" w:hAnsi="宋体" w:cs="宋体" w:hint="eastAsia"/>
                <w:sz w:val="16"/>
                <w:szCs w:val="16"/>
              </w:rPr>
              <w:t>213.25</w:t>
            </w:r>
          </w:p>
        </w:tc>
        <w:tc>
          <w:tcPr>
            <w:tcW w:w="964" w:type="dxa"/>
            <w:vAlign w:val="center"/>
          </w:tcPr>
          <w:p w:rsidR="004D3F7D" w:rsidRPr="00865D65" w:rsidRDefault="004D3F7D" w:rsidP="007D463B">
            <w:pPr>
              <w:pStyle w:val="4"/>
              <w:rPr>
                <w:rFonts w:ascii="宋体" w:hAnsi="宋体" w:cs="宋体"/>
                <w:sz w:val="16"/>
                <w:szCs w:val="16"/>
              </w:rPr>
            </w:pPr>
          </w:p>
        </w:tc>
        <w:tc>
          <w:tcPr>
            <w:tcW w:w="964" w:type="dxa"/>
            <w:vAlign w:val="center"/>
          </w:tcPr>
          <w:p w:rsidR="004D3F7D" w:rsidRPr="00865D65" w:rsidRDefault="004D3F7D" w:rsidP="007D463B">
            <w:pPr>
              <w:pStyle w:val="4"/>
              <w:rPr>
                <w:rFonts w:ascii="宋体" w:hAnsi="宋体" w:cs="宋体"/>
                <w:sz w:val="16"/>
                <w:szCs w:val="16"/>
              </w:rPr>
            </w:pPr>
          </w:p>
        </w:tc>
        <w:tc>
          <w:tcPr>
            <w:tcW w:w="964" w:type="dxa"/>
            <w:vAlign w:val="center"/>
          </w:tcPr>
          <w:p w:rsidR="004D3F7D" w:rsidRPr="00865D65" w:rsidRDefault="004D3F7D" w:rsidP="007D463B">
            <w:pPr>
              <w:pStyle w:val="4"/>
              <w:rPr>
                <w:rFonts w:ascii="宋体" w:hAnsi="宋体" w:cs="宋体"/>
                <w:sz w:val="16"/>
                <w:szCs w:val="16"/>
              </w:rPr>
            </w:pPr>
          </w:p>
        </w:tc>
        <w:tc>
          <w:tcPr>
            <w:tcW w:w="964" w:type="dxa"/>
            <w:vAlign w:val="center"/>
          </w:tcPr>
          <w:p w:rsidR="004D3F7D" w:rsidRPr="00865D65" w:rsidRDefault="004D3F7D" w:rsidP="007D463B">
            <w:pPr>
              <w:pStyle w:val="4"/>
              <w:rPr>
                <w:rFonts w:ascii="宋体" w:hAnsi="宋体" w:cs="宋体"/>
                <w:sz w:val="16"/>
                <w:szCs w:val="16"/>
              </w:rPr>
            </w:pPr>
          </w:p>
        </w:tc>
        <w:tc>
          <w:tcPr>
            <w:tcW w:w="964" w:type="dxa"/>
            <w:vAlign w:val="center"/>
          </w:tcPr>
          <w:p w:rsidR="004D3F7D" w:rsidRPr="00865D65" w:rsidRDefault="004D3F7D" w:rsidP="007D463B">
            <w:pPr>
              <w:pStyle w:val="4"/>
              <w:rPr>
                <w:rFonts w:ascii="宋体" w:hAnsi="宋体" w:cs="宋体"/>
                <w:sz w:val="16"/>
                <w:szCs w:val="16"/>
              </w:rPr>
            </w:pPr>
          </w:p>
        </w:tc>
        <w:tc>
          <w:tcPr>
            <w:tcW w:w="964" w:type="dxa"/>
            <w:vAlign w:val="center"/>
          </w:tcPr>
          <w:p w:rsidR="004D3F7D" w:rsidRPr="00865D65" w:rsidRDefault="00CD5984" w:rsidP="007D463B">
            <w:pPr>
              <w:pStyle w:val="4"/>
              <w:rPr>
                <w:rFonts w:ascii="宋体" w:hAnsi="宋体" w:cs="宋体"/>
                <w:sz w:val="16"/>
                <w:szCs w:val="16"/>
              </w:rPr>
            </w:pPr>
            <w:r w:rsidRPr="00865D65">
              <w:rPr>
                <w:rFonts w:ascii="宋体" w:hAnsi="宋体" w:cs="宋体" w:hint="eastAsia"/>
                <w:sz w:val="16"/>
                <w:szCs w:val="16"/>
              </w:rPr>
              <w:t>213.25</w:t>
            </w:r>
          </w:p>
        </w:tc>
      </w:tr>
    </w:tbl>
    <w:p w:rsidR="00F76141" w:rsidRDefault="00AE341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76141" w:rsidRDefault="00F76141">
      <w:pPr>
        <w:ind w:firstLine="420"/>
      </w:pPr>
    </w:p>
    <w:p w:rsidR="00F76141" w:rsidRDefault="00AE3414">
      <w:pPr>
        <w:ind w:firstLine="640"/>
      </w:pPr>
      <w:r>
        <w:rPr>
          <w:rFonts w:eastAsia="方正仿宋_GBK"/>
          <w:color w:val="000000"/>
          <w:sz w:val="32"/>
        </w:rPr>
        <w:t xml:space="preserve"> </w:t>
      </w:r>
    </w:p>
    <w:p w:rsidR="00F76141" w:rsidRDefault="00FB57FD">
      <w:pPr>
        <w:spacing w:before="10" w:after="10"/>
        <w:ind w:firstLine="640"/>
        <w:outlineLvl w:val="2"/>
      </w:pPr>
      <w:bookmarkStart w:id="6" w:name="_Toc_3_3_0000000018"/>
      <w:r>
        <w:rPr>
          <w:rFonts w:ascii="黑体" w:eastAsia="黑体" w:hAnsi="黑体" w:cs="黑体"/>
          <w:color w:val="000000"/>
          <w:sz w:val="32"/>
        </w:rPr>
        <w:t>七</w:t>
      </w:r>
      <w:r w:rsidR="00AE3414">
        <w:rPr>
          <w:rFonts w:ascii="黑体" w:eastAsia="黑体" w:hAnsi="黑体" w:cs="黑体"/>
          <w:color w:val="000000"/>
          <w:sz w:val="32"/>
        </w:rPr>
        <w:t>、国有资产信息</w:t>
      </w:r>
      <w:bookmarkEnd w:id="6"/>
    </w:p>
    <w:p w:rsidR="00F76141" w:rsidRDefault="00AE3414">
      <w:pPr>
        <w:spacing w:line="500" w:lineRule="exact"/>
        <w:ind w:firstLine="560"/>
      </w:pPr>
      <w:r>
        <w:rPr>
          <w:rFonts w:eastAsia="方正仿宋_GBK"/>
          <w:color w:val="000000"/>
          <w:sz w:val="28"/>
        </w:rPr>
        <w:lastRenderedPageBreak/>
        <w:t>唐山市丰南区</w:t>
      </w:r>
      <w:r w:rsidR="00EF440C">
        <w:rPr>
          <w:rFonts w:eastAsia="方正仿宋_GBK" w:hint="eastAsia"/>
          <w:color w:val="000000"/>
          <w:sz w:val="28"/>
          <w:lang w:eastAsia="zh-CN"/>
        </w:rPr>
        <w:t>市场监督管理局</w:t>
      </w:r>
      <w:r>
        <w:rPr>
          <w:rFonts w:eastAsia="方正仿宋_GBK"/>
          <w:color w:val="000000"/>
          <w:sz w:val="28"/>
        </w:rPr>
        <w:t>上年末固定资产金额为</w:t>
      </w:r>
      <w:r w:rsidR="0025342F">
        <w:rPr>
          <w:rFonts w:eastAsia="方正仿宋_GBK" w:hint="eastAsia"/>
          <w:color w:val="000000"/>
          <w:sz w:val="28"/>
          <w:lang w:eastAsia="zh-CN"/>
        </w:rPr>
        <w:t>3653.88</w:t>
      </w:r>
      <w:r>
        <w:rPr>
          <w:rFonts w:eastAsia="方正仿宋_GBK"/>
          <w:color w:val="000000"/>
          <w:sz w:val="28"/>
        </w:rPr>
        <w:t>万元（详见下表）。本年度拟购置固定资产总额为</w:t>
      </w:r>
      <w:r w:rsidR="00EF440C">
        <w:rPr>
          <w:rFonts w:eastAsia="方正仿宋_GBK" w:hint="eastAsia"/>
          <w:color w:val="000000"/>
          <w:sz w:val="28"/>
          <w:lang w:eastAsia="zh-CN"/>
        </w:rPr>
        <w:t>213.25</w:t>
      </w:r>
      <w:r>
        <w:rPr>
          <w:rFonts w:eastAsia="方正仿宋_GBK"/>
          <w:color w:val="000000"/>
          <w:sz w:val="28"/>
        </w:rPr>
        <w:t>万元，已按要求列入政府采购预算，详见政府采购预算表。</w:t>
      </w:r>
    </w:p>
    <w:p w:rsidR="00F76141" w:rsidRDefault="00AE3414">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F76141">
        <w:trPr>
          <w:tblHeader/>
          <w:jc w:val="center"/>
        </w:trPr>
        <w:tc>
          <w:tcPr>
            <w:tcW w:w="7370" w:type="dxa"/>
            <w:tcBorders>
              <w:top w:val="single" w:sz="6" w:space="0" w:color="FFFFFF"/>
              <w:left w:val="single" w:sz="6" w:space="0" w:color="FFFFFF"/>
              <w:right w:val="single" w:sz="6" w:space="0" w:color="FFFFFF"/>
            </w:tcBorders>
            <w:vAlign w:val="center"/>
          </w:tcPr>
          <w:p w:rsidR="00F76141" w:rsidRDefault="00AE3414" w:rsidP="00BC3AE9">
            <w:pPr>
              <w:pStyle w:val="200"/>
              <w:rPr>
                <w:lang w:eastAsia="zh-CN"/>
              </w:rPr>
            </w:pPr>
            <w:r>
              <w:t>唐山市丰南区</w:t>
            </w:r>
            <w:r w:rsidR="00BC3AE9">
              <w:rPr>
                <w:rFonts w:hint="eastAsia"/>
                <w:lang w:eastAsia="zh-CN"/>
              </w:rPr>
              <w:t>市场监督管理局</w:t>
            </w:r>
          </w:p>
        </w:tc>
        <w:tc>
          <w:tcPr>
            <w:tcW w:w="5669" w:type="dxa"/>
            <w:gridSpan w:val="2"/>
            <w:tcBorders>
              <w:top w:val="single" w:sz="6" w:space="0" w:color="FFFFFF"/>
              <w:left w:val="single" w:sz="6" w:space="0" w:color="FFFFFF"/>
              <w:right w:val="single" w:sz="6" w:space="0" w:color="FFFFFF"/>
            </w:tcBorders>
            <w:vAlign w:val="center"/>
          </w:tcPr>
          <w:p w:rsidR="00F76141" w:rsidRDefault="00AE3414" w:rsidP="0025342F">
            <w:pPr>
              <w:pStyle w:val="22"/>
            </w:pPr>
            <w:r>
              <w:t>截止时间：</w:t>
            </w:r>
            <w:r w:rsidR="00E535B8">
              <w:rPr>
                <w:rFonts w:hint="eastAsia"/>
                <w:lang w:eastAsia="zh-CN"/>
              </w:rPr>
              <w:t>201</w:t>
            </w:r>
            <w:r w:rsidR="0025342F">
              <w:rPr>
                <w:rFonts w:hint="eastAsia"/>
                <w:lang w:eastAsia="zh-CN"/>
              </w:rPr>
              <w:t>5</w:t>
            </w:r>
            <w:r>
              <w:t>-12-31</w:t>
            </w:r>
          </w:p>
        </w:tc>
      </w:tr>
      <w:tr w:rsidR="00F76141">
        <w:trPr>
          <w:tblHeader/>
          <w:jc w:val="center"/>
        </w:trPr>
        <w:tc>
          <w:tcPr>
            <w:tcW w:w="7370" w:type="dxa"/>
            <w:vAlign w:val="center"/>
          </w:tcPr>
          <w:p w:rsidR="00F76141" w:rsidRDefault="00AE3414">
            <w:pPr>
              <w:pStyle w:val="11"/>
            </w:pPr>
            <w:r>
              <w:t>项   目</w:t>
            </w:r>
          </w:p>
        </w:tc>
        <w:tc>
          <w:tcPr>
            <w:tcW w:w="2835" w:type="dxa"/>
            <w:vAlign w:val="center"/>
          </w:tcPr>
          <w:p w:rsidR="00F76141" w:rsidRDefault="00AE3414">
            <w:pPr>
              <w:pStyle w:val="11"/>
            </w:pPr>
            <w:r>
              <w:t>数量</w:t>
            </w:r>
          </w:p>
        </w:tc>
        <w:tc>
          <w:tcPr>
            <w:tcW w:w="2835" w:type="dxa"/>
            <w:vAlign w:val="center"/>
          </w:tcPr>
          <w:p w:rsidR="00F76141" w:rsidRDefault="00AE3414">
            <w:pPr>
              <w:pStyle w:val="11"/>
            </w:pPr>
            <w:r>
              <w:t>价值（金额单位：万元）</w:t>
            </w:r>
          </w:p>
        </w:tc>
      </w:tr>
      <w:tr w:rsidR="00F76141">
        <w:trPr>
          <w:jc w:val="center"/>
        </w:trPr>
        <w:tc>
          <w:tcPr>
            <w:tcW w:w="7370" w:type="dxa"/>
            <w:vAlign w:val="center"/>
          </w:tcPr>
          <w:p w:rsidR="00F76141" w:rsidRDefault="00AE3414">
            <w:pPr>
              <w:pStyle w:val="23"/>
            </w:pPr>
            <w:r>
              <w:t>资产总额</w:t>
            </w:r>
          </w:p>
        </w:tc>
        <w:tc>
          <w:tcPr>
            <w:tcW w:w="2835" w:type="dxa"/>
            <w:vAlign w:val="center"/>
          </w:tcPr>
          <w:p w:rsidR="00F76141" w:rsidRDefault="00F76141">
            <w:pPr>
              <w:pStyle w:val="31"/>
            </w:pPr>
          </w:p>
        </w:tc>
        <w:tc>
          <w:tcPr>
            <w:tcW w:w="2835" w:type="dxa"/>
            <w:vAlign w:val="center"/>
          </w:tcPr>
          <w:p w:rsidR="00F76141" w:rsidRDefault="0025342F">
            <w:pPr>
              <w:pStyle w:val="4"/>
              <w:rPr>
                <w:rFonts w:hint="eastAsia"/>
                <w:lang w:eastAsia="zh-CN"/>
              </w:rPr>
            </w:pPr>
            <w:r>
              <w:rPr>
                <w:rFonts w:hint="eastAsia"/>
                <w:lang w:eastAsia="zh-CN"/>
              </w:rPr>
              <w:t>3653.88</w:t>
            </w:r>
          </w:p>
        </w:tc>
      </w:tr>
      <w:tr w:rsidR="00F76141">
        <w:trPr>
          <w:jc w:val="center"/>
        </w:trPr>
        <w:tc>
          <w:tcPr>
            <w:tcW w:w="7370" w:type="dxa"/>
            <w:vAlign w:val="center"/>
          </w:tcPr>
          <w:p w:rsidR="00F76141" w:rsidRDefault="00AE3414">
            <w:pPr>
              <w:pStyle w:val="23"/>
            </w:pPr>
            <w:r>
              <w:t>1、房屋（平方米）</w:t>
            </w:r>
          </w:p>
        </w:tc>
        <w:tc>
          <w:tcPr>
            <w:tcW w:w="2835" w:type="dxa"/>
            <w:vAlign w:val="center"/>
          </w:tcPr>
          <w:p w:rsidR="00F76141" w:rsidRDefault="002E61C7">
            <w:pPr>
              <w:pStyle w:val="31"/>
            </w:pPr>
            <w:r>
              <w:t>14270.33</w:t>
            </w:r>
          </w:p>
        </w:tc>
        <w:tc>
          <w:tcPr>
            <w:tcW w:w="2835" w:type="dxa"/>
            <w:vAlign w:val="center"/>
          </w:tcPr>
          <w:p w:rsidR="00F76141" w:rsidRDefault="002E61C7">
            <w:pPr>
              <w:pStyle w:val="4"/>
              <w:rPr>
                <w:rFonts w:hint="eastAsia"/>
                <w:lang w:eastAsia="zh-CN"/>
              </w:rPr>
            </w:pPr>
            <w:r>
              <w:rPr>
                <w:rFonts w:hint="eastAsia"/>
                <w:lang w:eastAsia="zh-CN"/>
              </w:rPr>
              <w:t>2068.49</w:t>
            </w:r>
          </w:p>
        </w:tc>
      </w:tr>
      <w:tr w:rsidR="00F76141">
        <w:trPr>
          <w:jc w:val="center"/>
        </w:trPr>
        <w:tc>
          <w:tcPr>
            <w:tcW w:w="7370" w:type="dxa"/>
            <w:vAlign w:val="center"/>
          </w:tcPr>
          <w:p w:rsidR="00F76141" w:rsidRDefault="00AE3414">
            <w:pPr>
              <w:pStyle w:val="23"/>
            </w:pPr>
            <w:r>
              <w:t xml:space="preserve">　　其中：办公用房（平方米）</w:t>
            </w:r>
          </w:p>
        </w:tc>
        <w:tc>
          <w:tcPr>
            <w:tcW w:w="2835" w:type="dxa"/>
            <w:vAlign w:val="center"/>
          </w:tcPr>
          <w:p w:rsidR="00F76141" w:rsidRDefault="00F76141">
            <w:pPr>
              <w:pStyle w:val="31"/>
            </w:pPr>
          </w:p>
        </w:tc>
        <w:tc>
          <w:tcPr>
            <w:tcW w:w="2835" w:type="dxa"/>
            <w:vAlign w:val="center"/>
          </w:tcPr>
          <w:p w:rsidR="00F76141" w:rsidRDefault="00F76141">
            <w:pPr>
              <w:pStyle w:val="4"/>
            </w:pPr>
          </w:p>
        </w:tc>
      </w:tr>
      <w:tr w:rsidR="00F76141">
        <w:trPr>
          <w:jc w:val="center"/>
        </w:trPr>
        <w:tc>
          <w:tcPr>
            <w:tcW w:w="7370" w:type="dxa"/>
            <w:vAlign w:val="center"/>
          </w:tcPr>
          <w:p w:rsidR="00F76141" w:rsidRDefault="00AE3414">
            <w:pPr>
              <w:pStyle w:val="23"/>
            </w:pPr>
            <w:r>
              <w:t>2、车辆（台、辆）</w:t>
            </w:r>
          </w:p>
        </w:tc>
        <w:tc>
          <w:tcPr>
            <w:tcW w:w="2835" w:type="dxa"/>
            <w:vAlign w:val="center"/>
          </w:tcPr>
          <w:p w:rsidR="00F76141" w:rsidRDefault="00E535B8">
            <w:pPr>
              <w:pStyle w:val="31"/>
              <w:rPr>
                <w:rFonts w:hint="eastAsia"/>
                <w:lang w:eastAsia="zh-CN"/>
              </w:rPr>
            </w:pPr>
            <w:r>
              <w:rPr>
                <w:rFonts w:hint="eastAsia"/>
                <w:lang w:eastAsia="zh-CN"/>
              </w:rPr>
              <w:t>23</w:t>
            </w:r>
          </w:p>
        </w:tc>
        <w:tc>
          <w:tcPr>
            <w:tcW w:w="2835" w:type="dxa"/>
            <w:vAlign w:val="center"/>
          </w:tcPr>
          <w:p w:rsidR="00F76141" w:rsidRDefault="00E535B8">
            <w:pPr>
              <w:pStyle w:val="4"/>
              <w:rPr>
                <w:rFonts w:hint="eastAsia"/>
                <w:lang w:eastAsia="zh-CN"/>
              </w:rPr>
            </w:pPr>
            <w:r>
              <w:rPr>
                <w:rFonts w:hint="eastAsia"/>
                <w:lang w:eastAsia="zh-CN"/>
              </w:rPr>
              <w:t>304.71</w:t>
            </w:r>
          </w:p>
        </w:tc>
      </w:tr>
      <w:tr w:rsidR="00F76141">
        <w:trPr>
          <w:jc w:val="center"/>
        </w:trPr>
        <w:tc>
          <w:tcPr>
            <w:tcW w:w="7370" w:type="dxa"/>
            <w:vAlign w:val="center"/>
          </w:tcPr>
          <w:p w:rsidR="00F76141" w:rsidRDefault="00AE3414">
            <w:pPr>
              <w:pStyle w:val="23"/>
            </w:pPr>
            <w:r>
              <w:t>3、单价在20万元以上的设备</w:t>
            </w:r>
          </w:p>
        </w:tc>
        <w:tc>
          <w:tcPr>
            <w:tcW w:w="2835" w:type="dxa"/>
            <w:vAlign w:val="center"/>
          </w:tcPr>
          <w:p w:rsidR="00F76141" w:rsidRDefault="00F76141">
            <w:pPr>
              <w:pStyle w:val="31"/>
              <w:rPr>
                <w:rFonts w:hint="eastAsia"/>
                <w:lang w:eastAsia="zh-CN"/>
              </w:rPr>
            </w:pPr>
          </w:p>
        </w:tc>
        <w:tc>
          <w:tcPr>
            <w:tcW w:w="2835" w:type="dxa"/>
            <w:vAlign w:val="center"/>
          </w:tcPr>
          <w:p w:rsidR="00F76141" w:rsidRDefault="00F76141">
            <w:pPr>
              <w:pStyle w:val="4"/>
            </w:pPr>
          </w:p>
        </w:tc>
      </w:tr>
      <w:tr w:rsidR="00F76141">
        <w:trPr>
          <w:jc w:val="center"/>
        </w:trPr>
        <w:tc>
          <w:tcPr>
            <w:tcW w:w="7370" w:type="dxa"/>
            <w:vAlign w:val="center"/>
          </w:tcPr>
          <w:p w:rsidR="00F76141" w:rsidRDefault="00AE3414">
            <w:pPr>
              <w:pStyle w:val="23"/>
            </w:pPr>
            <w:r>
              <w:t>4、其他固定资产</w:t>
            </w:r>
          </w:p>
        </w:tc>
        <w:tc>
          <w:tcPr>
            <w:tcW w:w="2835" w:type="dxa"/>
            <w:vAlign w:val="center"/>
          </w:tcPr>
          <w:p w:rsidR="00F76141" w:rsidRDefault="00AE3414">
            <w:pPr>
              <w:pStyle w:val="31"/>
            </w:pPr>
            <w:r>
              <w:t>135</w:t>
            </w:r>
          </w:p>
        </w:tc>
        <w:tc>
          <w:tcPr>
            <w:tcW w:w="2835" w:type="dxa"/>
            <w:vAlign w:val="center"/>
          </w:tcPr>
          <w:p w:rsidR="00F76141" w:rsidRDefault="0025342F">
            <w:pPr>
              <w:pStyle w:val="4"/>
              <w:rPr>
                <w:rFonts w:hint="eastAsia"/>
                <w:lang w:eastAsia="zh-CN"/>
              </w:rPr>
            </w:pPr>
            <w:r>
              <w:rPr>
                <w:rFonts w:hint="eastAsia"/>
                <w:lang w:eastAsia="zh-CN"/>
              </w:rPr>
              <w:t>1280.68</w:t>
            </w:r>
          </w:p>
        </w:tc>
      </w:tr>
    </w:tbl>
    <w:p w:rsidR="00F76141" w:rsidRDefault="00AE3414">
      <w:pPr>
        <w:ind w:firstLine="640"/>
      </w:pPr>
      <w:r>
        <w:rPr>
          <w:rFonts w:eastAsia="方正仿宋_GBK"/>
          <w:color w:val="000000"/>
          <w:sz w:val="32"/>
        </w:rPr>
        <w:t xml:space="preserve"> </w:t>
      </w:r>
    </w:p>
    <w:p w:rsidR="00F76141" w:rsidRDefault="00FB57FD">
      <w:pPr>
        <w:spacing w:before="10" w:after="10"/>
        <w:ind w:firstLine="640"/>
        <w:outlineLvl w:val="2"/>
      </w:pPr>
      <w:bookmarkStart w:id="7" w:name="_Toc_3_3_0000000019"/>
      <w:r>
        <w:rPr>
          <w:rFonts w:ascii="黑体" w:eastAsia="黑体" w:hAnsi="黑体" w:cs="黑体"/>
          <w:color w:val="000000"/>
          <w:sz w:val="32"/>
        </w:rPr>
        <w:t>八</w:t>
      </w:r>
      <w:r w:rsidR="00AE3414">
        <w:rPr>
          <w:rFonts w:ascii="黑体" w:eastAsia="黑体" w:hAnsi="黑体" w:cs="黑体"/>
          <w:color w:val="000000"/>
          <w:sz w:val="32"/>
        </w:rPr>
        <w:t>、名词解释</w:t>
      </w:r>
      <w:bookmarkEnd w:id="7"/>
    </w:p>
    <w:p w:rsidR="00F76141" w:rsidRDefault="00AE341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76141" w:rsidRDefault="00AE341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76141" w:rsidRDefault="00AE341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76141" w:rsidRDefault="00AE341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76141" w:rsidRDefault="00AE341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76141" w:rsidRDefault="00AE341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76141" w:rsidRDefault="00AE3414">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76141" w:rsidRDefault="00AE341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76141" w:rsidRDefault="00AE341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76141" w:rsidRDefault="00AE341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76141" w:rsidRDefault="00FB57FD">
      <w:pPr>
        <w:spacing w:before="10" w:after="10"/>
        <w:ind w:firstLine="640"/>
        <w:outlineLvl w:val="2"/>
      </w:pPr>
      <w:bookmarkStart w:id="8" w:name="_Toc_3_3_0000000020"/>
      <w:r>
        <w:rPr>
          <w:rFonts w:ascii="黑体" w:eastAsia="黑体" w:hAnsi="黑体" w:cs="黑体"/>
          <w:color w:val="000000"/>
          <w:sz w:val="32"/>
        </w:rPr>
        <w:t>九</w:t>
      </w:r>
      <w:r w:rsidR="00AE3414">
        <w:rPr>
          <w:rFonts w:ascii="黑体" w:eastAsia="黑体" w:hAnsi="黑体" w:cs="黑体"/>
          <w:color w:val="000000"/>
          <w:sz w:val="32"/>
        </w:rPr>
        <w:t>、其他需要说明的事项</w:t>
      </w:r>
      <w:bookmarkEnd w:id="8"/>
    </w:p>
    <w:p w:rsidR="00F76141" w:rsidRPr="00FB57FD" w:rsidRDefault="00FB57FD" w:rsidP="00FB57FD">
      <w:pPr>
        <w:spacing w:line="500" w:lineRule="exact"/>
        <w:ind w:firstLine="560"/>
        <w:rPr>
          <w:rFonts w:eastAsiaTheme="minorEastAsia"/>
          <w:lang w:eastAsia="zh-CN"/>
        </w:rPr>
      </w:pPr>
      <w:r>
        <w:rPr>
          <w:rFonts w:eastAsia="方正仿宋_GBK"/>
          <w:color w:val="000000"/>
          <w:sz w:val="28"/>
        </w:rPr>
        <w:t>我部门无其他需要说明的事项。</w:t>
      </w:r>
    </w:p>
    <w:sectPr w:rsidR="00F76141" w:rsidRPr="00FB57FD" w:rsidSect="00487D0B">
      <w:footerReference w:type="even" r:id="rId29"/>
      <w:footerReference w:type="default" r:id="rId3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82A" w:rsidRDefault="00EE682A">
      <w:r>
        <w:separator/>
      </w:r>
    </w:p>
  </w:endnote>
  <w:endnote w:type="continuationSeparator" w:id="0">
    <w:p w:rsidR="00EE682A" w:rsidRDefault="00EE68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方正小标宋_GBK">
    <w:altName w:val="宋体"/>
    <w:charset w:val="86"/>
    <w:family w:val="roman"/>
    <w:pitch w:val="default"/>
    <w:sig w:usb0="00000000" w:usb1="00000000" w:usb2="00000000" w:usb3="00000000" w:csb0="00040001" w:csb1="00000000"/>
  </w:font>
  <w:font w:name="方正书宋_GBK">
    <w:altName w:val="微软雅黑"/>
    <w:charset w:val="86"/>
    <w:family w:val="roman"/>
    <w:pitch w:val="variable"/>
    <w:sig w:usb0="00000000" w:usb1="00000000" w:usb2="00000010" w:usb3="00000000" w:csb0="00040000" w:csb1="00000000"/>
  </w:font>
  <w:font w:name="方正楷体_GBK">
    <w:altName w:val="宋体"/>
    <w:charset w:val="86"/>
    <w:family w:val="roman"/>
    <w:pitch w:val="variable"/>
    <w:sig w:usb0="00000000" w:usb1="00000000" w:usb2="00000000" w:usb3="00000000" w:csb0="00040000" w:csb1="00000000"/>
  </w:font>
  <w:font w:name="方正仿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41" w:rsidRDefault="00403182">
    <w:r>
      <w:fldChar w:fldCharType="begin"/>
    </w:r>
    <w:r w:rsidR="00AE3414">
      <w:instrText>PAGE "page number"</w:instrText>
    </w:r>
    <w:r>
      <w:fldChar w:fldCharType="separate"/>
    </w:r>
    <w:r w:rsidR="0025342F">
      <w:rPr>
        <w:noProof/>
      </w:rPr>
      <w:t>14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41" w:rsidRDefault="00403182">
    <w:pPr>
      <w:jc w:val="right"/>
    </w:pPr>
    <w:r>
      <w:fldChar w:fldCharType="begin"/>
    </w:r>
    <w:r w:rsidR="00AE3414">
      <w:instrText>PAGE "page number"</w:instrText>
    </w:r>
    <w:r>
      <w:fldChar w:fldCharType="separate"/>
    </w:r>
    <w:r w:rsidR="0025342F">
      <w:rPr>
        <w:noProof/>
      </w:rPr>
      <w:t>13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82A" w:rsidRDefault="00EE682A">
      <w:r>
        <w:separator/>
      </w:r>
    </w:p>
  </w:footnote>
  <w:footnote w:type="continuationSeparator" w:id="0">
    <w:p w:rsidR="00EE682A" w:rsidRDefault="00EE68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E379E3"/>
    <w:multiLevelType w:val="singleLevel"/>
    <w:tmpl w:val="A0E379E3"/>
    <w:lvl w:ilvl="0">
      <w:start w:val="6"/>
      <w:numFmt w:val="chineseCounting"/>
      <w:suff w:val="nothing"/>
      <w:lvlText w:val="%1、"/>
      <w:lvlJc w:val="left"/>
      <w:rPr>
        <w:rFonts w:hint="eastAsia"/>
      </w:rPr>
    </w:lvl>
  </w:abstractNum>
  <w:abstractNum w:abstractNumId="1">
    <w:nsid w:val="D0CC9BA5"/>
    <w:multiLevelType w:val="singleLevel"/>
    <w:tmpl w:val="4ECC6A80"/>
    <w:lvl w:ilvl="0">
      <w:start w:val="9"/>
      <w:numFmt w:val="chineseCounting"/>
      <w:suff w:val="nothing"/>
      <w:lvlText w:val="%1、"/>
      <w:lvlJc w:val="left"/>
      <w:pPr>
        <w:tabs>
          <w:tab w:val="num" w:pos="0"/>
        </w:tabs>
        <w:ind w:left="0" w:firstLine="0"/>
      </w:pPr>
      <w:rPr>
        <w:rFonts w:hint="eastAsia"/>
      </w:rPr>
    </w:lvl>
  </w:abstractNum>
  <w:abstractNum w:abstractNumId="2">
    <w:nsid w:val="D4CCE64F"/>
    <w:multiLevelType w:val="singleLevel"/>
    <w:tmpl w:val="39F03074"/>
    <w:lvl w:ilvl="0">
      <w:start w:val="3"/>
      <w:numFmt w:val="chineseCounting"/>
      <w:suff w:val="nothing"/>
      <w:lvlText w:val="（%1）"/>
      <w:lvlJc w:val="left"/>
      <w:pPr>
        <w:tabs>
          <w:tab w:val="num" w:pos="0"/>
        </w:tabs>
        <w:ind w:left="0" w:firstLine="0"/>
      </w:pPr>
      <w:rPr>
        <w:rFonts w:hint="eastAsia"/>
      </w:rPr>
    </w:lvl>
  </w:abstractNum>
  <w:abstractNum w:abstractNumId="3">
    <w:nsid w:val="EF8DA59A"/>
    <w:multiLevelType w:val="singleLevel"/>
    <w:tmpl w:val="27E2745C"/>
    <w:lvl w:ilvl="0">
      <w:start w:val="1"/>
      <w:numFmt w:val="decimal"/>
      <w:suff w:val="nothing"/>
      <w:lvlText w:val="%1、"/>
      <w:lvlJc w:val="left"/>
      <w:pPr>
        <w:tabs>
          <w:tab w:val="num" w:pos="0"/>
        </w:tabs>
        <w:ind w:left="0" w:firstLine="0"/>
      </w:pPr>
    </w:lvl>
  </w:abstractNum>
  <w:abstractNum w:abstractNumId="4">
    <w:nsid w:val="0FFFFF7C"/>
    <w:multiLevelType w:val="singleLevel"/>
    <w:tmpl w:val="54500170"/>
    <w:lvl w:ilvl="0">
      <w:start w:val="1"/>
      <w:numFmt w:val="decimal"/>
      <w:lvlText w:val="%1."/>
      <w:lvlJc w:val="left"/>
      <w:pPr>
        <w:tabs>
          <w:tab w:val="num" w:pos="2040"/>
        </w:tabs>
        <w:ind w:left="2040" w:hanging="360"/>
      </w:pPr>
    </w:lvl>
  </w:abstractNum>
  <w:abstractNum w:abstractNumId="5">
    <w:nsid w:val="0FFFFF7D"/>
    <w:multiLevelType w:val="singleLevel"/>
    <w:tmpl w:val="76BC8128"/>
    <w:lvl w:ilvl="0">
      <w:start w:val="1"/>
      <w:numFmt w:val="decimal"/>
      <w:lvlText w:val="%1."/>
      <w:lvlJc w:val="left"/>
      <w:pPr>
        <w:tabs>
          <w:tab w:val="num" w:pos="1620"/>
        </w:tabs>
        <w:ind w:left="1620" w:hanging="360"/>
      </w:pPr>
    </w:lvl>
  </w:abstractNum>
  <w:abstractNum w:abstractNumId="6">
    <w:nsid w:val="0FFFFF7E"/>
    <w:multiLevelType w:val="singleLevel"/>
    <w:tmpl w:val="6D8E386A"/>
    <w:lvl w:ilvl="0">
      <w:start w:val="1"/>
      <w:numFmt w:val="decimal"/>
      <w:lvlText w:val="%1."/>
      <w:lvlJc w:val="left"/>
      <w:pPr>
        <w:tabs>
          <w:tab w:val="num" w:pos="1200"/>
        </w:tabs>
        <w:ind w:left="1200" w:hanging="360"/>
      </w:pPr>
    </w:lvl>
  </w:abstractNum>
  <w:abstractNum w:abstractNumId="7">
    <w:nsid w:val="0FFFFF7F"/>
    <w:multiLevelType w:val="singleLevel"/>
    <w:tmpl w:val="90B05A9A"/>
    <w:lvl w:ilvl="0">
      <w:start w:val="1"/>
      <w:numFmt w:val="decimal"/>
      <w:lvlText w:val="%1."/>
      <w:lvlJc w:val="left"/>
      <w:pPr>
        <w:tabs>
          <w:tab w:val="num" w:pos="780"/>
        </w:tabs>
        <w:ind w:left="780" w:hanging="360"/>
      </w:pPr>
    </w:lvl>
  </w:abstractNum>
  <w:abstractNum w:abstractNumId="8">
    <w:nsid w:val="0FFFFF80"/>
    <w:multiLevelType w:val="singleLevel"/>
    <w:tmpl w:val="1CF41AD2"/>
    <w:lvl w:ilvl="0">
      <w:start w:val="1"/>
      <w:numFmt w:val="bullet"/>
      <w:lvlText w:val=""/>
      <w:lvlJc w:val="left"/>
      <w:pPr>
        <w:tabs>
          <w:tab w:val="num" w:pos="2040"/>
        </w:tabs>
        <w:ind w:left="2040" w:hanging="360"/>
      </w:pPr>
      <w:rPr>
        <w:rFonts w:ascii="Wingdings" w:hAnsi="Wingdings" w:hint="default"/>
      </w:rPr>
    </w:lvl>
  </w:abstractNum>
  <w:abstractNum w:abstractNumId="9">
    <w:nsid w:val="0FFFFF81"/>
    <w:multiLevelType w:val="singleLevel"/>
    <w:tmpl w:val="68CE2048"/>
    <w:lvl w:ilvl="0">
      <w:start w:val="1"/>
      <w:numFmt w:val="bullet"/>
      <w:lvlText w:val=""/>
      <w:lvlJc w:val="left"/>
      <w:pPr>
        <w:tabs>
          <w:tab w:val="num" w:pos="1620"/>
        </w:tabs>
        <w:ind w:left="1620" w:hanging="360"/>
      </w:pPr>
      <w:rPr>
        <w:rFonts w:ascii="Wingdings" w:hAnsi="Wingdings" w:hint="default"/>
      </w:rPr>
    </w:lvl>
  </w:abstractNum>
  <w:abstractNum w:abstractNumId="10">
    <w:nsid w:val="0FFFFF82"/>
    <w:multiLevelType w:val="singleLevel"/>
    <w:tmpl w:val="D7AA2D94"/>
    <w:lvl w:ilvl="0">
      <w:start w:val="1"/>
      <w:numFmt w:val="bullet"/>
      <w:lvlText w:val=""/>
      <w:lvlJc w:val="left"/>
      <w:pPr>
        <w:tabs>
          <w:tab w:val="num" w:pos="1200"/>
        </w:tabs>
        <w:ind w:left="1200" w:hanging="360"/>
      </w:pPr>
      <w:rPr>
        <w:rFonts w:ascii="Wingdings" w:hAnsi="Wingdings" w:hint="default"/>
      </w:rPr>
    </w:lvl>
  </w:abstractNum>
  <w:abstractNum w:abstractNumId="11">
    <w:nsid w:val="0FFFFF83"/>
    <w:multiLevelType w:val="singleLevel"/>
    <w:tmpl w:val="D0AE387C"/>
    <w:lvl w:ilvl="0">
      <w:start w:val="1"/>
      <w:numFmt w:val="bullet"/>
      <w:lvlText w:val=""/>
      <w:lvlJc w:val="left"/>
      <w:pPr>
        <w:tabs>
          <w:tab w:val="num" w:pos="780"/>
        </w:tabs>
        <w:ind w:left="780" w:hanging="360"/>
      </w:pPr>
      <w:rPr>
        <w:rFonts w:ascii="Wingdings" w:hAnsi="Wingdings" w:hint="default"/>
      </w:rPr>
    </w:lvl>
  </w:abstractNum>
  <w:abstractNum w:abstractNumId="12">
    <w:nsid w:val="0FFFFF88"/>
    <w:multiLevelType w:val="singleLevel"/>
    <w:tmpl w:val="51020D14"/>
    <w:lvl w:ilvl="0">
      <w:start w:val="1"/>
      <w:numFmt w:val="decimal"/>
      <w:lvlText w:val="%1."/>
      <w:lvlJc w:val="left"/>
      <w:pPr>
        <w:tabs>
          <w:tab w:val="num" w:pos="360"/>
        </w:tabs>
        <w:ind w:left="360" w:hanging="360"/>
      </w:pPr>
    </w:lvl>
  </w:abstractNum>
  <w:abstractNum w:abstractNumId="13">
    <w:nsid w:val="0FFFFF89"/>
    <w:multiLevelType w:val="singleLevel"/>
    <w:tmpl w:val="0A2A48A6"/>
    <w:lvl w:ilvl="0">
      <w:start w:val="1"/>
      <w:numFmt w:val="bullet"/>
      <w:lvlText w:val=""/>
      <w:lvlJc w:val="left"/>
      <w:pPr>
        <w:tabs>
          <w:tab w:val="num" w:pos="360"/>
        </w:tabs>
        <w:ind w:left="360" w:hanging="360"/>
      </w:pPr>
      <w:rPr>
        <w:rFonts w:ascii="Wingdings" w:hAnsi="Wingdings" w:hint="default"/>
      </w:rPr>
    </w:lvl>
  </w:abstractNum>
  <w:abstractNum w:abstractNumId="14">
    <w:nsid w:val="77064522"/>
    <w:multiLevelType w:val="singleLevel"/>
    <w:tmpl w:val="5F98D210"/>
    <w:lvl w:ilvl="0">
      <w:start w:val="1"/>
      <w:numFmt w:val="chineseCounting"/>
      <w:suff w:val="nothing"/>
      <w:lvlText w:val="%1、"/>
      <w:lvlJc w:val="left"/>
      <w:pPr>
        <w:tabs>
          <w:tab w:val="num" w:pos="0"/>
        </w:tabs>
        <w:ind w:left="0" w:firstLine="0"/>
      </w:pPr>
      <w:rPr>
        <w:rFonts w:hint="eastAsia"/>
      </w:rPr>
    </w:lvl>
  </w:abstractNum>
  <w:num w:numId="1">
    <w:abstractNumId w:val="0"/>
  </w:num>
  <w:num w:numId="2">
    <w:abstractNumId w:val="1"/>
  </w:num>
  <w:num w:numId="3">
    <w:abstractNumId w:val="2"/>
  </w:num>
  <w:num w:numId="4">
    <w:abstractNumId w:val="3"/>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17410"/>
  </w:hdrShapeDefaults>
  <w:footnotePr>
    <w:footnote w:id="-1"/>
    <w:footnote w:id="0"/>
  </w:footnotePr>
  <w:endnotePr>
    <w:endnote w:id="-1"/>
    <w:endnote w:id="0"/>
  </w:endnotePr>
  <w:compat>
    <w:doNotLeaveBackslashAlone/>
    <w:doNotExpandShiftReturn/>
    <w:adjustLineHeightInTable/>
    <w:useFELayout/>
  </w:compat>
  <w:docVars>
    <w:docVar w:name="commondata" w:val="eyJoZGlkIjoiNTNiYWMxMjFlMmE2ZWE1OWMxYzQyMDU3MTlhZjJhODcifQ=="/>
  </w:docVars>
  <w:rsids>
    <w:rsidRoot w:val="006277C0"/>
    <w:rsid w:val="0002601C"/>
    <w:rsid w:val="00074A21"/>
    <w:rsid w:val="00082A14"/>
    <w:rsid w:val="000D16D2"/>
    <w:rsid w:val="00147DF7"/>
    <w:rsid w:val="00177DA3"/>
    <w:rsid w:val="001A5C8C"/>
    <w:rsid w:val="0025342F"/>
    <w:rsid w:val="00270170"/>
    <w:rsid w:val="002E61C7"/>
    <w:rsid w:val="003307AC"/>
    <w:rsid w:val="00337803"/>
    <w:rsid w:val="003B79D8"/>
    <w:rsid w:val="003D29B6"/>
    <w:rsid w:val="003E1683"/>
    <w:rsid w:val="00403182"/>
    <w:rsid w:val="00487D0B"/>
    <w:rsid w:val="004D3F7D"/>
    <w:rsid w:val="005D356E"/>
    <w:rsid w:val="006277C0"/>
    <w:rsid w:val="006A4512"/>
    <w:rsid w:val="00710934"/>
    <w:rsid w:val="00865D65"/>
    <w:rsid w:val="008717C7"/>
    <w:rsid w:val="008B309E"/>
    <w:rsid w:val="00AE3414"/>
    <w:rsid w:val="00B007BB"/>
    <w:rsid w:val="00B0626E"/>
    <w:rsid w:val="00B479C0"/>
    <w:rsid w:val="00B875FE"/>
    <w:rsid w:val="00BC0652"/>
    <w:rsid w:val="00BC10E4"/>
    <w:rsid w:val="00BC3AE9"/>
    <w:rsid w:val="00CA0A98"/>
    <w:rsid w:val="00CA1E51"/>
    <w:rsid w:val="00CD471C"/>
    <w:rsid w:val="00CD5984"/>
    <w:rsid w:val="00D25765"/>
    <w:rsid w:val="00D25C90"/>
    <w:rsid w:val="00D748DA"/>
    <w:rsid w:val="00DE4C09"/>
    <w:rsid w:val="00E535B8"/>
    <w:rsid w:val="00E576BE"/>
    <w:rsid w:val="00EE682A"/>
    <w:rsid w:val="00EF440C"/>
    <w:rsid w:val="00F76141"/>
    <w:rsid w:val="00FB57FD"/>
    <w:rsid w:val="3C3739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lsdException w:name="footer" w:semiHidden="0"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D0B"/>
    <w:rPr>
      <w:rFonts w:eastAsia="Times New Roman"/>
      <w:sz w:val="24"/>
      <w:szCs w:val="24"/>
      <w:lang w:eastAsia="uk-UA"/>
    </w:rPr>
  </w:style>
  <w:style w:type="paragraph" w:styleId="1">
    <w:name w:val="heading 1"/>
    <w:basedOn w:val="a"/>
    <w:next w:val="a"/>
    <w:link w:val="1Char"/>
    <w:qFormat/>
    <w:rsid w:val="00CD471C"/>
    <w:pPr>
      <w:keepNext/>
      <w:keepLines/>
      <w:widowControl w:val="0"/>
      <w:spacing w:before="340" w:after="330" w:line="578" w:lineRule="auto"/>
      <w:jc w:val="both"/>
      <w:outlineLvl w:val="0"/>
    </w:pPr>
    <w:rPr>
      <w:rFonts w:eastAsia="宋体"/>
      <w:b/>
      <w:bCs/>
      <w:kern w:val="44"/>
      <w:sz w:val="44"/>
      <w:szCs w:val="20"/>
      <w:lang w:eastAsia="zh-CN"/>
    </w:rPr>
  </w:style>
  <w:style w:type="paragraph" w:styleId="2">
    <w:name w:val="heading 2"/>
    <w:basedOn w:val="a"/>
    <w:next w:val="a"/>
    <w:link w:val="2Char"/>
    <w:qFormat/>
    <w:rsid w:val="00CD471C"/>
    <w:pPr>
      <w:keepNext/>
      <w:keepLines/>
      <w:widowControl w:val="0"/>
      <w:spacing w:before="260" w:after="260" w:line="415" w:lineRule="auto"/>
      <w:jc w:val="both"/>
      <w:outlineLvl w:val="1"/>
    </w:pPr>
    <w:rPr>
      <w:rFonts w:ascii="Arial" w:eastAsia="黑体" w:hAnsi="Arial"/>
      <w:b/>
      <w:kern w:val="2"/>
      <w:sz w:val="32"/>
      <w:szCs w:val="20"/>
      <w:lang w:eastAsia="zh-CN"/>
    </w:rPr>
  </w:style>
  <w:style w:type="paragraph" w:styleId="3">
    <w:name w:val="heading 3"/>
    <w:basedOn w:val="a"/>
    <w:next w:val="a"/>
    <w:link w:val="3Char"/>
    <w:qFormat/>
    <w:rsid w:val="00CD471C"/>
    <w:pPr>
      <w:keepNext/>
      <w:keepLines/>
      <w:widowControl w:val="0"/>
      <w:spacing w:before="260" w:after="260" w:line="415" w:lineRule="auto"/>
      <w:jc w:val="both"/>
      <w:outlineLvl w:val="2"/>
    </w:pPr>
    <w:rPr>
      <w:rFonts w:eastAsia="宋体"/>
      <w:b/>
      <w:kern w:val="2"/>
      <w:sz w:val="32"/>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qFormat/>
    <w:rsid w:val="00487D0B"/>
    <w:pPr>
      <w:ind w:left="480"/>
    </w:pPr>
  </w:style>
  <w:style w:type="paragraph" w:styleId="a3">
    <w:name w:val="footer"/>
    <w:basedOn w:val="a"/>
    <w:link w:val="Char"/>
    <w:unhideWhenUsed/>
    <w:rsid w:val="00487D0B"/>
    <w:pPr>
      <w:tabs>
        <w:tab w:val="center" w:pos="4153"/>
        <w:tab w:val="right" w:pos="8306"/>
      </w:tabs>
      <w:snapToGrid w:val="0"/>
    </w:pPr>
    <w:rPr>
      <w:sz w:val="18"/>
      <w:szCs w:val="18"/>
    </w:rPr>
  </w:style>
  <w:style w:type="paragraph" w:styleId="a4">
    <w:name w:val="header"/>
    <w:basedOn w:val="a"/>
    <w:link w:val="Char0"/>
    <w:unhideWhenUsed/>
    <w:rsid w:val="00487D0B"/>
    <w:pPr>
      <w:pBdr>
        <w:bottom w:val="single" w:sz="6" w:space="1" w:color="auto"/>
      </w:pBdr>
      <w:tabs>
        <w:tab w:val="center" w:pos="4153"/>
        <w:tab w:val="right" w:pos="8306"/>
      </w:tabs>
      <w:snapToGrid w:val="0"/>
      <w:jc w:val="center"/>
    </w:pPr>
    <w:rPr>
      <w:sz w:val="18"/>
      <w:szCs w:val="18"/>
    </w:rPr>
  </w:style>
  <w:style w:type="paragraph" w:styleId="10">
    <w:name w:val="toc 1"/>
    <w:basedOn w:val="a"/>
    <w:qFormat/>
    <w:rsid w:val="00487D0B"/>
    <w:pPr>
      <w:spacing w:before="120"/>
      <w:ind w:firstLine="560"/>
    </w:pPr>
    <w:rPr>
      <w:rFonts w:eastAsia="方正仿宋_GBK"/>
      <w:color w:val="000000"/>
      <w:sz w:val="28"/>
    </w:rPr>
  </w:style>
  <w:style w:type="paragraph" w:styleId="20">
    <w:name w:val="toc 2"/>
    <w:basedOn w:val="a"/>
    <w:qFormat/>
    <w:rsid w:val="00487D0B"/>
    <w:pPr>
      <w:ind w:left="240"/>
    </w:pPr>
  </w:style>
  <w:style w:type="table" w:styleId="a5">
    <w:name w:val="Table Grid"/>
    <w:basedOn w:val="a1"/>
    <w:rsid w:val="00487D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487D0B"/>
    <w:pPr>
      <w:jc w:val="right"/>
    </w:pPr>
    <w:rPr>
      <w:rFonts w:ascii="方正小标宋_GBK" w:eastAsia="方正小标宋_GBK" w:hAnsi="方正小标宋_GBK" w:cs="方正小标宋_GBK"/>
    </w:rPr>
  </w:style>
  <w:style w:type="paragraph" w:customStyle="1" w:styleId="21">
    <w:name w:val="单元格样式21"/>
    <w:basedOn w:val="a"/>
    <w:qFormat/>
    <w:rsid w:val="00487D0B"/>
    <w:pPr>
      <w:jc w:val="center"/>
    </w:pPr>
    <w:rPr>
      <w:rFonts w:ascii="方正小标宋_GBK" w:eastAsia="方正小标宋_GBK" w:hAnsi="方正小标宋_GBK" w:cs="方正小标宋_GBK"/>
    </w:rPr>
  </w:style>
  <w:style w:type="paragraph" w:customStyle="1" w:styleId="200">
    <w:name w:val="单元格样式20"/>
    <w:basedOn w:val="a"/>
    <w:qFormat/>
    <w:rsid w:val="00487D0B"/>
    <w:rPr>
      <w:rFonts w:ascii="方正小标宋_GBK" w:eastAsia="方正小标宋_GBK" w:hAnsi="方正小标宋_GBK" w:cs="方正小标宋_GBK"/>
    </w:rPr>
  </w:style>
  <w:style w:type="paragraph" w:customStyle="1" w:styleId="11">
    <w:name w:val="单元格样式1"/>
    <w:basedOn w:val="a"/>
    <w:qFormat/>
    <w:rsid w:val="00487D0B"/>
    <w:pPr>
      <w:jc w:val="center"/>
    </w:pPr>
    <w:rPr>
      <w:rFonts w:ascii="方正书宋_GBK" w:eastAsia="方正书宋_GBK" w:hAnsi="方正书宋_GBK" w:cs="方正书宋_GBK"/>
      <w:b/>
      <w:sz w:val="21"/>
    </w:rPr>
  </w:style>
  <w:style w:type="paragraph" w:customStyle="1" w:styleId="4">
    <w:name w:val="单元格样式4"/>
    <w:basedOn w:val="a"/>
    <w:qFormat/>
    <w:rsid w:val="00487D0B"/>
    <w:pPr>
      <w:jc w:val="right"/>
    </w:pPr>
    <w:rPr>
      <w:rFonts w:ascii="方正书宋_GBK" w:eastAsia="方正书宋_GBK" w:hAnsi="方正书宋_GBK" w:cs="方正书宋_GBK"/>
      <w:sz w:val="21"/>
    </w:rPr>
  </w:style>
  <w:style w:type="paragraph" w:customStyle="1" w:styleId="23">
    <w:name w:val="单元格样式2"/>
    <w:basedOn w:val="a"/>
    <w:qFormat/>
    <w:rsid w:val="00487D0B"/>
    <w:rPr>
      <w:rFonts w:ascii="方正书宋_GBK" w:eastAsia="方正书宋_GBK" w:hAnsi="方正书宋_GBK" w:cs="方正书宋_GBK"/>
      <w:sz w:val="21"/>
    </w:rPr>
  </w:style>
  <w:style w:type="paragraph" w:customStyle="1" w:styleId="31">
    <w:name w:val="单元格样式3"/>
    <w:basedOn w:val="a"/>
    <w:qFormat/>
    <w:rsid w:val="00487D0B"/>
    <w:pPr>
      <w:jc w:val="center"/>
    </w:pPr>
    <w:rPr>
      <w:rFonts w:ascii="方正书宋_GBK" w:eastAsia="方正书宋_GBK" w:hAnsi="方正书宋_GBK" w:cs="方正书宋_GBK"/>
      <w:sz w:val="21"/>
    </w:rPr>
  </w:style>
  <w:style w:type="paragraph" w:customStyle="1" w:styleId="6">
    <w:name w:val="单元格样式6"/>
    <w:basedOn w:val="a"/>
    <w:qFormat/>
    <w:rsid w:val="00487D0B"/>
    <w:pPr>
      <w:jc w:val="center"/>
    </w:pPr>
    <w:rPr>
      <w:rFonts w:ascii="方正书宋_GBK" w:eastAsia="方正书宋_GBK" w:hAnsi="方正书宋_GBK" w:cs="方正书宋_GBK"/>
      <w:b/>
      <w:sz w:val="21"/>
    </w:rPr>
  </w:style>
  <w:style w:type="paragraph" w:customStyle="1" w:styleId="7">
    <w:name w:val="单元格样式7"/>
    <w:basedOn w:val="a"/>
    <w:qFormat/>
    <w:rsid w:val="00487D0B"/>
    <w:pPr>
      <w:jc w:val="right"/>
    </w:pPr>
    <w:rPr>
      <w:rFonts w:ascii="方正书宋_GBK" w:eastAsia="方正书宋_GBK" w:hAnsi="方正书宋_GBK" w:cs="方正书宋_GBK"/>
      <w:b/>
      <w:sz w:val="21"/>
    </w:rPr>
  </w:style>
  <w:style w:type="paragraph" w:customStyle="1" w:styleId="5">
    <w:name w:val="单元格样式5"/>
    <w:basedOn w:val="a"/>
    <w:qFormat/>
    <w:rsid w:val="00487D0B"/>
    <w:rPr>
      <w:rFonts w:ascii="方正书宋_GBK" w:eastAsia="方正书宋_GBK" w:hAnsi="方正书宋_GBK" w:cs="方正书宋_GBK"/>
      <w:b/>
      <w:sz w:val="21"/>
    </w:rPr>
  </w:style>
  <w:style w:type="paragraph" w:customStyle="1" w:styleId="-">
    <w:name w:val="插入文本样式-插入预算公开部门职责文件"/>
    <w:basedOn w:val="a"/>
    <w:qFormat/>
    <w:rsid w:val="00487D0B"/>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487D0B"/>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487D0B"/>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487D0B"/>
    <w:pPr>
      <w:spacing w:line="500" w:lineRule="exact"/>
      <w:ind w:firstLine="560"/>
    </w:pPr>
    <w:rPr>
      <w:rFonts w:eastAsia="方正仿宋_GBK"/>
      <w:sz w:val="28"/>
    </w:rPr>
  </w:style>
  <w:style w:type="paragraph" w:customStyle="1" w:styleId="-3">
    <w:name w:val="插入文本样式-插入总体目标文件"/>
    <w:basedOn w:val="a"/>
    <w:qFormat/>
    <w:rsid w:val="00487D0B"/>
    <w:pPr>
      <w:spacing w:line="500" w:lineRule="exact"/>
      <w:ind w:firstLine="560"/>
    </w:pPr>
    <w:rPr>
      <w:rFonts w:eastAsia="方正仿宋_GBK"/>
      <w:sz w:val="28"/>
    </w:rPr>
  </w:style>
  <w:style w:type="paragraph" w:customStyle="1" w:styleId="-4">
    <w:name w:val="插入文本样式-插入职责分类绩效目标文件"/>
    <w:basedOn w:val="a"/>
    <w:qFormat/>
    <w:rsid w:val="00487D0B"/>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487D0B"/>
    <w:pPr>
      <w:spacing w:line="500" w:lineRule="exact"/>
      <w:ind w:firstLine="560"/>
    </w:pPr>
    <w:rPr>
      <w:rFonts w:eastAsia="方正仿宋_GBK"/>
      <w:sz w:val="28"/>
    </w:rPr>
  </w:style>
  <w:style w:type="paragraph" w:customStyle="1" w:styleId="230">
    <w:name w:val="单元格样式23"/>
    <w:basedOn w:val="a"/>
    <w:qFormat/>
    <w:rsid w:val="00487D0B"/>
    <w:pPr>
      <w:jc w:val="right"/>
    </w:pPr>
    <w:rPr>
      <w:rFonts w:ascii="方正书宋_GBK" w:eastAsia="方正书宋_GBK" w:hAnsi="方正书宋_GBK" w:cs="方正书宋_GBK"/>
    </w:rPr>
  </w:style>
  <w:style w:type="character" w:customStyle="1" w:styleId="Char0">
    <w:name w:val="页眉 Char"/>
    <w:basedOn w:val="a0"/>
    <w:link w:val="a4"/>
    <w:uiPriority w:val="99"/>
    <w:rsid w:val="00487D0B"/>
    <w:rPr>
      <w:rFonts w:eastAsia="Times New Roman"/>
      <w:sz w:val="18"/>
      <w:szCs w:val="18"/>
      <w:lang w:eastAsia="uk-UA"/>
    </w:rPr>
  </w:style>
  <w:style w:type="character" w:customStyle="1" w:styleId="Char">
    <w:name w:val="页脚 Char"/>
    <w:basedOn w:val="a0"/>
    <w:link w:val="a3"/>
    <w:uiPriority w:val="99"/>
    <w:rsid w:val="00487D0B"/>
    <w:rPr>
      <w:rFonts w:eastAsia="Times New Roman"/>
      <w:sz w:val="18"/>
      <w:szCs w:val="18"/>
      <w:lang w:eastAsia="uk-UA"/>
    </w:rPr>
  </w:style>
  <w:style w:type="paragraph" w:customStyle="1" w:styleId="-6">
    <w:name w:val="插入文本样式-插入预算公开单位财政拨款三公经费预算情况及增减变化原因文件"/>
    <w:basedOn w:val="a"/>
    <w:qFormat/>
    <w:rsid w:val="00487D0B"/>
    <w:pPr>
      <w:spacing w:line="500" w:lineRule="exact"/>
      <w:ind w:firstLine="560"/>
    </w:pPr>
    <w:rPr>
      <w:rFonts w:eastAsia="方正仿宋_GBK"/>
      <w:sz w:val="28"/>
    </w:rPr>
  </w:style>
  <w:style w:type="character" w:customStyle="1" w:styleId="1Char">
    <w:name w:val="标题 1 Char"/>
    <w:basedOn w:val="a0"/>
    <w:link w:val="1"/>
    <w:rsid w:val="00CD471C"/>
    <w:rPr>
      <w:rFonts w:eastAsia="宋体"/>
      <w:b/>
      <w:bCs/>
      <w:kern w:val="44"/>
      <w:sz w:val="44"/>
    </w:rPr>
  </w:style>
  <w:style w:type="character" w:customStyle="1" w:styleId="2Char">
    <w:name w:val="标题 2 Char"/>
    <w:basedOn w:val="a0"/>
    <w:link w:val="2"/>
    <w:rsid w:val="00CD471C"/>
    <w:rPr>
      <w:rFonts w:ascii="Arial" w:eastAsia="黑体" w:hAnsi="Arial"/>
      <w:b/>
      <w:kern w:val="2"/>
      <w:sz w:val="32"/>
    </w:rPr>
  </w:style>
  <w:style w:type="character" w:customStyle="1" w:styleId="3Char">
    <w:name w:val="标题 3 Char"/>
    <w:basedOn w:val="a0"/>
    <w:link w:val="3"/>
    <w:rsid w:val="00CD471C"/>
    <w:rPr>
      <w:rFonts w:eastAsia="宋体"/>
      <w:b/>
      <w:kern w:val="2"/>
      <w:sz w:val="32"/>
    </w:rPr>
  </w:style>
  <w:style w:type="character" w:styleId="a6">
    <w:name w:val="footnote reference"/>
    <w:basedOn w:val="a0"/>
    <w:rsid w:val="00CD471C"/>
    <w:rPr>
      <w:vertAlign w:val="superscript"/>
    </w:rPr>
  </w:style>
  <w:style w:type="character" w:styleId="a7">
    <w:name w:val="page number"/>
    <w:basedOn w:val="a0"/>
    <w:rsid w:val="00CD471C"/>
  </w:style>
  <w:style w:type="character" w:customStyle="1" w:styleId="font21">
    <w:name w:val="font21"/>
    <w:basedOn w:val="a0"/>
    <w:rsid w:val="00CD471C"/>
    <w:rPr>
      <w:rFonts w:ascii="宋体" w:eastAsia="宋体" w:cs="宋体"/>
      <w:color w:val="000000"/>
      <w:sz w:val="20"/>
      <w:szCs w:val="20"/>
      <w:u w:val="none"/>
      <w:lang w:bidi="ar-SA"/>
    </w:rPr>
  </w:style>
  <w:style w:type="character" w:customStyle="1" w:styleId="font31">
    <w:name w:val="font31"/>
    <w:basedOn w:val="a0"/>
    <w:rsid w:val="00CD471C"/>
    <w:rPr>
      <w:rFonts w:ascii="宋体" w:eastAsia="宋体" w:cs="宋体"/>
      <w:color w:val="000000"/>
      <w:sz w:val="20"/>
      <w:szCs w:val="20"/>
      <w:u w:val="none"/>
      <w:lang w:bidi="ar-SA"/>
    </w:rPr>
  </w:style>
  <w:style w:type="paragraph" w:styleId="a8">
    <w:name w:val="Date"/>
    <w:basedOn w:val="a"/>
    <w:next w:val="a"/>
    <w:link w:val="Char1"/>
    <w:rsid w:val="00CD471C"/>
    <w:pPr>
      <w:widowControl w:val="0"/>
      <w:ind w:leftChars="2500" w:left="2500"/>
      <w:jc w:val="both"/>
    </w:pPr>
    <w:rPr>
      <w:rFonts w:eastAsia="宋体"/>
      <w:kern w:val="2"/>
      <w:sz w:val="21"/>
      <w:szCs w:val="20"/>
      <w:lang w:eastAsia="zh-CN"/>
    </w:rPr>
  </w:style>
  <w:style w:type="character" w:customStyle="1" w:styleId="Char1">
    <w:name w:val="日期 Char"/>
    <w:basedOn w:val="a0"/>
    <w:link w:val="a8"/>
    <w:rsid w:val="00CD471C"/>
    <w:rPr>
      <w:rFonts w:eastAsia="宋体"/>
      <w:kern w:val="2"/>
      <w:sz w:val="21"/>
    </w:rPr>
  </w:style>
  <w:style w:type="paragraph" w:styleId="a9">
    <w:name w:val="footnote text"/>
    <w:basedOn w:val="a"/>
    <w:link w:val="Char2"/>
    <w:rsid w:val="00CD471C"/>
    <w:pPr>
      <w:widowControl w:val="0"/>
      <w:snapToGrid w:val="0"/>
    </w:pPr>
    <w:rPr>
      <w:rFonts w:eastAsia="宋体"/>
      <w:kern w:val="2"/>
      <w:sz w:val="18"/>
      <w:szCs w:val="18"/>
      <w:lang w:eastAsia="zh-CN"/>
    </w:rPr>
  </w:style>
  <w:style w:type="character" w:customStyle="1" w:styleId="Char2">
    <w:name w:val="脚注文本 Char"/>
    <w:basedOn w:val="a0"/>
    <w:link w:val="a9"/>
    <w:rsid w:val="00CD471C"/>
    <w:rPr>
      <w:rFonts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2024-02-19T16:18:49Z</dcterms:created>
  <dcterms:modified xsi:type="dcterms:W3CDTF">2024-02-19T08:18:49Z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F00D4D5-0020-496D-B59A-407FFB73482C}">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1D749E7D-BFD6-40F9-9DEC-CECC0DB51434}">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576DE6E-C1A6-442A-A85F-68C8D0DB18A9}">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78E5979C-97E7-47D5-AEA1-CDD50C40EA94}">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572390BA-D9ED-4209-B823-78702ED00FD9}">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81DA4214-09F5-421A-A4A5-59DE7E3A667B}">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F10AFA5F-8285-4C84-8AD7-40EEEDDA18D4}">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F9FF386D-A4B0-47CD-B297-404825FA2112}">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6AAC531E-5310-43E4-8F09-A6BF4FDB056F}">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590DCAF1-D4C8-4C79-9E84-3D6D21FCA2DF}">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21089136-BA2F-4D54-89E4-0D9D0064AE77}">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61205465-A135-41B9-9E3B-2CB107CB49D0}">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404EA866-08CA-4D86-B2E5-CCA192ED2CDC}">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9BA4627D-51E2-414D-BAD3-6FA7A394E770}">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C6EC87E6-5E97-42CF-B7A6-6227396A9F2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71BA1E49-5683-4584-B508-59F594FA0C8F}">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20FE05CD-3C79-4E7A-9AD2-5F5B52562D1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D4774865-B743-4B10-8A81-6376B3C056D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7DFE330B-1A60-4E85-8AB8-8E4F9E0355E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A71FD7F5-5F4B-4135-9681-FF39299F7340}">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BBE63375-195F-4526-8474-764936AD712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A7A8A8C2-3ADD-439A-A4A3-9D4D936376F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14</Pages>
  <Words>1593</Words>
  <Characters>9082</Characters>
  <Application>Microsoft Office Word</Application>
  <DocSecurity>0</DocSecurity>
  <Lines>75</Lines>
  <Paragraphs>21</Paragraphs>
  <ScaleCrop>false</ScaleCrop>
  <Company>Microsoft</Company>
  <LinksUpToDate>false</LinksUpToDate>
  <CharactersWithSpaces>10654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26</cp:revision>
  <dcterms:created xsi:type="dcterms:W3CDTF">2024-02-19T16:18:00Z</dcterms:created>
  <dcterms:modified xsi:type="dcterms:W3CDTF">2024-11-20T09:22:00Z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BCDD9443FCD94EA9A3AE7702E4EB3DF7_12</vt:lpwstr>
  </property>
</Properties>
</file>