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72"/>
        </w:rPr>
      </w:pPr>
      <w:bookmarkStart w:id="1" w:name="_GoBack"/>
      <w:bookmarkEnd w:id="1"/>
      <w:r>
        <w:rPr>
          <w:rFonts w:hint="eastAsia" w:ascii="方正小标宋_GBK" w:eastAsia="方正小标宋_GBK"/>
          <w:sz w:val="72"/>
        </w:rPr>
        <w:t xml:space="preserve"> 2018年南孙庄乡政府</w:t>
      </w:r>
    </w:p>
    <w:p>
      <w:pPr>
        <w:jc w:val="center"/>
        <w:rPr>
          <w:rFonts w:ascii="方正小标宋_GBK" w:eastAsia="方正小标宋_GBK"/>
          <w:sz w:val="72"/>
        </w:rPr>
      </w:pPr>
      <w:r>
        <w:rPr>
          <w:rFonts w:hint="eastAsia" w:ascii="方正小标宋_GBK" w:eastAsia="方正小标宋_GBK"/>
          <w:sz w:val="72"/>
        </w:rPr>
        <w:t>部门预算公开</w:t>
      </w:r>
    </w:p>
    <w:p>
      <w:pPr>
        <w:jc w:val="center"/>
        <w:rPr>
          <w:rFonts w:ascii="方正小标宋_GBK" w:eastAsia="方正小标宋_GBK"/>
          <w:sz w:val="52"/>
        </w:rPr>
      </w:pPr>
    </w:p>
    <w:p>
      <w:pPr>
        <w:jc w:val="center"/>
        <w:rPr>
          <w:rFonts w:ascii="黑体" w:eastAsia="黑体"/>
          <w:sz w:val="44"/>
        </w:rPr>
      </w:pPr>
    </w:p>
    <w:p>
      <w:pPr>
        <w:jc w:val="center"/>
        <w:rPr>
          <w:rFonts w:ascii="黑体" w:eastAsia="黑体"/>
          <w:sz w:val="44"/>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
    <w:p>
      <w:pPr>
        <w:jc w:val="center"/>
      </w:pPr>
    </w:p>
    <w:p>
      <w:pPr>
        <w:jc w:val="center"/>
      </w:pPr>
    </w:p>
    <w:p>
      <w:pPr>
        <w:jc w:val="center"/>
        <w:rPr>
          <w:rFonts w:ascii="宋体" w:hAnsi="宋体"/>
          <w:sz w:val="32"/>
          <w:szCs w:val="32"/>
        </w:rPr>
      </w:pPr>
      <w:r>
        <w:rPr>
          <w:rFonts w:hint="eastAsia" w:ascii="宋体" w:hAnsi="宋体"/>
          <w:sz w:val="32"/>
          <w:szCs w:val="32"/>
        </w:rPr>
        <w:t>2018年2月</w:t>
      </w:r>
    </w:p>
    <w:p/>
    <w:p/>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hint="eastAsia" w:ascii="仿宋_GB2312" w:eastAsia="仿宋_GB2312"/>
          <w:b/>
          <w:sz w:val="44"/>
          <w:szCs w:val="44"/>
        </w:rPr>
      </w:pPr>
      <w:r>
        <w:rPr>
          <w:rFonts w:hint="eastAsia" w:ascii="宋体" w:hAnsi="宋体" w:cs="宋体"/>
          <w:b/>
          <w:sz w:val="44"/>
          <w:szCs w:val="44"/>
        </w:rPr>
        <w:t>2018年部门预算公开目录</w:t>
      </w:r>
    </w:p>
    <w:p>
      <w:pPr>
        <w:jc w:val="center"/>
        <w:rPr>
          <w:rFonts w:hint="eastAsia" w:ascii="仿宋_GB2312" w:hAnsi="仿宋" w:eastAsia="仿宋_GB2312"/>
          <w:b/>
          <w:sz w:val="32"/>
          <w:szCs w:val="32"/>
        </w:rPr>
      </w:pPr>
    </w:p>
    <w:p>
      <w:pPr>
        <w:ind w:firstLine="643" w:firstLineChars="200"/>
        <w:jc w:val="center"/>
        <w:rPr>
          <w:rFonts w:hint="eastAsia" w:ascii="仿宋_GB2312" w:hAnsi="仿宋" w:eastAsia="仿宋_GB2312"/>
          <w:b/>
          <w:sz w:val="32"/>
          <w:szCs w:val="32"/>
        </w:rPr>
      </w:pPr>
      <w:r>
        <w:rPr>
          <w:rFonts w:hint="eastAsia" w:ascii="仿宋_GB2312" w:hAnsi="仿宋" w:eastAsia="仿宋_GB2312"/>
          <w:b/>
          <w:sz w:val="32"/>
          <w:szCs w:val="32"/>
        </w:rPr>
        <w:t>第一部分 2018年部门预算公开有关事项的说明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一、部门职责及机构设置情况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二、部门预算安排的总体情况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三、机关运行经费安排情况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四、财政拨款“三公”经费预算情况及增减变化原因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五、绩效预算信息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六、政府采购预算信息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七、国有资产信息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八、专业名词解释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九、其他情况说明</w:t>
      </w:r>
    </w:p>
    <w:p>
      <w:pPr>
        <w:ind w:firstLine="643" w:firstLineChars="200"/>
        <w:jc w:val="center"/>
        <w:rPr>
          <w:rFonts w:hint="eastAsia" w:ascii="仿宋_GB2312" w:hAnsi="仿宋" w:eastAsia="仿宋_GB2312"/>
          <w:b/>
          <w:sz w:val="32"/>
          <w:szCs w:val="32"/>
        </w:rPr>
      </w:pPr>
      <w:r>
        <w:rPr>
          <w:rFonts w:hint="eastAsia" w:ascii="仿宋_GB2312" w:hAnsi="仿宋" w:eastAsia="仿宋_GB2312"/>
          <w:b/>
          <w:sz w:val="32"/>
          <w:szCs w:val="32"/>
        </w:rPr>
        <w:t>第二部分 2018年部门预算公开报表</w:t>
      </w:r>
    </w:p>
    <w:p>
      <w:pPr>
        <w:rPr>
          <w:rFonts w:ascii="仿宋" w:hAnsi="仿宋" w:eastAsia="仿宋" w:cs="Times New Roman"/>
          <w:sz w:val="30"/>
          <w:szCs w:val="30"/>
        </w:rPr>
      </w:pPr>
      <w:r>
        <w:rPr>
          <w:rFonts w:hint="eastAsia" w:ascii="仿宋" w:hAnsi="仿宋" w:eastAsia="仿宋" w:cs="Times New Roman"/>
          <w:sz w:val="30"/>
          <w:szCs w:val="30"/>
        </w:rPr>
        <w:t xml:space="preserve">     一、部门预算收支总表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二、部门预算收入总表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三、部门预算支出总表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四、部门预算财政拨款收支总表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五、部门预算一般公共预算财政拨款支出表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六、部门预算一般公共预算财政拨款基本支出表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七、部门预算政府基金预算财政拨款支出表</w:t>
      </w:r>
    </w:p>
    <w:p>
      <w:pPr>
        <w:ind w:firstLine="750" w:firstLineChars="250"/>
        <w:rPr>
          <w:rFonts w:ascii="仿宋" w:hAnsi="仿宋" w:eastAsia="仿宋" w:cs="Times New Roman"/>
          <w:sz w:val="30"/>
          <w:szCs w:val="30"/>
        </w:rPr>
      </w:pPr>
      <w:r>
        <w:rPr>
          <w:rFonts w:hint="eastAsia" w:ascii="仿宋" w:hAnsi="仿宋" w:eastAsia="仿宋" w:cs="Times New Roman"/>
          <w:sz w:val="30"/>
          <w:szCs w:val="30"/>
        </w:rPr>
        <w:t>八、部门预算国有资本经营预算财政拨款支出表</w:t>
      </w:r>
    </w:p>
    <w:p>
      <w:pPr>
        <w:ind w:firstLine="750" w:firstLineChars="250"/>
        <w:rPr>
          <w:rFonts w:cs="Times New Roman" w:asciiTheme="minorEastAsia" w:hAnsiTheme="minorEastAsia"/>
          <w:b/>
          <w:sz w:val="44"/>
          <w:szCs w:val="44"/>
        </w:rPr>
      </w:pPr>
      <w:r>
        <w:rPr>
          <w:rFonts w:hint="eastAsia" w:ascii="仿宋" w:hAnsi="仿宋" w:eastAsia="仿宋" w:cs="Times New Roman"/>
          <w:sz w:val="30"/>
          <w:szCs w:val="30"/>
        </w:rPr>
        <w:t>九、部门预算财政拨款“三公”经费支出表</w:t>
      </w:r>
    </w:p>
    <w:p>
      <w:pPr>
        <w:jc w:val="center"/>
        <w:rPr>
          <w:rFonts w:cs="Times New Roman" w:asciiTheme="minorEastAsia" w:hAnsiTheme="minorEastAsia"/>
          <w:b/>
          <w:sz w:val="44"/>
          <w:szCs w:val="44"/>
        </w:rPr>
      </w:pPr>
      <w:r>
        <w:rPr>
          <w:rFonts w:hint="eastAsia" w:cs="Times New Roman" w:asciiTheme="minorEastAsia" w:hAnsiTheme="minorEastAsia"/>
          <w:b/>
          <w:sz w:val="44"/>
          <w:szCs w:val="44"/>
        </w:rPr>
        <w:t>唐山市丰南区南孙庄乡人民政府</w:t>
      </w:r>
    </w:p>
    <w:p>
      <w:pPr>
        <w:jc w:val="center"/>
        <w:rPr>
          <w:rFonts w:cs="Times New Roman" w:asciiTheme="minorEastAsia" w:hAnsiTheme="minorEastAsia"/>
          <w:b/>
          <w:sz w:val="28"/>
          <w:szCs w:val="28"/>
        </w:rPr>
      </w:pPr>
      <w:r>
        <w:rPr>
          <w:rFonts w:hint="eastAsia" w:cs="Times New Roman" w:asciiTheme="minorEastAsia" w:hAnsiTheme="minorEastAsia"/>
          <w:b/>
          <w:sz w:val="44"/>
          <w:szCs w:val="44"/>
        </w:rPr>
        <w:t>2018年部门预算信息公开</w:t>
      </w:r>
    </w:p>
    <w:p>
      <w:p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按照《预算法》、《地方预决算公开操作规程》和《河北省省级预算公开办法》规定，现将2018年部门预算公开如下：</w:t>
      </w:r>
    </w:p>
    <w:p>
      <w:pPr>
        <w:spacing w:line="560" w:lineRule="exact"/>
        <w:ind w:firstLine="672" w:firstLineChars="210"/>
        <w:jc w:val="left"/>
        <w:rPr>
          <w:rFonts w:hint="eastAsia" w:ascii="仿宋_GB2312" w:eastAsia="仿宋_GB2312"/>
          <w:b/>
          <w:sz w:val="32"/>
          <w:szCs w:val="32"/>
        </w:rPr>
      </w:pPr>
      <w:r>
        <w:rPr>
          <w:rFonts w:hint="eastAsia" w:ascii="仿宋_GB2312" w:hAnsi="仿宋" w:eastAsia="仿宋_GB2312"/>
          <w:sz w:val="32"/>
          <w:szCs w:val="32"/>
          <w:lang w:eastAsia="zh-CN"/>
        </w:rPr>
        <w:t>一、</w:t>
      </w:r>
      <w:r>
        <w:rPr>
          <w:rFonts w:hint="eastAsia" w:ascii="仿宋_GB2312" w:eastAsia="仿宋_GB2312"/>
          <w:b/>
          <w:sz w:val="32"/>
          <w:szCs w:val="32"/>
        </w:rPr>
        <w:t>部门职责</w:t>
      </w:r>
      <w:r>
        <w:rPr>
          <w:rFonts w:hint="eastAsia" w:ascii="仿宋_GB2312" w:eastAsia="仿宋_GB2312"/>
          <w:b/>
          <w:sz w:val="32"/>
          <w:szCs w:val="32"/>
          <w:lang w:eastAsia="zh-CN"/>
        </w:rPr>
        <w:t>及机构设置情况</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b w:val="0"/>
          <w:bCs w:val="0"/>
          <w:sz w:val="32"/>
          <w:szCs w:val="32"/>
        </w:rPr>
        <w:t>部门职责：</w:t>
      </w:r>
      <w:r>
        <w:rPr>
          <w:rFonts w:hint="eastAsia" w:ascii="仿宋_GB2312" w:hAnsi="仿宋" w:eastAsia="仿宋_GB2312"/>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1、执行本级人民代表大会的决议和上级国家行政机关的决定和命令，发布决定和命令；</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2、执行本行政区域内的经济和社会发展计划、预算，管理本行政区域内的经济、教育、科学、文化、卫生、体育事业和财政、民政、公安、司法行政、计划生育等行政工作；</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3、保护社会主义的全民所有的财产和劳动群众集体所有的财产，保护公民私人所有的合法财产，维护社会秩序，保障公民的人身权利、民主权利和其他权利；</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4、保护各种经济组织的合法权益；</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5、保障少数民族的权利和尊重少数民族的风俗习惯；</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6、办理上级区委、区政府交办的其他事项。</w:t>
      </w:r>
    </w:p>
    <w:p>
      <w:pPr>
        <w:spacing w:line="560" w:lineRule="exact"/>
        <w:ind w:firstLine="672" w:firstLineChars="210"/>
        <w:jc w:val="left"/>
        <w:rPr>
          <w:rFonts w:hint="eastAsia" w:ascii="仿宋_GB2312" w:hAnsi="仿宋" w:eastAsia="仿宋_GB2312"/>
          <w:sz w:val="32"/>
          <w:szCs w:val="32"/>
        </w:rPr>
      </w:pPr>
      <w:r>
        <w:rPr>
          <w:rFonts w:hint="eastAsia" w:ascii="仿宋_GB2312" w:hAnsi="仿宋" w:eastAsia="仿宋_GB2312"/>
          <w:sz w:val="32"/>
          <w:szCs w:val="32"/>
        </w:rPr>
        <w:t>机构设置</w:t>
      </w:r>
      <w:r>
        <w:rPr>
          <w:rFonts w:hint="eastAsia" w:ascii="仿宋_GB2312" w:hAnsi="仿宋" w:eastAsia="仿宋_GB2312"/>
          <w:sz w:val="32"/>
          <w:szCs w:val="32"/>
          <w:lang w:eastAsia="zh-CN"/>
        </w:rPr>
        <w:t>：唐山市丰南区南孙庄乡人民政府财政拨款的行政机关。</w:t>
      </w:r>
      <w:r>
        <w:rPr>
          <w:rFonts w:hint="eastAsia" w:ascii="仿宋_GB2312" w:hAnsi="仿宋" w:eastAsia="仿宋_GB2312"/>
          <w:sz w:val="32"/>
          <w:szCs w:val="32"/>
        </w:rPr>
        <w:t>机构规格为正科级单位。</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内设6个行政机构，具体包括：</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党政综合办公室，负责承办党委、人大、纪检、组织、宣传、统战、政法、共青团、妇联、武装和农村工作；协调各办公室的工作关系；负责政府日常事务和机关后勤工作；承办党委政府交办的其他事项。</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纪检监察办公室，负责督促镇各级党组织和党员干部遵守党章和其他党内法规。检查党的路线方针政策决议、决定的执行情况；协助镇党委加强农村党风廉政建设和反腐败工作；开展党员干部反腐倡廉教育；对党员干部行使权力和廉洁自律情况进行监督；指导村级纪检组织、村务监督机构和辖区内企业纪律组织工作；受理群众信访举报，调查处理党组织和党员违纪案件；受理党员的控告申诉，保障党员权利。</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计划生育办公室，贯彻执行人口和计划生育工作的法律、法规；编制人口发展中、长期规划和年度计划，负责本辖区计划生育统计工作和对人口统计数据进行分析研究，实施计划生育抽样调查；负责计划生育宣传教育工作；制定计划生育优质服务的规划、规范并组织实施，做好提高出生人口素质工作，编制计划生育药具需求计划工作；负责对本辖区流动人口计划生育的管理工作。</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农业综合办公室，制定本辖区农业、林业、畜牧业、水产养殖业、水务等技术推广计划并组织实施；承担农业、畜牧业、水产养殖业所需关键性技术的引进、实验、示范及适用技术的组装集成及推广；负责农机新机具的实验、示范、推广和普及，为有机户提供农机技术指导和信息服务；开展林业技术培训、技术咨询和技术服务等林业社会化服务，为林农提供产前、产中、产后服务；负责落实本乡镇范围内的农田水利基本建设、乡镇供水、人畜饮水、水土保持等各项服务工作。</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社会综合事务办公室，负责辖区内科技、文化、卫生、体育、教育、民族宗教、民政、社会保障等工作；负责乡镇卫生院、中小学等事业单位的协调服务工作。</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综合文化站，负责组织开展镇村两级文体活动；加强镇村两级文体队伍建设，并发现培养文体人才；协助党委政府搞好镇村两级文体设施建设；管理保护本乡镇内文物，挖掘保护本乡镇内非物质文化遗产；协助区文化部门监管文化市场。</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下设预算单位共9个，分别为：政府机关、财政、纪检、文化体育与传媒、社会保障和就业、医疗卫生与计划生育事务、其他城乡社区事务、农业、公安 ，其经费来源全部为财政拨款。</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人员构成</w:t>
      </w:r>
      <w:r>
        <w:rPr>
          <w:rFonts w:hint="eastAsia" w:ascii="仿宋" w:hAnsi="仿宋" w:eastAsia="仿宋" w:cs="Arial"/>
          <w:color w:val="222222"/>
          <w:sz w:val="32"/>
          <w:szCs w:val="32"/>
          <w:lang w:val="en-US" w:eastAsia="zh-CN"/>
        </w:rPr>
        <w:t>:</w:t>
      </w:r>
      <w:r>
        <w:rPr>
          <w:rFonts w:hint="eastAsia" w:ascii="仿宋" w:hAnsi="仿宋" w:eastAsia="仿宋" w:cs="Arial"/>
          <w:color w:val="222222"/>
          <w:sz w:val="32"/>
          <w:szCs w:val="32"/>
        </w:rPr>
        <w:t>我部门财政供养实有在职66人，其中行政编制24人、事业编制35人、人事代理2人，见习生5人。离退休人员13人。劳务派遣及其他临时人员30人。</w:t>
      </w:r>
    </w:p>
    <w:p>
      <w:pPr>
        <w:jc w:val="center"/>
        <w:outlineLvl w:val="0"/>
        <w:rPr>
          <w:rFonts w:ascii="Times New Roman" w:hAnsi="Times New Roman" w:eastAsia="方正小标宋_GBK" w:cs="Times New Roman"/>
          <w:sz w:val="32"/>
          <w:szCs w:val="24"/>
        </w:rPr>
      </w:pP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222222"/>
                <w:sz w:val="30"/>
                <w:szCs w:val="30"/>
              </w:rPr>
              <w:t>党政综合办公室</w:t>
            </w:r>
          </w:p>
        </w:tc>
        <w:tc>
          <w:tcPr>
            <w:tcW w:w="1134"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276"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股</w:t>
            </w:r>
            <w:r>
              <w:rPr>
                <w:rFonts w:hint="eastAsia" w:ascii="仿宋" w:hAnsi="仿宋" w:eastAsia="仿宋" w:cs="仿宋"/>
                <w:sz w:val="30"/>
                <w:szCs w:val="30"/>
              </w:rPr>
              <w:t>级</w:t>
            </w:r>
          </w:p>
        </w:tc>
        <w:tc>
          <w:tcPr>
            <w:tcW w:w="2902" w:type="dxa"/>
            <w:vAlign w:val="center"/>
          </w:tcPr>
          <w:p>
            <w:pPr>
              <w:spacing w:line="30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222222"/>
                <w:sz w:val="30"/>
                <w:szCs w:val="30"/>
              </w:rPr>
              <w:t>纪检监察办公室</w:t>
            </w:r>
          </w:p>
        </w:tc>
        <w:tc>
          <w:tcPr>
            <w:tcW w:w="1134"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276"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股</w:t>
            </w:r>
            <w:r>
              <w:rPr>
                <w:rFonts w:hint="eastAsia" w:ascii="仿宋" w:hAnsi="仿宋" w:eastAsia="仿宋" w:cs="仿宋"/>
                <w:sz w:val="30"/>
                <w:szCs w:val="30"/>
              </w:rPr>
              <w:t>级</w:t>
            </w:r>
          </w:p>
        </w:tc>
        <w:tc>
          <w:tcPr>
            <w:tcW w:w="2902" w:type="dxa"/>
            <w:vAlign w:val="center"/>
          </w:tcPr>
          <w:p>
            <w:pPr>
              <w:spacing w:line="30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222222"/>
                <w:sz w:val="30"/>
                <w:szCs w:val="30"/>
              </w:rPr>
              <w:t>计划生育办公室</w:t>
            </w:r>
          </w:p>
        </w:tc>
        <w:tc>
          <w:tcPr>
            <w:tcW w:w="1134"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276"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股</w:t>
            </w:r>
            <w:r>
              <w:rPr>
                <w:rFonts w:hint="eastAsia" w:ascii="仿宋" w:hAnsi="仿宋" w:eastAsia="仿宋" w:cs="仿宋"/>
                <w:sz w:val="30"/>
                <w:szCs w:val="30"/>
              </w:rPr>
              <w:t>级</w:t>
            </w:r>
          </w:p>
        </w:tc>
        <w:tc>
          <w:tcPr>
            <w:tcW w:w="2902" w:type="dxa"/>
            <w:vAlign w:val="center"/>
          </w:tcPr>
          <w:p>
            <w:pPr>
              <w:spacing w:line="30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222222"/>
                <w:sz w:val="30"/>
                <w:szCs w:val="30"/>
              </w:rPr>
              <w:t>农业综合办公室</w:t>
            </w:r>
          </w:p>
        </w:tc>
        <w:tc>
          <w:tcPr>
            <w:tcW w:w="1134"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事业</w:t>
            </w:r>
          </w:p>
        </w:tc>
        <w:tc>
          <w:tcPr>
            <w:tcW w:w="1276"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股</w:t>
            </w:r>
            <w:r>
              <w:rPr>
                <w:rFonts w:hint="eastAsia" w:ascii="仿宋" w:hAnsi="仿宋" w:eastAsia="仿宋" w:cs="仿宋"/>
                <w:sz w:val="30"/>
                <w:szCs w:val="30"/>
              </w:rPr>
              <w:t>级</w:t>
            </w:r>
          </w:p>
        </w:tc>
        <w:tc>
          <w:tcPr>
            <w:tcW w:w="2902" w:type="dxa"/>
            <w:vAlign w:val="center"/>
          </w:tcPr>
          <w:p>
            <w:pPr>
              <w:spacing w:line="30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szCs w:val="24"/>
              </w:rPr>
            </w:pPr>
            <w:r>
              <w:rPr>
                <w:rFonts w:hint="eastAsia" w:ascii="仿宋" w:hAnsi="仿宋" w:eastAsia="仿宋" w:cs="仿宋"/>
                <w:color w:val="222222"/>
                <w:sz w:val="30"/>
                <w:szCs w:val="30"/>
              </w:rPr>
              <w:t>社会综合事务办公室</w:t>
            </w:r>
          </w:p>
        </w:tc>
        <w:tc>
          <w:tcPr>
            <w:tcW w:w="1134"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事业</w:t>
            </w:r>
          </w:p>
        </w:tc>
        <w:tc>
          <w:tcPr>
            <w:tcW w:w="1276"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股</w:t>
            </w:r>
            <w:r>
              <w:rPr>
                <w:rFonts w:hint="eastAsia" w:ascii="仿宋" w:hAnsi="仿宋" w:eastAsia="仿宋" w:cs="仿宋"/>
                <w:sz w:val="30"/>
                <w:szCs w:val="30"/>
              </w:rPr>
              <w:t>级</w:t>
            </w:r>
          </w:p>
        </w:tc>
        <w:tc>
          <w:tcPr>
            <w:tcW w:w="2902" w:type="dxa"/>
            <w:vAlign w:val="center"/>
          </w:tcPr>
          <w:p>
            <w:pPr>
              <w:spacing w:line="30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仿宋" w:hAnsi="仿宋" w:eastAsia="仿宋" w:cs="仿宋"/>
                <w:color w:val="222222"/>
                <w:sz w:val="30"/>
                <w:szCs w:val="30"/>
              </w:rPr>
            </w:pPr>
            <w:r>
              <w:rPr>
                <w:rFonts w:hint="eastAsia" w:ascii="仿宋" w:hAnsi="仿宋" w:eastAsia="仿宋" w:cs="仿宋"/>
                <w:color w:val="222222"/>
                <w:sz w:val="30"/>
                <w:szCs w:val="30"/>
              </w:rPr>
              <w:t>综合文化站</w:t>
            </w:r>
          </w:p>
        </w:tc>
        <w:tc>
          <w:tcPr>
            <w:tcW w:w="1134"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事业</w:t>
            </w:r>
          </w:p>
        </w:tc>
        <w:tc>
          <w:tcPr>
            <w:tcW w:w="1276" w:type="dxa"/>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lang w:eastAsia="zh-CN"/>
              </w:rPr>
              <w:t>股</w:t>
            </w:r>
            <w:r>
              <w:rPr>
                <w:rFonts w:hint="eastAsia" w:ascii="仿宋" w:hAnsi="仿宋" w:eastAsia="仿宋" w:cs="仿宋"/>
                <w:sz w:val="30"/>
                <w:szCs w:val="30"/>
              </w:rPr>
              <w:t>级</w:t>
            </w:r>
          </w:p>
        </w:tc>
        <w:tc>
          <w:tcPr>
            <w:tcW w:w="2902" w:type="dxa"/>
            <w:vAlign w:val="center"/>
          </w:tcPr>
          <w:p>
            <w:pPr>
              <w:spacing w:line="300" w:lineRule="exact"/>
              <w:jc w:val="center"/>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财政拨款</w:t>
            </w:r>
          </w:p>
        </w:tc>
      </w:tr>
    </w:tbl>
    <w:p>
      <w:pPr>
        <w:ind w:firstLine="630" w:firstLineChars="196"/>
        <w:rPr>
          <w:rFonts w:hint="eastAsia" w:ascii="仿宋" w:hAnsi="仿宋" w:eastAsia="仿宋" w:cs="仿宋"/>
          <w:b/>
          <w:sz w:val="32"/>
          <w:szCs w:val="32"/>
        </w:rPr>
      </w:pPr>
      <w:r>
        <w:rPr>
          <w:rFonts w:hint="eastAsia" w:ascii="仿宋" w:hAnsi="仿宋" w:eastAsia="仿宋" w:cs="仿宋"/>
          <w:b/>
          <w:sz w:val="32"/>
          <w:szCs w:val="32"/>
        </w:rPr>
        <w:t>二、部门预算安排的总体情况</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仿宋"/>
          <w:b w:val="0"/>
          <w:bCs w:val="0"/>
          <w:sz w:val="32"/>
          <w:szCs w:val="32"/>
        </w:rPr>
        <w:t>1、收入说明</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ascii="仿宋" w:hAnsi="仿宋" w:eastAsia="仿宋" w:cs="Arial"/>
          <w:color w:val="222222"/>
          <w:sz w:val="32"/>
          <w:szCs w:val="32"/>
        </w:rPr>
        <w:t>201</w:t>
      </w:r>
      <w:r>
        <w:rPr>
          <w:rFonts w:hint="eastAsia" w:ascii="仿宋" w:hAnsi="仿宋" w:eastAsia="仿宋" w:cs="Arial"/>
          <w:color w:val="222222"/>
          <w:sz w:val="32"/>
          <w:szCs w:val="32"/>
        </w:rPr>
        <w:t>8年度部门预算收入1506.18万元。其中：一般公共预算拨款1506.18万元，政府性基金预算拨款0万元，国有资本经营预算拨款0万元，财政专户核拨0万元，其他来源收入0万元。</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lang w:val="en-US" w:eastAsia="zh-CN"/>
        </w:rPr>
        <w:t>2</w:t>
      </w:r>
      <w:r>
        <w:rPr>
          <w:rFonts w:hint="eastAsia" w:ascii="仿宋" w:hAnsi="仿宋" w:eastAsia="仿宋" w:cs="Arial"/>
          <w:color w:val="222222"/>
          <w:sz w:val="32"/>
          <w:szCs w:val="32"/>
        </w:rPr>
        <w:t>、支出说明</w:t>
      </w:r>
    </w:p>
    <w:p>
      <w:pPr>
        <w:ind w:firstLine="640"/>
        <w:rPr>
          <w:rFonts w:ascii="仿宋" w:hAnsi="仿宋" w:eastAsia="仿宋" w:cs="Arial"/>
          <w:color w:val="222222"/>
          <w:sz w:val="32"/>
          <w:szCs w:val="32"/>
        </w:rPr>
      </w:pPr>
      <w:r>
        <w:rPr>
          <w:rFonts w:hint="eastAsia" w:ascii="仿宋" w:hAnsi="仿宋" w:eastAsia="仿宋" w:cs="Arial"/>
          <w:color w:val="222222"/>
          <w:sz w:val="32"/>
          <w:szCs w:val="32"/>
        </w:rPr>
        <w:t>部门预算支出1506.18万元，其中：基本支出909.48万元，项目支出596.70万元。基本支出包括人员经费支出823万元，日常公用经费支出86.48万元。人员经费包括：工资福利支出815.48万元（其中：基本工资197.29万元，津贴补贴155.99万元，公务移动话费补贴10.86万元，公务交通补贴13.06万元，奖金38.84万元，绩效工资149.22万元,社会保障缴费198.83万元， 住房公积金51.39万元）；对个人和家庭的补助7.52万元（其中：退休费2.8万元，抚恤金4.32万元，奖励金0.4万元）。日常公用经费包括：办公费40.6万元，邮电费0.4万元，专用材料费7.56万元，公务用车运行维护费24万元，工会费8.03万元，福利费5.89万元。</w:t>
      </w:r>
    </w:p>
    <w:p>
      <w:pPr>
        <w:ind w:firstLine="800" w:firstLineChars="250"/>
        <w:rPr>
          <w:rFonts w:ascii="仿宋" w:hAnsi="仿宋" w:eastAsia="仿宋" w:cs="Times New Roman"/>
          <w:sz w:val="32"/>
          <w:szCs w:val="32"/>
        </w:rPr>
      </w:pPr>
      <w:r>
        <w:rPr>
          <w:rFonts w:hint="eastAsia" w:ascii="仿宋" w:hAnsi="仿宋" w:eastAsia="仿宋" w:cs="Arial"/>
          <w:color w:val="222222"/>
          <w:sz w:val="32"/>
          <w:szCs w:val="32"/>
          <w:lang w:val="en-US" w:eastAsia="zh-CN"/>
        </w:rPr>
        <w:t>3</w:t>
      </w:r>
      <w:r>
        <w:rPr>
          <w:rFonts w:hint="eastAsia" w:ascii="仿宋" w:hAnsi="仿宋" w:eastAsia="仿宋" w:cs="Arial"/>
          <w:color w:val="222222"/>
          <w:sz w:val="32"/>
          <w:szCs w:val="32"/>
        </w:rPr>
        <w:t>、</w:t>
      </w:r>
      <w:r>
        <w:rPr>
          <w:rFonts w:hint="eastAsia" w:ascii="仿宋" w:hAnsi="仿宋" w:eastAsia="仿宋" w:cs="Times New Roman"/>
          <w:sz w:val="32"/>
          <w:szCs w:val="32"/>
        </w:rPr>
        <w:t>部门预算比上年增减情况</w:t>
      </w:r>
    </w:p>
    <w:p>
      <w:pPr>
        <w:ind w:firstLine="640"/>
        <w:rPr>
          <w:rFonts w:ascii="仿宋" w:hAnsi="仿宋" w:eastAsia="仿宋" w:cs="Arial"/>
          <w:color w:val="222222"/>
          <w:sz w:val="32"/>
          <w:szCs w:val="32"/>
        </w:rPr>
      </w:pPr>
      <w:r>
        <w:rPr>
          <w:rFonts w:hint="eastAsia" w:ascii="仿宋" w:hAnsi="仿宋" w:eastAsia="仿宋" w:cs="Arial"/>
          <w:color w:val="222222"/>
          <w:sz w:val="32"/>
          <w:szCs w:val="32"/>
        </w:rPr>
        <w:t>本年度收支预算均比上年增加110.2万元，基本支出增长25.09万元，主要是增加人员经费及相应增加的工会费和福利费；项目经费增加85.11万元，主要由于劳务派遣人员增加以及优抚对象生活补助提标等原因。</w:t>
      </w:r>
    </w:p>
    <w:p>
      <w:pPr>
        <w:ind w:firstLine="643" w:firstLineChars="200"/>
        <w:rPr>
          <w:rFonts w:ascii="仿宋" w:hAnsi="仿宋" w:eastAsia="仿宋" w:cs="Arial"/>
          <w:color w:val="222222"/>
          <w:sz w:val="32"/>
          <w:szCs w:val="32"/>
        </w:rPr>
      </w:pPr>
      <w:r>
        <w:rPr>
          <w:rFonts w:hint="eastAsia" w:ascii="仿宋_GB2312" w:hAnsi="仿宋" w:eastAsia="仿宋_GB2312"/>
          <w:b/>
          <w:bCs/>
          <w:sz w:val="32"/>
          <w:szCs w:val="32"/>
          <w:lang w:eastAsia="zh-CN"/>
        </w:rPr>
        <w:t>三</w:t>
      </w:r>
      <w:r>
        <w:rPr>
          <w:rFonts w:hint="eastAsia" w:ascii="仿宋_GB2312" w:hAnsi="仿宋" w:eastAsia="仿宋_GB2312"/>
          <w:b/>
          <w:bCs/>
          <w:sz w:val="32"/>
          <w:szCs w:val="32"/>
        </w:rPr>
        <w:t>、机关运行经费安排情况</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日常公用经费86.48万元，具体包括：基础定额项目48.56万元（其中：办公费40.6万元，邮电费0.4万元，专用材料费7.56万元），公务用车运行维护费24万元（其中：公务用车燃修费22.5万元，公务用车保险费1.5万元），按规定比例计提项目13.92万元（工会费8.03万元，福利费5.89万元）。</w:t>
      </w:r>
    </w:p>
    <w:p>
      <w:pPr>
        <w:numPr>
          <w:ilvl w:val="0"/>
          <w:numId w:val="1"/>
        </w:numPr>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财政拨款“三公”经费预算情况及增减变化原因</w:t>
      </w:r>
    </w:p>
    <w:p>
      <w:pPr>
        <w:numPr>
          <w:ilvl w:val="0"/>
          <w:numId w:val="0"/>
        </w:num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2018年，我单位“三公”经费预算安排</w:t>
      </w:r>
      <w:r>
        <w:rPr>
          <w:rFonts w:ascii="仿宋" w:hAnsi="仿宋" w:eastAsia="仿宋" w:cs="Arial"/>
          <w:color w:val="222222"/>
          <w:sz w:val="32"/>
          <w:szCs w:val="32"/>
        </w:rPr>
        <w:t>2</w:t>
      </w:r>
      <w:r>
        <w:rPr>
          <w:rFonts w:hint="eastAsia" w:ascii="仿宋" w:hAnsi="仿宋" w:eastAsia="仿宋" w:cs="Arial"/>
          <w:color w:val="222222"/>
          <w:sz w:val="32"/>
          <w:szCs w:val="32"/>
        </w:rPr>
        <w:t>4万元，与上年预算持平。具体安排情况为：</w:t>
      </w:r>
    </w:p>
    <w:p>
      <w:p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（一）公务用车购置及运行费。共计安排24万元，①公务用车购置安排0万元。②公车运行维护经费安排24万元,无增减变动。</w:t>
      </w:r>
    </w:p>
    <w:p>
      <w:p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（二）公务接待费。安排0万元，与上年持平，无增减变动。</w:t>
      </w:r>
    </w:p>
    <w:p>
      <w:p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（三）因公出国（境）费。安排</w:t>
      </w:r>
      <w:r>
        <w:rPr>
          <w:rFonts w:ascii="仿宋" w:hAnsi="仿宋" w:eastAsia="仿宋" w:cs="Arial"/>
          <w:color w:val="222222"/>
          <w:sz w:val="32"/>
          <w:szCs w:val="32"/>
        </w:rPr>
        <w:t>0</w:t>
      </w:r>
      <w:r>
        <w:rPr>
          <w:rFonts w:hint="eastAsia" w:ascii="仿宋" w:hAnsi="仿宋" w:eastAsia="仿宋" w:cs="Arial"/>
          <w:color w:val="222222"/>
          <w:sz w:val="32"/>
          <w:szCs w:val="32"/>
        </w:rPr>
        <w:t>万元，与上年持平。无增减变动。</w:t>
      </w:r>
    </w:p>
    <w:p>
      <w:pPr>
        <w:spacing w:line="560" w:lineRule="exact"/>
        <w:ind w:firstLine="675" w:firstLineChars="210"/>
        <w:jc w:val="left"/>
        <w:rPr>
          <w:rFonts w:hint="eastAsia" w:ascii="仿宋_GB2312" w:hAnsi="仿宋" w:eastAsia="仿宋_GB2312"/>
          <w:b/>
          <w:bCs/>
          <w:sz w:val="32"/>
          <w:szCs w:val="32"/>
        </w:rPr>
      </w:pPr>
      <w:r>
        <w:rPr>
          <w:rFonts w:hint="eastAsia" w:ascii="仿宋_GB2312" w:hAnsi="仿宋" w:eastAsia="仿宋_GB2312"/>
          <w:b/>
          <w:bCs/>
          <w:sz w:val="32"/>
          <w:szCs w:val="32"/>
          <w:lang w:eastAsia="zh-CN"/>
        </w:rPr>
        <w:t>五</w:t>
      </w:r>
      <w:r>
        <w:rPr>
          <w:rFonts w:hint="eastAsia" w:ascii="仿宋_GB2312" w:hAnsi="仿宋" w:eastAsia="仿宋_GB2312"/>
          <w:b/>
          <w:bCs/>
          <w:sz w:val="32"/>
          <w:szCs w:val="32"/>
        </w:rPr>
        <w:t>、绩效预算信息</w:t>
      </w:r>
    </w:p>
    <w:p>
      <w:p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一）总体绩效目标：2018年，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w:t>
      </w:r>
    </w:p>
    <w:p>
      <w:pPr>
        <w:ind w:firstLine="640" w:firstLineChars="200"/>
        <w:rPr>
          <w:rFonts w:ascii="仿宋" w:hAnsi="仿宋" w:eastAsia="仿宋" w:cs="Arial"/>
          <w:color w:val="222222"/>
          <w:sz w:val="32"/>
          <w:szCs w:val="32"/>
        </w:rPr>
      </w:pPr>
    </w:p>
    <w:p>
      <w:pPr>
        <w:ind w:firstLine="640" w:firstLineChars="200"/>
        <w:rPr>
          <w:rFonts w:ascii="仿宋" w:hAnsi="仿宋" w:eastAsia="仿宋" w:cs="Arial"/>
          <w:color w:val="222222"/>
          <w:sz w:val="32"/>
          <w:szCs w:val="32"/>
        </w:rPr>
        <w:sectPr>
          <w:pgSz w:w="11906" w:h="16838"/>
          <w:pgMar w:top="1440" w:right="1800" w:bottom="1440" w:left="1800" w:header="851" w:footer="992" w:gutter="0"/>
          <w:cols w:space="425" w:num="1"/>
          <w:docGrid w:type="lines" w:linePitch="312" w:charSpace="0"/>
        </w:sectPr>
      </w:pPr>
    </w:p>
    <w:p>
      <w:pPr>
        <w:numPr>
          <w:ilvl w:val="0"/>
          <w:numId w:val="2"/>
        </w:numPr>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部门职责及工作活动绩效目标指标：</w:t>
      </w:r>
      <w:bookmarkStart w:id="0" w:name="_Toc475452133"/>
      <w:r>
        <w:rPr>
          <w:rFonts w:hint="eastAsia" w:ascii="仿宋" w:hAnsi="仿宋" w:eastAsia="仿宋" w:cs="Arial"/>
          <w:color w:val="222222"/>
          <w:sz w:val="32"/>
          <w:szCs w:val="32"/>
        </w:rPr>
        <w:t>部门职责</w:t>
      </w:r>
      <w:r>
        <w:rPr>
          <w:rFonts w:ascii="仿宋" w:hAnsi="仿宋" w:eastAsia="仿宋" w:cs="Arial"/>
          <w:color w:val="222222"/>
          <w:sz w:val="32"/>
          <w:szCs w:val="32"/>
        </w:rPr>
        <w:t>-</w:t>
      </w:r>
      <w:r>
        <w:rPr>
          <w:rFonts w:hint="eastAsia" w:ascii="仿宋" w:hAnsi="仿宋" w:eastAsia="仿宋" w:cs="Arial"/>
          <w:color w:val="222222"/>
          <w:sz w:val="32"/>
          <w:szCs w:val="32"/>
        </w:rPr>
        <w:t>工作活动绩效目标</w:t>
      </w:r>
      <w:bookmarkEnd w:id="0"/>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544</w:t>
            </w:r>
            <w:r>
              <w:rPr>
                <w:rFonts w:hint="eastAsia" w:ascii="仿宋" w:hAnsi="仿宋" w:eastAsia="仿宋" w:cs="Arial"/>
                <w:color w:val="222222"/>
                <w:sz w:val="30"/>
                <w:szCs w:val="30"/>
              </w:rPr>
              <w:t>唐山市丰南区南孙庄乡人民政府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一、政府政务管理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551.44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制定和组织实施经济、科技和社会发展计划，组织实施村镇建设规划，部署重点工程建设，负责本行政区域内的民政、卫生、体育等社会公益事业的综合性工作</w:t>
            </w:r>
            <w:r>
              <w:rPr>
                <w:rFonts w:ascii="方正书宋_GBK" w:eastAsia="方正书宋_GBK"/>
              </w:rPr>
              <w:t>,</w:t>
            </w:r>
            <w:r>
              <w:rPr>
                <w:rFonts w:hint="eastAsia" w:ascii="方正书宋_GBK" w:eastAsia="方正书宋_GBK"/>
              </w:rPr>
              <w:t>完成上级政府交办的其它事项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突出政务、加强事务管理，增强工作综合服务实力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、政府政务管理工作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551.44</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贯彻执行党的路线方针、政策和国家法律法规，贯彻执行上级行政机关命令及同级党委的决定和人代会决议；扎实经济建设工作；提升精细化管理，改善辖区整体环境；强化社会管理统筹施策普惠于民；强化公共服务，巩固辖区稳定，夯实基层建设，谋划健全机制完成乡镇党委政府交办的其他事情</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确保辖区内政务事务顺利开展，维护辖区内社会稳定，保障乡镇临时人员工资，落实优抚对象待遇，保障五保人员日常管理，保障校车经费支出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群众满意率评价</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日以后发放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工作事务完成率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二、乡镇财政管理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贯彻执行各项财经法律、法规和制度</w:t>
            </w:r>
          </w:p>
          <w:p>
            <w:pPr>
              <w:spacing w:line="300" w:lineRule="exact"/>
              <w:jc w:val="left"/>
              <w:rPr>
                <w:rFonts w:ascii="方正书宋_GBK" w:eastAsia="方正书宋_GBK"/>
              </w:rPr>
            </w:pPr>
            <w:r>
              <w:rPr>
                <w:rFonts w:hint="eastAsia" w:ascii="方正书宋_GBK" w:eastAsia="方正书宋_GBK"/>
              </w:rPr>
              <w:t>拟定乡镇财政发展规划，提出加强乡镇财政管理的意见和建议。</w:t>
            </w:r>
          </w:p>
          <w:p>
            <w:pPr>
              <w:spacing w:line="300" w:lineRule="exact"/>
              <w:jc w:val="left"/>
              <w:rPr>
                <w:rFonts w:ascii="方正书宋_GBK" w:eastAsia="方正书宋_GBK"/>
              </w:rPr>
            </w:pPr>
            <w:r>
              <w:rPr>
                <w:rFonts w:hint="eastAsia" w:ascii="方正书宋_GBK" w:eastAsia="方正书宋_GBK"/>
              </w:rPr>
              <w:t>负责乡镇政府年度预、决算管理并组织预算执行。</w:t>
            </w:r>
          </w:p>
          <w:p>
            <w:pPr>
              <w:spacing w:line="300" w:lineRule="exact"/>
              <w:jc w:val="left"/>
              <w:rPr>
                <w:rFonts w:ascii="方正书宋_GBK" w:eastAsia="方正书宋_GBK"/>
              </w:rPr>
            </w:pPr>
            <w:r>
              <w:rPr>
                <w:rFonts w:hint="eastAsia" w:ascii="方正书宋_GBK" w:eastAsia="方正书宋_GBK"/>
              </w:rPr>
              <w:t>协助税务机关和非税收入执行执收执罚部门征缴财政收入</w:t>
            </w:r>
          </w:p>
          <w:p>
            <w:pPr>
              <w:spacing w:line="300" w:lineRule="exact"/>
              <w:jc w:val="left"/>
              <w:rPr>
                <w:rFonts w:ascii="方正书宋_GBK" w:eastAsia="方正书宋_GBK"/>
              </w:rPr>
            </w:pPr>
            <w:r>
              <w:rPr>
                <w:rFonts w:hint="eastAsia" w:ascii="方正书宋_GBK" w:eastAsia="方正书宋_GBK"/>
              </w:rPr>
              <w:t>负责乡镇财政管理的涉农补贴类和项目类资金管理、监督、组织开展绩效评价</w:t>
            </w:r>
          </w:p>
          <w:p>
            <w:pPr>
              <w:spacing w:line="300" w:lineRule="exact"/>
              <w:jc w:val="left"/>
              <w:rPr>
                <w:rFonts w:ascii="方正书宋_GBK" w:eastAsia="方正书宋_GBK"/>
              </w:rPr>
            </w:pPr>
            <w:r>
              <w:rPr>
                <w:rFonts w:hint="eastAsia" w:ascii="方正书宋_GBK" w:eastAsia="方正书宋_GBK"/>
              </w:rPr>
              <w:t>管理乡镇行政事业单位国有资产、政府性债权债务等工作。</w:t>
            </w:r>
          </w:p>
          <w:p>
            <w:pPr>
              <w:spacing w:line="300" w:lineRule="exact"/>
              <w:jc w:val="left"/>
              <w:rPr>
                <w:rFonts w:ascii="方正书宋_GBK" w:eastAsia="方正书宋_GBK"/>
              </w:rPr>
            </w:pPr>
            <w:r>
              <w:rPr>
                <w:rFonts w:hint="eastAsia" w:ascii="方正书宋_GBK" w:eastAsia="方正书宋_GBK"/>
              </w:rPr>
              <w:t>承办乡镇党委、政府及区财政部门交办的其他工作。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管好财政资金，做到应收尽收，增强财政实力，确保涉农资金专款专用，及时发放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、乡镇财政工作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18.00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和管理乡镇财政收入和支出，编制执行乡镇年度财政预算，监督乡镇单位预算执行，编制财政决算。负责对乡镇国有资产的购置、登记、处置进行管理，确保乡镇国有资产安全和保值增值。贯彻党和国家财经方针政策，严格执行财政法规和财经制度，监督乡镇范围内各单位的财务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贯彻党和国家财经方针政策，严格执行财政法规和财经制度，落实好乡镇财政收支、预决算、财政监督职能，保障财政各项工作顺利开展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日以后发放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群众满意率评价</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一般公共预算收入完成率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三、纪检监察</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负责组织协调党风廉政建设和反腐败工作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负责组织协调党风廉政建设和反腐败工作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、纪检工作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负责组织协调乡镇、村级党风廉政建设和反腐败工作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机关廉政建设和反腐败的成效群众满意度评价；村级组织廉政建设和反腐败工作成效对村民的满意度；执法案件的成功率；办理案件数</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限时结案率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群众满意率评价</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四、文化宣传</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组织开展丰富多彩、群众喜闻乐见的文化娱乐和体育活动，普及科学文化知识，向广大人民群众进行社会主义思想道德、科学教育、共产主义思想教育和党的方针政策的宣传教育。</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普及科学文化知识，向广大人民群众进行社会主义思想道德、科学教育、共产主义思想教育和党的方针政策的宣传教育。</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、文化宣传工作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丰富多彩、群众喜闻乐见的文化娱乐和体育活动，普及科学文化知识，传递经济信息，为经济建设服务。运用各种文化艺术手段以及群众性的文化、体育活动，向广大人民群众进行社会主义思想道德、科学教育、共产主义思想教育和党的方针政策的宣传教育</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普及科学文化知识，向广大人民群众进行社会主义思想道德、科学教育、共产主义思想教育和党的方针政策的宣传教育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开展提升文化素养的宣传培训受益率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群众满意率评价</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群众知晓率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五、新闻广播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贯彻执行党和国家关于广播影视电视、新闻出版、版权等工作的法律法规和方针、政策、研究拟订广播电视、新闻出版及版权管理工作的政策、规定和措施，组织并实施监督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负责承办本镇政府和上级广播电视新闻出版部门交办的其他事项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、广播影视工作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做好新闻整体规划，精心组织重大主题报道、广播新闻外宣和创优工作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普及科学文化知识，向广大人民群众进行社会主义思想道德、科学教育、共产主义思想教育和党的方针政策的宣传教育</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公共服务活动数量（项）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项</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设施达标率（</w:t>
            </w:r>
            <w:r>
              <w:rPr>
                <w:rFont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农家书屋出版物补充、更新率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六、计划生育管理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27.26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管理计划生育技术服务工作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管理计划生育技术服务工作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27.26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开展计划生育法规、政策知识的宣传、教育工作的认知度；管理计划生育技术服务工作，开展计划生育技术服务，负责避孕药具的管理、发放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进行计划生育的管理、服务工作群众满意度；进一步完善技术服务工作的满意度，管理计划生育免费技术服务工作，落实计生专干和小组长待遇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日以后发放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群众满意率评价</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群众知晓率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七、城乡社区管理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负责做好社区日常党务工作，组织社区完成日常工作和各项工作目标任务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负责镇、村两级项目的规划和重点建设的实施管理、并实施监督；为辖区内道路、桥涵等公共设施维护与管理提供保障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、城乡社区工作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城乡社区管理事务、城乡社区公共设施、环境卫生，其他城乡社会事务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对辖区内进行合理规划，为辖区内道路、桥涵等公共设施维护与管理提供保障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日以后发放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配套设施完成率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受益群众的满意度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八、农业、林业管理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负责本行政区域内的农业、林业等社会事业的综合性工作。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农业、林业等社会事业综合协调发展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、农村农业林业服务管理工作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粮食、蔬菜生产、农业科技培训、测土配方施肥、良种补贴、农产品检测、农业政策性保险等与农技推广有关的工作，林地测量、路林管护、林业占地、林业用树苗、各项绿化工程建设、林权制度改革、林业病虫害防治等与林业有关的各项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农业事业综合协调发展，落实村干部职务补贴，村级运转经费，支持森林抚育面积（亩）；绿化攻坚、持续绿化攻坚、绿色家园、绿色生态工程申报、验收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改造提升重点村数量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个村</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个村</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个村</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日内发放</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r>
              <w:rPr>
                <w:rFonts w:hint="eastAsia" w:ascii="方正书宋_GBK" w:eastAsia="方正书宋_GBK"/>
              </w:rPr>
              <w:t>日以后发放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群众满意率评价</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九、辖区内公共安全管理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维护辖区内治安工作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维护社会政治稳定，打击犯罪活动和查处违法活动，人口管理，社会防范，为民服务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、辖区内公共安全管理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收集、掌握、报告影响社会稳定的情报信息，管理辖区内的实有人口，依法监督、指导辖区内的机关、团体、企业、事业单位的治安保卫工作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维护社会政治稳定，打击犯罪活动和查处违法活动，人口管理，社会防范，为民服务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限时结案率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重大安保任务完成率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矛盾纠纷调处率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bl>
    <w:p>
      <w:pPr>
        <w:rPr>
          <w:rFonts w:ascii="仿宋" w:hAnsi="仿宋" w:eastAsia="仿宋" w:cs="Arial"/>
          <w:color w:val="222222"/>
          <w:sz w:val="30"/>
          <w:szCs w:val="30"/>
        </w:rPr>
      </w:pPr>
    </w:p>
    <w:p>
      <w:pPr>
        <w:ind w:firstLine="600" w:firstLineChars="200"/>
        <w:rPr>
          <w:rFonts w:ascii="仿宋" w:hAnsi="仿宋" w:eastAsia="仿宋" w:cs="Arial"/>
          <w:color w:val="222222"/>
          <w:sz w:val="30"/>
          <w:szCs w:val="30"/>
        </w:rPr>
        <w:sectPr>
          <w:pgSz w:w="16838" w:h="11906" w:orient="landscape"/>
          <w:pgMar w:top="1588" w:right="1440" w:bottom="1588" w:left="1440" w:header="851" w:footer="992" w:gutter="0"/>
          <w:cols w:space="425" w:num="1"/>
          <w:docGrid w:type="lines" w:linePitch="312" w:charSpace="0"/>
        </w:sectPr>
      </w:pPr>
    </w:p>
    <w:p>
      <w:pPr>
        <w:widowControl/>
        <w:tabs>
          <w:tab w:val="left" w:pos="5552"/>
          <w:tab w:val="left" w:pos="7323"/>
          <w:tab w:val="left" w:pos="12218"/>
          <w:tab w:val="left" w:pos="14365"/>
          <w:tab w:val="left" w:pos="17759"/>
          <w:tab w:val="left" w:pos="19300"/>
          <w:tab w:val="left" w:pos="20220"/>
        </w:tabs>
        <w:ind w:left="10" w:leftChars="5" w:firstLine="726" w:firstLineChars="226"/>
        <w:jc w:val="left"/>
        <w:rPr>
          <w:rFonts w:hint="eastAsia" w:ascii="仿宋_GB2312" w:hAnsi="黑体" w:eastAsia="仿宋_GB2312"/>
          <w:b/>
          <w:sz w:val="32"/>
          <w:szCs w:val="32"/>
          <w:lang w:val="en-US" w:eastAsia="zh-CN"/>
        </w:rPr>
      </w:pPr>
      <w:r>
        <w:rPr>
          <w:rFonts w:hint="eastAsia" w:ascii="仿宋_GB2312" w:hAnsi="黑体" w:eastAsia="仿宋_GB2312"/>
          <w:b/>
          <w:sz w:val="32"/>
          <w:szCs w:val="32"/>
          <w:lang w:eastAsia="zh-CN"/>
        </w:rPr>
        <w:t>六</w:t>
      </w:r>
      <w:r>
        <w:rPr>
          <w:rFonts w:hint="eastAsia" w:ascii="仿宋_GB2312" w:hAnsi="黑体" w:eastAsia="仿宋_GB2312"/>
          <w:b/>
          <w:sz w:val="32"/>
          <w:szCs w:val="32"/>
        </w:rPr>
        <w:t>、政府采购预算信息</w:t>
      </w:r>
      <w:r>
        <w:rPr>
          <w:rFonts w:hint="eastAsia" w:ascii="仿宋_GB2312" w:hAnsi="黑体" w:eastAsia="仿宋_GB2312"/>
          <w:b/>
          <w:sz w:val="32"/>
          <w:szCs w:val="32"/>
          <w:lang w:val="en-US" w:eastAsia="zh-CN"/>
        </w:rPr>
        <w:t xml:space="preserve">  </w:t>
      </w:r>
    </w:p>
    <w:p>
      <w:pPr>
        <w:widowControl/>
        <w:tabs>
          <w:tab w:val="left" w:pos="5552"/>
          <w:tab w:val="left" w:pos="7323"/>
          <w:tab w:val="left" w:pos="12218"/>
          <w:tab w:val="left" w:pos="14365"/>
          <w:tab w:val="left" w:pos="17759"/>
          <w:tab w:val="left" w:pos="19300"/>
          <w:tab w:val="left" w:pos="20220"/>
        </w:tabs>
        <w:ind w:left="10" w:leftChars="5" w:firstLine="723" w:firstLineChars="226"/>
        <w:jc w:val="left"/>
        <w:rPr>
          <w:rFonts w:ascii="仿宋" w:hAnsi="仿宋" w:eastAsia="仿宋" w:cs="Arial"/>
          <w:color w:val="222222"/>
          <w:sz w:val="32"/>
          <w:szCs w:val="32"/>
        </w:rPr>
      </w:pPr>
      <w:r>
        <w:rPr>
          <w:rFonts w:hint="eastAsia" w:ascii="仿宋" w:hAnsi="仿宋" w:eastAsia="仿宋" w:cs="Arial"/>
          <w:color w:val="222222"/>
          <w:sz w:val="32"/>
          <w:szCs w:val="32"/>
        </w:rPr>
        <w:t>2018年此项目无数据。</w:t>
      </w:r>
    </w:p>
    <w:p>
      <w:pPr>
        <w:autoSpaceDE w:val="0"/>
        <w:autoSpaceDN w:val="0"/>
        <w:adjustRightInd w:val="0"/>
        <w:ind w:firstLine="643" w:firstLineChars="200"/>
        <w:jc w:val="left"/>
        <w:rPr>
          <w:rFonts w:ascii="仿宋" w:hAnsi="仿宋" w:eastAsia="仿宋" w:cs="Arial"/>
          <w:color w:val="222222"/>
          <w:sz w:val="32"/>
          <w:szCs w:val="32"/>
        </w:rPr>
      </w:pPr>
      <w:r>
        <w:rPr>
          <w:rFonts w:hint="eastAsia" w:ascii="仿宋_GB2312" w:hAnsi="仿宋" w:eastAsia="仿宋_GB2312"/>
          <w:b/>
          <w:bCs/>
          <w:sz w:val="32"/>
          <w:szCs w:val="32"/>
          <w:lang w:eastAsia="zh-CN"/>
        </w:rPr>
        <w:t>七</w:t>
      </w:r>
      <w:r>
        <w:rPr>
          <w:rFonts w:hint="eastAsia" w:ascii="仿宋_GB2312" w:hAnsi="仿宋" w:eastAsia="仿宋_GB2312"/>
          <w:b/>
          <w:bCs/>
          <w:sz w:val="32"/>
          <w:szCs w:val="32"/>
        </w:rPr>
        <w:t>、国有资产信息</w:t>
      </w:r>
    </w:p>
    <w:tbl>
      <w:tblPr>
        <w:tblStyle w:val="7"/>
        <w:tblpPr w:leftFromText="180" w:rightFromText="180" w:vertAnchor="text" w:horzAnchor="page" w:tblpX="1862" w:tblpY="144"/>
        <w:tblOverlap w:val="never"/>
        <w:tblW w:w="8420" w:type="dxa"/>
        <w:tblInd w:w="0" w:type="dxa"/>
        <w:tblLayout w:type="fixed"/>
        <w:tblCellMar>
          <w:top w:w="0" w:type="dxa"/>
          <w:left w:w="108" w:type="dxa"/>
          <w:bottom w:w="0" w:type="dxa"/>
          <w:right w:w="108" w:type="dxa"/>
        </w:tblCellMar>
      </w:tblPr>
      <w:tblGrid>
        <w:gridCol w:w="2220"/>
        <w:gridCol w:w="1485"/>
        <w:gridCol w:w="4715"/>
      </w:tblGrid>
      <w:tr>
        <w:tblPrEx>
          <w:tblLayout w:type="fixed"/>
          <w:tblCellMar>
            <w:top w:w="0" w:type="dxa"/>
            <w:left w:w="108" w:type="dxa"/>
            <w:bottom w:w="0" w:type="dxa"/>
            <w:right w:w="108" w:type="dxa"/>
          </w:tblCellMar>
        </w:tblPrEx>
        <w:trPr>
          <w:trHeight w:val="623" w:hRule="atLeast"/>
        </w:trPr>
        <w:tc>
          <w:tcPr>
            <w:tcW w:w="8420"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451" w:hRule="atLeast"/>
        </w:trPr>
        <w:tc>
          <w:tcPr>
            <w:tcW w:w="3705" w:type="dxa"/>
            <w:gridSpan w:val="2"/>
            <w:tcBorders>
              <w:top w:val="nil"/>
              <w:left w:val="nil"/>
              <w:bottom w:val="nil"/>
              <w:right w:val="nil"/>
            </w:tcBorders>
            <w:vAlign w:val="center"/>
          </w:tcPr>
          <w:p>
            <w:pPr>
              <w:widowControl/>
              <w:jc w:val="left"/>
              <w:rPr>
                <w:rFonts w:ascii="Times New Roman" w:hAnsi="Times New Roman" w:eastAsia="仿宋" w:cs="Times New Roman"/>
                <w:color w:val="000000" w:themeColor="text1"/>
                <w:kern w:val="0"/>
                <w:sz w:val="22"/>
              </w:rPr>
            </w:pPr>
            <w:r>
              <w:rPr>
                <w:rFonts w:ascii="Times New Roman" w:hAnsi="Times New Roman" w:eastAsia="仿宋" w:cs="Times New Roman"/>
                <w:color w:val="000000" w:themeColor="text1"/>
                <w:kern w:val="0"/>
                <w:sz w:val="22"/>
              </w:rPr>
              <w:t>编制部门：</w:t>
            </w:r>
            <w:r>
              <w:rPr>
                <w:rFonts w:hint="eastAsia" w:ascii="Times New Roman" w:hAnsi="Times New Roman" w:eastAsia="仿宋" w:cs="Times New Roman"/>
                <w:color w:val="000000" w:themeColor="text1"/>
                <w:kern w:val="0"/>
                <w:sz w:val="22"/>
                <w:shd w:val="pct10" w:color="auto" w:fill="FFFFFF"/>
                <w:lang w:eastAsia="zh-CN"/>
              </w:rPr>
              <w:t>南孙庄乡人民政府</w:t>
            </w:r>
          </w:p>
        </w:tc>
        <w:tc>
          <w:tcPr>
            <w:tcW w:w="4715"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000000" w:themeColor="text1"/>
                <w:kern w:val="0"/>
                <w:sz w:val="22"/>
              </w:rPr>
            </w:pPr>
            <w:r>
              <w:rPr>
                <w:rFonts w:ascii="Times New Roman" w:hAnsi="Times New Roman" w:eastAsia="仿宋" w:cs="Times New Roman"/>
                <w:color w:val="000000" w:themeColor="text1"/>
                <w:kern w:val="0"/>
                <w:sz w:val="22"/>
                <w:shd w:val="pct10" w:color="auto" w:fill="FFFFFF"/>
              </w:rPr>
              <w:t>截止时间：201</w:t>
            </w:r>
            <w:r>
              <w:rPr>
                <w:rFonts w:hint="eastAsia" w:ascii="Times New Roman" w:hAnsi="Times New Roman" w:eastAsia="仿宋" w:cs="Times New Roman"/>
                <w:color w:val="000000" w:themeColor="text1"/>
                <w:kern w:val="0"/>
                <w:sz w:val="22"/>
                <w:shd w:val="pct10" w:color="auto" w:fill="FFFFFF"/>
              </w:rPr>
              <w:t>7</w:t>
            </w:r>
            <w:r>
              <w:rPr>
                <w:rFonts w:ascii="Times New Roman" w:hAnsi="Times New Roman" w:eastAsia="仿宋" w:cs="Times New Roman"/>
                <w:color w:val="000000" w:themeColor="text1"/>
                <w:kern w:val="0"/>
                <w:sz w:val="22"/>
                <w:shd w:val="pct10" w:color="auto" w:fill="FFFFFF"/>
              </w:rPr>
              <w:t>年12月31日</w:t>
            </w:r>
          </w:p>
        </w:tc>
      </w:tr>
      <w:tr>
        <w:tblPrEx>
          <w:tblLayout w:type="fixed"/>
          <w:tblCellMar>
            <w:top w:w="0" w:type="dxa"/>
            <w:left w:w="108" w:type="dxa"/>
            <w:bottom w:w="0" w:type="dxa"/>
            <w:right w:w="108" w:type="dxa"/>
          </w:tblCellMar>
        </w:tblPrEx>
        <w:trPr>
          <w:trHeight w:val="589" w:hRule="atLeast"/>
        </w:trPr>
        <w:tc>
          <w:tcPr>
            <w:tcW w:w="22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47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价值（</w:t>
            </w:r>
            <w:r>
              <w:rPr>
                <w:rFonts w:hint="eastAsia" w:ascii="宋体" w:hAnsi="宋体" w:cs="宋体"/>
                <w:b/>
                <w:bCs/>
                <w:color w:val="000000" w:themeColor="text1"/>
                <w:kern w:val="0"/>
                <w:sz w:val="22"/>
                <w:shd w:val="pct10" w:color="auto" w:fill="FFFFFF"/>
              </w:rPr>
              <w:t>金额单位：万元</w:t>
            </w:r>
            <w:r>
              <w:rPr>
                <w:rFonts w:hint="eastAsia" w:ascii="宋体" w:hAnsi="宋体" w:cs="宋体"/>
                <w:b/>
                <w:bCs/>
                <w:color w:val="000000" w:themeColor="text1"/>
                <w:kern w:val="0"/>
                <w:sz w:val="22"/>
              </w:rPr>
              <w:t>）</w:t>
            </w:r>
          </w:p>
        </w:tc>
      </w:tr>
      <w:tr>
        <w:tblPrEx>
          <w:tblLayout w:type="fixed"/>
          <w:tblCellMar>
            <w:top w:w="0" w:type="dxa"/>
            <w:left w:w="108" w:type="dxa"/>
            <w:bottom w:w="0" w:type="dxa"/>
            <w:right w:w="108" w:type="dxa"/>
          </w:tblCellMar>
        </w:tblPrEx>
        <w:trPr>
          <w:trHeight w:val="595" w:hRule="atLeast"/>
        </w:trPr>
        <w:tc>
          <w:tcPr>
            <w:tcW w:w="222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148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w:t>
            </w:r>
          </w:p>
        </w:tc>
        <w:tc>
          <w:tcPr>
            <w:tcW w:w="47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 w:val="22"/>
                <w:szCs w:val="22"/>
              </w:rPr>
            </w:pPr>
            <w:r>
              <w:rPr>
                <w:rFonts w:hint="eastAsia" w:ascii="仿宋" w:hAnsi="仿宋" w:eastAsia="仿宋" w:cs="仿宋"/>
                <w:color w:val="222222"/>
                <w:sz w:val="22"/>
                <w:szCs w:val="22"/>
              </w:rPr>
              <w:t>681.35</w:t>
            </w:r>
          </w:p>
        </w:tc>
      </w:tr>
      <w:tr>
        <w:tblPrEx>
          <w:tblLayout w:type="fixed"/>
          <w:tblCellMar>
            <w:top w:w="0" w:type="dxa"/>
            <w:left w:w="108" w:type="dxa"/>
            <w:bottom w:w="0" w:type="dxa"/>
            <w:right w:w="108" w:type="dxa"/>
          </w:tblCellMar>
        </w:tblPrEx>
        <w:trPr>
          <w:trHeight w:val="5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148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3608</w:t>
            </w:r>
          </w:p>
        </w:tc>
        <w:tc>
          <w:tcPr>
            <w:tcW w:w="47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222222"/>
                <w:sz w:val="22"/>
                <w:szCs w:val="22"/>
              </w:rPr>
              <w:t>338.92</w:t>
            </w:r>
          </w:p>
        </w:tc>
      </w:tr>
      <w:tr>
        <w:tblPrEx>
          <w:tblLayout w:type="fixed"/>
          <w:tblCellMar>
            <w:top w:w="0" w:type="dxa"/>
            <w:left w:w="108" w:type="dxa"/>
            <w:bottom w:w="0" w:type="dxa"/>
            <w:right w:w="108" w:type="dxa"/>
          </w:tblCellMar>
        </w:tblPrEx>
        <w:trPr>
          <w:trHeight w:val="5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148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459</w:t>
            </w:r>
          </w:p>
        </w:tc>
        <w:tc>
          <w:tcPr>
            <w:tcW w:w="47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222222"/>
                <w:sz w:val="22"/>
                <w:szCs w:val="22"/>
              </w:rPr>
              <w:t>37.25</w:t>
            </w:r>
          </w:p>
        </w:tc>
      </w:tr>
      <w:tr>
        <w:tblPrEx>
          <w:tblLayout w:type="fixed"/>
          <w:tblCellMar>
            <w:top w:w="0" w:type="dxa"/>
            <w:left w:w="108" w:type="dxa"/>
            <w:bottom w:w="0" w:type="dxa"/>
            <w:right w:w="108" w:type="dxa"/>
          </w:tblCellMar>
        </w:tblPrEx>
        <w:trPr>
          <w:trHeight w:val="5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148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lang w:eastAsia="zh-CN"/>
              </w:rPr>
            </w:pPr>
            <w:r>
              <w:rPr>
                <w:rFonts w:hint="eastAsia" w:ascii="仿宋" w:hAnsi="仿宋" w:eastAsia="仿宋" w:cs="仿宋"/>
                <w:kern w:val="0"/>
                <w:sz w:val="22"/>
                <w:lang w:val="en-US" w:eastAsia="zh-CN"/>
              </w:rPr>
              <w:t>3</w:t>
            </w:r>
          </w:p>
        </w:tc>
        <w:tc>
          <w:tcPr>
            <w:tcW w:w="47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222222"/>
                <w:sz w:val="22"/>
                <w:szCs w:val="22"/>
              </w:rPr>
              <w:t>36.61</w:t>
            </w:r>
          </w:p>
        </w:tc>
      </w:tr>
      <w:tr>
        <w:tblPrEx>
          <w:tblLayout w:type="fixed"/>
          <w:tblCellMar>
            <w:top w:w="0" w:type="dxa"/>
            <w:left w:w="108" w:type="dxa"/>
            <w:bottom w:w="0" w:type="dxa"/>
            <w:right w:w="108" w:type="dxa"/>
          </w:tblCellMar>
        </w:tblPrEx>
        <w:trPr>
          <w:trHeight w:val="595"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148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w:t>
            </w:r>
          </w:p>
        </w:tc>
        <w:tc>
          <w:tcPr>
            <w:tcW w:w="47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trHeight w:val="607" w:hRule="atLeast"/>
        </w:trPr>
        <w:tc>
          <w:tcPr>
            <w:tcW w:w="222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148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rPr>
            </w:pPr>
            <w:r>
              <w:rPr>
                <w:rFonts w:hint="eastAsia" w:ascii="仿宋" w:hAnsi="仿宋" w:eastAsia="仿宋" w:cs="仿宋"/>
                <w:kern w:val="0"/>
                <w:sz w:val="22"/>
              </w:rPr>
              <w:t>——</w:t>
            </w:r>
          </w:p>
        </w:tc>
        <w:tc>
          <w:tcPr>
            <w:tcW w:w="471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color w:val="222222"/>
                <w:sz w:val="22"/>
                <w:szCs w:val="22"/>
              </w:rPr>
              <w:t>305.82</w:t>
            </w:r>
          </w:p>
        </w:tc>
      </w:tr>
    </w:tbl>
    <w:p>
      <w:pPr>
        <w:adjustRightInd w:val="0"/>
        <w:snapToGrid w:val="0"/>
        <w:spacing w:line="560" w:lineRule="exact"/>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2017年末，我单位资产总额3304.73万元，固定资产总额681.35万元，其中：房屋338.92万元（办公用房37.25万元，其他&lt;不含构筑物&gt;301.67万元），车辆36.61万元（其中：轿车27.06万元，其他车型9.55万元），其他固定资产305.82万元。</w:t>
      </w:r>
    </w:p>
    <w:p>
      <w:pPr>
        <w:adjustRightInd w:val="0"/>
        <w:snapToGrid w:val="0"/>
        <w:spacing w:line="560" w:lineRule="exact"/>
        <w:ind w:firstLine="640" w:firstLineChars="200"/>
        <w:rPr>
          <w:rFonts w:ascii="仿宋" w:hAnsi="仿宋" w:eastAsia="仿宋" w:cs="Arial"/>
          <w:color w:val="222222"/>
          <w:sz w:val="32"/>
          <w:szCs w:val="32"/>
        </w:rPr>
      </w:pPr>
      <w:r>
        <w:rPr>
          <w:rFonts w:hint="eastAsia" w:ascii="仿宋" w:hAnsi="仿宋" w:eastAsia="仿宋" w:cs="Arial"/>
          <w:color w:val="222222"/>
          <w:sz w:val="32"/>
          <w:szCs w:val="32"/>
        </w:rPr>
        <w:t>2018年我单位拟购置办公资产19万元。</w:t>
      </w:r>
      <w:r>
        <w:rPr>
          <w:rFonts w:hint="eastAsia" w:ascii="仿宋_GB2312" w:hAnsi="仿宋" w:eastAsia="仿宋_GB2312"/>
          <w:bCs/>
          <w:sz w:val="32"/>
          <w:szCs w:val="32"/>
        </w:rPr>
        <w:t>其中</w:t>
      </w:r>
      <w:r>
        <w:rPr>
          <w:rFonts w:hint="eastAsia" w:ascii="仿宋_GB2312" w:hAnsi="仿宋" w:eastAsia="仿宋_GB2312"/>
          <w:sz w:val="32"/>
          <w:szCs w:val="32"/>
        </w:rPr>
        <w:t>拟购置办公所需</w:t>
      </w:r>
      <w:r>
        <w:rPr>
          <w:rFonts w:hint="eastAsia" w:ascii="仿宋_GB2312" w:hAnsi="黑体" w:eastAsia="仿宋_GB2312"/>
          <w:sz w:val="32"/>
          <w:szCs w:val="32"/>
        </w:rPr>
        <w:t>计算机、复印机、打印机，预计9万元</w:t>
      </w:r>
      <w:r>
        <w:rPr>
          <w:rFonts w:hint="eastAsia" w:ascii="仿宋_GB2312" w:hAnsi="仿宋" w:eastAsia="仿宋_GB2312"/>
          <w:bCs/>
          <w:sz w:val="32"/>
          <w:szCs w:val="32"/>
        </w:rPr>
        <w:t>；购置办公桌椅，预计金额6万元；其他零星设备预计4万元。</w:t>
      </w:r>
    </w:p>
    <w:p>
      <w:pPr>
        <w:spacing w:line="560" w:lineRule="exact"/>
        <w:ind w:firstLine="675" w:firstLineChars="210"/>
        <w:jc w:val="left"/>
        <w:rPr>
          <w:rFonts w:hint="eastAsia" w:ascii="仿宋_GB2312" w:hAnsi="仿宋" w:eastAsia="仿宋_GB2312"/>
          <w:sz w:val="32"/>
          <w:szCs w:val="32"/>
        </w:rPr>
      </w:pPr>
      <w:r>
        <w:rPr>
          <w:rFonts w:hint="eastAsia" w:ascii="仿宋_GB2312" w:hAnsi="黑体" w:eastAsia="仿宋_GB2312"/>
          <w:b/>
          <w:sz w:val="32"/>
          <w:szCs w:val="32"/>
          <w:lang w:eastAsia="zh-CN"/>
        </w:rPr>
        <w:t>八</w:t>
      </w:r>
      <w:r>
        <w:rPr>
          <w:rFonts w:hint="eastAsia" w:ascii="仿宋_GB2312" w:hAnsi="黑体" w:eastAsia="仿宋_GB2312"/>
          <w:b/>
          <w:sz w:val="32"/>
          <w:szCs w:val="32"/>
        </w:rPr>
        <w:t>、专业名词解释</w:t>
      </w:r>
    </w:p>
    <w:p>
      <w:pPr>
        <w:ind w:firstLine="784" w:firstLineChars="245"/>
        <w:rPr>
          <w:rFonts w:ascii="仿宋" w:hAnsi="仿宋" w:eastAsia="仿宋" w:cs="Arial"/>
          <w:color w:val="222222"/>
          <w:sz w:val="32"/>
          <w:szCs w:val="32"/>
        </w:rPr>
      </w:pPr>
      <w:r>
        <w:rPr>
          <w:rFonts w:hint="eastAsia" w:ascii="仿宋" w:hAnsi="仿宋" w:eastAsia="仿宋" w:cs="Arial"/>
          <w:color w:val="222222"/>
          <w:sz w:val="32"/>
          <w:szCs w:val="32"/>
        </w:rPr>
        <w:t>1、一般公共预算财政拨款收入：</w:t>
      </w:r>
      <w:r>
        <w:rPr>
          <w:rFonts w:ascii="仿宋" w:hAnsi="仿宋" w:eastAsia="仿宋" w:cs="Arial"/>
          <w:color w:val="222222"/>
          <w:sz w:val="32"/>
          <w:szCs w:val="32"/>
        </w:rPr>
        <w:t>一般公共预算是对以税收为主体的财政收入，安排用于保障和改善民生、推动经济社会发展、维护国家安全、维持国家机构正常运转等方面的收支预算</w:t>
      </w:r>
      <w:r>
        <w:rPr>
          <w:rFonts w:hint="eastAsia" w:ascii="仿宋" w:hAnsi="仿宋" w:eastAsia="仿宋" w:cs="Arial"/>
          <w:color w:val="222222"/>
          <w:sz w:val="32"/>
          <w:szCs w:val="32"/>
        </w:rPr>
        <w:t>。</w:t>
      </w:r>
    </w:p>
    <w:p>
      <w:pPr>
        <w:ind w:firstLine="784" w:firstLineChars="245"/>
        <w:rPr>
          <w:rFonts w:ascii="仿宋" w:hAnsi="仿宋" w:eastAsia="仿宋" w:cs="Arial"/>
          <w:color w:val="222222"/>
          <w:sz w:val="32"/>
          <w:szCs w:val="32"/>
        </w:rPr>
      </w:pPr>
      <w:r>
        <w:rPr>
          <w:rFonts w:hint="eastAsia" w:ascii="仿宋" w:hAnsi="仿宋" w:eastAsia="仿宋" w:cs="Arial"/>
          <w:color w:val="222222"/>
          <w:sz w:val="32"/>
          <w:szCs w:val="32"/>
        </w:rPr>
        <w:t>2、</w:t>
      </w:r>
      <w:r>
        <w:rPr>
          <w:rFonts w:ascii="仿宋" w:hAnsi="仿宋" w:eastAsia="仿宋" w:cs="Arial"/>
          <w:color w:val="222222"/>
          <w:sz w:val="32"/>
          <w:szCs w:val="32"/>
        </w:rPr>
        <w:t>政府性基金预算是对依照法律、行政法规的规定在一定期限内向特定对象征收、收取或者以其他方式筹集的资金，专项用于特定公共事业发展的收支预算。</w:t>
      </w:r>
    </w:p>
    <w:p>
      <w:pPr>
        <w:ind w:firstLine="784" w:firstLineChars="245"/>
        <w:rPr>
          <w:rFonts w:ascii="仿宋" w:hAnsi="仿宋" w:eastAsia="仿宋" w:cs="Arial"/>
          <w:color w:val="222222"/>
          <w:sz w:val="32"/>
          <w:szCs w:val="32"/>
        </w:rPr>
      </w:pPr>
      <w:r>
        <w:rPr>
          <w:rFonts w:hint="eastAsia" w:ascii="仿宋" w:hAnsi="仿宋" w:eastAsia="仿宋" w:cs="Arial"/>
          <w:color w:val="222222"/>
          <w:sz w:val="32"/>
          <w:szCs w:val="32"/>
        </w:rPr>
        <w:t>3、基本支出：指行政事业单位为保障其机构正常运转、完成日常工作任务而编制的年度基本支出计划，内容包括人员经费和日常公用经费两部分。</w:t>
      </w:r>
    </w:p>
    <w:p>
      <w:pPr>
        <w:ind w:firstLine="784" w:firstLineChars="245"/>
        <w:rPr>
          <w:rFonts w:ascii="仿宋" w:hAnsi="仿宋" w:eastAsia="仿宋" w:cs="Arial"/>
          <w:color w:val="222222"/>
          <w:sz w:val="32"/>
          <w:szCs w:val="32"/>
        </w:rPr>
      </w:pPr>
      <w:r>
        <w:rPr>
          <w:rFonts w:hint="eastAsia" w:ascii="仿宋" w:hAnsi="仿宋" w:eastAsia="仿宋" w:cs="Arial"/>
          <w:color w:val="222222"/>
          <w:sz w:val="32"/>
          <w:szCs w:val="32"/>
        </w:rPr>
        <w:t>4、项目支出：是指行政事业单位为完成特定的工作任务或事业发展目标，在基本的预算支出以外，财政预算专款安排的支出。</w:t>
      </w:r>
    </w:p>
    <w:p>
      <w:pPr>
        <w:spacing w:line="560" w:lineRule="exact"/>
        <w:ind w:firstLine="675" w:firstLineChars="210"/>
        <w:jc w:val="left"/>
        <w:rPr>
          <w:rFonts w:hint="eastAsia" w:ascii="仿宋_GB2312" w:hAnsi="黑体" w:eastAsia="仿宋_GB2312"/>
          <w:b/>
          <w:sz w:val="32"/>
          <w:szCs w:val="32"/>
        </w:rPr>
      </w:pPr>
      <w:r>
        <w:rPr>
          <w:rFonts w:hint="eastAsia" w:ascii="仿宋_GB2312" w:hAnsi="仿宋" w:eastAsia="仿宋_GB2312"/>
          <w:b/>
          <w:bCs/>
          <w:sz w:val="32"/>
          <w:szCs w:val="32"/>
          <w:lang w:eastAsia="zh-CN"/>
        </w:rPr>
        <w:t>九</w:t>
      </w:r>
      <w:r>
        <w:rPr>
          <w:rFonts w:hint="eastAsia" w:ascii="仿宋_GB2312" w:hAnsi="仿宋" w:eastAsia="仿宋_GB2312"/>
          <w:sz w:val="32"/>
          <w:szCs w:val="32"/>
          <w:lang w:eastAsia="zh-CN"/>
        </w:rPr>
        <w:t>、</w:t>
      </w:r>
      <w:r>
        <w:rPr>
          <w:rFonts w:hint="eastAsia" w:ascii="仿宋_GB2312" w:hAnsi="黑体" w:eastAsia="仿宋_GB2312"/>
          <w:b/>
          <w:sz w:val="32"/>
          <w:szCs w:val="32"/>
        </w:rPr>
        <w:t>其他情况说明</w:t>
      </w:r>
    </w:p>
    <w:p>
      <w:pPr>
        <w:widowControl/>
        <w:shd w:val="clear" w:color="auto" w:fill="FFFFFF"/>
        <w:spacing w:line="360" w:lineRule="atLeast"/>
        <w:ind w:firstLine="640" w:firstLineChars="200"/>
        <w:jc w:val="left"/>
        <w:rPr>
          <w:rFonts w:ascii="仿宋" w:hAnsi="仿宋" w:eastAsia="仿宋" w:cs="Arial"/>
          <w:color w:val="222222"/>
          <w:sz w:val="32"/>
          <w:szCs w:val="32"/>
        </w:rPr>
      </w:pPr>
      <w:r>
        <w:rPr>
          <w:rFonts w:hint="eastAsia" w:ascii="仿宋" w:hAnsi="仿宋" w:eastAsia="仿宋" w:cs="Arial"/>
          <w:color w:val="222222"/>
          <w:sz w:val="32"/>
          <w:szCs w:val="32"/>
        </w:rPr>
        <w:t>由于我部门预算全部为一般公共预算，本次公开表格中凡涉及政府性基金预算和国有资本经营预算的表格全部为空表。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SimSun-ExtB"/>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A9946"/>
    <w:multiLevelType w:val="singleLevel"/>
    <w:tmpl w:val="4CBA9946"/>
    <w:lvl w:ilvl="0" w:tentative="0">
      <w:start w:val="4"/>
      <w:numFmt w:val="chineseCounting"/>
      <w:suff w:val="nothing"/>
      <w:lvlText w:val="%1、"/>
      <w:lvlJc w:val="left"/>
      <w:rPr>
        <w:rFonts w:hint="eastAsia"/>
      </w:rPr>
    </w:lvl>
  </w:abstractNum>
  <w:abstractNum w:abstractNumId="1">
    <w:nsid w:val="5A94F3F6"/>
    <w:multiLevelType w:val="singleLevel"/>
    <w:tmpl w:val="5A94F3F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B"/>
    <w:rsid w:val="00023912"/>
    <w:rsid w:val="00094D59"/>
    <w:rsid w:val="000B6A66"/>
    <w:rsid w:val="000E01BB"/>
    <w:rsid w:val="000F5E8B"/>
    <w:rsid w:val="0011770A"/>
    <w:rsid w:val="001802EE"/>
    <w:rsid w:val="001A661F"/>
    <w:rsid w:val="001D6F19"/>
    <w:rsid w:val="00220902"/>
    <w:rsid w:val="00274F87"/>
    <w:rsid w:val="0028286D"/>
    <w:rsid w:val="002A09CD"/>
    <w:rsid w:val="002A586D"/>
    <w:rsid w:val="002C2A2D"/>
    <w:rsid w:val="002F6918"/>
    <w:rsid w:val="0038061B"/>
    <w:rsid w:val="00387FC1"/>
    <w:rsid w:val="003D3549"/>
    <w:rsid w:val="004016AE"/>
    <w:rsid w:val="00440E4F"/>
    <w:rsid w:val="00487DC8"/>
    <w:rsid w:val="00507A90"/>
    <w:rsid w:val="005A4278"/>
    <w:rsid w:val="005A718C"/>
    <w:rsid w:val="005A7BDB"/>
    <w:rsid w:val="005D692B"/>
    <w:rsid w:val="006F593F"/>
    <w:rsid w:val="007C7E59"/>
    <w:rsid w:val="00803185"/>
    <w:rsid w:val="0082335D"/>
    <w:rsid w:val="00846BF2"/>
    <w:rsid w:val="008F0CFC"/>
    <w:rsid w:val="008F66E1"/>
    <w:rsid w:val="009129B7"/>
    <w:rsid w:val="009535E6"/>
    <w:rsid w:val="009605C7"/>
    <w:rsid w:val="009B76F1"/>
    <w:rsid w:val="009C3C05"/>
    <w:rsid w:val="00A0517F"/>
    <w:rsid w:val="00A2752E"/>
    <w:rsid w:val="00A479D0"/>
    <w:rsid w:val="00A67276"/>
    <w:rsid w:val="00A77AC3"/>
    <w:rsid w:val="00A9166F"/>
    <w:rsid w:val="00A92F56"/>
    <w:rsid w:val="00AD1AD5"/>
    <w:rsid w:val="00AF01B1"/>
    <w:rsid w:val="00B06145"/>
    <w:rsid w:val="00B30B28"/>
    <w:rsid w:val="00B80D0B"/>
    <w:rsid w:val="00BA6191"/>
    <w:rsid w:val="00BC1E0B"/>
    <w:rsid w:val="00BE3A34"/>
    <w:rsid w:val="00C352B4"/>
    <w:rsid w:val="00CC7032"/>
    <w:rsid w:val="00D12750"/>
    <w:rsid w:val="00D15A7E"/>
    <w:rsid w:val="00F1069A"/>
    <w:rsid w:val="00F357BB"/>
    <w:rsid w:val="00F50250"/>
    <w:rsid w:val="00F81D01"/>
    <w:rsid w:val="00FA0F06"/>
    <w:rsid w:val="00FD5E3D"/>
    <w:rsid w:val="01923699"/>
    <w:rsid w:val="01C618A1"/>
    <w:rsid w:val="08411166"/>
    <w:rsid w:val="0857530A"/>
    <w:rsid w:val="09B3289B"/>
    <w:rsid w:val="0A126F42"/>
    <w:rsid w:val="0A487C6D"/>
    <w:rsid w:val="0E4F1B7F"/>
    <w:rsid w:val="10AF31E8"/>
    <w:rsid w:val="10C56F83"/>
    <w:rsid w:val="10E04B02"/>
    <w:rsid w:val="11727988"/>
    <w:rsid w:val="1356239F"/>
    <w:rsid w:val="16025E18"/>
    <w:rsid w:val="1D4714F1"/>
    <w:rsid w:val="1DE66679"/>
    <w:rsid w:val="1E2622B2"/>
    <w:rsid w:val="1F6B57C0"/>
    <w:rsid w:val="216F6085"/>
    <w:rsid w:val="21E534E6"/>
    <w:rsid w:val="22715079"/>
    <w:rsid w:val="23055FEA"/>
    <w:rsid w:val="24584580"/>
    <w:rsid w:val="25F24F50"/>
    <w:rsid w:val="28A2486C"/>
    <w:rsid w:val="28A8245F"/>
    <w:rsid w:val="29085DA6"/>
    <w:rsid w:val="2AA150F4"/>
    <w:rsid w:val="2AAC7325"/>
    <w:rsid w:val="2B1D1423"/>
    <w:rsid w:val="2C334971"/>
    <w:rsid w:val="3678157C"/>
    <w:rsid w:val="3A4029E1"/>
    <w:rsid w:val="3C255DF7"/>
    <w:rsid w:val="41092622"/>
    <w:rsid w:val="415156AE"/>
    <w:rsid w:val="443D2513"/>
    <w:rsid w:val="449039B4"/>
    <w:rsid w:val="46C91C29"/>
    <w:rsid w:val="49BA15A9"/>
    <w:rsid w:val="4AFA072F"/>
    <w:rsid w:val="4C100B52"/>
    <w:rsid w:val="4C2352BB"/>
    <w:rsid w:val="4F2F7686"/>
    <w:rsid w:val="50646362"/>
    <w:rsid w:val="52465A8B"/>
    <w:rsid w:val="533B2268"/>
    <w:rsid w:val="56E4629A"/>
    <w:rsid w:val="57B41A99"/>
    <w:rsid w:val="5E2D6E6E"/>
    <w:rsid w:val="63484F3D"/>
    <w:rsid w:val="64BC4A05"/>
    <w:rsid w:val="69A34E1C"/>
    <w:rsid w:val="6A0F76CD"/>
    <w:rsid w:val="6A820562"/>
    <w:rsid w:val="6B4B6725"/>
    <w:rsid w:val="6C20508C"/>
    <w:rsid w:val="6D8A744F"/>
    <w:rsid w:val="6EEC5B31"/>
    <w:rsid w:val="70232C3F"/>
    <w:rsid w:val="75013790"/>
    <w:rsid w:val="77933BAC"/>
    <w:rsid w:val="77FF45F1"/>
    <w:rsid w:val="79722D4C"/>
    <w:rsid w:val="79E235D8"/>
    <w:rsid w:val="7A032B32"/>
    <w:rsid w:val="7A3B2CA0"/>
    <w:rsid w:val="7D461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333333"/>
      <w:u w:val="non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55BA2-7E40-4C99-9FEA-FA5C95A8EE6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1101</Words>
  <Characters>6276</Characters>
  <Lines>52</Lines>
  <Paragraphs>14</Paragraphs>
  <TotalTime>2</TotalTime>
  <ScaleCrop>false</ScaleCrop>
  <LinksUpToDate>false</LinksUpToDate>
  <CharactersWithSpaces>7363</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2017-06-02T07:38:00Z</dcterms:created>
  <dc:creator>user</dc:creator>
  <cp:lastModifiedBy>Administrator</cp:lastModifiedBy>
  <cp:lastPrinted>2018-08-29T08:09:00Z</cp:lastPrinted>
  <dcterms:modified xsi:type="dcterms:W3CDTF">2019-02-13T09:05:59Z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